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3EA12">
      <w:pPr>
        <w:rPr>
          <w:rFonts w:hint="eastAsia" w:ascii="Times New Roman" w:hAnsi="Times New Roman" w:eastAsia="宋体" w:cs="Times New Roman"/>
          <w:color w:val="auto"/>
          <w:spacing w:val="0"/>
          <w:position w:val="0"/>
          <w:sz w:val="36"/>
          <w:szCs w:val="36"/>
          <w:highlight w:val="none"/>
          <w:lang w:eastAsia="zh-CN"/>
        </w:rPr>
      </w:pPr>
      <w:bookmarkStart w:id="0" w:name="_Hlk69720631"/>
      <w:bookmarkEnd w:id="0"/>
      <w:bookmarkStart w:id="1" w:name="_Toc31413"/>
      <w:r>
        <w:rPr>
          <w:rFonts w:hint="eastAsia" w:ascii="Times New Roman" w:hAnsi="Times New Roman" w:eastAsia="宋体" w:cs="Times New Roman"/>
          <w:color w:val="auto"/>
          <w:spacing w:val="0"/>
          <w:position w:val="0"/>
          <w:sz w:val="36"/>
          <w:szCs w:val="36"/>
          <w:highlight w:val="none"/>
          <w:lang w:eastAsia="zh-CN"/>
        </w:rPr>
        <w:drawing>
          <wp:anchor distT="0" distB="0" distL="114300" distR="114300" simplePos="0" relativeHeight="251675648" behindDoc="0" locked="0" layoutInCell="1" allowOverlap="1">
            <wp:simplePos x="0" y="0"/>
            <wp:positionH relativeFrom="column">
              <wp:posOffset>-1852930</wp:posOffset>
            </wp:positionH>
            <wp:positionV relativeFrom="paragraph">
              <wp:posOffset>729615</wp:posOffset>
            </wp:positionV>
            <wp:extent cx="9493885" cy="6762750"/>
            <wp:effectExtent l="0" t="0" r="0" b="12065"/>
            <wp:wrapNone/>
            <wp:docPr id="364" name="图片 364" descr="655784235253f8849959811db7a93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655784235253f8849959811db7a93fe8"/>
                    <pic:cNvPicPr>
                      <a:picLocks noChangeAspect="1"/>
                    </pic:cNvPicPr>
                  </pic:nvPicPr>
                  <pic:blipFill>
                    <a:blip r:embed="rId16"/>
                    <a:stretch>
                      <a:fillRect/>
                    </a:stretch>
                  </pic:blipFill>
                  <pic:spPr>
                    <a:xfrm rot="16200000">
                      <a:off x="0" y="0"/>
                      <a:ext cx="9493885" cy="6762750"/>
                    </a:xfrm>
                    <a:prstGeom prst="rect">
                      <a:avLst/>
                    </a:prstGeom>
                  </pic:spPr>
                </pic:pic>
              </a:graphicData>
            </a:graphic>
          </wp:anchor>
        </w:drawing>
      </w:r>
    </w:p>
    <w:p w14:paraId="1B5DBD63">
      <w:pPr>
        <w:rPr>
          <w:rFonts w:ascii="Times New Roman" w:hAnsi="Times New Roman" w:eastAsia="宋体" w:cs="Times New Roman"/>
          <w:color w:val="auto"/>
          <w:spacing w:val="0"/>
          <w:position w:val="0"/>
          <w:sz w:val="36"/>
          <w:szCs w:val="36"/>
          <w:highlight w:val="none"/>
        </w:rPr>
      </w:pPr>
    </w:p>
    <w:p w14:paraId="6BDD782D">
      <w:pPr>
        <w:rPr>
          <w:rFonts w:ascii="Times New Roman" w:hAnsi="Times New Roman" w:eastAsia="宋体" w:cs="Times New Roman"/>
          <w:color w:val="auto"/>
          <w:spacing w:val="0"/>
          <w:position w:val="0"/>
          <w:sz w:val="36"/>
          <w:szCs w:val="36"/>
          <w:highlight w:val="none"/>
        </w:rPr>
      </w:pPr>
    </w:p>
    <w:p w14:paraId="1AA215EB">
      <w:pPr>
        <w:rPr>
          <w:rFonts w:ascii="Times New Roman" w:hAnsi="Times New Roman" w:eastAsia="宋体" w:cs="Times New Roman"/>
          <w:color w:val="auto"/>
          <w:spacing w:val="0"/>
          <w:position w:val="0"/>
          <w:sz w:val="36"/>
          <w:szCs w:val="36"/>
          <w:highlight w:val="none"/>
        </w:rPr>
      </w:pPr>
    </w:p>
    <w:p w14:paraId="16C8A61A">
      <w:pPr>
        <w:adjustRightInd w:val="0"/>
        <w:snapToGrid w:val="0"/>
        <w:jc w:val="center"/>
        <w:outlineLvl w:val="0"/>
        <w:rPr>
          <w:rFonts w:ascii="Times New Roman" w:hAnsi="Times New Roman" w:eastAsia="宋体" w:cs="Times New Roman"/>
          <w:bCs/>
          <w:color w:val="auto"/>
          <w:spacing w:val="0"/>
          <w:position w:val="0"/>
          <w:sz w:val="72"/>
          <w:szCs w:val="72"/>
          <w:highlight w:val="none"/>
        </w:rPr>
      </w:pPr>
      <w:bookmarkStart w:id="2" w:name="_Toc11451"/>
      <w:bookmarkStart w:id="3" w:name="_Toc4619"/>
      <w:bookmarkStart w:id="4" w:name="_Toc8364"/>
      <w:bookmarkStart w:id="5" w:name="_Toc6169"/>
      <w:r>
        <w:rPr>
          <w:rFonts w:hint="eastAsia" w:ascii="Times New Roman" w:hAnsi="Times New Roman" w:eastAsia="宋体" w:cs="Times New Roman"/>
          <w:bCs/>
          <w:color w:val="auto"/>
          <w:spacing w:val="0"/>
          <w:position w:val="0"/>
          <w:sz w:val="72"/>
          <w:szCs w:val="72"/>
          <w:highlight w:val="none"/>
        </w:rPr>
        <w:t>建设项目环境影响报告表</w:t>
      </w:r>
      <w:bookmarkEnd w:id="2"/>
      <w:bookmarkEnd w:id="3"/>
      <w:bookmarkEnd w:id="4"/>
      <w:bookmarkEnd w:id="5"/>
    </w:p>
    <w:p w14:paraId="4137546E">
      <w:pPr>
        <w:adjustRightInd w:val="0"/>
        <w:snapToGrid w:val="0"/>
        <w:spacing w:before="192" w:beforeLines="80"/>
        <w:jc w:val="center"/>
        <w:rPr>
          <w:rFonts w:ascii="Times New Roman" w:hAnsi="Times New Roman" w:eastAsia="宋体" w:cs="Times New Roman"/>
          <w:bCs/>
          <w:color w:val="auto"/>
          <w:spacing w:val="0"/>
          <w:position w:val="0"/>
          <w:sz w:val="48"/>
          <w:szCs w:val="48"/>
          <w:highlight w:val="none"/>
        </w:rPr>
      </w:pPr>
      <w:r>
        <w:rPr>
          <w:rFonts w:hint="eastAsia" w:ascii="Times New Roman" w:hAnsi="Times New Roman" w:eastAsia="宋体" w:cs="Times New Roman"/>
          <w:bCs/>
          <w:color w:val="auto"/>
          <w:spacing w:val="0"/>
          <w:position w:val="0"/>
          <w:sz w:val="48"/>
          <w:szCs w:val="48"/>
          <w:highlight w:val="none"/>
        </w:rPr>
        <w:t>（污染影响类）</w:t>
      </w:r>
    </w:p>
    <w:p w14:paraId="5BF48765">
      <w:pPr>
        <w:adjustRightInd w:val="0"/>
        <w:snapToGrid w:val="0"/>
        <w:spacing w:line="288" w:lineRule="auto"/>
        <w:jc w:val="center"/>
        <w:rPr>
          <w:rFonts w:ascii="Times New Roman" w:hAnsi="Times New Roman" w:eastAsia="宋体" w:cs="Times New Roman"/>
          <w:color w:val="auto"/>
          <w:spacing w:val="0"/>
          <w:kern w:val="44"/>
          <w:position w:val="0"/>
          <w:sz w:val="44"/>
          <w:szCs w:val="44"/>
          <w:highlight w:val="none"/>
        </w:rPr>
      </w:pPr>
    </w:p>
    <w:p w14:paraId="32271DE6">
      <w:pPr>
        <w:jc w:val="center"/>
        <w:rPr>
          <w:rFonts w:ascii="Times New Roman" w:hAnsi="Times New Roman" w:eastAsia="宋体" w:cs="Times New Roman"/>
          <w:color w:val="auto"/>
          <w:spacing w:val="0"/>
          <w:position w:val="0"/>
          <w:sz w:val="52"/>
          <w:szCs w:val="52"/>
          <w:highlight w:val="none"/>
        </w:rPr>
      </w:pPr>
    </w:p>
    <w:p w14:paraId="24E92E49">
      <w:pPr>
        <w:ind w:firstLine="1040"/>
        <w:rPr>
          <w:rFonts w:ascii="Times New Roman" w:hAnsi="Times New Roman" w:eastAsia="宋体" w:cs="Times New Roman"/>
          <w:color w:val="auto"/>
          <w:spacing w:val="0"/>
          <w:position w:val="0"/>
          <w:sz w:val="44"/>
          <w:szCs w:val="44"/>
          <w:highlight w:val="none"/>
        </w:rPr>
      </w:pPr>
    </w:p>
    <w:p w14:paraId="0D05C6B2">
      <w:pPr>
        <w:ind w:firstLine="1040"/>
        <w:rPr>
          <w:rFonts w:ascii="Times New Roman" w:hAnsi="Times New Roman" w:eastAsia="宋体" w:cs="Times New Roman"/>
          <w:color w:val="auto"/>
          <w:spacing w:val="0"/>
          <w:position w:val="0"/>
          <w:sz w:val="44"/>
          <w:szCs w:val="44"/>
          <w:highlight w:val="none"/>
        </w:rPr>
      </w:pPr>
    </w:p>
    <w:p w14:paraId="52F5BEE9">
      <w:pPr>
        <w:ind w:firstLine="1040"/>
        <w:rPr>
          <w:rFonts w:ascii="Times New Roman" w:hAnsi="Times New Roman" w:eastAsia="宋体" w:cs="Times New Roman"/>
          <w:color w:val="auto"/>
          <w:spacing w:val="0"/>
          <w:position w:val="0"/>
          <w:sz w:val="44"/>
          <w:szCs w:val="44"/>
          <w:highlight w:val="none"/>
        </w:rPr>
      </w:pPr>
    </w:p>
    <w:p w14:paraId="5276B66F">
      <w:pPr>
        <w:ind w:firstLine="1040"/>
        <w:rPr>
          <w:rFonts w:ascii="Times New Roman" w:hAnsi="Times New Roman" w:eastAsia="宋体" w:cs="Times New Roman"/>
          <w:color w:val="auto"/>
          <w:spacing w:val="0"/>
          <w:position w:val="0"/>
          <w:sz w:val="44"/>
          <w:szCs w:val="44"/>
          <w:highlight w:val="none"/>
        </w:rPr>
      </w:pPr>
    </w:p>
    <w:p w14:paraId="2A25C209">
      <w:pPr>
        <w:ind w:firstLine="1040"/>
        <w:rPr>
          <w:rFonts w:ascii="Times New Roman" w:hAnsi="Times New Roman" w:eastAsia="宋体" w:cs="Times New Roman"/>
          <w:color w:val="auto"/>
          <w:spacing w:val="0"/>
          <w:position w:val="0"/>
          <w:sz w:val="44"/>
          <w:szCs w:val="44"/>
          <w:highlight w:val="none"/>
        </w:rPr>
      </w:pPr>
    </w:p>
    <w:p w14:paraId="58EC4E3B">
      <w:pPr>
        <w:ind w:firstLine="1040"/>
        <w:rPr>
          <w:rFonts w:ascii="Times New Roman" w:hAnsi="Times New Roman" w:eastAsia="宋体" w:cs="Times New Roman"/>
          <w:color w:val="auto"/>
          <w:spacing w:val="0"/>
          <w:position w:val="0"/>
          <w:sz w:val="44"/>
          <w:szCs w:val="44"/>
          <w:highlight w:val="none"/>
        </w:rPr>
      </w:pPr>
    </w:p>
    <w:p w14:paraId="3602FC71">
      <w:pPr>
        <w:ind w:firstLine="1040"/>
        <w:rPr>
          <w:rFonts w:ascii="Times New Roman" w:hAnsi="Times New Roman" w:eastAsia="宋体" w:cs="Times New Roman"/>
          <w:color w:val="auto"/>
          <w:spacing w:val="0"/>
          <w:position w:val="0"/>
          <w:sz w:val="44"/>
          <w:szCs w:val="44"/>
          <w:highlight w:val="none"/>
        </w:rPr>
      </w:pPr>
    </w:p>
    <w:p w14:paraId="4C8BCFB6">
      <w:pPr>
        <w:keepNext w:val="0"/>
        <w:keepLines w:val="0"/>
        <w:pageBreakBefore w:val="0"/>
        <w:widowControl w:val="0"/>
        <w:kinsoku/>
        <w:wordWrap/>
        <w:overflowPunct/>
        <w:topLinePunct w:val="0"/>
        <w:autoSpaceDE/>
        <w:autoSpaceDN/>
        <w:bidi w:val="0"/>
        <w:adjustRightInd w:val="0"/>
        <w:snapToGrid w:val="0"/>
        <w:spacing w:line="360" w:lineRule="auto"/>
        <w:ind w:left="3960" w:hanging="3960" w:hangingChars="1100"/>
        <w:jc w:val="both"/>
        <w:textAlignment w:val="auto"/>
        <w:rPr>
          <w:rFonts w:hint="default" w:ascii="Times New Roman" w:hAnsi="Times New Roman" w:eastAsia="宋体" w:cs="Times New Roman"/>
          <w:color w:val="auto"/>
          <w:spacing w:val="0"/>
          <w:position w:val="0"/>
          <w:sz w:val="36"/>
          <w:szCs w:val="36"/>
          <w:highlight w:val="none"/>
          <w:u w:val="single"/>
          <w:lang w:val="en-US" w:eastAsia="zh-CN"/>
        </w:rPr>
      </w:pPr>
      <w:r>
        <w:rPr>
          <w:rFonts w:hint="eastAsia" w:ascii="Times New Roman" w:hAnsi="Times New Roman" w:eastAsia="宋体" w:cs="Times New Roman"/>
          <w:color w:val="auto"/>
          <w:spacing w:val="0"/>
          <w:position w:val="0"/>
          <w:sz w:val="36"/>
          <w:szCs w:val="36"/>
          <w:highlight w:val="none"/>
        </w:rPr>
        <w:t>项目名称：</w:t>
      </w:r>
      <w:r>
        <w:rPr>
          <w:rFonts w:hint="eastAsia" w:ascii="Times New Roman" w:hAnsi="Times New Roman" w:eastAsia="宋体" w:cs="Times New Roman"/>
          <w:color w:val="auto"/>
          <w:spacing w:val="0"/>
          <w:position w:val="0"/>
          <w:sz w:val="36"/>
          <w:szCs w:val="36"/>
          <w:highlight w:val="none"/>
          <w:u w:val="single"/>
          <w:lang w:val="en-US" w:eastAsia="zh-CN"/>
        </w:rPr>
        <w:t xml:space="preserve"> </w:t>
      </w:r>
      <w:r>
        <w:rPr>
          <w:rFonts w:hint="eastAsia" w:cs="Times New Roman"/>
          <w:color w:val="auto"/>
          <w:spacing w:val="0"/>
          <w:position w:val="0"/>
          <w:sz w:val="36"/>
          <w:szCs w:val="36"/>
          <w:highlight w:val="none"/>
          <w:u w:val="single"/>
          <w:lang w:val="en-US" w:eastAsia="zh-CN"/>
        </w:rPr>
        <w:t xml:space="preserve">    福州市搜一家具有限公司年产       </w:t>
      </w:r>
      <w:r>
        <w:rPr>
          <w:rFonts w:hint="eastAsia" w:ascii="Times New Roman" w:hAnsi="Times New Roman" w:eastAsia="宋体" w:cs="Times New Roman"/>
          <w:color w:val="auto"/>
          <w:spacing w:val="0"/>
          <w:position w:val="0"/>
          <w:sz w:val="36"/>
          <w:szCs w:val="36"/>
          <w:highlight w:val="none"/>
          <w:u w:val="single"/>
          <w:lang w:val="en-US" w:eastAsia="zh-CN"/>
        </w:rPr>
        <w:t xml:space="preserve"> </w:t>
      </w:r>
    </w:p>
    <w:p w14:paraId="50E3C586">
      <w:pPr>
        <w:keepNext w:val="0"/>
        <w:keepLines w:val="0"/>
        <w:pageBreakBefore w:val="0"/>
        <w:widowControl w:val="0"/>
        <w:kinsoku/>
        <w:wordWrap/>
        <w:overflowPunct/>
        <w:topLinePunct w:val="0"/>
        <w:autoSpaceDE/>
        <w:autoSpaceDN/>
        <w:bidi w:val="0"/>
        <w:adjustRightInd w:val="0"/>
        <w:snapToGrid w:val="0"/>
        <w:spacing w:line="360" w:lineRule="auto"/>
        <w:ind w:left="1436" w:leftChars="684" w:firstLine="360" w:firstLineChars="100"/>
        <w:jc w:val="both"/>
        <w:textAlignment w:val="auto"/>
        <w:rPr>
          <w:rFonts w:hint="default" w:ascii="Times New Roman" w:hAnsi="Times New Roman" w:eastAsia="宋体" w:cs="Times New Roman"/>
          <w:color w:val="auto"/>
          <w:spacing w:val="0"/>
          <w:position w:val="0"/>
          <w:sz w:val="36"/>
          <w:szCs w:val="36"/>
          <w:highlight w:val="none"/>
          <w:u w:val="single"/>
          <w:lang w:val="en-US" w:eastAsia="zh-CN"/>
        </w:rPr>
      </w:pPr>
      <w:r>
        <w:rPr>
          <w:rFonts w:hint="eastAsia" w:ascii="Times New Roman" w:hAnsi="Times New Roman" w:eastAsia="宋体" w:cs="Times New Roman"/>
          <w:color w:val="auto"/>
          <w:spacing w:val="0"/>
          <w:position w:val="0"/>
          <w:sz w:val="36"/>
          <w:szCs w:val="36"/>
          <w:highlight w:val="none"/>
          <w:u w:val="single"/>
          <w:lang w:val="en-US" w:eastAsia="zh-CN"/>
        </w:rPr>
        <w:t xml:space="preserve"> </w:t>
      </w:r>
      <w:r>
        <w:rPr>
          <w:rFonts w:hint="eastAsia" w:cs="Times New Roman"/>
          <w:color w:val="auto"/>
          <w:spacing w:val="0"/>
          <w:position w:val="0"/>
          <w:sz w:val="36"/>
          <w:szCs w:val="36"/>
          <w:highlight w:val="none"/>
          <w:u w:val="single"/>
          <w:lang w:val="en-US" w:eastAsia="zh-CN"/>
        </w:rPr>
        <w:t xml:space="preserve">      木质屏风4800个迁建项目                </w:t>
      </w:r>
      <w:r>
        <w:rPr>
          <w:rFonts w:hint="eastAsia" w:ascii="Times New Roman" w:hAnsi="Times New Roman" w:eastAsia="宋体" w:cs="Times New Roman"/>
          <w:color w:val="auto"/>
          <w:spacing w:val="0"/>
          <w:position w:val="0"/>
          <w:sz w:val="36"/>
          <w:szCs w:val="36"/>
          <w:highlight w:val="none"/>
          <w:u w:val="single"/>
          <w:lang w:val="en-US" w:eastAsia="zh-CN"/>
        </w:rPr>
        <w:t xml:space="preserve"> </w:t>
      </w:r>
    </w:p>
    <w:p w14:paraId="062EBB5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spacing w:val="0"/>
          <w:position w:val="0"/>
          <w:sz w:val="36"/>
          <w:szCs w:val="36"/>
          <w:highlight w:val="none"/>
          <w:u w:val="single"/>
          <w:lang w:val="en-US" w:eastAsia="zh-CN"/>
        </w:rPr>
      </w:pPr>
      <w:r>
        <w:rPr>
          <w:rFonts w:hint="eastAsia" w:ascii="Times New Roman" w:hAnsi="Times New Roman" w:eastAsia="宋体" w:cs="Times New Roman"/>
          <w:color w:val="auto"/>
          <w:spacing w:val="0"/>
          <w:position w:val="0"/>
          <w:sz w:val="36"/>
          <w:szCs w:val="36"/>
          <w:highlight w:val="none"/>
        </w:rPr>
        <w:t>建设单位（盖章）：</w:t>
      </w:r>
      <w:r>
        <w:rPr>
          <w:rFonts w:hint="eastAsia" w:ascii="Times New Roman" w:hAnsi="Times New Roman" w:eastAsia="宋体" w:cs="Times New Roman"/>
          <w:color w:val="auto"/>
          <w:spacing w:val="0"/>
          <w:position w:val="0"/>
          <w:sz w:val="36"/>
          <w:szCs w:val="36"/>
          <w:highlight w:val="none"/>
          <w:u w:val="single"/>
          <w:lang w:val="en-US" w:eastAsia="zh-CN"/>
        </w:rPr>
        <w:t xml:space="preserve"> </w:t>
      </w:r>
      <w:r>
        <w:rPr>
          <w:rFonts w:hint="eastAsia" w:cs="Times New Roman"/>
          <w:color w:val="auto"/>
          <w:spacing w:val="0"/>
          <w:position w:val="0"/>
          <w:sz w:val="36"/>
          <w:szCs w:val="36"/>
          <w:highlight w:val="none"/>
          <w:u w:val="single"/>
          <w:lang w:val="en-US" w:eastAsia="zh-CN"/>
        </w:rPr>
        <w:t xml:space="preserve">  福州市搜一家具有限公司     </w:t>
      </w:r>
      <w:r>
        <w:rPr>
          <w:rFonts w:hint="eastAsia" w:ascii="Times New Roman" w:hAnsi="Times New Roman" w:eastAsia="宋体" w:cs="Times New Roman"/>
          <w:color w:val="auto"/>
          <w:spacing w:val="0"/>
          <w:position w:val="0"/>
          <w:sz w:val="36"/>
          <w:szCs w:val="36"/>
          <w:highlight w:val="none"/>
          <w:u w:val="single"/>
          <w:lang w:val="en-US" w:eastAsia="zh-CN"/>
        </w:rPr>
        <w:t xml:space="preserve">  </w:t>
      </w:r>
    </w:p>
    <w:p w14:paraId="0363AF9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spacing w:val="0"/>
          <w:position w:val="0"/>
          <w:sz w:val="36"/>
          <w:szCs w:val="36"/>
          <w:highlight w:val="none"/>
          <w:u w:val="single"/>
          <w:lang w:val="en-US" w:eastAsia="zh-CN"/>
        </w:rPr>
      </w:pPr>
      <w:r>
        <w:rPr>
          <w:rFonts w:hint="eastAsia" w:ascii="Times New Roman" w:hAnsi="Times New Roman" w:eastAsia="宋体" w:cs="Times New Roman"/>
          <w:color w:val="auto"/>
          <w:spacing w:val="0"/>
          <w:position w:val="0"/>
          <w:sz w:val="36"/>
          <w:szCs w:val="36"/>
          <w:highlight w:val="none"/>
        </w:rPr>
        <w:t>编制日期：</w:t>
      </w:r>
      <w:r>
        <w:rPr>
          <w:rFonts w:hint="eastAsia" w:ascii="Times New Roman" w:hAnsi="Times New Roman" w:eastAsia="宋体" w:cs="Times New Roman"/>
          <w:color w:val="auto"/>
          <w:spacing w:val="0"/>
          <w:position w:val="0"/>
          <w:sz w:val="36"/>
          <w:szCs w:val="36"/>
          <w:highlight w:val="none"/>
          <w:u w:val="single"/>
        </w:rPr>
        <w:t xml:space="preserve"> </w:t>
      </w:r>
      <w:r>
        <w:rPr>
          <w:rFonts w:ascii="Times New Roman" w:hAnsi="Times New Roman" w:eastAsia="宋体" w:cs="Times New Roman"/>
          <w:color w:val="auto"/>
          <w:spacing w:val="0"/>
          <w:position w:val="0"/>
          <w:sz w:val="36"/>
          <w:szCs w:val="36"/>
          <w:highlight w:val="none"/>
          <w:u w:val="single"/>
        </w:rPr>
        <w:t xml:space="preserve">    </w:t>
      </w:r>
      <w:r>
        <w:rPr>
          <w:rFonts w:hint="eastAsia" w:ascii="Times New Roman" w:hAnsi="Times New Roman" w:eastAsia="宋体" w:cs="Times New Roman"/>
          <w:color w:val="auto"/>
          <w:spacing w:val="0"/>
          <w:position w:val="0"/>
          <w:sz w:val="36"/>
          <w:szCs w:val="36"/>
          <w:highlight w:val="none"/>
          <w:u w:val="single"/>
          <w:lang w:val="en-US" w:eastAsia="zh-CN"/>
        </w:rPr>
        <w:t xml:space="preserve"> </w:t>
      </w:r>
      <w:r>
        <w:rPr>
          <w:rFonts w:ascii="Times New Roman" w:hAnsi="Times New Roman" w:eastAsia="宋体" w:cs="Times New Roman"/>
          <w:color w:val="auto"/>
          <w:spacing w:val="0"/>
          <w:position w:val="0"/>
          <w:sz w:val="36"/>
          <w:szCs w:val="36"/>
          <w:highlight w:val="none"/>
          <w:u w:val="single"/>
        </w:rPr>
        <w:t xml:space="preserve">  </w:t>
      </w:r>
      <w:r>
        <w:rPr>
          <w:rFonts w:hint="eastAsia" w:ascii="Times New Roman" w:hAnsi="Times New Roman" w:eastAsia="宋体" w:cs="Times New Roman"/>
          <w:color w:val="auto"/>
          <w:spacing w:val="0"/>
          <w:position w:val="0"/>
          <w:sz w:val="36"/>
          <w:szCs w:val="36"/>
          <w:highlight w:val="none"/>
          <w:u w:val="single"/>
          <w:lang w:val="en-US" w:eastAsia="zh-CN"/>
        </w:rPr>
        <w:t xml:space="preserve"> </w:t>
      </w:r>
      <w:r>
        <w:rPr>
          <w:rFonts w:hint="eastAsia" w:cs="Times New Roman"/>
          <w:color w:val="auto"/>
          <w:spacing w:val="0"/>
          <w:position w:val="0"/>
          <w:sz w:val="36"/>
          <w:szCs w:val="36"/>
          <w:highlight w:val="none"/>
          <w:u w:val="single"/>
          <w:lang w:val="en-US" w:eastAsia="zh-CN"/>
        </w:rPr>
        <w:t xml:space="preserve">  </w:t>
      </w:r>
      <w:r>
        <w:rPr>
          <w:rFonts w:hint="eastAsia" w:ascii="Times New Roman" w:hAnsi="Times New Roman" w:eastAsia="宋体" w:cs="Times New Roman"/>
          <w:color w:val="auto"/>
          <w:spacing w:val="0"/>
          <w:position w:val="0"/>
          <w:sz w:val="36"/>
          <w:szCs w:val="36"/>
          <w:highlight w:val="none"/>
          <w:u w:val="single"/>
          <w:lang w:val="en-US" w:eastAsia="zh-CN"/>
        </w:rPr>
        <w:t xml:space="preserve">  </w:t>
      </w:r>
      <w:r>
        <w:rPr>
          <w:rFonts w:ascii="Times New Roman" w:hAnsi="Times New Roman" w:eastAsia="宋体" w:cs="Times New Roman"/>
          <w:color w:val="auto"/>
          <w:spacing w:val="0"/>
          <w:position w:val="0"/>
          <w:sz w:val="36"/>
          <w:szCs w:val="36"/>
          <w:highlight w:val="none"/>
          <w:u w:val="single"/>
        </w:rPr>
        <w:t>202</w:t>
      </w:r>
      <w:r>
        <w:rPr>
          <w:rFonts w:hint="eastAsia" w:cs="Times New Roman"/>
          <w:color w:val="auto"/>
          <w:spacing w:val="0"/>
          <w:position w:val="0"/>
          <w:sz w:val="36"/>
          <w:szCs w:val="36"/>
          <w:highlight w:val="none"/>
          <w:u w:val="single"/>
          <w:lang w:val="en-US" w:eastAsia="zh-CN"/>
        </w:rPr>
        <w:t>6</w:t>
      </w:r>
      <w:r>
        <w:rPr>
          <w:rFonts w:hint="eastAsia" w:ascii="Times New Roman" w:hAnsi="Times New Roman" w:eastAsia="宋体" w:cs="Times New Roman"/>
          <w:color w:val="auto"/>
          <w:spacing w:val="0"/>
          <w:position w:val="0"/>
          <w:sz w:val="36"/>
          <w:szCs w:val="36"/>
          <w:highlight w:val="none"/>
          <w:u w:val="single"/>
        </w:rPr>
        <w:t>年</w:t>
      </w:r>
      <w:r>
        <w:rPr>
          <w:rFonts w:hint="eastAsia" w:cs="Times New Roman"/>
          <w:color w:val="auto"/>
          <w:spacing w:val="0"/>
          <w:position w:val="0"/>
          <w:sz w:val="36"/>
          <w:szCs w:val="36"/>
          <w:highlight w:val="none"/>
          <w:u w:val="single"/>
          <w:lang w:val="en-US" w:eastAsia="zh-CN"/>
        </w:rPr>
        <w:t>7</w:t>
      </w:r>
      <w:r>
        <w:rPr>
          <w:rFonts w:hint="eastAsia" w:ascii="Times New Roman" w:hAnsi="Times New Roman" w:eastAsia="宋体" w:cs="Times New Roman"/>
          <w:color w:val="auto"/>
          <w:spacing w:val="0"/>
          <w:position w:val="0"/>
          <w:sz w:val="36"/>
          <w:szCs w:val="36"/>
          <w:highlight w:val="none"/>
          <w:u w:val="single"/>
        </w:rPr>
        <w:t>月</w:t>
      </w:r>
      <w:r>
        <w:rPr>
          <w:rFonts w:hint="eastAsia" w:ascii="Times New Roman" w:hAnsi="Times New Roman" w:eastAsia="宋体" w:cs="Times New Roman"/>
          <w:color w:val="auto"/>
          <w:spacing w:val="0"/>
          <w:position w:val="0"/>
          <w:sz w:val="36"/>
          <w:szCs w:val="36"/>
          <w:highlight w:val="none"/>
          <w:u w:val="single"/>
          <w:lang w:val="en-US" w:eastAsia="zh-CN"/>
        </w:rPr>
        <w:t xml:space="preserve">                </w:t>
      </w:r>
    </w:p>
    <w:p w14:paraId="2278BEB6">
      <w:pPr>
        <w:adjustRightInd w:val="0"/>
        <w:snapToGrid w:val="0"/>
        <w:spacing w:line="288" w:lineRule="auto"/>
        <w:ind w:firstLine="1040"/>
        <w:rPr>
          <w:rFonts w:ascii="Times New Roman" w:hAnsi="Times New Roman" w:eastAsia="宋体" w:cs="Times New Roman"/>
          <w:color w:val="auto"/>
          <w:spacing w:val="0"/>
          <w:position w:val="0"/>
          <w:sz w:val="36"/>
          <w:szCs w:val="36"/>
          <w:highlight w:val="none"/>
          <w:u w:val="single"/>
        </w:rPr>
      </w:pPr>
      <w:bookmarkStart w:id="6" w:name="_Hlk57884087"/>
    </w:p>
    <w:p w14:paraId="5EE14F7D">
      <w:pPr>
        <w:adjustRightInd w:val="0"/>
        <w:snapToGrid w:val="0"/>
        <w:spacing w:line="288" w:lineRule="auto"/>
        <w:rPr>
          <w:rFonts w:ascii="Times New Roman" w:hAnsi="Times New Roman" w:eastAsia="宋体" w:cs="Times New Roman"/>
          <w:color w:val="auto"/>
          <w:spacing w:val="0"/>
          <w:position w:val="0"/>
          <w:sz w:val="36"/>
          <w:szCs w:val="36"/>
          <w:highlight w:val="none"/>
        </w:rPr>
      </w:pPr>
    </w:p>
    <w:p w14:paraId="1ED1EA36">
      <w:pPr>
        <w:adjustRightInd w:val="0"/>
        <w:snapToGrid w:val="0"/>
        <w:spacing w:line="288" w:lineRule="auto"/>
        <w:ind w:firstLine="1040"/>
        <w:rPr>
          <w:rFonts w:ascii="Times New Roman" w:hAnsi="Times New Roman" w:eastAsia="宋体" w:cs="Times New Roman"/>
          <w:color w:val="auto"/>
          <w:spacing w:val="0"/>
          <w:position w:val="0"/>
          <w:sz w:val="36"/>
          <w:szCs w:val="36"/>
          <w:highlight w:val="none"/>
        </w:rPr>
      </w:pPr>
    </w:p>
    <w:bookmarkEnd w:id="6"/>
    <w:p w14:paraId="1344A5CB">
      <w:pPr>
        <w:adjustRightInd w:val="0"/>
        <w:snapToGrid w:val="0"/>
        <w:spacing w:line="288" w:lineRule="auto"/>
        <w:jc w:val="center"/>
        <w:outlineLvl w:val="0"/>
        <w:rPr>
          <w:rFonts w:hint="eastAsia" w:ascii="Times New Roman" w:hAnsi="Times New Roman" w:eastAsia="宋体" w:cs="Times New Roman"/>
          <w:color w:val="auto"/>
          <w:spacing w:val="0"/>
          <w:position w:val="0"/>
          <w:sz w:val="36"/>
          <w:szCs w:val="36"/>
          <w:highlight w:val="none"/>
        </w:rPr>
      </w:pPr>
      <w:bookmarkStart w:id="7" w:name="_Toc10531"/>
      <w:bookmarkStart w:id="8" w:name="_Toc31557"/>
      <w:r>
        <w:rPr>
          <w:rFonts w:hint="eastAsia" w:ascii="Times New Roman" w:hAnsi="Times New Roman" w:eastAsia="宋体" w:cs="Times New Roman"/>
          <w:color w:val="auto"/>
          <w:spacing w:val="0"/>
          <w:position w:val="0"/>
          <w:sz w:val="36"/>
          <w:szCs w:val="36"/>
          <w:highlight w:val="none"/>
        </w:rPr>
        <w:t>中华人民共和国生态环境部制</w:t>
      </w:r>
      <w:bookmarkEnd w:id="7"/>
      <w:bookmarkEnd w:id="8"/>
    </w:p>
    <w:p w14:paraId="53D5A084">
      <w:pPr>
        <w:pStyle w:val="27"/>
        <w:rPr>
          <w:rFonts w:hint="eastAsia" w:ascii="Times New Roman" w:hAnsi="Times New Roman" w:eastAsia="宋体" w:cs="Times New Roman"/>
          <w:color w:val="auto"/>
          <w:spacing w:val="0"/>
          <w:position w:val="0"/>
          <w:sz w:val="36"/>
          <w:szCs w:val="36"/>
          <w:highlight w:val="none"/>
          <w:lang w:eastAsia="zh-CN"/>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sdt>
      <w:sdtPr>
        <w:rPr>
          <w:rFonts w:ascii="Times New Roman" w:hAnsi="Times New Roman" w:eastAsia="宋体" w:cs="Times New Roman"/>
          <w:color w:val="auto"/>
          <w:spacing w:val="0"/>
          <w:kern w:val="2"/>
          <w:position w:val="0"/>
          <w:sz w:val="21"/>
          <w:szCs w:val="24"/>
          <w:highlight w:val="none"/>
          <w:lang w:val="en-US" w:eastAsia="zh-CN" w:bidi="ar-SA"/>
        </w:rPr>
        <w:id w:val="147473009"/>
        <w15:color w:val="DBDBDB"/>
        <w:docPartObj>
          <w:docPartGallery w:val="Table of Contents"/>
          <w:docPartUnique/>
        </w:docPartObj>
      </w:sdtPr>
      <w:sdtEndPr>
        <w:rPr>
          <w:rFonts w:hint="eastAsia" w:ascii="Times New Roman" w:hAnsi="Times New Roman" w:eastAsia="宋体" w:cs="Times New Roman"/>
          <w:color w:val="auto"/>
          <w:spacing w:val="0"/>
          <w:kern w:val="0"/>
          <w:position w:val="0"/>
          <w:sz w:val="24"/>
          <w:szCs w:val="24"/>
          <w:highlight w:val="none"/>
          <w:lang w:val="en-US" w:eastAsia="zh-CN" w:bidi="ar-SA"/>
        </w:rPr>
      </w:sdtEndPr>
      <w:sdtContent>
        <w:p w14:paraId="749695F1">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jc w:val="center"/>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ascii="Times New Roman" w:hAnsi="Times New Roman" w:eastAsia="宋体" w:cs="Times New Roman"/>
              <w:b/>
              <w:bCs/>
              <w:color w:val="auto"/>
              <w:spacing w:val="0"/>
              <w:position w:val="0"/>
              <w:sz w:val="24"/>
              <w:szCs w:val="24"/>
              <w:highlight w:val="none"/>
            </w:rPr>
            <w:t>目录</w:t>
          </w: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TOC \o "1-2" \h \u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p>
        <w:p w14:paraId="765EC62F">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_Toc2776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一、建设项目基本情况</w:t>
          </w:r>
          <w:r>
            <w:rPr>
              <w:rFonts w:hint="eastAsia" w:ascii="Times New Roman" w:hAnsi="Times New Roman" w:eastAsia="宋体" w:cs="Times New Roman"/>
              <w:color w:val="auto"/>
              <w:spacing w:val="0"/>
              <w:kern w:val="0"/>
              <w:position w:val="0"/>
              <w:sz w:val="24"/>
              <w:szCs w:val="24"/>
              <w:highlight w:val="none"/>
              <w:lang w:val="en-US" w:eastAsia="zh-CN"/>
            </w:rPr>
            <w:tab/>
          </w: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PAGEREF _Toc2776 \h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1</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16A1C04A">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_Toc19640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二、建设项目工程分析</w:t>
          </w:r>
          <w:r>
            <w:rPr>
              <w:rFonts w:hint="eastAsia" w:ascii="Times New Roman" w:hAnsi="Times New Roman" w:eastAsia="宋体" w:cs="Times New Roman"/>
              <w:color w:val="auto"/>
              <w:spacing w:val="0"/>
              <w:kern w:val="0"/>
              <w:position w:val="0"/>
              <w:sz w:val="24"/>
              <w:szCs w:val="24"/>
              <w:highlight w:val="none"/>
              <w:lang w:val="en-US" w:eastAsia="zh-CN"/>
            </w:rPr>
            <w:tab/>
          </w:r>
          <w:r>
            <w:rPr>
              <w:rFonts w:hint="eastAsia" w:ascii="Times New Roman" w:hAnsi="Times New Roman" w:eastAsia="宋体" w:cs="Times New Roman"/>
              <w:color w:val="auto"/>
              <w:spacing w:val="0"/>
              <w:kern w:val="0"/>
              <w:position w:val="0"/>
              <w:sz w:val="24"/>
              <w:szCs w:val="24"/>
              <w:highlight w:val="none"/>
              <w:lang w:val="en-US" w:eastAsia="zh-CN"/>
            </w:rPr>
            <w:t>2</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r>
            <w:rPr>
              <w:rFonts w:hint="eastAsia" w:cs="Times New Roman"/>
              <w:color w:val="auto"/>
              <w:spacing w:val="0"/>
              <w:kern w:val="0"/>
              <w:position w:val="0"/>
              <w:sz w:val="24"/>
              <w:szCs w:val="24"/>
              <w:highlight w:val="none"/>
              <w:lang w:val="en-US" w:eastAsia="zh-CN"/>
            </w:rPr>
            <w:t>4</w:t>
          </w:r>
        </w:p>
        <w:p w14:paraId="5367BEDE">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_Toc5460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三、区域环境质量现状、环境保护目标及评价标准</w:t>
          </w:r>
          <w:r>
            <w:rPr>
              <w:rFonts w:hint="eastAsia" w:ascii="Times New Roman" w:hAnsi="Times New Roman" w:eastAsia="宋体" w:cs="Times New Roman"/>
              <w:color w:val="auto"/>
              <w:spacing w:val="0"/>
              <w:kern w:val="0"/>
              <w:position w:val="0"/>
              <w:sz w:val="24"/>
              <w:szCs w:val="24"/>
              <w:highlight w:val="none"/>
              <w:lang w:val="en-US" w:eastAsia="zh-CN"/>
            </w:rPr>
            <w:tab/>
          </w:r>
          <w:r>
            <w:rPr>
              <w:rFonts w:hint="eastAsia" w:ascii="Times New Roman" w:hAnsi="Times New Roman" w:eastAsia="宋体" w:cs="Times New Roman"/>
              <w:color w:val="auto"/>
              <w:spacing w:val="0"/>
              <w:kern w:val="0"/>
              <w:position w:val="0"/>
              <w:sz w:val="24"/>
              <w:szCs w:val="24"/>
              <w:highlight w:val="none"/>
              <w:lang w:val="en-US" w:eastAsia="zh-CN"/>
            </w:rPr>
            <w:t>4</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r>
            <w:rPr>
              <w:rFonts w:hint="eastAsia" w:cs="Times New Roman"/>
              <w:color w:val="auto"/>
              <w:spacing w:val="0"/>
              <w:kern w:val="0"/>
              <w:position w:val="0"/>
              <w:sz w:val="24"/>
              <w:szCs w:val="24"/>
              <w:highlight w:val="none"/>
              <w:lang w:val="en-US" w:eastAsia="zh-CN"/>
            </w:rPr>
            <w:t>5</w:t>
          </w:r>
        </w:p>
        <w:p w14:paraId="7EF04DC0">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_Toc27643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四、主要环境影响和保护措施</w:t>
          </w:r>
          <w:r>
            <w:rPr>
              <w:rFonts w:hint="eastAsia" w:ascii="Times New Roman" w:hAnsi="Times New Roman" w:eastAsia="宋体" w:cs="Times New Roman"/>
              <w:color w:val="auto"/>
              <w:spacing w:val="0"/>
              <w:kern w:val="0"/>
              <w:position w:val="0"/>
              <w:sz w:val="24"/>
              <w:szCs w:val="24"/>
              <w:highlight w:val="none"/>
              <w:lang w:val="en-US" w:eastAsia="zh-CN"/>
            </w:rPr>
            <w:tab/>
          </w:r>
          <w:r>
            <w:rPr>
              <w:rFonts w:hint="eastAsia" w:cs="Times New Roman"/>
              <w:color w:val="auto"/>
              <w:spacing w:val="0"/>
              <w:kern w:val="0"/>
              <w:position w:val="0"/>
              <w:sz w:val="24"/>
              <w:szCs w:val="24"/>
              <w:highlight w:val="none"/>
              <w:lang w:val="en-US" w:eastAsia="zh-CN"/>
            </w:rPr>
            <w:t>5</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r>
            <w:rPr>
              <w:rFonts w:hint="eastAsia" w:cs="Times New Roman"/>
              <w:color w:val="auto"/>
              <w:spacing w:val="0"/>
              <w:kern w:val="0"/>
              <w:position w:val="0"/>
              <w:sz w:val="24"/>
              <w:szCs w:val="24"/>
              <w:highlight w:val="none"/>
              <w:lang w:val="en-US" w:eastAsia="zh-CN"/>
            </w:rPr>
            <w:t>6</w:t>
          </w:r>
        </w:p>
        <w:p w14:paraId="553730CB">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default"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_Toc8326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五、环境保护措施监督检查清单</w:t>
          </w:r>
          <w:r>
            <w:rPr>
              <w:rFonts w:hint="eastAsia" w:ascii="Times New Roman" w:hAnsi="Times New Roman" w:eastAsia="宋体" w:cs="Times New Roman"/>
              <w:color w:val="auto"/>
              <w:spacing w:val="0"/>
              <w:kern w:val="0"/>
              <w:position w:val="0"/>
              <w:sz w:val="24"/>
              <w:szCs w:val="24"/>
              <w:highlight w:val="none"/>
              <w:lang w:val="en-US" w:eastAsia="zh-CN"/>
            </w:rPr>
            <w:tab/>
          </w:r>
          <w:r>
            <w:rPr>
              <w:rFonts w:hint="eastAsia" w:ascii="Times New Roman" w:hAnsi="Times New Roman" w:eastAsia="宋体" w:cs="Times New Roman"/>
              <w:color w:val="auto"/>
              <w:spacing w:val="0"/>
              <w:kern w:val="0"/>
              <w:position w:val="0"/>
              <w:sz w:val="24"/>
              <w:szCs w:val="24"/>
              <w:highlight w:val="none"/>
              <w:lang w:val="en-US" w:eastAsia="zh-CN"/>
            </w:rPr>
            <w:t>1</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r>
            <w:rPr>
              <w:rFonts w:hint="eastAsia" w:ascii="Times New Roman" w:hAnsi="Times New Roman" w:eastAsia="宋体" w:cs="Times New Roman"/>
              <w:color w:val="auto"/>
              <w:spacing w:val="0"/>
              <w:kern w:val="0"/>
              <w:position w:val="0"/>
              <w:sz w:val="24"/>
              <w:szCs w:val="24"/>
              <w:highlight w:val="none"/>
              <w:lang w:val="en-US" w:eastAsia="zh-CN"/>
            </w:rPr>
            <w:t>0</w:t>
          </w:r>
          <w:r>
            <w:rPr>
              <w:rFonts w:hint="eastAsia" w:cs="Times New Roman"/>
              <w:color w:val="auto"/>
              <w:spacing w:val="0"/>
              <w:kern w:val="0"/>
              <w:position w:val="0"/>
              <w:sz w:val="24"/>
              <w:szCs w:val="24"/>
              <w:highlight w:val="none"/>
              <w:lang w:val="en-US" w:eastAsia="zh-CN"/>
            </w:rPr>
            <w:t>4</w:t>
          </w:r>
        </w:p>
        <w:p w14:paraId="1849009D">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default"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_Toc22126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六、结论</w:t>
          </w:r>
          <w:r>
            <w:rPr>
              <w:rFonts w:hint="eastAsia" w:ascii="Times New Roman" w:hAnsi="Times New Roman" w:eastAsia="宋体" w:cs="Times New Roman"/>
              <w:color w:val="auto"/>
              <w:spacing w:val="0"/>
              <w:kern w:val="0"/>
              <w:position w:val="0"/>
              <w:sz w:val="24"/>
              <w:szCs w:val="24"/>
              <w:highlight w:val="none"/>
              <w:lang w:val="en-US" w:eastAsia="zh-CN"/>
            </w:rPr>
            <w:tab/>
          </w:r>
          <w:r>
            <w:rPr>
              <w:rFonts w:hint="eastAsia" w:ascii="Times New Roman" w:hAnsi="Times New Roman" w:eastAsia="宋体" w:cs="Times New Roman"/>
              <w:color w:val="auto"/>
              <w:spacing w:val="0"/>
              <w:kern w:val="0"/>
              <w:position w:val="0"/>
              <w:sz w:val="24"/>
              <w:szCs w:val="24"/>
              <w:highlight w:val="none"/>
              <w:lang w:val="en-US" w:eastAsia="zh-CN"/>
            </w:rPr>
            <w:t>1</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r>
            <w:rPr>
              <w:rFonts w:hint="eastAsia" w:ascii="Times New Roman" w:hAnsi="Times New Roman" w:eastAsia="宋体" w:cs="Times New Roman"/>
              <w:color w:val="auto"/>
              <w:spacing w:val="0"/>
              <w:kern w:val="0"/>
              <w:position w:val="0"/>
              <w:sz w:val="24"/>
              <w:szCs w:val="24"/>
              <w:highlight w:val="none"/>
              <w:lang w:val="en-US" w:eastAsia="zh-CN"/>
            </w:rPr>
            <w:t>1</w:t>
          </w:r>
          <w:r>
            <w:rPr>
              <w:rFonts w:hint="eastAsia" w:cs="Times New Roman"/>
              <w:color w:val="auto"/>
              <w:spacing w:val="0"/>
              <w:kern w:val="0"/>
              <w:position w:val="0"/>
              <w:sz w:val="24"/>
              <w:szCs w:val="24"/>
              <w:highlight w:val="none"/>
              <w:lang w:val="en-US" w:eastAsia="zh-CN"/>
            </w:rPr>
            <w:t>0</w:t>
          </w:r>
        </w:p>
        <w:p w14:paraId="2844743B">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default"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_Toc14800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附表</w:t>
          </w:r>
          <w:r>
            <w:rPr>
              <w:rFonts w:hint="eastAsia" w:ascii="Times New Roman" w:hAnsi="Times New Roman" w:eastAsia="宋体" w:cs="Times New Roman"/>
              <w:color w:val="auto"/>
              <w:spacing w:val="0"/>
              <w:kern w:val="0"/>
              <w:position w:val="0"/>
              <w:sz w:val="24"/>
              <w:szCs w:val="24"/>
              <w:highlight w:val="none"/>
              <w:lang w:val="en-US" w:eastAsia="zh-CN"/>
            </w:rPr>
            <w:tab/>
          </w:r>
          <w:r>
            <w:rPr>
              <w:rFonts w:hint="eastAsia" w:ascii="Times New Roman" w:hAnsi="Times New Roman" w:eastAsia="宋体" w:cs="Times New Roman"/>
              <w:color w:val="auto"/>
              <w:spacing w:val="0"/>
              <w:kern w:val="0"/>
              <w:position w:val="0"/>
              <w:sz w:val="24"/>
              <w:szCs w:val="24"/>
              <w:highlight w:val="none"/>
              <w:lang w:val="en-US" w:eastAsia="zh-CN"/>
            </w:rPr>
            <w:t>1</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r>
            <w:rPr>
              <w:rFonts w:hint="eastAsia" w:ascii="Times New Roman" w:hAnsi="Times New Roman" w:eastAsia="宋体" w:cs="Times New Roman"/>
              <w:color w:val="auto"/>
              <w:spacing w:val="0"/>
              <w:kern w:val="0"/>
              <w:position w:val="0"/>
              <w:sz w:val="24"/>
              <w:szCs w:val="24"/>
              <w:highlight w:val="none"/>
              <w:lang w:val="en-US" w:eastAsia="zh-CN"/>
            </w:rPr>
            <w:t>1</w:t>
          </w:r>
          <w:r>
            <w:rPr>
              <w:rFonts w:hint="eastAsia" w:cs="Times New Roman"/>
              <w:color w:val="auto"/>
              <w:spacing w:val="0"/>
              <w:kern w:val="0"/>
              <w:position w:val="0"/>
              <w:sz w:val="24"/>
              <w:szCs w:val="24"/>
              <w:highlight w:val="none"/>
              <w:lang w:val="en-US" w:eastAsia="zh-CN"/>
            </w:rPr>
            <w:t>2</w:t>
          </w:r>
        </w:p>
        <w:p w14:paraId="1E860ACB">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_Toc2873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附图1：项目地理位置图</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4196D4A6">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_Toc15049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附图2：项目周边环境示意图及50m噪声范围图</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5D20D29C">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_Toc14495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附图3：项目周围环境现状照片</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420755E6">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_Toc18041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附图4：环境大气500m范围内敏感目标图</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4B1B678B">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_Toc16390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附图5：闽侯县城乡发展战略规划用地布局规划图(局部)</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0C6FB3B9">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_Toc32385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附图6：甘蔗街道和荆溪镇土地利用总体规划图（2006-2020年）（局部）</w:t>
          </w:r>
        </w:p>
        <w:p w14:paraId="3008CB8C">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end"/>
          </w:r>
          <w:r>
            <w:rPr>
              <w:rFonts w:hint="eastAsia" w:ascii="Times New Roman" w:hAnsi="Times New Roman" w:eastAsia="宋体" w:cs="Times New Roman"/>
              <w:color w:val="auto"/>
              <w:spacing w:val="0"/>
              <w:kern w:val="0"/>
              <w:position w:val="0"/>
              <w:sz w:val="24"/>
              <w:szCs w:val="24"/>
              <w:highlight w:val="none"/>
              <w:lang w:val="en-US" w:eastAsia="zh-CN"/>
            </w:rPr>
            <w:t>附图7：项目雨污管网布置图</w:t>
          </w:r>
        </w:p>
        <w:p w14:paraId="114216B1">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_Toc17501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附图8：项目平面布置图</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5BD5FBA8">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_Toc9937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附图9：福州市国土空间总体规划（2021-2035年）市域三条控制线图</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7C1A3FAA">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t>附图10：福建省生态环境分区管控数据应用平台</w:t>
          </w:r>
        </w:p>
        <w:p w14:paraId="68901C19">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_Toc137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附件1：委托书</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1B9D0E4E">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_Toc16831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附件2：建设单位营业执照及法人代表身份</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62C07FE2">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_Toc16509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附件3：备案表</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22D06FCB">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_Toc9300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附件4：出租方土地证件</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37CF6E7F">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_Toc8975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附件5：租赁合同</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43314737">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_Toc2251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w:t>
          </w:r>
          <w:r>
            <w:rPr>
              <w:rFonts w:hint="default" w:ascii="Times New Roman" w:hAnsi="Times New Roman" w:eastAsia="宋体" w:cs="Times New Roman"/>
              <w:color w:val="auto"/>
              <w:spacing w:val="0"/>
              <w:kern w:val="0"/>
              <w:position w:val="0"/>
              <w:sz w:val="24"/>
              <w:szCs w:val="24"/>
              <w:highlight w:val="none"/>
              <w:lang w:val="en-US" w:eastAsia="zh-CN"/>
            </w:rPr>
            <w:t>件</w:t>
          </w:r>
          <w:r>
            <w:rPr>
              <w:rFonts w:hint="eastAsia" w:ascii="Times New Roman" w:hAnsi="Times New Roman" w:eastAsia="宋体" w:cs="Times New Roman"/>
              <w:color w:val="auto"/>
              <w:spacing w:val="0"/>
              <w:kern w:val="0"/>
              <w:position w:val="0"/>
              <w:sz w:val="24"/>
              <w:szCs w:val="24"/>
              <w:highlight w:val="none"/>
              <w:lang w:val="en-US" w:eastAsia="zh-CN"/>
            </w:rPr>
            <w:t>6</w:t>
          </w:r>
          <w:r>
            <w:rPr>
              <w:rFonts w:hint="default" w:ascii="Times New Roman" w:hAnsi="Times New Roman" w:eastAsia="宋体" w:cs="Times New Roman"/>
              <w:color w:val="auto"/>
              <w:spacing w:val="0"/>
              <w:kern w:val="0"/>
              <w:position w:val="0"/>
              <w:sz w:val="24"/>
              <w:szCs w:val="24"/>
              <w:highlight w:val="none"/>
              <w:lang w:val="en-US" w:eastAsia="zh-CN"/>
            </w:rPr>
            <w:t>：</w:t>
          </w:r>
          <w:r>
            <w:rPr>
              <w:rFonts w:hint="eastAsia" w:ascii="Times New Roman" w:hAnsi="Times New Roman" w:eastAsia="宋体" w:cs="Times New Roman"/>
              <w:color w:val="auto"/>
              <w:spacing w:val="0"/>
              <w:kern w:val="0"/>
              <w:position w:val="0"/>
              <w:sz w:val="24"/>
              <w:szCs w:val="24"/>
              <w:highlight w:val="none"/>
              <w:lang w:val="en-US" w:eastAsia="zh-CN"/>
            </w:rPr>
            <w:t>油性漆</w:t>
          </w:r>
          <w:r>
            <w:rPr>
              <w:rFonts w:hint="default" w:ascii="Times New Roman" w:hAnsi="Times New Roman" w:eastAsia="宋体" w:cs="Times New Roman"/>
              <w:color w:val="auto"/>
              <w:spacing w:val="0"/>
              <w:kern w:val="0"/>
              <w:position w:val="0"/>
              <w:sz w:val="24"/>
              <w:szCs w:val="24"/>
              <w:highlight w:val="none"/>
              <w:lang w:val="en-US" w:eastAsia="zh-CN"/>
            </w:rPr>
            <w:t>MSDS</w:t>
          </w:r>
          <w:r>
            <w:rPr>
              <w:rFonts w:hint="eastAsia" w:ascii="Times New Roman" w:hAnsi="Times New Roman" w:eastAsia="宋体" w:cs="Times New Roman"/>
              <w:color w:val="auto"/>
              <w:spacing w:val="0"/>
              <w:kern w:val="0"/>
              <w:position w:val="0"/>
              <w:sz w:val="24"/>
              <w:szCs w:val="24"/>
              <w:highlight w:val="none"/>
              <w:lang w:val="en-US" w:eastAsia="zh-CN"/>
            </w:rPr>
            <w:t>报告</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0B09EC6F">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_Toc20413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w:t>
          </w:r>
          <w:r>
            <w:rPr>
              <w:rFonts w:hint="default" w:ascii="Times New Roman" w:hAnsi="Times New Roman" w:eastAsia="宋体" w:cs="Times New Roman"/>
              <w:color w:val="auto"/>
              <w:spacing w:val="0"/>
              <w:kern w:val="0"/>
              <w:position w:val="0"/>
              <w:sz w:val="24"/>
              <w:szCs w:val="24"/>
              <w:highlight w:val="none"/>
              <w:lang w:val="en-US" w:eastAsia="zh-CN"/>
            </w:rPr>
            <w:t>件</w:t>
          </w:r>
          <w:r>
            <w:rPr>
              <w:rFonts w:hint="eastAsia" w:ascii="Times New Roman" w:hAnsi="Times New Roman" w:eastAsia="宋体" w:cs="Times New Roman"/>
              <w:color w:val="auto"/>
              <w:spacing w:val="0"/>
              <w:kern w:val="0"/>
              <w:position w:val="0"/>
              <w:sz w:val="24"/>
              <w:szCs w:val="24"/>
              <w:highlight w:val="none"/>
              <w:lang w:val="en-US" w:eastAsia="zh-CN"/>
            </w:rPr>
            <w:t>7</w:t>
          </w:r>
          <w:r>
            <w:rPr>
              <w:rFonts w:hint="default" w:ascii="Times New Roman" w:hAnsi="Times New Roman" w:eastAsia="宋体" w:cs="Times New Roman"/>
              <w:color w:val="auto"/>
              <w:spacing w:val="0"/>
              <w:kern w:val="0"/>
              <w:position w:val="0"/>
              <w:sz w:val="24"/>
              <w:szCs w:val="24"/>
              <w:highlight w:val="none"/>
              <w:lang w:val="en-US" w:eastAsia="zh-CN"/>
            </w:rPr>
            <w:t>：</w:t>
          </w:r>
          <w:r>
            <w:rPr>
              <w:rFonts w:hint="eastAsia" w:ascii="Times New Roman" w:hAnsi="Times New Roman" w:eastAsia="宋体" w:cs="Times New Roman"/>
              <w:color w:val="auto"/>
              <w:spacing w:val="0"/>
              <w:kern w:val="0"/>
              <w:position w:val="0"/>
              <w:sz w:val="24"/>
              <w:szCs w:val="24"/>
              <w:highlight w:val="none"/>
              <w:lang w:val="en-US" w:eastAsia="zh-CN"/>
            </w:rPr>
            <w:t>水性漆</w:t>
          </w:r>
          <w:r>
            <w:rPr>
              <w:rFonts w:hint="default" w:ascii="Times New Roman" w:hAnsi="Times New Roman" w:eastAsia="宋体" w:cs="Times New Roman"/>
              <w:color w:val="auto"/>
              <w:spacing w:val="0"/>
              <w:kern w:val="0"/>
              <w:position w:val="0"/>
              <w:sz w:val="24"/>
              <w:szCs w:val="24"/>
              <w:highlight w:val="none"/>
              <w:lang w:val="en-US" w:eastAsia="zh-CN"/>
            </w:rPr>
            <w:t>MSDS</w:t>
          </w:r>
          <w:r>
            <w:rPr>
              <w:rFonts w:hint="eastAsia" w:ascii="Times New Roman" w:hAnsi="Times New Roman" w:eastAsia="宋体" w:cs="Times New Roman"/>
              <w:color w:val="auto"/>
              <w:spacing w:val="0"/>
              <w:kern w:val="0"/>
              <w:position w:val="0"/>
              <w:sz w:val="24"/>
              <w:szCs w:val="24"/>
              <w:highlight w:val="none"/>
              <w:lang w:val="en-US" w:eastAsia="zh-CN"/>
            </w:rPr>
            <w:t>报告</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6680F290">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t>附件8：固化剂MSDS报告</w:t>
          </w:r>
        </w:p>
        <w:p w14:paraId="7A7D7685">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_Toc30891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default" w:ascii="Times New Roman" w:hAnsi="Times New Roman" w:eastAsia="宋体" w:cs="Times New Roman"/>
              <w:color w:val="auto"/>
              <w:spacing w:val="0"/>
              <w:kern w:val="0"/>
              <w:position w:val="0"/>
              <w:sz w:val="24"/>
              <w:szCs w:val="24"/>
              <w:highlight w:val="none"/>
              <w:lang w:val="en-US" w:eastAsia="zh-CN"/>
            </w:rPr>
            <w:t>附件</w:t>
          </w:r>
          <w:r>
            <w:rPr>
              <w:rFonts w:hint="eastAsia" w:ascii="Times New Roman" w:hAnsi="Times New Roman" w:eastAsia="宋体" w:cs="Times New Roman"/>
              <w:color w:val="auto"/>
              <w:spacing w:val="0"/>
              <w:kern w:val="0"/>
              <w:position w:val="0"/>
              <w:sz w:val="24"/>
              <w:szCs w:val="24"/>
              <w:highlight w:val="none"/>
              <w:lang w:val="en-US" w:eastAsia="zh-CN"/>
            </w:rPr>
            <w:t>9</w:t>
          </w:r>
          <w:r>
            <w:rPr>
              <w:rFonts w:hint="default" w:ascii="Times New Roman" w:hAnsi="Times New Roman" w:eastAsia="宋体" w:cs="Times New Roman"/>
              <w:color w:val="auto"/>
              <w:spacing w:val="0"/>
              <w:kern w:val="0"/>
              <w:position w:val="0"/>
              <w:sz w:val="24"/>
              <w:szCs w:val="24"/>
              <w:highlight w:val="none"/>
              <w:lang w:val="en-US" w:eastAsia="zh-CN"/>
            </w:rPr>
            <w:t>：</w:t>
          </w:r>
          <w:r>
            <w:rPr>
              <w:rFonts w:hint="eastAsia" w:ascii="Times New Roman" w:hAnsi="Times New Roman" w:eastAsia="宋体" w:cs="Times New Roman"/>
              <w:color w:val="auto"/>
              <w:spacing w:val="0"/>
              <w:kern w:val="0"/>
              <w:position w:val="0"/>
              <w:sz w:val="24"/>
              <w:szCs w:val="24"/>
              <w:highlight w:val="none"/>
              <w:lang w:val="en-US" w:eastAsia="zh-CN"/>
            </w:rPr>
            <w:t>稀释剂MSDS报告</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65090188">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_Toc4610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附件10：项目迁建前环评及批复</w:t>
          </w:r>
        </w:p>
        <w:p w14:paraId="203628D5">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eastAsia="宋体" w:cs="Times New Roman"/>
              <w:color w:val="auto"/>
              <w:spacing w:val="0"/>
              <w:kern w:val="0"/>
              <w:position w:val="0"/>
              <w:sz w:val="24"/>
              <w:szCs w:val="24"/>
              <w:highlight w:val="none"/>
              <w:lang w:val="en-US" w:eastAsia="zh-CN"/>
            </w:rPr>
            <w:t>附件</w:t>
          </w:r>
          <w:r>
            <w:rPr>
              <w:rFonts w:hint="eastAsia" w:ascii="Times New Roman" w:hAnsi="Times New Roman" w:eastAsia="宋体" w:cs="Times New Roman"/>
              <w:color w:val="auto"/>
              <w:spacing w:val="0"/>
              <w:kern w:val="0"/>
              <w:position w:val="0"/>
              <w:sz w:val="24"/>
              <w:szCs w:val="24"/>
              <w:highlight w:val="none"/>
              <w:lang w:val="en-US" w:eastAsia="zh-CN"/>
            </w:rPr>
            <w:t>11</w:t>
          </w:r>
          <w:r>
            <w:rPr>
              <w:rFonts w:hint="default" w:ascii="Times New Roman" w:hAnsi="Times New Roman" w:eastAsia="宋体" w:cs="Times New Roman"/>
              <w:color w:val="auto"/>
              <w:spacing w:val="0"/>
              <w:kern w:val="0"/>
              <w:position w:val="0"/>
              <w:sz w:val="24"/>
              <w:szCs w:val="24"/>
              <w:highlight w:val="none"/>
              <w:lang w:val="en-US" w:eastAsia="zh-CN"/>
            </w:rPr>
            <w:t>：</w:t>
          </w:r>
          <w:r>
            <w:rPr>
              <w:rFonts w:hint="eastAsia" w:ascii="Times New Roman" w:hAnsi="Times New Roman" w:eastAsia="宋体" w:cs="Times New Roman"/>
              <w:color w:val="auto"/>
              <w:spacing w:val="0"/>
              <w:kern w:val="0"/>
              <w:position w:val="0"/>
              <w:sz w:val="24"/>
              <w:szCs w:val="24"/>
              <w:highlight w:val="none"/>
              <w:lang w:val="en-US" w:eastAsia="zh-CN"/>
            </w:rPr>
            <w:t>项目迁建前自主验收意见</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471B1FD1">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default"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t>附件12：验收检测报告</w:t>
          </w:r>
        </w:p>
        <w:p w14:paraId="6249C5D6">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t>附件13：项目迁建前固定污染源排污登记回执单</w:t>
          </w:r>
        </w:p>
        <w:p w14:paraId="3F9C7447">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_Toc8519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附件14：引用环境空气监测报告</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79A949DF">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_Toc23180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附件15：生产废水引用来源</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4BA83250">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_Toc20145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附件16：工商变更</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73E793CB">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begin"/>
          </w:r>
          <w:r>
            <w:rPr>
              <w:rFonts w:hint="eastAsia" w:ascii="Times New Roman" w:hAnsi="Times New Roman" w:eastAsia="宋体" w:cs="Times New Roman"/>
              <w:color w:val="auto"/>
              <w:spacing w:val="0"/>
              <w:kern w:val="0"/>
              <w:position w:val="0"/>
              <w:sz w:val="24"/>
              <w:szCs w:val="24"/>
              <w:highlight w:val="none"/>
              <w:lang w:val="en-US" w:eastAsia="zh-CN"/>
            </w:rPr>
            <w:instrText xml:space="preserve"> HYPERLINK \l _Toc21202 </w:instrText>
          </w:r>
          <w:r>
            <w:rPr>
              <w:rFonts w:hint="eastAsia" w:ascii="Times New Roman" w:hAnsi="Times New Roman" w:eastAsia="宋体" w:cs="Times New Roman"/>
              <w:color w:val="auto"/>
              <w:spacing w:val="0"/>
              <w:kern w:val="0"/>
              <w:position w:val="0"/>
              <w:sz w:val="24"/>
              <w:szCs w:val="24"/>
              <w:highlight w:val="none"/>
              <w:lang w:val="en-US" w:eastAsia="zh-CN"/>
            </w:rPr>
            <w:fldChar w:fldCharType="separate"/>
          </w:r>
          <w:r>
            <w:rPr>
              <w:rFonts w:hint="eastAsia" w:ascii="Times New Roman" w:hAnsi="Times New Roman" w:eastAsia="宋体" w:cs="Times New Roman"/>
              <w:color w:val="auto"/>
              <w:spacing w:val="0"/>
              <w:kern w:val="0"/>
              <w:position w:val="0"/>
              <w:sz w:val="24"/>
              <w:szCs w:val="24"/>
              <w:highlight w:val="none"/>
              <w:lang w:val="en-US" w:eastAsia="zh-CN"/>
            </w:rPr>
            <w:t>附件17：环评信息公示</w:t>
          </w: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p w14:paraId="52E86429">
          <w:pPr>
            <w:rPr>
              <w:rFonts w:hint="default"/>
              <w:color w:val="auto"/>
              <w:lang w:val="en-US" w:eastAsia="zh-CN"/>
            </w:rPr>
          </w:pPr>
          <w:r>
            <w:rPr>
              <w:rFonts w:hint="eastAsia" w:cs="Times New Roman"/>
              <w:color w:val="auto"/>
              <w:spacing w:val="0"/>
              <w:kern w:val="0"/>
              <w:position w:val="0"/>
              <w:sz w:val="24"/>
              <w:szCs w:val="24"/>
              <w:highlight w:val="none"/>
              <w:lang w:val="en-US" w:eastAsia="zh-CN"/>
            </w:rPr>
            <w:t>附件18：专家修改意见说明</w:t>
          </w:r>
        </w:p>
        <w:p w14:paraId="3F44EEA1">
          <w:pPr>
            <w:pStyle w:val="22"/>
            <w:keepNext w:val="0"/>
            <w:keepLines w:val="0"/>
            <w:pageBreakBefore w:val="0"/>
            <w:widowControl w:val="0"/>
            <w:tabs>
              <w:tab w:val="right" w:leader="dot" w:pos="9638"/>
            </w:tabs>
            <w:kinsoku/>
            <w:wordWrap/>
            <w:overflowPunct/>
            <w:topLinePunct w:val="0"/>
            <w:autoSpaceDE/>
            <w:autoSpaceDN/>
            <w:bidi w:val="0"/>
            <w:adjustRightInd/>
            <w:snapToGrid/>
            <w:spacing w:line="264" w:lineRule="auto"/>
            <w:textAlignment w:val="auto"/>
            <w:rPr>
              <w:rFonts w:hint="eastAsia"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fldChar w:fldCharType="end"/>
          </w:r>
        </w:p>
      </w:sdtContent>
    </w:sdt>
    <w:p w14:paraId="04600147">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jc w:val="center"/>
        <w:textAlignment w:val="auto"/>
        <w:outlineLvl w:val="0"/>
        <w:rPr>
          <w:rFonts w:hint="eastAsia" w:ascii="Times New Roman" w:hAnsi="Times New Roman" w:eastAsia="宋体" w:cs="Times New Roman"/>
          <w:b/>
          <w:bCs/>
          <w:snapToGrid w:val="0"/>
          <w:color w:val="auto"/>
          <w:spacing w:val="0"/>
          <w:position w:val="0"/>
          <w:sz w:val="32"/>
          <w:szCs w:val="32"/>
          <w:highlight w:val="none"/>
        </w:rPr>
      </w:pPr>
      <w:bookmarkStart w:id="9" w:name="_Toc2776"/>
    </w:p>
    <w:p w14:paraId="617A8E84">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jc w:val="center"/>
        <w:textAlignment w:val="auto"/>
        <w:outlineLvl w:val="0"/>
        <w:rPr>
          <w:rFonts w:hint="eastAsia" w:ascii="Times New Roman" w:hAnsi="Times New Roman" w:eastAsia="宋体" w:cs="Times New Roman"/>
          <w:b/>
          <w:bCs/>
          <w:snapToGrid w:val="0"/>
          <w:color w:val="auto"/>
          <w:spacing w:val="0"/>
          <w:position w:val="0"/>
          <w:sz w:val="32"/>
          <w:szCs w:val="32"/>
          <w:highlight w:val="none"/>
        </w:rPr>
        <w:sectPr>
          <w:headerReference r:id="rId6" w:type="default"/>
          <w:footerReference r:id="rId7" w:type="default"/>
          <w:pgSz w:w="11906" w:h="16838"/>
          <w:pgMar w:top="1134" w:right="1134" w:bottom="1134" w:left="1134"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522A85D3">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jc w:val="center"/>
        <w:textAlignment w:val="auto"/>
        <w:outlineLvl w:val="0"/>
        <w:rPr>
          <w:rFonts w:ascii="Times New Roman" w:hAnsi="Times New Roman" w:eastAsia="宋体" w:cs="Times New Roman"/>
          <w:b/>
          <w:bCs/>
          <w:snapToGrid w:val="0"/>
          <w:color w:val="auto"/>
          <w:spacing w:val="0"/>
          <w:position w:val="0"/>
          <w:sz w:val="32"/>
          <w:szCs w:val="32"/>
          <w:highlight w:val="none"/>
        </w:rPr>
      </w:pPr>
      <w:r>
        <w:rPr>
          <w:rFonts w:hint="eastAsia" w:ascii="Times New Roman" w:hAnsi="Times New Roman" w:eastAsia="宋体" w:cs="Times New Roman"/>
          <w:b/>
          <w:bCs/>
          <w:snapToGrid w:val="0"/>
          <w:color w:val="auto"/>
          <w:spacing w:val="0"/>
          <w:position w:val="0"/>
          <w:sz w:val="32"/>
          <w:szCs w:val="32"/>
          <w:highlight w:val="none"/>
        </w:rPr>
        <w:t>一、建设项目基本情况</w:t>
      </w:r>
      <w:bookmarkEnd w:id="1"/>
      <w:bookmarkEnd w:id="9"/>
    </w:p>
    <w:tbl>
      <w:tblPr>
        <w:tblStyle w:val="29"/>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34"/>
        <w:gridCol w:w="2239"/>
        <w:gridCol w:w="1740"/>
        <w:gridCol w:w="2957"/>
      </w:tblGrid>
      <w:tr w14:paraId="03C60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4" w:type="dxa"/>
            <w:tcMar>
              <w:top w:w="16" w:type="dxa"/>
              <w:left w:w="16" w:type="dxa"/>
              <w:right w:w="16" w:type="dxa"/>
            </w:tcMar>
            <w:vAlign w:val="center"/>
          </w:tcPr>
          <w:p w14:paraId="7C9CE5A5">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建设项目名称</w:t>
            </w:r>
          </w:p>
        </w:tc>
        <w:tc>
          <w:tcPr>
            <w:tcW w:w="6936" w:type="dxa"/>
            <w:gridSpan w:val="3"/>
            <w:vAlign w:val="center"/>
          </w:tcPr>
          <w:p w14:paraId="2E8F6EF7">
            <w:pPr>
              <w:adjustRightInd w:val="0"/>
              <w:snapToGrid w:val="0"/>
              <w:jc w:val="center"/>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福州市搜一家具有限公司年产木质屏风4800个迁建项目</w:t>
            </w:r>
          </w:p>
        </w:tc>
      </w:tr>
      <w:tr w14:paraId="0DC46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4" w:type="dxa"/>
            <w:tcMar>
              <w:top w:w="16" w:type="dxa"/>
              <w:left w:w="16" w:type="dxa"/>
              <w:right w:w="16" w:type="dxa"/>
            </w:tcMar>
            <w:vAlign w:val="center"/>
          </w:tcPr>
          <w:p w14:paraId="5CBAD76C">
            <w:pPr>
              <w:adjustRightInd w:val="0"/>
              <w:snapToGrid w:val="0"/>
              <w:jc w:val="center"/>
              <w:rPr>
                <w:rFonts w:hint="eastAsia"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项目代码</w:t>
            </w:r>
          </w:p>
        </w:tc>
        <w:tc>
          <w:tcPr>
            <w:tcW w:w="6936" w:type="dxa"/>
            <w:gridSpan w:val="3"/>
            <w:vAlign w:val="center"/>
          </w:tcPr>
          <w:p w14:paraId="573896A3">
            <w:pPr>
              <w:adjustRightInd w:val="0"/>
              <w:snapToGrid w:val="0"/>
              <w:jc w:val="center"/>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2605-350121-04-01-102510</w:t>
            </w:r>
          </w:p>
        </w:tc>
      </w:tr>
      <w:tr w14:paraId="087A8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4" w:type="dxa"/>
            <w:tcMar>
              <w:top w:w="16" w:type="dxa"/>
              <w:left w:w="16" w:type="dxa"/>
              <w:right w:w="16" w:type="dxa"/>
            </w:tcMar>
            <w:vAlign w:val="center"/>
          </w:tcPr>
          <w:p w14:paraId="3AF4E39E">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建设单位联系人</w:t>
            </w:r>
          </w:p>
        </w:tc>
        <w:tc>
          <w:tcPr>
            <w:tcW w:w="2239" w:type="dxa"/>
            <w:vAlign w:val="center"/>
          </w:tcPr>
          <w:p w14:paraId="5CCA6A48">
            <w:pPr>
              <w:adjustRightInd w:val="0"/>
              <w:snapToGrid w:val="0"/>
              <w:jc w:val="center"/>
              <w:rPr>
                <w:rFonts w:hint="default"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w:t>
            </w:r>
          </w:p>
        </w:tc>
        <w:tc>
          <w:tcPr>
            <w:tcW w:w="1740" w:type="dxa"/>
            <w:vAlign w:val="center"/>
          </w:tcPr>
          <w:p w14:paraId="7C4DFF5E">
            <w:pPr>
              <w:adjustRightInd w:val="0"/>
              <w:snapToGrid w:val="0"/>
              <w:jc w:val="center"/>
              <w:rPr>
                <w:rFonts w:hint="eastAsia"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联系方式</w:t>
            </w:r>
          </w:p>
        </w:tc>
        <w:tc>
          <w:tcPr>
            <w:tcW w:w="2957" w:type="dxa"/>
            <w:vAlign w:val="center"/>
          </w:tcPr>
          <w:p w14:paraId="29324ACA">
            <w:pPr>
              <w:adjustRightInd w:val="0"/>
              <w:snapToGrid w:val="0"/>
              <w:jc w:val="center"/>
              <w:rPr>
                <w:rFonts w:hint="default"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w:t>
            </w:r>
          </w:p>
        </w:tc>
      </w:tr>
      <w:tr w14:paraId="69B7A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4" w:type="dxa"/>
            <w:tcMar>
              <w:top w:w="16" w:type="dxa"/>
              <w:left w:w="16" w:type="dxa"/>
              <w:right w:w="16" w:type="dxa"/>
            </w:tcMar>
            <w:vAlign w:val="center"/>
          </w:tcPr>
          <w:p w14:paraId="29DBE3D6">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建设地点</w:t>
            </w:r>
          </w:p>
        </w:tc>
        <w:tc>
          <w:tcPr>
            <w:tcW w:w="6936" w:type="dxa"/>
            <w:gridSpan w:val="3"/>
            <w:vAlign w:val="center"/>
          </w:tcPr>
          <w:p w14:paraId="0C29D903">
            <w:pPr>
              <w:adjustRightInd w:val="0"/>
              <w:snapToGrid w:val="0"/>
              <w:jc w:val="center"/>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福建省福州市闽侯县荆溪镇长龙三路23、25号</w:t>
            </w:r>
          </w:p>
          <w:p w14:paraId="7D30EF74">
            <w:pPr>
              <w:adjustRightInd w:val="0"/>
              <w:snapToGrid w:val="0"/>
              <w:jc w:val="center"/>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（福建省奥德瑞电子科技有限公司5#厂房二层）</w:t>
            </w:r>
          </w:p>
        </w:tc>
      </w:tr>
      <w:tr w14:paraId="25795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4" w:type="dxa"/>
            <w:tcMar>
              <w:top w:w="16" w:type="dxa"/>
              <w:left w:w="16" w:type="dxa"/>
              <w:right w:w="16" w:type="dxa"/>
            </w:tcMar>
            <w:vAlign w:val="center"/>
          </w:tcPr>
          <w:p w14:paraId="5067E59F">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地理坐标</w:t>
            </w:r>
          </w:p>
        </w:tc>
        <w:tc>
          <w:tcPr>
            <w:tcW w:w="6936" w:type="dxa"/>
            <w:gridSpan w:val="3"/>
            <w:vAlign w:val="center"/>
          </w:tcPr>
          <w:p w14:paraId="220C8DA2">
            <w:pPr>
              <w:jc w:val="center"/>
              <w:rPr>
                <w:rFonts w:hint="eastAsia"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（东经</w:t>
            </w:r>
            <w:r>
              <w:rPr>
                <w:rFonts w:hint="eastAsia" w:ascii="Times New Roman" w:hAnsi="Times New Roman" w:eastAsia="宋体" w:cs="Times New Roman"/>
                <w:color w:val="auto"/>
                <w:spacing w:val="0"/>
                <w:position w:val="0"/>
                <w:sz w:val="24"/>
                <w:szCs w:val="24"/>
                <w:highlight w:val="none"/>
                <w:u w:val="single"/>
              </w:rPr>
              <w:t>11</w:t>
            </w:r>
            <w:r>
              <w:rPr>
                <w:rFonts w:hint="eastAsia" w:ascii="Times New Roman" w:hAnsi="Times New Roman" w:eastAsia="宋体" w:cs="Times New Roman"/>
                <w:color w:val="auto"/>
                <w:spacing w:val="0"/>
                <w:position w:val="0"/>
                <w:sz w:val="24"/>
                <w:szCs w:val="24"/>
                <w:highlight w:val="none"/>
                <w:u w:val="single"/>
                <w:lang w:val="en-US" w:eastAsia="zh-CN"/>
              </w:rPr>
              <w:t>9</w:t>
            </w:r>
            <w:r>
              <w:rPr>
                <w:rFonts w:hint="eastAsia" w:ascii="Times New Roman" w:hAnsi="Times New Roman" w:eastAsia="宋体" w:cs="Times New Roman"/>
                <w:color w:val="auto"/>
                <w:spacing w:val="0"/>
                <w:position w:val="0"/>
                <w:sz w:val="24"/>
                <w:szCs w:val="24"/>
                <w:highlight w:val="none"/>
              </w:rPr>
              <w:t>度</w:t>
            </w:r>
            <w:r>
              <w:rPr>
                <w:rFonts w:hint="eastAsia" w:ascii="Times New Roman" w:hAnsi="Times New Roman" w:eastAsia="宋体" w:cs="Times New Roman"/>
                <w:color w:val="auto"/>
                <w:spacing w:val="0"/>
                <w:position w:val="0"/>
                <w:sz w:val="24"/>
                <w:szCs w:val="24"/>
                <w:highlight w:val="none"/>
                <w:u w:val="single"/>
                <w:lang w:val="en-US" w:eastAsia="zh-CN"/>
              </w:rPr>
              <w:t>10</w:t>
            </w:r>
            <w:r>
              <w:rPr>
                <w:rFonts w:hint="eastAsia" w:ascii="Times New Roman" w:hAnsi="Times New Roman" w:eastAsia="宋体" w:cs="Times New Roman"/>
                <w:color w:val="auto"/>
                <w:spacing w:val="0"/>
                <w:position w:val="0"/>
                <w:sz w:val="24"/>
                <w:szCs w:val="24"/>
                <w:highlight w:val="none"/>
              </w:rPr>
              <w:t>分</w:t>
            </w:r>
            <w:r>
              <w:rPr>
                <w:rFonts w:hint="eastAsia" w:ascii="Times New Roman" w:hAnsi="Times New Roman" w:eastAsia="宋体" w:cs="Times New Roman"/>
                <w:color w:val="auto"/>
                <w:spacing w:val="0"/>
                <w:position w:val="0"/>
                <w:sz w:val="24"/>
                <w:szCs w:val="24"/>
                <w:highlight w:val="none"/>
                <w:u w:val="single"/>
                <w:lang w:val="en-US" w:eastAsia="zh-CN"/>
              </w:rPr>
              <w:t>57.887</w:t>
            </w:r>
            <w:r>
              <w:rPr>
                <w:rFonts w:hint="eastAsia" w:ascii="Times New Roman" w:hAnsi="Times New Roman" w:eastAsia="宋体" w:cs="Times New Roman"/>
                <w:color w:val="auto"/>
                <w:spacing w:val="0"/>
                <w:position w:val="0"/>
                <w:sz w:val="24"/>
                <w:szCs w:val="24"/>
                <w:highlight w:val="none"/>
              </w:rPr>
              <w:t>秒，北纬</w:t>
            </w:r>
            <w:r>
              <w:rPr>
                <w:rFonts w:hint="eastAsia" w:ascii="Times New Roman" w:hAnsi="Times New Roman" w:eastAsia="宋体" w:cs="Times New Roman"/>
                <w:color w:val="auto"/>
                <w:spacing w:val="0"/>
                <w:position w:val="0"/>
                <w:sz w:val="24"/>
                <w:szCs w:val="24"/>
                <w:highlight w:val="none"/>
                <w:u w:val="single"/>
              </w:rPr>
              <w:t>2</w:t>
            </w:r>
            <w:r>
              <w:rPr>
                <w:rFonts w:hint="eastAsia" w:ascii="Times New Roman" w:hAnsi="Times New Roman" w:eastAsia="宋体" w:cs="Times New Roman"/>
                <w:color w:val="auto"/>
                <w:spacing w:val="0"/>
                <w:position w:val="0"/>
                <w:sz w:val="24"/>
                <w:szCs w:val="24"/>
                <w:highlight w:val="none"/>
                <w:u w:val="single"/>
                <w:lang w:val="en-US" w:eastAsia="zh-CN"/>
              </w:rPr>
              <w:t>6</w:t>
            </w:r>
            <w:r>
              <w:rPr>
                <w:rFonts w:hint="eastAsia" w:ascii="Times New Roman" w:hAnsi="Times New Roman" w:eastAsia="宋体" w:cs="Times New Roman"/>
                <w:color w:val="auto"/>
                <w:spacing w:val="0"/>
                <w:position w:val="0"/>
                <w:sz w:val="24"/>
                <w:szCs w:val="24"/>
                <w:highlight w:val="none"/>
              </w:rPr>
              <w:t>度</w:t>
            </w:r>
            <w:r>
              <w:rPr>
                <w:rFonts w:hint="eastAsia" w:ascii="Times New Roman" w:hAnsi="Times New Roman" w:eastAsia="宋体" w:cs="Times New Roman"/>
                <w:color w:val="auto"/>
                <w:spacing w:val="0"/>
                <w:position w:val="0"/>
                <w:sz w:val="24"/>
                <w:szCs w:val="24"/>
                <w:highlight w:val="none"/>
                <w:u w:val="single"/>
                <w:lang w:val="en-US" w:eastAsia="zh-CN"/>
              </w:rPr>
              <w:t>9</w:t>
            </w:r>
            <w:r>
              <w:rPr>
                <w:rFonts w:hint="eastAsia" w:ascii="Times New Roman" w:hAnsi="Times New Roman" w:eastAsia="宋体" w:cs="Times New Roman"/>
                <w:color w:val="auto"/>
                <w:spacing w:val="0"/>
                <w:position w:val="0"/>
                <w:sz w:val="24"/>
                <w:szCs w:val="24"/>
                <w:highlight w:val="none"/>
              </w:rPr>
              <w:t>分</w:t>
            </w:r>
            <w:r>
              <w:rPr>
                <w:rFonts w:hint="eastAsia" w:ascii="Times New Roman" w:hAnsi="Times New Roman" w:eastAsia="宋体" w:cs="Times New Roman"/>
                <w:color w:val="auto"/>
                <w:spacing w:val="0"/>
                <w:position w:val="0"/>
                <w:sz w:val="24"/>
                <w:szCs w:val="24"/>
                <w:highlight w:val="none"/>
                <w:u w:val="single"/>
                <w:lang w:val="en-US" w:eastAsia="zh-CN"/>
              </w:rPr>
              <w:t>35.716</w:t>
            </w:r>
            <w:r>
              <w:rPr>
                <w:rFonts w:hint="eastAsia" w:ascii="Times New Roman" w:hAnsi="Times New Roman" w:eastAsia="宋体" w:cs="Times New Roman"/>
                <w:color w:val="auto"/>
                <w:spacing w:val="0"/>
                <w:position w:val="0"/>
                <w:sz w:val="24"/>
                <w:szCs w:val="24"/>
                <w:highlight w:val="none"/>
              </w:rPr>
              <w:t>秒）</w:t>
            </w:r>
          </w:p>
          <w:p w14:paraId="76934B69">
            <w:pPr>
              <w:jc w:val="center"/>
              <w:rPr>
                <w:rFonts w:hint="eastAsia"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val="en-US" w:eastAsia="zh-CN"/>
              </w:rPr>
              <w:t>来源：91卫图助手</w:t>
            </w:r>
            <w:r>
              <w:rPr>
                <w:rFonts w:hint="eastAsia" w:cs="Times New Roman"/>
                <w:color w:val="auto"/>
                <w:spacing w:val="0"/>
                <w:position w:val="0"/>
                <w:sz w:val="24"/>
                <w:szCs w:val="24"/>
                <w:highlight w:val="none"/>
                <w:lang w:eastAsia="zh-CN"/>
              </w:rPr>
              <w:t>）</w:t>
            </w:r>
          </w:p>
        </w:tc>
      </w:tr>
      <w:tr w14:paraId="6F059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44" w:hRule="atLeast"/>
          <w:jc w:val="center"/>
        </w:trPr>
        <w:tc>
          <w:tcPr>
            <w:tcW w:w="1934" w:type="dxa"/>
            <w:tcMar>
              <w:top w:w="16" w:type="dxa"/>
              <w:left w:w="16" w:type="dxa"/>
              <w:right w:w="16" w:type="dxa"/>
            </w:tcMar>
            <w:vAlign w:val="center"/>
          </w:tcPr>
          <w:p w14:paraId="4CD45FCC">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国民经济</w:t>
            </w:r>
          </w:p>
          <w:p w14:paraId="16BCF710">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行业类别</w:t>
            </w:r>
          </w:p>
        </w:tc>
        <w:tc>
          <w:tcPr>
            <w:tcW w:w="2239" w:type="dxa"/>
            <w:vAlign w:val="center"/>
          </w:tcPr>
          <w:p w14:paraId="1B7BBF34">
            <w:pPr>
              <w:adjustRightInd w:val="0"/>
              <w:snapToGrid w:val="0"/>
              <w:jc w:val="center"/>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rPr>
              <w:t>C</w:t>
            </w:r>
            <w:r>
              <w:rPr>
                <w:rFonts w:hint="eastAsia" w:ascii="Times New Roman" w:hAnsi="Times New Roman" w:eastAsia="宋体" w:cs="Times New Roman"/>
                <w:color w:val="auto"/>
                <w:spacing w:val="0"/>
                <w:position w:val="0"/>
                <w:sz w:val="24"/>
                <w:szCs w:val="24"/>
                <w:highlight w:val="none"/>
                <w:lang w:val="en-US" w:eastAsia="zh-CN"/>
              </w:rPr>
              <w:t>2110木质家具制造</w:t>
            </w:r>
          </w:p>
        </w:tc>
        <w:tc>
          <w:tcPr>
            <w:tcW w:w="1740" w:type="dxa"/>
            <w:vAlign w:val="center"/>
          </w:tcPr>
          <w:p w14:paraId="22C284C7">
            <w:pPr>
              <w:adjustRightInd w:val="0"/>
              <w:snapToGrid w:val="0"/>
              <w:jc w:val="center"/>
              <w:rPr>
                <w:rFonts w:ascii="Times New Roman" w:hAnsi="Times New Roman" w:eastAsia="宋体" w:cs="Times New Roman"/>
                <w:color w:val="auto"/>
                <w:spacing w:val="0"/>
                <w:position w:val="0"/>
                <w:sz w:val="24"/>
                <w:szCs w:val="24"/>
                <w:highlight w:val="none"/>
              </w:rPr>
            </w:pPr>
            <w:bookmarkStart w:id="10" w:name="_Hlk49843745"/>
            <w:r>
              <w:rPr>
                <w:rFonts w:hint="eastAsia" w:ascii="Times New Roman" w:hAnsi="Times New Roman" w:eastAsia="宋体" w:cs="Times New Roman"/>
                <w:color w:val="auto"/>
                <w:spacing w:val="0"/>
                <w:position w:val="0"/>
                <w:sz w:val="24"/>
                <w:szCs w:val="24"/>
                <w:highlight w:val="none"/>
              </w:rPr>
              <w:t>建设项目</w:t>
            </w:r>
          </w:p>
          <w:p w14:paraId="065ED9E3">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行业类别</w:t>
            </w:r>
            <w:bookmarkEnd w:id="10"/>
          </w:p>
        </w:tc>
        <w:tc>
          <w:tcPr>
            <w:tcW w:w="2957" w:type="dxa"/>
            <w:vAlign w:val="center"/>
          </w:tcPr>
          <w:p w14:paraId="1866481E">
            <w:pPr>
              <w:keepNext w:val="0"/>
              <w:keepLines w:val="0"/>
              <w:pageBreakBefore w:val="0"/>
              <w:widowControl w:val="0"/>
              <w:numPr>
                <w:ilvl w:val="0"/>
                <w:numId w:val="0"/>
              </w:numPr>
              <w:kinsoku/>
              <w:wordWrap/>
              <w:overflowPunct/>
              <w:topLinePunct w:val="0"/>
              <w:autoSpaceDE/>
              <w:autoSpaceDN/>
              <w:bidi w:val="0"/>
              <w:adjustRightInd w:val="0"/>
              <w:snapToGrid w:val="0"/>
              <w:ind w:left="42" w:leftChars="20" w:right="42" w:rightChars="20"/>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kern w:val="2"/>
                <w:position w:val="0"/>
                <w:sz w:val="24"/>
                <w:szCs w:val="24"/>
                <w:highlight w:val="none"/>
                <w:lang w:val="en-US" w:eastAsia="zh-CN" w:bidi="ar-SA"/>
              </w:rPr>
              <w:t>十八、</w:t>
            </w:r>
            <w:r>
              <w:rPr>
                <w:rFonts w:hint="eastAsia" w:ascii="Times New Roman" w:hAnsi="Times New Roman" w:eastAsia="宋体" w:cs="Times New Roman"/>
                <w:color w:val="auto"/>
                <w:spacing w:val="0"/>
                <w:position w:val="0"/>
                <w:sz w:val="24"/>
                <w:szCs w:val="24"/>
                <w:highlight w:val="none"/>
                <w:lang w:val="en-US" w:eastAsia="zh-CN"/>
              </w:rPr>
              <w:t>家具制造</w:t>
            </w:r>
            <w:r>
              <w:rPr>
                <w:rFonts w:hint="eastAsia" w:ascii="Times New Roman" w:hAnsi="Times New Roman" w:eastAsia="宋体" w:cs="Times New Roman"/>
                <w:color w:val="auto"/>
                <w:spacing w:val="0"/>
                <w:position w:val="0"/>
                <w:sz w:val="24"/>
                <w:szCs w:val="24"/>
                <w:highlight w:val="none"/>
              </w:rPr>
              <w:t>业2</w:t>
            </w:r>
            <w:r>
              <w:rPr>
                <w:rFonts w:hint="eastAsia" w:ascii="Times New Roman" w:hAnsi="Times New Roman" w:eastAsia="宋体" w:cs="Times New Roman"/>
                <w:color w:val="auto"/>
                <w:spacing w:val="0"/>
                <w:position w:val="0"/>
                <w:sz w:val="24"/>
                <w:szCs w:val="24"/>
                <w:highlight w:val="none"/>
                <w:lang w:val="en-US" w:eastAsia="zh-CN"/>
              </w:rPr>
              <w:t>1</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b w:val="0"/>
                <w:bCs w:val="0"/>
                <w:color w:val="auto"/>
                <w:spacing w:val="0"/>
                <w:position w:val="0"/>
                <w:sz w:val="24"/>
                <w:szCs w:val="24"/>
                <w:highlight w:val="none"/>
                <w:lang w:val="en-US" w:eastAsia="zh-CN"/>
              </w:rPr>
              <w:t xml:space="preserve">36 木质家具制造211*  </w:t>
            </w:r>
          </w:p>
        </w:tc>
      </w:tr>
      <w:tr w14:paraId="344B1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61" w:hRule="atLeast"/>
          <w:jc w:val="center"/>
        </w:trPr>
        <w:tc>
          <w:tcPr>
            <w:tcW w:w="1934" w:type="dxa"/>
            <w:tcMar>
              <w:top w:w="16" w:type="dxa"/>
              <w:left w:w="16" w:type="dxa"/>
              <w:right w:w="16" w:type="dxa"/>
            </w:tcMar>
            <w:vAlign w:val="center"/>
          </w:tcPr>
          <w:p w14:paraId="529AABC3">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建设性质</w:t>
            </w:r>
          </w:p>
        </w:tc>
        <w:tc>
          <w:tcPr>
            <w:tcW w:w="2239" w:type="dxa"/>
            <w:vAlign w:val="center"/>
          </w:tcPr>
          <w:p w14:paraId="5F5B9F39">
            <w:pPr>
              <w:jc w:val="left"/>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rPr>
              <w:t>新建（</w:t>
            </w:r>
            <w:r>
              <w:rPr>
                <w:rFonts w:hint="eastAsia" w:ascii="Times New Roman" w:hAnsi="Times New Roman" w:eastAsia="宋体" w:cs="Times New Roman"/>
                <w:color w:val="auto"/>
                <w:spacing w:val="0"/>
                <w:position w:val="0"/>
                <w:sz w:val="24"/>
                <w:szCs w:val="24"/>
                <w:highlight w:val="none"/>
                <w:lang w:eastAsia="zh-CN"/>
              </w:rPr>
              <w:t>迁建</w:t>
            </w:r>
            <w:r>
              <w:rPr>
                <w:rFonts w:hint="eastAsia" w:ascii="Times New Roman" w:hAnsi="Times New Roman" w:eastAsia="宋体" w:cs="Times New Roman"/>
                <w:color w:val="auto"/>
                <w:spacing w:val="0"/>
                <w:position w:val="0"/>
                <w:sz w:val="24"/>
                <w:szCs w:val="24"/>
                <w:highlight w:val="none"/>
              </w:rPr>
              <w:t>）</w:t>
            </w:r>
          </w:p>
          <w:p w14:paraId="2C51EA0E">
            <w:pPr>
              <w:jc w:val="left"/>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□改建</w:t>
            </w:r>
          </w:p>
          <w:p w14:paraId="2BAF528D">
            <w:pPr>
              <w:jc w:val="left"/>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rPr>
              <w:t>扩建</w:t>
            </w:r>
          </w:p>
          <w:p w14:paraId="396F44B1">
            <w:pPr>
              <w:jc w:val="left"/>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rPr>
              <w:t>技术改造</w:t>
            </w:r>
          </w:p>
        </w:tc>
        <w:tc>
          <w:tcPr>
            <w:tcW w:w="1740" w:type="dxa"/>
            <w:vAlign w:val="center"/>
          </w:tcPr>
          <w:p w14:paraId="14E80375">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建设项目</w:t>
            </w:r>
          </w:p>
          <w:p w14:paraId="58A2425B">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申报情形</w:t>
            </w:r>
          </w:p>
        </w:tc>
        <w:tc>
          <w:tcPr>
            <w:tcW w:w="2957" w:type="dxa"/>
            <w:vAlign w:val="center"/>
          </w:tcPr>
          <w:p w14:paraId="5836F7A6">
            <w:pPr>
              <w:jc w:val="left"/>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rPr>
              <w:t>首次申报项目</w:t>
            </w:r>
            <w:r>
              <w:rPr>
                <w:rFonts w:ascii="Times New Roman" w:hAnsi="Times New Roman" w:eastAsia="宋体" w:cs="Times New Roman"/>
                <w:color w:val="auto"/>
                <w:spacing w:val="0"/>
                <w:position w:val="0"/>
                <w:sz w:val="24"/>
                <w:szCs w:val="24"/>
                <w:highlight w:val="none"/>
              </w:rPr>
              <w:t xml:space="preserve">             </w:t>
            </w:r>
          </w:p>
          <w:p w14:paraId="69874905">
            <w:pPr>
              <w:jc w:val="left"/>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rPr>
              <w:t>不予批准后再次申报项目</w:t>
            </w:r>
          </w:p>
          <w:p w14:paraId="4BDE39BB">
            <w:pPr>
              <w:jc w:val="left"/>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□超五年重新审核项目</w:t>
            </w:r>
            <w:r>
              <w:rPr>
                <w:rFonts w:ascii="Times New Roman" w:hAnsi="Times New Roman" w:eastAsia="宋体" w:cs="Times New Roman"/>
                <w:color w:val="auto"/>
                <w:spacing w:val="0"/>
                <w:position w:val="0"/>
                <w:sz w:val="24"/>
                <w:szCs w:val="24"/>
                <w:highlight w:val="none"/>
              </w:rPr>
              <w:t xml:space="preserve">     </w:t>
            </w:r>
          </w:p>
          <w:p w14:paraId="1D01348B">
            <w:pPr>
              <w:jc w:val="left"/>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□重大变动重新报批项目</w:t>
            </w:r>
          </w:p>
        </w:tc>
      </w:tr>
      <w:tr w14:paraId="28EB5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1934" w:type="dxa"/>
            <w:tcMar>
              <w:top w:w="16" w:type="dxa"/>
              <w:left w:w="16" w:type="dxa"/>
              <w:right w:w="16" w:type="dxa"/>
            </w:tcMar>
            <w:vAlign w:val="center"/>
          </w:tcPr>
          <w:p w14:paraId="37AEF3BD">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项目审批（核准</w:t>
            </w:r>
            <w:r>
              <w:rPr>
                <w:rFonts w:ascii="Times New Roman" w:hAnsi="Times New Roman" w:eastAsia="宋体" w:cs="Times New Roman"/>
                <w:color w:val="auto"/>
                <w:spacing w:val="0"/>
                <w:position w:val="0"/>
                <w:sz w:val="24"/>
                <w:szCs w:val="24"/>
                <w:highlight w:val="none"/>
              </w:rPr>
              <w:t>/</w:t>
            </w:r>
          </w:p>
          <w:p w14:paraId="2DDF5E7E">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备案）部门（选填）</w:t>
            </w:r>
          </w:p>
        </w:tc>
        <w:tc>
          <w:tcPr>
            <w:tcW w:w="2239" w:type="dxa"/>
            <w:vAlign w:val="center"/>
          </w:tcPr>
          <w:p w14:paraId="357D353D">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闽侯</w:t>
            </w:r>
            <w:r>
              <w:rPr>
                <w:rFonts w:hint="eastAsia" w:ascii="Times New Roman" w:hAnsi="Times New Roman" w:eastAsia="宋体" w:cs="Times New Roman"/>
                <w:color w:val="auto"/>
                <w:spacing w:val="0"/>
                <w:position w:val="0"/>
                <w:sz w:val="24"/>
                <w:szCs w:val="24"/>
                <w:highlight w:val="none"/>
              </w:rPr>
              <w:t>县发展和改革局</w:t>
            </w:r>
          </w:p>
        </w:tc>
        <w:tc>
          <w:tcPr>
            <w:tcW w:w="1740" w:type="dxa"/>
            <w:vAlign w:val="center"/>
          </w:tcPr>
          <w:p w14:paraId="4595F414">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项目审批（核准</w:t>
            </w:r>
            <w:r>
              <w:rPr>
                <w:rFonts w:ascii="Times New Roman" w:hAnsi="Times New Roman" w:eastAsia="宋体" w:cs="Times New Roman"/>
                <w:color w:val="auto"/>
                <w:spacing w:val="0"/>
                <w:position w:val="0"/>
                <w:sz w:val="24"/>
                <w:szCs w:val="24"/>
                <w:highlight w:val="none"/>
              </w:rPr>
              <w:t>/</w:t>
            </w:r>
          </w:p>
          <w:p w14:paraId="29CD26B4">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备案）文号（选填）</w:t>
            </w:r>
          </w:p>
        </w:tc>
        <w:tc>
          <w:tcPr>
            <w:tcW w:w="2957" w:type="dxa"/>
            <w:vAlign w:val="center"/>
          </w:tcPr>
          <w:p w14:paraId="302C222D">
            <w:pPr>
              <w:adjustRightInd w:val="0"/>
              <w:snapToGrid w:val="0"/>
              <w:jc w:val="center"/>
              <w:rPr>
                <w:rFonts w:hint="eastAsia" w:ascii="Times New Roman" w:hAnsi="Times New Roman" w:eastAsia="宋体" w:cs="Times New Roman"/>
                <w:color w:val="auto"/>
                <w:spacing w:val="0"/>
                <w:position w:val="0"/>
                <w:sz w:val="24"/>
                <w:szCs w:val="24"/>
                <w:highlight w:val="none"/>
                <w:lang w:eastAsia="zh-CN"/>
              </w:rPr>
            </w:pPr>
            <w:r>
              <w:rPr>
                <w:rFonts w:hint="eastAsia" w:ascii="Times New Roman" w:hAnsi="Times New Roman" w:eastAsia="宋体" w:cs="Times New Roman"/>
                <w:color w:val="auto"/>
                <w:spacing w:val="0"/>
                <w:position w:val="0"/>
                <w:sz w:val="24"/>
                <w:szCs w:val="24"/>
                <w:highlight w:val="none"/>
                <w:lang w:eastAsia="zh-CN"/>
              </w:rPr>
              <w:t>闽发改备[202</w:t>
            </w:r>
            <w:r>
              <w:rPr>
                <w:rFonts w:hint="eastAsia" w:ascii="Times New Roman" w:hAnsi="Times New Roman" w:eastAsia="宋体" w:cs="Times New Roman"/>
                <w:color w:val="auto"/>
                <w:spacing w:val="0"/>
                <w:position w:val="0"/>
                <w:sz w:val="24"/>
                <w:szCs w:val="24"/>
                <w:highlight w:val="none"/>
                <w:lang w:val="en-US" w:eastAsia="zh-CN"/>
              </w:rPr>
              <w:t>6</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lang w:val="en-US" w:eastAsia="zh-CN"/>
              </w:rPr>
              <w:t>A080343</w:t>
            </w:r>
            <w:r>
              <w:rPr>
                <w:rFonts w:hint="eastAsia" w:ascii="Times New Roman" w:hAnsi="Times New Roman" w:eastAsia="宋体" w:cs="Times New Roman"/>
                <w:color w:val="auto"/>
                <w:spacing w:val="0"/>
                <w:position w:val="0"/>
                <w:sz w:val="24"/>
                <w:szCs w:val="24"/>
                <w:highlight w:val="none"/>
                <w:lang w:eastAsia="zh-CN"/>
              </w:rPr>
              <w:t>号</w:t>
            </w:r>
          </w:p>
        </w:tc>
      </w:tr>
      <w:tr w14:paraId="37B2F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9" w:hRule="atLeast"/>
          <w:jc w:val="center"/>
        </w:trPr>
        <w:tc>
          <w:tcPr>
            <w:tcW w:w="1934" w:type="dxa"/>
            <w:tcMar>
              <w:top w:w="16" w:type="dxa"/>
              <w:left w:w="16" w:type="dxa"/>
              <w:right w:w="16" w:type="dxa"/>
            </w:tcMar>
            <w:vAlign w:val="center"/>
          </w:tcPr>
          <w:p w14:paraId="35B9C474">
            <w:pPr>
              <w:adjustRightInd w:val="0"/>
              <w:snapToGrid w:val="0"/>
              <w:jc w:val="center"/>
              <w:rPr>
                <w:rFonts w:hint="eastAsia" w:ascii="Times New Roman" w:hAnsi="Times New Roman" w:eastAsia="宋体" w:cs="Times New Roman"/>
                <w:color w:val="auto"/>
                <w:spacing w:val="0"/>
                <w:position w:val="0"/>
                <w:sz w:val="24"/>
                <w:szCs w:val="24"/>
                <w:highlight w:val="none"/>
                <w:lang w:eastAsia="zh-CN"/>
              </w:rPr>
            </w:pPr>
            <w:r>
              <w:rPr>
                <w:rFonts w:hint="eastAsia" w:ascii="Times New Roman" w:hAnsi="Times New Roman" w:eastAsia="宋体" w:cs="Times New Roman"/>
                <w:color w:val="auto"/>
                <w:spacing w:val="0"/>
                <w:position w:val="0"/>
                <w:sz w:val="24"/>
                <w:szCs w:val="24"/>
                <w:highlight w:val="none"/>
                <w:lang w:eastAsia="zh-CN"/>
              </w:rPr>
              <w:t>总投资（万元）</w:t>
            </w:r>
          </w:p>
        </w:tc>
        <w:tc>
          <w:tcPr>
            <w:tcW w:w="2239" w:type="dxa"/>
            <w:vAlign w:val="center"/>
          </w:tcPr>
          <w:p w14:paraId="4A3ACEDC">
            <w:pPr>
              <w:adjustRightInd w:val="0"/>
              <w:snapToGrid w:val="0"/>
              <w:jc w:val="center"/>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15（新增投资）</w:t>
            </w:r>
          </w:p>
        </w:tc>
        <w:tc>
          <w:tcPr>
            <w:tcW w:w="1740" w:type="dxa"/>
            <w:tcMar>
              <w:top w:w="16" w:type="dxa"/>
              <w:left w:w="16" w:type="dxa"/>
              <w:right w:w="16" w:type="dxa"/>
            </w:tcMar>
            <w:vAlign w:val="center"/>
          </w:tcPr>
          <w:p w14:paraId="14097321">
            <w:pPr>
              <w:adjustRightInd w:val="0"/>
              <w:snapToGrid w:val="0"/>
              <w:jc w:val="center"/>
              <w:rPr>
                <w:rFonts w:hint="eastAsia" w:ascii="Times New Roman" w:hAnsi="Times New Roman" w:eastAsia="宋体" w:cs="Times New Roman"/>
                <w:color w:val="auto"/>
                <w:spacing w:val="0"/>
                <w:position w:val="0"/>
                <w:sz w:val="24"/>
                <w:szCs w:val="24"/>
                <w:highlight w:val="none"/>
                <w:lang w:eastAsia="zh-CN"/>
              </w:rPr>
            </w:pPr>
            <w:r>
              <w:rPr>
                <w:rFonts w:hint="eastAsia" w:ascii="Times New Roman" w:hAnsi="Times New Roman" w:eastAsia="宋体" w:cs="Times New Roman"/>
                <w:color w:val="auto"/>
                <w:spacing w:val="0"/>
                <w:position w:val="0"/>
                <w:sz w:val="24"/>
                <w:szCs w:val="24"/>
                <w:highlight w:val="none"/>
                <w:lang w:eastAsia="zh-CN"/>
              </w:rPr>
              <w:t>环保投资（万元）</w:t>
            </w:r>
          </w:p>
        </w:tc>
        <w:tc>
          <w:tcPr>
            <w:tcW w:w="2957" w:type="dxa"/>
            <w:vAlign w:val="center"/>
          </w:tcPr>
          <w:p w14:paraId="1F8C41C0">
            <w:pPr>
              <w:adjustRightInd w:val="0"/>
              <w:snapToGrid w:val="0"/>
              <w:jc w:val="center"/>
              <w:rPr>
                <w:rFonts w:hint="default"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5</w:t>
            </w:r>
            <w:r>
              <w:rPr>
                <w:rFonts w:hint="eastAsia" w:ascii="Times New Roman" w:hAnsi="Times New Roman" w:eastAsia="宋体" w:cs="Times New Roman"/>
                <w:color w:val="auto"/>
                <w:spacing w:val="0"/>
                <w:position w:val="0"/>
                <w:sz w:val="24"/>
                <w:szCs w:val="24"/>
                <w:highlight w:val="none"/>
                <w:lang w:val="en-US" w:eastAsia="zh-CN"/>
              </w:rPr>
              <w:t>（新增</w:t>
            </w:r>
            <w:r>
              <w:rPr>
                <w:rFonts w:hint="eastAsia" w:ascii="Times New Roman" w:hAnsi="Times New Roman" w:eastAsia="宋体" w:cs="Times New Roman"/>
                <w:color w:val="auto"/>
                <w:spacing w:val="0"/>
                <w:position w:val="0"/>
                <w:sz w:val="24"/>
                <w:szCs w:val="24"/>
                <w:highlight w:val="none"/>
                <w:lang w:eastAsia="zh-CN"/>
              </w:rPr>
              <w:t>环保</w:t>
            </w:r>
            <w:r>
              <w:rPr>
                <w:rFonts w:hint="eastAsia" w:ascii="Times New Roman" w:hAnsi="Times New Roman" w:eastAsia="宋体" w:cs="Times New Roman"/>
                <w:color w:val="auto"/>
                <w:spacing w:val="0"/>
                <w:position w:val="0"/>
                <w:sz w:val="24"/>
                <w:szCs w:val="24"/>
                <w:highlight w:val="none"/>
                <w:lang w:val="en-US" w:eastAsia="zh-CN"/>
              </w:rPr>
              <w:t>投资）</w:t>
            </w:r>
          </w:p>
        </w:tc>
      </w:tr>
      <w:tr w14:paraId="4B497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5" w:hRule="atLeast"/>
          <w:jc w:val="center"/>
        </w:trPr>
        <w:tc>
          <w:tcPr>
            <w:tcW w:w="1934" w:type="dxa"/>
            <w:tcMar>
              <w:top w:w="16" w:type="dxa"/>
              <w:left w:w="16" w:type="dxa"/>
              <w:right w:w="16" w:type="dxa"/>
            </w:tcMar>
            <w:vAlign w:val="center"/>
          </w:tcPr>
          <w:p w14:paraId="45D0A613">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环保投资占比（</w:t>
            </w:r>
            <w:r>
              <w:rPr>
                <w:rFonts w:hint="default"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position w:val="0"/>
                <w:sz w:val="24"/>
                <w:szCs w:val="24"/>
                <w:highlight w:val="none"/>
              </w:rPr>
              <w:t>）</w:t>
            </w:r>
          </w:p>
        </w:tc>
        <w:tc>
          <w:tcPr>
            <w:tcW w:w="2239" w:type="dxa"/>
            <w:vAlign w:val="center"/>
          </w:tcPr>
          <w:p w14:paraId="316F0B3F">
            <w:pPr>
              <w:adjustRightInd w:val="0"/>
              <w:snapToGrid w:val="0"/>
              <w:jc w:val="center"/>
              <w:rPr>
                <w:rFonts w:hint="default"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3</w:t>
            </w:r>
            <w:r>
              <w:rPr>
                <w:rFonts w:hint="eastAsia" w:ascii="Times New Roman" w:hAnsi="Times New Roman" w:eastAsia="宋体" w:cs="Times New Roman"/>
                <w:color w:val="auto"/>
                <w:spacing w:val="0"/>
                <w:position w:val="0"/>
                <w:sz w:val="24"/>
                <w:szCs w:val="24"/>
                <w:highlight w:val="none"/>
                <w:lang w:val="en-US" w:eastAsia="zh-CN"/>
              </w:rPr>
              <w:t>3</w:t>
            </w:r>
          </w:p>
        </w:tc>
        <w:tc>
          <w:tcPr>
            <w:tcW w:w="1740" w:type="dxa"/>
            <w:tcMar>
              <w:top w:w="16" w:type="dxa"/>
              <w:left w:w="16" w:type="dxa"/>
              <w:right w:w="16" w:type="dxa"/>
            </w:tcMar>
            <w:vAlign w:val="center"/>
          </w:tcPr>
          <w:p w14:paraId="4F2FD8D8">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施工工期</w:t>
            </w:r>
          </w:p>
        </w:tc>
        <w:tc>
          <w:tcPr>
            <w:tcW w:w="2957" w:type="dxa"/>
            <w:vAlign w:val="center"/>
          </w:tcPr>
          <w:p w14:paraId="4CCEF9A5">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3</w:t>
            </w:r>
            <w:r>
              <w:rPr>
                <w:rFonts w:hint="eastAsia" w:ascii="Times New Roman" w:hAnsi="Times New Roman" w:eastAsia="宋体" w:cs="Times New Roman"/>
                <w:color w:val="auto"/>
                <w:spacing w:val="0"/>
                <w:position w:val="0"/>
                <w:sz w:val="24"/>
                <w:szCs w:val="24"/>
                <w:highlight w:val="none"/>
              </w:rPr>
              <w:t>个月</w:t>
            </w:r>
          </w:p>
        </w:tc>
      </w:tr>
      <w:tr w14:paraId="2DAC6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1934" w:type="dxa"/>
            <w:tcMar>
              <w:top w:w="16" w:type="dxa"/>
              <w:left w:w="16" w:type="dxa"/>
              <w:right w:w="16" w:type="dxa"/>
            </w:tcMar>
            <w:vAlign w:val="center"/>
          </w:tcPr>
          <w:p w14:paraId="79FAD31D">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是否开工建设</w:t>
            </w:r>
          </w:p>
        </w:tc>
        <w:tc>
          <w:tcPr>
            <w:tcW w:w="2239" w:type="dxa"/>
            <w:vAlign w:val="center"/>
          </w:tcPr>
          <w:p w14:paraId="15CF0FBB">
            <w:pPr>
              <w:adjustRightInd w:val="0"/>
              <w:snapToGrid w:val="0"/>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rPr>
              <w:t>否</w:t>
            </w:r>
          </w:p>
          <w:p w14:paraId="63A82613">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rPr>
              <w:t>是：</w:t>
            </w:r>
            <w:r>
              <w:rPr>
                <w:rFonts w:hint="eastAsia" w:ascii="Times New Roman" w:hAnsi="Times New Roman" w:eastAsia="宋体" w:cs="Times New Roman"/>
                <w:color w:val="auto"/>
                <w:spacing w:val="0"/>
                <w:position w:val="0"/>
                <w:sz w:val="24"/>
                <w:szCs w:val="24"/>
                <w:highlight w:val="none"/>
                <w:u w:val="single"/>
                <w:lang w:val="en-US" w:eastAsia="zh-CN"/>
              </w:rPr>
              <w:t xml:space="preserve">         </w:t>
            </w:r>
          </w:p>
        </w:tc>
        <w:tc>
          <w:tcPr>
            <w:tcW w:w="1740" w:type="dxa"/>
            <w:tcMar>
              <w:top w:w="16" w:type="dxa"/>
              <w:left w:w="16" w:type="dxa"/>
              <w:right w:w="16" w:type="dxa"/>
            </w:tcMar>
            <w:vAlign w:val="center"/>
          </w:tcPr>
          <w:p w14:paraId="78481132">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用地（用海）</w:t>
            </w:r>
          </w:p>
          <w:p w14:paraId="49D35D6E">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面积（</w:t>
            </w:r>
            <w:r>
              <w:rPr>
                <w:rFonts w:ascii="Times New Roman" w:hAnsi="Times New Roman" w:eastAsia="宋体" w:cs="Times New Roman"/>
                <w:color w:val="auto"/>
                <w:spacing w:val="0"/>
                <w:position w:val="0"/>
                <w:sz w:val="24"/>
                <w:szCs w:val="24"/>
                <w:highlight w:val="none"/>
              </w:rPr>
              <w:t>m</w:t>
            </w:r>
            <w:r>
              <w:rPr>
                <w:rFonts w:ascii="Times New Roman" w:hAnsi="Times New Roman" w:eastAsia="宋体" w:cs="Times New Roman"/>
                <w:color w:val="auto"/>
                <w:spacing w:val="0"/>
                <w:position w:val="0"/>
                <w:sz w:val="24"/>
                <w:szCs w:val="24"/>
                <w:highlight w:val="none"/>
                <w:vertAlign w:val="superscript"/>
              </w:rPr>
              <w:t>2</w:t>
            </w:r>
            <w:r>
              <w:rPr>
                <w:rFonts w:hint="eastAsia" w:ascii="Times New Roman" w:hAnsi="Times New Roman" w:eastAsia="宋体" w:cs="Times New Roman"/>
                <w:color w:val="auto"/>
                <w:spacing w:val="0"/>
                <w:position w:val="0"/>
                <w:sz w:val="24"/>
                <w:szCs w:val="24"/>
                <w:highlight w:val="none"/>
              </w:rPr>
              <w:t>）</w:t>
            </w:r>
          </w:p>
        </w:tc>
        <w:tc>
          <w:tcPr>
            <w:tcW w:w="2957" w:type="dxa"/>
            <w:vAlign w:val="center"/>
          </w:tcPr>
          <w:p w14:paraId="2CEE4018">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1536.35（</w:t>
            </w:r>
            <w:r>
              <w:rPr>
                <w:rFonts w:hint="eastAsia" w:ascii="Times New Roman" w:hAnsi="Times New Roman" w:eastAsia="宋体" w:cs="Times New Roman"/>
                <w:color w:val="auto"/>
                <w:spacing w:val="0"/>
                <w:position w:val="0"/>
                <w:sz w:val="24"/>
                <w:szCs w:val="24"/>
                <w:highlight w:val="none"/>
              </w:rPr>
              <w:t>租赁厂房）</w:t>
            </w:r>
          </w:p>
        </w:tc>
      </w:tr>
      <w:tr w14:paraId="06E1B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934" w:type="dxa"/>
            <w:vAlign w:val="center"/>
          </w:tcPr>
          <w:p w14:paraId="7E2BCCE6">
            <w:pPr>
              <w:autoSpaceDE w:val="0"/>
              <w:autoSpaceDN w:val="0"/>
              <w:adjustRightInd w:val="0"/>
              <w:snapToGrid w:val="0"/>
              <w:jc w:val="center"/>
              <w:rPr>
                <w:rFonts w:hint="eastAsia"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rPr>
              <w:t>专项评价</w:t>
            </w:r>
          </w:p>
          <w:p w14:paraId="01C085C0">
            <w:pPr>
              <w:autoSpaceDE w:val="0"/>
              <w:autoSpaceDN w:val="0"/>
              <w:adjustRightInd w:val="0"/>
              <w:snapToGrid w:val="0"/>
              <w:jc w:val="center"/>
              <w:rPr>
                <w:rFonts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rPr>
              <w:t>设置情况</w:t>
            </w:r>
          </w:p>
        </w:tc>
        <w:tc>
          <w:tcPr>
            <w:tcW w:w="6936" w:type="dxa"/>
            <w:gridSpan w:val="3"/>
            <w:vAlign w:val="center"/>
          </w:tcPr>
          <w:p w14:paraId="0C353348">
            <w:pPr>
              <w:keepNext w:val="0"/>
              <w:keepLines w:val="0"/>
              <w:pageBreakBefore w:val="0"/>
              <w:widowControl w:val="0"/>
              <w:kinsoku/>
              <w:wordWrap/>
              <w:overflowPunct/>
              <w:topLinePunct w:val="0"/>
              <w:autoSpaceDE w:val="0"/>
              <w:autoSpaceDN w:val="0"/>
              <w:bidi w:val="0"/>
              <w:adjustRightInd w:val="0"/>
              <w:snapToGrid w:val="0"/>
              <w:spacing w:line="356" w:lineRule="auto"/>
              <w:ind w:firstLine="480" w:firstLineChars="200"/>
              <w:textAlignment w:val="auto"/>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根据《建设项目环境影响报告表编制技术指南</w:t>
            </w:r>
            <w:r>
              <w:rPr>
                <w:rFonts w:hint="eastAsia" w:ascii="Times New Roman" w:hAnsi="Times New Roman" w:eastAsia="宋体"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污染类</w:t>
            </w:r>
            <w:r>
              <w:rPr>
                <w:rFonts w:hint="eastAsia" w:ascii="Times New Roman" w:hAnsi="Times New Roman" w:eastAsia="宋体"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试行</w:t>
            </w:r>
            <w:r>
              <w:rPr>
                <w:rFonts w:hint="eastAsia" w:ascii="Times New Roman" w:hAnsi="Times New Roman" w:eastAsia="宋体"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》，土壤、声不开展专项评价，地下水原则不开展专项评价。项目工程专项设置情况参照表1专项评价设置原则表，具体见下表：</w:t>
            </w:r>
          </w:p>
          <w:p w14:paraId="0EE4F242">
            <w:pPr>
              <w:pStyle w:val="27"/>
              <w:overflowPunct/>
              <w:autoSpaceDE/>
              <w:autoSpaceDN/>
              <w:spacing w:before="0" w:after="0" w:line="240" w:lineRule="auto"/>
              <w:ind w:right="0"/>
              <w:jc w:val="center"/>
              <w:textAlignment w:val="auto"/>
              <w:rPr>
                <w:rFonts w:ascii="Times New Roman" w:hAnsi="Times New Roman" w:eastAsia="宋体" w:cs="Times New Roman"/>
                <w:color w:val="auto"/>
                <w:spacing w:val="0"/>
                <w:highlight w:val="none"/>
              </w:rPr>
            </w:pPr>
            <w:r>
              <w:rPr>
                <w:rFonts w:hint="eastAsia" w:ascii="Times New Roman" w:hAnsi="Times New Roman" w:eastAsia="宋体" w:cs="Times New Roman"/>
                <w:b/>
                <w:bCs/>
                <w:color w:val="auto"/>
                <w:spacing w:val="0"/>
                <w:position w:val="0"/>
                <w:sz w:val="24"/>
                <w:szCs w:val="24"/>
                <w:highlight w:val="none"/>
              </w:rPr>
              <w:t>表1-1 专项评价设置原则表</w:t>
            </w:r>
          </w:p>
          <w:tbl>
            <w:tblPr>
              <w:tblStyle w:val="30"/>
              <w:tblW w:w="507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8"/>
              <w:gridCol w:w="2307"/>
              <w:gridCol w:w="2724"/>
              <w:gridCol w:w="912"/>
            </w:tblGrid>
            <w:tr w14:paraId="42CCC0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tcBorders>
                    <w:tl2br w:val="nil"/>
                    <w:tr2bl w:val="nil"/>
                  </w:tcBorders>
                  <w:vAlign w:val="center"/>
                </w:tcPr>
                <w:p w14:paraId="161890B2">
                  <w:pPr>
                    <w:pStyle w:val="27"/>
                    <w:overflowPunct/>
                    <w:autoSpaceDE/>
                    <w:autoSpaceDN/>
                    <w:spacing w:before="0" w:after="0" w:line="240" w:lineRule="auto"/>
                    <w:ind w:right="0"/>
                    <w:jc w:val="center"/>
                    <w:textAlignment w:val="auto"/>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专项评价的类别</w:t>
                  </w:r>
                </w:p>
              </w:tc>
              <w:tc>
                <w:tcPr>
                  <w:tcW w:w="2307" w:type="dxa"/>
                  <w:tcBorders>
                    <w:tl2br w:val="nil"/>
                    <w:tr2bl w:val="nil"/>
                  </w:tcBorders>
                  <w:vAlign w:val="center"/>
                </w:tcPr>
                <w:p w14:paraId="1511608E">
                  <w:pPr>
                    <w:pStyle w:val="27"/>
                    <w:overflowPunct/>
                    <w:autoSpaceDE/>
                    <w:autoSpaceDN/>
                    <w:spacing w:before="0" w:after="0" w:line="240" w:lineRule="auto"/>
                    <w:ind w:right="0"/>
                    <w:jc w:val="center"/>
                    <w:textAlignment w:val="auto"/>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设置原则</w:t>
                  </w:r>
                </w:p>
              </w:tc>
              <w:tc>
                <w:tcPr>
                  <w:tcW w:w="2724" w:type="dxa"/>
                  <w:tcBorders>
                    <w:tl2br w:val="nil"/>
                    <w:tr2bl w:val="nil"/>
                  </w:tcBorders>
                  <w:vAlign w:val="center"/>
                </w:tcPr>
                <w:p w14:paraId="54AE5D04">
                  <w:pPr>
                    <w:pStyle w:val="27"/>
                    <w:overflowPunct/>
                    <w:autoSpaceDE/>
                    <w:autoSpaceDN/>
                    <w:spacing w:before="0" w:after="0" w:line="240" w:lineRule="auto"/>
                    <w:ind w:right="0"/>
                    <w:jc w:val="center"/>
                    <w:textAlignment w:val="auto"/>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本项目情况</w:t>
                  </w:r>
                </w:p>
              </w:tc>
              <w:tc>
                <w:tcPr>
                  <w:tcW w:w="912" w:type="dxa"/>
                  <w:tcBorders>
                    <w:tl2br w:val="nil"/>
                    <w:tr2bl w:val="nil"/>
                  </w:tcBorders>
                  <w:vAlign w:val="center"/>
                </w:tcPr>
                <w:p w14:paraId="5AF42D5F">
                  <w:pPr>
                    <w:pStyle w:val="27"/>
                    <w:overflowPunct/>
                    <w:autoSpaceDE/>
                    <w:autoSpaceDN/>
                    <w:spacing w:before="0" w:after="0" w:line="240" w:lineRule="auto"/>
                    <w:ind w:right="0"/>
                    <w:jc w:val="center"/>
                    <w:textAlignment w:val="auto"/>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是否设置专项评价</w:t>
                  </w:r>
                </w:p>
              </w:tc>
            </w:tr>
            <w:tr w14:paraId="47CC22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tcBorders>
                    <w:tl2br w:val="nil"/>
                    <w:tr2bl w:val="nil"/>
                  </w:tcBorders>
                  <w:vAlign w:val="center"/>
                </w:tcPr>
                <w:p w14:paraId="53F02462">
                  <w:pPr>
                    <w:pStyle w:val="27"/>
                    <w:overflowPunct/>
                    <w:autoSpaceDE/>
                    <w:autoSpaceDN/>
                    <w:spacing w:before="0" w:after="0" w:line="240" w:lineRule="auto"/>
                    <w:ind w:right="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大气</w:t>
                  </w:r>
                </w:p>
              </w:tc>
              <w:tc>
                <w:tcPr>
                  <w:tcW w:w="2307" w:type="dxa"/>
                  <w:tcBorders>
                    <w:tl2br w:val="nil"/>
                    <w:tr2bl w:val="nil"/>
                  </w:tcBorders>
                  <w:vAlign w:val="center"/>
                </w:tcPr>
                <w:p w14:paraId="50390F83">
                  <w:pPr>
                    <w:pStyle w:val="27"/>
                    <w:overflowPunct/>
                    <w:autoSpaceDE/>
                    <w:autoSpaceDN/>
                    <w:spacing w:before="0" w:after="0" w:line="240" w:lineRule="auto"/>
                    <w:ind w:right="0" w:rightChars="0" w:firstLine="0" w:firstLineChars="0"/>
                    <w:jc w:val="both"/>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排放废气含有毒有害污染物</w:t>
                  </w:r>
                  <w:r>
                    <w:rPr>
                      <w:rFonts w:ascii="Times New Roman" w:hAnsi="Times New Roman" w:eastAsia="宋体" w:cs="Times New Roman"/>
                      <w:color w:val="auto"/>
                      <w:spacing w:val="0"/>
                      <w:position w:val="0"/>
                      <w:sz w:val="21"/>
                      <w:szCs w:val="21"/>
                      <w:highlight w:val="none"/>
                      <w:vertAlign w:val="superscript"/>
                    </w:rPr>
                    <w:fldChar w:fldCharType="begin"/>
                  </w:r>
                  <w:r>
                    <w:rPr>
                      <w:rFonts w:ascii="Times New Roman" w:hAnsi="Times New Roman" w:eastAsia="宋体" w:cs="Times New Roman"/>
                      <w:color w:val="auto"/>
                      <w:spacing w:val="0"/>
                      <w:position w:val="0"/>
                      <w:sz w:val="21"/>
                      <w:szCs w:val="21"/>
                      <w:highlight w:val="none"/>
                      <w:vertAlign w:val="superscript"/>
                    </w:rPr>
                    <w:instrText xml:space="preserve"> = 1 \* GB3 \* MERGEFORMAT </w:instrText>
                  </w:r>
                  <w:r>
                    <w:rPr>
                      <w:rFonts w:ascii="Times New Roman" w:hAnsi="Times New Roman" w:eastAsia="宋体" w:cs="Times New Roman"/>
                      <w:color w:val="auto"/>
                      <w:spacing w:val="0"/>
                      <w:position w:val="0"/>
                      <w:sz w:val="21"/>
                      <w:szCs w:val="21"/>
                      <w:highlight w:val="none"/>
                      <w:vertAlign w:val="superscript"/>
                    </w:rPr>
                    <w:fldChar w:fldCharType="separate"/>
                  </w:r>
                  <w:r>
                    <w:rPr>
                      <w:rFonts w:ascii="Times New Roman" w:hAnsi="Times New Roman" w:eastAsia="宋体" w:cs="Times New Roman"/>
                      <w:color w:val="auto"/>
                      <w:sz w:val="21"/>
                      <w:szCs w:val="21"/>
                      <w:highlight w:val="none"/>
                      <w:vertAlign w:val="superscript"/>
                    </w:rPr>
                    <w:t>①</w:t>
                  </w:r>
                  <w:r>
                    <w:rPr>
                      <w:rFonts w:ascii="Times New Roman" w:hAnsi="Times New Roman" w:eastAsia="宋体" w:cs="Times New Roman"/>
                      <w:color w:val="auto"/>
                      <w:spacing w:val="0"/>
                      <w:position w:val="0"/>
                      <w:sz w:val="21"/>
                      <w:szCs w:val="21"/>
                      <w:highlight w:val="none"/>
                      <w:vertAlign w:val="superscript"/>
                    </w:rPr>
                    <w:fldChar w:fldCharType="end"/>
                  </w:r>
                  <w:r>
                    <w:rPr>
                      <w:rFonts w:ascii="Times New Roman" w:hAnsi="Times New Roman" w:eastAsia="宋体" w:cs="Times New Roman"/>
                      <w:color w:val="auto"/>
                      <w:spacing w:val="0"/>
                      <w:position w:val="0"/>
                      <w:sz w:val="21"/>
                      <w:szCs w:val="21"/>
                      <w:highlight w:val="none"/>
                    </w:rPr>
                    <w:t>、二噁英、苯并[a]芘、氰化物、氯气且厂界外500米范围内有环境空气保护目标</w:t>
                  </w:r>
                  <w:r>
                    <w:rPr>
                      <w:rFonts w:ascii="Times New Roman" w:hAnsi="Times New Roman" w:eastAsia="宋体" w:cs="Times New Roman"/>
                      <w:color w:val="auto"/>
                      <w:spacing w:val="0"/>
                      <w:position w:val="0"/>
                      <w:sz w:val="21"/>
                      <w:szCs w:val="21"/>
                      <w:highlight w:val="none"/>
                      <w:vertAlign w:val="superscript"/>
                    </w:rPr>
                    <w:fldChar w:fldCharType="begin"/>
                  </w:r>
                  <w:r>
                    <w:rPr>
                      <w:rFonts w:ascii="Times New Roman" w:hAnsi="Times New Roman" w:eastAsia="宋体" w:cs="Times New Roman"/>
                      <w:color w:val="auto"/>
                      <w:spacing w:val="0"/>
                      <w:position w:val="0"/>
                      <w:sz w:val="21"/>
                      <w:szCs w:val="21"/>
                      <w:highlight w:val="none"/>
                      <w:vertAlign w:val="superscript"/>
                    </w:rPr>
                    <w:instrText xml:space="preserve"> = 2 \* GB3 \* MERGEFORMAT </w:instrText>
                  </w:r>
                  <w:r>
                    <w:rPr>
                      <w:rFonts w:ascii="Times New Roman" w:hAnsi="Times New Roman" w:eastAsia="宋体" w:cs="Times New Roman"/>
                      <w:color w:val="auto"/>
                      <w:spacing w:val="0"/>
                      <w:position w:val="0"/>
                      <w:sz w:val="21"/>
                      <w:szCs w:val="21"/>
                      <w:highlight w:val="none"/>
                      <w:vertAlign w:val="superscript"/>
                    </w:rPr>
                    <w:fldChar w:fldCharType="separate"/>
                  </w:r>
                  <w:r>
                    <w:rPr>
                      <w:rFonts w:ascii="Times New Roman" w:hAnsi="Times New Roman" w:eastAsia="宋体" w:cs="Times New Roman"/>
                      <w:color w:val="auto"/>
                      <w:sz w:val="21"/>
                      <w:szCs w:val="21"/>
                      <w:highlight w:val="none"/>
                      <w:vertAlign w:val="superscript"/>
                    </w:rPr>
                    <w:t>②</w:t>
                  </w:r>
                  <w:r>
                    <w:rPr>
                      <w:rFonts w:ascii="Times New Roman" w:hAnsi="Times New Roman" w:eastAsia="宋体" w:cs="Times New Roman"/>
                      <w:color w:val="auto"/>
                      <w:spacing w:val="0"/>
                      <w:position w:val="0"/>
                      <w:sz w:val="21"/>
                      <w:szCs w:val="21"/>
                      <w:highlight w:val="none"/>
                      <w:vertAlign w:val="superscript"/>
                    </w:rPr>
                    <w:fldChar w:fldCharType="end"/>
                  </w:r>
                  <w:r>
                    <w:rPr>
                      <w:rFonts w:ascii="Times New Roman" w:hAnsi="Times New Roman" w:eastAsia="宋体" w:cs="Times New Roman"/>
                      <w:color w:val="auto"/>
                      <w:spacing w:val="0"/>
                      <w:position w:val="0"/>
                      <w:sz w:val="21"/>
                      <w:szCs w:val="21"/>
                      <w:highlight w:val="none"/>
                    </w:rPr>
                    <w:t>的建设项目</w:t>
                  </w:r>
                </w:p>
              </w:tc>
              <w:tc>
                <w:tcPr>
                  <w:tcW w:w="2724" w:type="dxa"/>
                  <w:tcBorders>
                    <w:tl2br w:val="nil"/>
                    <w:tr2bl w:val="nil"/>
                  </w:tcBorders>
                  <w:vAlign w:val="center"/>
                </w:tcPr>
                <w:p w14:paraId="51A05FAB">
                  <w:pPr>
                    <w:pStyle w:val="27"/>
                    <w:overflowPunct/>
                    <w:autoSpaceDE/>
                    <w:autoSpaceDN/>
                    <w:spacing w:before="0" w:after="0" w:line="240" w:lineRule="auto"/>
                    <w:ind w:right="0"/>
                    <w:jc w:val="both"/>
                    <w:textAlignment w:val="auto"/>
                    <w:rPr>
                      <w:rFonts w:hint="eastAsia"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rPr>
                    <w:t>项目废气污染物</w:t>
                  </w:r>
                  <w:r>
                    <w:rPr>
                      <w:rFonts w:hint="eastAsia" w:ascii="Times New Roman" w:hAnsi="Times New Roman" w:eastAsia="宋体" w:cs="Times New Roman"/>
                      <w:b w:val="0"/>
                      <w:bCs w:val="0"/>
                      <w:color w:val="auto"/>
                      <w:spacing w:val="0"/>
                      <w:position w:val="0"/>
                      <w:sz w:val="21"/>
                      <w:szCs w:val="21"/>
                      <w:highlight w:val="none"/>
                      <w:lang w:eastAsia="zh-CN"/>
                    </w:rPr>
                    <w:t>包括二甲苯</w:t>
                  </w:r>
                  <w:r>
                    <w:rPr>
                      <w:rFonts w:hint="eastAsia" w:ascii="Times New Roman" w:hAnsi="Times New Roman" w:eastAsia="宋体" w:cs="Times New Roman"/>
                      <w:b w:val="0"/>
                      <w:bCs w:val="0"/>
                      <w:color w:val="auto"/>
                      <w:spacing w:val="0"/>
                      <w:position w:val="0"/>
                      <w:sz w:val="21"/>
                      <w:szCs w:val="21"/>
                      <w:highlight w:val="none"/>
                      <w:lang w:val="en-US" w:eastAsia="zh-CN"/>
                    </w:rPr>
                    <w:t>、苯系物、</w:t>
                  </w:r>
                  <w:r>
                    <w:rPr>
                      <w:rFonts w:hint="default" w:ascii="Times New Roman" w:hAnsi="Times New Roman" w:eastAsia="宋体" w:cs="Times New Roman"/>
                      <w:b w:val="0"/>
                      <w:bCs w:val="0"/>
                      <w:color w:val="auto"/>
                      <w:spacing w:val="0"/>
                      <w:position w:val="0"/>
                      <w:sz w:val="21"/>
                      <w:szCs w:val="21"/>
                      <w:highlight w:val="none"/>
                      <w:lang w:eastAsia="zh-CN"/>
                    </w:rPr>
                    <w:t>乙酸乙酯</w:t>
                  </w:r>
                  <w:r>
                    <w:rPr>
                      <w:rFonts w:hint="eastAsia" w:ascii="Times New Roman" w:hAnsi="Times New Roman" w:eastAsia="宋体" w:cs="Times New Roman"/>
                      <w:b w:val="0"/>
                      <w:bCs w:val="0"/>
                      <w:color w:val="auto"/>
                      <w:spacing w:val="0"/>
                      <w:position w:val="0"/>
                      <w:sz w:val="21"/>
                      <w:szCs w:val="21"/>
                      <w:highlight w:val="none"/>
                      <w:lang w:eastAsia="zh-CN"/>
                    </w:rPr>
                    <w:t>、</w:t>
                  </w:r>
                  <w:r>
                    <w:rPr>
                      <w:rFonts w:hint="default" w:ascii="Times New Roman" w:hAnsi="Times New Roman" w:eastAsia="宋体" w:cs="Times New Roman"/>
                      <w:b w:val="0"/>
                      <w:bCs w:val="0"/>
                      <w:color w:val="auto"/>
                      <w:spacing w:val="0"/>
                      <w:position w:val="0"/>
                      <w:sz w:val="21"/>
                      <w:szCs w:val="21"/>
                      <w:highlight w:val="none"/>
                      <w:lang w:eastAsia="zh-CN"/>
                    </w:rPr>
                    <w:t>乙酸丁酯</w:t>
                  </w:r>
                  <w:r>
                    <w:rPr>
                      <w:rFonts w:hint="eastAsia" w:ascii="Times New Roman" w:hAnsi="Times New Roman" w:eastAsia="宋体" w:cs="Times New Roman"/>
                      <w:b w:val="0"/>
                      <w:bCs w:val="0"/>
                      <w:color w:val="auto"/>
                      <w:spacing w:val="0"/>
                      <w:position w:val="0"/>
                      <w:sz w:val="21"/>
                      <w:szCs w:val="21"/>
                      <w:highlight w:val="none"/>
                      <w:lang w:eastAsia="zh-CN"/>
                    </w:rPr>
                    <w:t>、非甲烷总烃、颗粒物，</w:t>
                  </w:r>
                  <w:r>
                    <w:rPr>
                      <w:rFonts w:ascii="Times New Roman" w:hAnsi="Times New Roman" w:eastAsia="宋体" w:cs="Times New Roman"/>
                      <w:b w:val="0"/>
                      <w:bCs w:val="0"/>
                      <w:color w:val="auto"/>
                      <w:spacing w:val="0"/>
                      <w:position w:val="0"/>
                      <w:sz w:val="21"/>
                      <w:szCs w:val="21"/>
                      <w:highlight w:val="none"/>
                    </w:rPr>
                    <w:t>不涉及</w:t>
                  </w:r>
                  <w:r>
                    <w:rPr>
                      <w:rFonts w:hint="eastAsia" w:ascii="Times New Roman" w:hAnsi="Times New Roman" w:eastAsia="宋体" w:cs="Times New Roman"/>
                      <w:b w:val="0"/>
                      <w:bCs w:val="0"/>
                      <w:color w:val="auto"/>
                      <w:spacing w:val="0"/>
                      <w:position w:val="0"/>
                      <w:sz w:val="21"/>
                      <w:szCs w:val="21"/>
                      <w:highlight w:val="none"/>
                      <w:lang w:eastAsia="zh-CN"/>
                    </w:rPr>
                    <w:t>规定的</w:t>
                  </w:r>
                  <w:r>
                    <w:rPr>
                      <w:rFonts w:ascii="Times New Roman" w:hAnsi="Times New Roman" w:eastAsia="宋体" w:cs="Times New Roman"/>
                      <w:b w:val="0"/>
                      <w:bCs w:val="0"/>
                      <w:color w:val="auto"/>
                      <w:spacing w:val="0"/>
                      <w:position w:val="0"/>
                      <w:sz w:val="21"/>
                      <w:szCs w:val="21"/>
                      <w:highlight w:val="none"/>
                    </w:rPr>
                    <w:t>有毒有害物质</w:t>
                  </w:r>
                  <w:r>
                    <w:rPr>
                      <w:rFonts w:hint="eastAsia" w:ascii="Times New Roman" w:hAnsi="Times New Roman" w:eastAsia="宋体" w:cs="Times New Roman"/>
                      <w:b w:val="0"/>
                      <w:bCs w:val="0"/>
                      <w:color w:val="auto"/>
                      <w:spacing w:val="0"/>
                      <w:position w:val="0"/>
                      <w:sz w:val="21"/>
                      <w:szCs w:val="21"/>
                      <w:highlight w:val="none"/>
                      <w:lang w:eastAsia="zh-CN"/>
                    </w:rPr>
                    <w:t>。</w:t>
                  </w:r>
                </w:p>
              </w:tc>
              <w:tc>
                <w:tcPr>
                  <w:tcW w:w="912" w:type="dxa"/>
                  <w:tcBorders>
                    <w:tl2br w:val="nil"/>
                    <w:tr2bl w:val="nil"/>
                  </w:tcBorders>
                  <w:vAlign w:val="center"/>
                </w:tcPr>
                <w:p w14:paraId="44AB1A05">
                  <w:pPr>
                    <w:pStyle w:val="27"/>
                    <w:overflowPunct/>
                    <w:autoSpaceDE/>
                    <w:autoSpaceDN/>
                    <w:spacing w:before="0" w:after="0" w:line="240" w:lineRule="auto"/>
                    <w:ind w:right="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否</w:t>
                  </w:r>
                </w:p>
              </w:tc>
            </w:tr>
            <w:tr w14:paraId="2FDB34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tcBorders>
                    <w:tl2br w:val="nil"/>
                    <w:tr2bl w:val="nil"/>
                  </w:tcBorders>
                  <w:vAlign w:val="center"/>
                </w:tcPr>
                <w:p w14:paraId="12E371D3">
                  <w:pPr>
                    <w:pStyle w:val="27"/>
                    <w:overflowPunct/>
                    <w:autoSpaceDE/>
                    <w:autoSpaceDN/>
                    <w:spacing w:before="0" w:after="0" w:line="240" w:lineRule="auto"/>
                    <w:ind w:right="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地表水</w:t>
                  </w:r>
                </w:p>
              </w:tc>
              <w:tc>
                <w:tcPr>
                  <w:tcW w:w="2307" w:type="dxa"/>
                  <w:tcBorders>
                    <w:tl2br w:val="nil"/>
                    <w:tr2bl w:val="nil"/>
                  </w:tcBorders>
                  <w:vAlign w:val="center"/>
                </w:tcPr>
                <w:p w14:paraId="2647A1C7">
                  <w:pPr>
                    <w:pStyle w:val="27"/>
                    <w:overflowPunct/>
                    <w:autoSpaceDE/>
                    <w:autoSpaceDN/>
                    <w:spacing w:before="0" w:after="0" w:line="240" w:lineRule="auto"/>
                    <w:ind w:right="0" w:rightChars="0" w:firstLine="0" w:firstLineChars="0"/>
                    <w:jc w:val="both"/>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新增工业废水直排建设项目（槽罐车外送污水处理厂的除外）；新增废水直排的污水集中处理厂</w:t>
                  </w:r>
                </w:p>
              </w:tc>
              <w:tc>
                <w:tcPr>
                  <w:tcW w:w="2724" w:type="dxa"/>
                  <w:tcBorders>
                    <w:tl2br w:val="nil"/>
                    <w:tr2bl w:val="nil"/>
                  </w:tcBorders>
                  <w:vAlign w:val="center"/>
                </w:tcPr>
                <w:p w14:paraId="70252420">
                  <w:pPr>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kern w:val="0"/>
                      <w:sz w:val="21"/>
                      <w:szCs w:val="21"/>
                      <w:highlight w:val="none"/>
                      <w:lang w:bidi="ar"/>
                    </w:rPr>
                    <w:t>项目</w:t>
                  </w:r>
                  <w:r>
                    <w:rPr>
                      <w:rFonts w:hint="eastAsia" w:ascii="Times New Roman" w:hAnsi="Times New Roman" w:eastAsia="宋体" w:cs="Times New Roman"/>
                      <w:color w:val="auto"/>
                      <w:kern w:val="0"/>
                      <w:sz w:val="21"/>
                      <w:szCs w:val="21"/>
                      <w:highlight w:val="none"/>
                      <w:lang w:eastAsia="zh-CN" w:bidi="ar"/>
                    </w:rPr>
                    <w:t>水帘气旋废</w:t>
                  </w:r>
                  <w:r>
                    <w:rPr>
                      <w:rFonts w:hint="eastAsia" w:ascii="Times New Roman" w:hAnsi="Times New Roman" w:eastAsia="宋体" w:cs="Times New Roman"/>
                      <w:color w:val="auto"/>
                      <w:highlight w:val="none"/>
                      <w:lang w:val="en-US" w:eastAsia="zh-CN"/>
                    </w:rPr>
                    <w:t>水</w:t>
                  </w:r>
                  <w:r>
                    <w:rPr>
                      <w:rFonts w:hint="eastAsia" w:ascii="Times New Roman" w:hAnsi="Times New Roman" w:eastAsia="宋体" w:cs="Times New Roman"/>
                      <w:color w:val="auto"/>
                      <w:kern w:val="0"/>
                      <w:sz w:val="21"/>
                      <w:szCs w:val="21"/>
                      <w:highlight w:val="none"/>
                      <w:lang w:bidi="ar"/>
                    </w:rPr>
                    <w:t>经</w:t>
                  </w:r>
                  <w:r>
                    <w:rPr>
                      <w:rFonts w:hint="eastAsia" w:ascii="Times New Roman" w:hAnsi="Times New Roman" w:eastAsia="宋体" w:cs="Times New Roman"/>
                      <w:color w:val="auto"/>
                      <w:kern w:val="0"/>
                      <w:sz w:val="21"/>
                      <w:szCs w:val="21"/>
                      <w:highlight w:val="none"/>
                      <w:lang w:val="en-US" w:eastAsia="zh-CN" w:bidi="ar"/>
                    </w:rPr>
                    <w:t>废水处理设施</w:t>
                  </w:r>
                  <w:r>
                    <w:rPr>
                      <w:rFonts w:hint="eastAsia" w:ascii="Times New Roman" w:hAnsi="Times New Roman" w:eastAsia="宋体" w:cs="Times New Roman"/>
                      <w:color w:val="auto"/>
                      <w:kern w:val="0"/>
                      <w:sz w:val="21"/>
                      <w:szCs w:val="21"/>
                      <w:highlight w:val="none"/>
                      <w:lang w:bidi="ar"/>
                    </w:rPr>
                    <w:t>处理后</w:t>
                  </w:r>
                  <w:r>
                    <w:rPr>
                      <w:rFonts w:hint="eastAsia" w:ascii="Times New Roman" w:hAnsi="Times New Roman" w:eastAsia="宋体" w:cs="Times New Roman"/>
                      <w:color w:val="auto"/>
                      <w:kern w:val="0"/>
                      <w:sz w:val="21"/>
                      <w:szCs w:val="21"/>
                      <w:highlight w:val="none"/>
                      <w:lang w:eastAsia="zh-CN" w:bidi="ar"/>
                    </w:rPr>
                    <w:t>，</w:t>
                  </w:r>
                  <w:r>
                    <w:rPr>
                      <w:rFonts w:hint="eastAsia" w:ascii="Times New Roman" w:hAnsi="Times New Roman" w:eastAsia="宋体" w:cs="Times New Roman"/>
                      <w:color w:val="auto"/>
                      <w:kern w:val="0"/>
                      <w:sz w:val="21"/>
                      <w:szCs w:val="21"/>
                      <w:highlight w:val="none"/>
                      <w:lang w:bidi="ar"/>
                    </w:rPr>
                    <w:t>回用于</w:t>
                  </w:r>
                  <w:r>
                    <w:rPr>
                      <w:rFonts w:hint="eastAsia" w:ascii="Times New Roman" w:hAnsi="Times New Roman" w:eastAsia="宋体" w:cs="Times New Roman"/>
                      <w:color w:val="auto"/>
                      <w:kern w:val="0"/>
                      <w:sz w:val="21"/>
                      <w:szCs w:val="21"/>
                      <w:highlight w:val="none"/>
                      <w:lang w:val="en-US" w:eastAsia="zh-CN" w:bidi="ar"/>
                    </w:rPr>
                    <w:t>生产</w:t>
                  </w:r>
                  <w:r>
                    <w:rPr>
                      <w:rFonts w:hint="eastAsia" w:ascii="Times New Roman" w:hAnsi="Times New Roman" w:eastAsia="宋体" w:cs="Times New Roman"/>
                      <w:color w:val="auto"/>
                      <w:kern w:val="0"/>
                      <w:sz w:val="21"/>
                      <w:szCs w:val="21"/>
                      <w:highlight w:val="none"/>
                      <w:lang w:bidi="ar"/>
                    </w:rPr>
                    <w:t>，循环使用</w:t>
                  </w:r>
                  <w:r>
                    <w:rPr>
                      <w:rFonts w:hint="eastAsia" w:cs="Times New Roman"/>
                      <w:color w:val="auto"/>
                      <w:kern w:val="0"/>
                      <w:sz w:val="21"/>
                      <w:szCs w:val="21"/>
                      <w:highlight w:val="none"/>
                      <w:lang w:eastAsia="zh-CN" w:bidi="ar"/>
                    </w:rPr>
                    <w:t>，</w:t>
                  </w:r>
                  <w:r>
                    <w:rPr>
                      <w:rFonts w:hint="eastAsia" w:cs="Times New Roman"/>
                      <w:color w:val="auto"/>
                      <w:kern w:val="0"/>
                      <w:sz w:val="21"/>
                      <w:szCs w:val="21"/>
                      <w:highlight w:val="none"/>
                      <w:lang w:val="en-US" w:eastAsia="zh-CN" w:bidi="ar"/>
                    </w:rPr>
                    <w:t>不外排</w:t>
                  </w:r>
                  <w:r>
                    <w:rPr>
                      <w:rFonts w:hint="eastAsia" w:cs="Times New Roman"/>
                      <w:color w:val="auto"/>
                      <w:kern w:val="0"/>
                      <w:sz w:val="21"/>
                      <w:szCs w:val="21"/>
                      <w:highlight w:val="none"/>
                      <w:lang w:eastAsia="zh-CN" w:bidi="ar"/>
                    </w:rPr>
                    <w:t>；</w:t>
                  </w:r>
                  <w:r>
                    <w:rPr>
                      <w:rFonts w:hint="eastAsia" w:ascii="Times New Roman" w:hAnsi="Times New Roman" w:eastAsia="宋体" w:cs="Times New Roman"/>
                      <w:color w:val="auto"/>
                      <w:highlight w:val="none"/>
                      <w:lang w:val="en-US" w:eastAsia="zh-CN"/>
                    </w:rPr>
                    <w:t>水帘气旋废液</w:t>
                  </w:r>
                  <w:r>
                    <w:rPr>
                      <w:rFonts w:hint="eastAsia" w:ascii="Times New Roman" w:hAnsi="Times New Roman" w:eastAsia="宋体" w:cs="Times New Roman"/>
                      <w:color w:val="auto"/>
                      <w:kern w:val="0"/>
                      <w:sz w:val="21"/>
                      <w:szCs w:val="21"/>
                      <w:highlight w:val="none"/>
                      <w:lang w:eastAsia="zh-CN" w:bidi="ar"/>
                    </w:rPr>
                    <w:t>一年更换</w:t>
                  </w:r>
                  <w:r>
                    <w:rPr>
                      <w:rFonts w:hint="eastAsia" w:ascii="Times New Roman" w:hAnsi="Times New Roman" w:eastAsia="宋体" w:cs="Times New Roman"/>
                      <w:color w:val="auto"/>
                      <w:kern w:val="0"/>
                      <w:sz w:val="21"/>
                      <w:szCs w:val="21"/>
                      <w:highlight w:val="none"/>
                      <w:lang w:val="en-US" w:eastAsia="zh-CN" w:bidi="ar"/>
                    </w:rPr>
                    <w:t>一次</w:t>
                  </w:r>
                  <w:r>
                    <w:rPr>
                      <w:rFonts w:hint="eastAsia" w:ascii="Times New Roman" w:hAnsi="Times New Roman" w:eastAsia="宋体" w:cs="Times New Roman"/>
                      <w:color w:val="auto"/>
                      <w:kern w:val="0"/>
                      <w:sz w:val="21"/>
                      <w:szCs w:val="21"/>
                      <w:highlight w:val="none"/>
                      <w:lang w:bidi="ar"/>
                    </w:rPr>
                    <w:t>作为危废，委托有资质单位回收处置，不外排</w:t>
                  </w:r>
                  <w:r>
                    <w:rPr>
                      <w:rFonts w:ascii="Times New Roman" w:hAnsi="Times New Roman" w:eastAsia="宋体" w:cs="Times New Roman"/>
                      <w:color w:val="auto"/>
                      <w:kern w:val="0"/>
                      <w:sz w:val="21"/>
                      <w:szCs w:val="21"/>
                      <w:highlight w:val="none"/>
                      <w:lang w:bidi="ar"/>
                    </w:rPr>
                    <w:t>，</w:t>
                  </w:r>
                  <w:r>
                    <w:rPr>
                      <w:rFonts w:hint="eastAsia" w:ascii="Times New Roman" w:hAnsi="Times New Roman" w:eastAsia="宋体" w:cs="Times New Roman"/>
                      <w:color w:val="auto"/>
                      <w:spacing w:val="0"/>
                      <w:position w:val="0"/>
                      <w:sz w:val="21"/>
                      <w:szCs w:val="21"/>
                      <w:highlight w:val="none"/>
                      <w:lang w:val="en-US" w:eastAsia="zh-CN"/>
                    </w:rPr>
                    <w:t>喷枪清洗废液作为危险废物委托有资质单位处置</w:t>
                  </w:r>
                  <w:r>
                    <w:rPr>
                      <w:rFonts w:hint="eastAsia" w:ascii="Times New Roman" w:hAnsi="Times New Roman" w:eastAsia="宋体" w:cs="Times New Roman"/>
                      <w:snapToGrid w:val="0"/>
                      <w:color w:val="auto"/>
                      <w:spacing w:val="0"/>
                      <w:position w:val="0"/>
                      <w:sz w:val="21"/>
                      <w:szCs w:val="21"/>
                      <w:highlight w:val="none"/>
                      <w:lang w:val="en-US" w:eastAsia="zh-CN"/>
                    </w:rPr>
                    <w:t>；</w:t>
                  </w:r>
                  <w:r>
                    <w:rPr>
                      <w:rFonts w:ascii="Times New Roman" w:hAnsi="Times New Roman" w:eastAsia="宋体" w:cs="Times New Roman"/>
                      <w:color w:val="auto"/>
                      <w:spacing w:val="0"/>
                      <w:position w:val="0"/>
                      <w:sz w:val="21"/>
                      <w:szCs w:val="21"/>
                      <w:highlight w:val="none"/>
                    </w:rPr>
                    <w:t>生活污水经</w:t>
                  </w:r>
                  <w:r>
                    <w:rPr>
                      <w:rFonts w:hint="eastAsia" w:ascii="Times New Roman" w:hAnsi="Times New Roman" w:eastAsia="宋体" w:cs="Times New Roman"/>
                      <w:color w:val="auto"/>
                      <w:spacing w:val="0"/>
                      <w:position w:val="0"/>
                      <w:sz w:val="21"/>
                      <w:szCs w:val="21"/>
                      <w:highlight w:val="none"/>
                      <w:lang w:eastAsia="zh-CN"/>
                    </w:rPr>
                    <w:t>化粪池</w:t>
                  </w:r>
                  <w:r>
                    <w:rPr>
                      <w:rFonts w:ascii="Times New Roman" w:hAnsi="Times New Roman" w:eastAsia="宋体" w:cs="Times New Roman"/>
                      <w:color w:val="auto"/>
                      <w:spacing w:val="0"/>
                      <w:position w:val="0"/>
                      <w:sz w:val="21"/>
                      <w:szCs w:val="21"/>
                      <w:highlight w:val="none"/>
                    </w:rPr>
                    <w:t>处理后</w:t>
                  </w:r>
                  <w:r>
                    <w:rPr>
                      <w:rFonts w:hint="eastAsia" w:ascii="Times New Roman" w:hAnsi="Times New Roman" w:eastAsia="宋体" w:cs="Times New Roman"/>
                      <w:color w:val="auto"/>
                      <w:spacing w:val="0"/>
                      <w:position w:val="0"/>
                      <w:sz w:val="21"/>
                      <w:szCs w:val="21"/>
                      <w:highlight w:val="none"/>
                      <w:lang w:eastAsia="zh-CN"/>
                    </w:rPr>
                    <w:t>经市政管网</w:t>
                  </w:r>
                  <w:r>
                    <w:rPr>
                      <w:rFonts w:hint="eastAsia" w:ascii="Times New Roman" w:hAnsi="Times New Roman" w:eastAsia="宋体" w:cs="Times New Roman"/>
                      <w:color w:val="auto"/>
                      <w:spacing w:val="0"/>
                      <w:position w:val="0"/>
                      <w:sz w:val="21"/>
                      <w:szCs w:val="21"/>
                      <w:highlight w:val="none"/>
                    </w:rPr>
                    <w:t>排入</w:t>
                  </w:r>
                  <w:r>
                    <w:rPr>
                      <w:rFonts w:hint="eastAsia" w:ascii="Times New Roman" w:hAnsi="Times New Roman" w:eastAsia="宋体" w:cs="Times New Roman"/>
                      <w:color w:val="auto"/>
                      <w:spacing w:val="0"/>
                      <w:position w:val="0"/>
                      <w:sz w:val="21"/>
                      <w:szCs w:val="21"/>
                      <w:highlight w:val="none"/>
                      <w:lang w:eastAsia="zh-CN"/>
                    </w:rPr>
                    <w:t>闽侯县城关污水处理厂处理。</w:t>
                  </w:r>
                </w:p>
              </w:tc>
              <w:tc>
                <w:tcPr>
                  <w:tcW w:w="912" w:type="dxa"/>
                  <w:tcBorders>
                    <w:tl2br w:val="nil"/>
                    <w:tr2bl w:val="nil"/>
                  </w:tcBorders>
                  <w:vAlign w:val="center"/>
                </w:tcPr>
                <w:p w14:paraId="63520466">
                  <w:pPr>
                    <w:pStyle w:val="27"/>
                    <w:overflowPunct/>
                    <w:autoSpaceDE/>
                    <w:autoSpaceDN/>
                    <w:spacing w:before="0" w:after="0" w:line="240" w:lineRule="auto"/>
                    <w:ind w:right="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ascii="Times New Roman" w:hAnsi="Times New Roman" w:eastAsia="宋体" w:cs="Times New Roman"/>
                      <w:color w:val="auto"/>
                      <w:spacing w:val="0"/>
                      <w:position w:val="0"/>
                      <w:sz w:val="21"/>
                      <w:szCs w:val="21"/>
                      <w:highlight w:val="none"/>
                    </w:rPr>
                    <w:t>否</w:t>
                  </w:r>
                </w:p>
              </w:tc>
            </w:tr>
            <w:tr w14:paraId="4C454C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tcBorders>
                    <w:tl2br w:val="nil"/>
                    <w:tr2bl w:val="nil"/>
                  </w:tcBorders>
                  <w:vAlign w:val="center"/>
                </w:tcPr>
                <w:p w14:paraId="0156540D">
                  <w:pPr>
                    <w:pStyle w:val="27"/>
                    <w:overflowPunct/>
                    <w:autoSpaceDE/>
                    <w:autoSpaceDN/>
                    <w:spacing w:before="0" w:after="0" w:line="240" w:lineRule="auto"/>
                    <w:ind w:right="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环境</w:t>
                  </w:r>
                </w:p>
                <w:p w14:paraId="73BF794D">
                  <w:pPr>
                    <w:pStyle w:val="27"/>
                    <w:overflowPunct/>
                    <w:autoSpaceDE/>
                    <w:autoSpaceDN/>
                    <w:spacing w:before="0" w:after="0" w:line="240" w:lineRule="auto"/>
                    <w:ind w:right="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风险</w:t>
                  </w:r>
                </w:p>
              </w:tc>
              <w:tc>
                <w:tcPr>
                  <w:tcW w:w="2307" w:type="dxa"/>
                  <w:tcBorders>
                    <w:tl2br w:val="nil"/>
                    <w:tr2bl w:val="nil"/>
                  </w:tcBorders>
                  <w:vAlign w:val="center"/>
                </w:tcPr>
                <w:p w14:paraId="4D9FB89C">
                  <w:pPr>
                    <w:pStyle w:val="27"/>
                    <w:overflowPunct/>
                    <w:autoSpaceDE/>
                    <w:autoSpaceDN/>
                    <w:spacing w:before="0" w:after="0" w:line="240" w:lineRule="auto"/>
                    <w:ind w:right="0" w:rightChars="0" w:firstLine="0" w:firstLineChars="0"/>
                    <w:jc w:val="both"/>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有毒有害和易燃易爆危险物质存储量超过临界量</w:t>
                  </w:r>
                  <w:r>
                    <w:rPr>
                      <w:rFonts w:ascii="Times New Roman" w:hAnsi="Times New Roman" w:eastAsia="宋体" w:cs="Times New Roman"/>
                      <w:color w:val="auto"/>
                      <w:spacing w:val="0"/>
                      <w:position w:val="0"/>
                      <w:sz w:val="21"/>
                      <w:szCs w:val="21"/>
                      <w:highlight w:val="none"/>
                      <w:vertAlign w:val="superscript"/>
                    </w:rPr>
                    <w:fldChar w:fldCharType="begin"/>
                  </w:r>
                  <w:r>
                    <w:rPr>
                      <w:rFonts w:ascii="Times New Roman" w:hAnsi="Times New Roman" w:eastAsia="宋体" w:cs="Times New Roman"/>
                      <w:color w:val="auto"/>
                      <w:spacing w:val="0"/>
                      <w:position w:val="0"/>
                      <w:sz w:val="21"/>
                      <w:szCs w:val="21"/>
                      <w:highlight w:val="none"/>
                      <w:vertAlign w:val="superscript"/>
                    </w:rPr>
                    <w:instrText xml:space="preserve"> = 3 \* GB3 \* MERGEFORMAT </w:instrText>
                  </w:r>
                  <w:r>
                    <w:rPr>
                      <w:rFonts w:ascii="Times New Roman" w:hAnsi="Times New Roman" w:eastAsia="宋体" w:cs="Times New Roman"/>
                      <w:color w:val="auto"/>
                      <w:spacing w:val="0"/>
                      <w:position w:val="0"/>
                      <w:sz w:val="21"/>
                      <w:szCs w:val="21"/>
                      <w:highlight w:val="none"/>
                      <w:vertAlign w:val="superscript"/>
                    </w:rPr>
                    <w:fldChar w:fldCharType="separate"/>
                  </w:r>
                  <w:r>
                    <w:rPr>
                      <w:rFonts w:ascii="Times New Roman" w:hAnsi="Times New Roman" w:eastAsia="宋体" w:cs="Times New Roman"/>
                      <w:color w:val="auto"/>
                      <w:sz w:val="21"/>
                      <w:szCs w:val="21"/>
                      <w:highlight w:val="none"/>
                      <w:vertAlign w:val="superscript"/>
                    </w:rPr>
                    <w:t>③</w:t>
                  </w:r>
                  <w:r>
                    <w:rPr>
                      <w:rFonts w:ascii="Times New Roman" w:hAnsi="Times New Roman" w:eastAsia="宋体" w:cs="Times New Roman"/>
                      <w:color w:val="auto"/>
                      <w:spacing w:val="0"/>
                      <w:position w:val="0"/>
                      <w:sz w:val="21"/>
                      <w:szCs w:val="21"/>
                      <w:highlight w:val="none"/>
                      <w:vertAlign w:val="superscript"/>
                    </w:rPr>
                    <w:fldChar w:fldCharType="end"/>
                  </w:r>
                  <w:r>
                    <w:rPr>
                      <w:rFonts w:ascii="Times New Roman" w:hAnsi="Times New Roman" w:eastAsia="宋体" w:cs="Times New Roman"/>
                      <w:color w:val="auto"/>
                      <w:spacing w:val="0"/>
                      <w:position w:val="0"/>
                      <w:sz w:val="21"/>
                      <w:szCs w:val="21"/>
                      <w:highlight w:val="none"/>
                    </w:rPr>
                    <w:t>的建设项目</w:t>
                  </w:r>
                </w:p>
              </w:tc>
              <w:tc>
                <w:tcPr>
                  <w:tcW w:w="2724" w:type="dxa"/>
                  <w:tcBorders>
                    <w:tl2br w:val="nil"/>
                    <w:tr2bl w:val="nil"/>
                  </w:tcBorders>
                  <w:vAlign w:val="center"/>
                </w:tcPr>
                <w:p w14:paraId="0EEFA24E">
                  <w:pPr>
                    <w:pStyle w:val="27"/>
                    <w:overflowPunct/>
                    <w:autoSpaceDE/>
                    <w:autoSpaceDN/>
                    <w:spacing w:before="0" w:after="0" w:line="240" w:lineRule="auto"/>
                    <w:ind w:right="0"/>
                    <w:jc w:val="both"/>
                    <w:textAlignment w:val="auto"/>
                    <w:rPr>
                      <w:rFonts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kern w:val="0"/>
                      <w:position w:val="0"/>
                      <w:sz w:val="21"/>
                      <w:szCs w:val="21"/>
                      <w:highlight w:val="none"/>
                      <w:lang w:val="en-US" w:eastAsia="zh-CN" w:bidi="ar"/>
                    </w:rPr>
                    <w:t>根据环境风险分析，</w:t>
                  </w:r>
                  <w:r>
                    <w:rPr>
                      <w:rFonts w:hint="eastAsia" w:ascii="Times New Roman" w:hAnsi="Times New Roman" w:eastAsia="宋体" w:cs="Times New Roman"/>
                      <w:color w:val="auto"/>
                      <w:sz w:val="21"/>
                      <w:szCs w:val="21"/>
                      <w:highlight w:val="none"/>
                      <w:lang w:val="en-US" w:eastAsia="zh-CN" w:bidi="ar"/>
                    </w:rPr>
                    <w:t>本项目有毒有害和易燃易爆危险物质存储量未超过临界量。</w:t>
                  </w:r>
                </w:p>
              </w:tc>
              <w:tc>
                <w:tcPr>
                  <w:tcW w:w="912" w:type="dxa"/>
                  <w:tcBorders>
                    <w:tl2br w:val="nil"/>
                    <w:tr2bl w:val="nil"/>
                  </w:tcBorders>
                  <w:vAlign w:val="center"/>
                </w:tcPr>
                <w:p w14:paraId="46BC1AEC">
                  <w:pPr>
                    <w:pStyle w:val="27"/>
                    <w:overflowPunct/>
                    <w:autoSpaceDE/>
                    <w:autoSpaceDN/>
                    <w:spacing w:before="0" w:after="0" w:line="240" w:lineRule="auto"/>
                    <w:ind w:right="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否</w:t>
                  </w:r>
                </w:p>
              </w:tc>
            </w:tr>
            <w:tr w14:paraId="42E1E4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tcBorders>
                    <w:tl2br w:val="nil"/>
                    <w:tr2bl w:val="nil"/>
                  </w:tcBorders>
                  <w:vAlign w:val="center"/>
                </w:tcPr>
                <w:p w14:paraId="49F94E83">
                  <w:pPr>
                    <w:pStyle w:val="27"/>
                    <w:overflowPunct/>
                    <w:autoSpaceDE/>
                    <w:autoSpaceDN/>
                    <w:spacing w:before="0" w:after="0" w:line="240" w:lineRule="auto"/>
                    <w:ind w:right="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生态</w:t>
                  </w:r>
                </w:p>
              </w:tc>
              <w:tc>
                <w:tcPr>
                  <w:tcW w:w="2307" w:type="dxa"/>
                  <w:tcBorders>
                    <w:tl2br w:val="nil"/>
                    <w:tr2bl w:val="nil"/>
                  </w:tcBorders>
                  <w:vAlign w:val="center"/>
                </w:tcPr>
                <w:p w14:paraId="34925856">
                  <w:pPr>
                    <w:pStyle w:val="27"/>
                    <w:overflowPunct/>
                    <w:autoSpaceDE/>
                    <w:autoSpaceDN/>
                    <w:spacing w:before="0" w:after="0" w:line="240" w:lineRule="auto"/>
                    <w:ind w:right="0" w:rightChars="0" w:firstLine="0" w:firstLineChars="0"/>
                    <w:jc w:val="both"/>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取水口下游500米范围内有重要水生生物的自然产卵场、索饵场、越冬场和洄游通道的新增河道取水的污染类建设项目</w:t>
                  </w:r>
                </w:p>
              </w:tc>
              <w:tc>
                <w:tcPr>
                  <w:tcW w:w="2724" w:type="dxa"/>
                  <w:tcBorders>
                    <w:tl2br w:val="nil"/>
                    <w:tr2bl w:val="nil"/>
                  </w:tcBorders>
                  <w:vAlign w:val="center"/>
                </w:tcPr>
                <w:p w14:paraId="662B2821">
                  <w:pPr>
                    <w:pStyle w:val="27"/>
                    <w:overflowPunct/>
                    <w:autoSpaceDE/>
                    <w:autoSpaceDN/>
                    <w:spacing w:before="0" w:after="0" w:line="240" w:lineRule="auto"/>
                    <w:ind w:right="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不涉及</w:t>
                  </w:r>
                </w:p>
              </w:tc>
              <w:tc>
                <w:tcPr>
                  <w:tcW w:w="912" w:type="dxa"/>
                  <w:tcBorders>
                    <w:tl2br w:val="nil"/>
                    <w:tr2bl w:val="nil"/>
                  </w:tcBorders>
                  <w:vAlign w:val="center"/>
                </w:tcPr>
                <w:p w14:paraId="22ED1BF1">
                  <w:pPr>
                    <w:pStyle w:val="27"/>
                    <w:overflowPunct/>
                    <w:autoSpaceDE/>
                    <w:autoSpaceDN/>
                    <w:spacing w:before="0" w:after="0" w:line="240" w:lineRule="auto"/>
                    <w:ind w:right="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否</w:t>
                  </w:r>
                </w:p>
              </w:tc>
            </w:tr>
            <w:tr w14:paraId="587E95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tcBorders>
                    <w:tl2br w:val="nil"/>
                    <w:tr2bl w:val="nil"/>
                  </w:tcBorders>
                  <w:vAlign w:val="center"/>
                </w:tcPr>
                <w:p w14:paraId="7362CA6B">
                  <w:pPr>
                    <w:pStyle w:val="27"/>
                    <w:overflowPunct/>
                    <w:autoSpaceDE/>
                    <w:autoSpaceDN/>
                    <w:spacing w:before="0" w:after="0" w:line="240" w:lineRule="auto"/>
                    <w:ind w:right="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海洋</w:t>
                  </w:r>
                </w:p>
              </w:tc>
              <w:tc>
                <w:tcPr>
                  <w:tcW w:w="2307" w:type="dxa"/>
                  <w:tcBorders>
                    <w:tl2br w:val="nil"/>
                    <w:tr2bl w:val="nil"/>
                  </w:tcBorders>
                  <w:vAlign w:val="center"/>
                </w:tcPr>
                <w:p w14:paraId="66891D53">
                  <w:pPr>
                    <w:pStyle w:val="27"/>
                    <w:overflowPunct/>
                    <w:autoSpaceDE/>
                    <w:autoSpaceDN/>
                    <w:spacing w:before="0" w:after="0" w:line="240" w:lineRule="auto"/>
                    <w:ind w:right="0" w:rightChars="0" w:firstLine="0" w:firstLineChars="0"/>
                    <w:jc w:val="both"/>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直接向海排放污染物的海洋工程建设项目</w:t>
                  </w:r>
                </w:p>
              </w:tc>
              <w:tc>
                <w:tcPr>
                  <w:tcW w:w="2724" w:type="dxa"/>
                  <w:tcBorders>
                    <w:tl2br w:val="nil"/>
                    <w:tr2bl w:val="nil"/>
                  </w:tcBorders>
                  <w:vAlign w:val="center"/>
                </w:tcPr>
                <w:p w14:paraId="43D61BF7">
                  <w:pPr>
                    <w:pStyle w:val="27"/>
                    <w:overflowPunct/>
                    <w:autoSpaceDE/>
                    <w:autoSpaceDN/>
                    <w:spacing w:before="0" w:after="0" w:line="240" w:lineRule="auto"/>
                    <w:ind w:right="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不涉及</w:t>
                  </w:r>
                </w:p>
              </w:tc>
              <w:tc>
                <w:tcPr>
                  <w:tcW w:w="912" w:type="dxa"/>
                  <w:tcBorders>
                    <w:tl2br w:val="nil"/>
                    <w:tr2bl w:val="nil"/>
                  </w:tcBorders>
                  <w:vAlign w:val="center"/>
                </w:tcPr>
                <w:p w14:paraId="4FD0125B">
                  <w:pPr>
                    <w:pStyle w:val="27"/>
                    <w:overflowPunct/>
                    <w:autoSpaceDE/>
                    <w:autoSpaceDN/>
                    <w:spacing w:before="0" w:after="0" w:line="240" w:lineRule="auto"/>
                    <w:ind w:right="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否</w:t>
                  </w:r>
                </w:p>
              </w:tc>
            </w:tr>
            <w:tr w14:paraId="3DD2B2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1" w:type="dxa"/>
                  <w:gridSpan w:val="4"/>
                  <w:tcBorders>
                    <w:tl2br w:val="nil"/>
                    <w:tr2bl w:val="nil"/>
                  </w:tcBorders>
                  <w:vAlign w:val="center"/>
                </w:tcPr>
                <w:p w14:paraId="7209AF70">
                  <w:pPr>
                    <w:pStyle w:val="27"/>
                    <w:adjustRightInd w:val="0"/>
                    <w:spacing w:before="0" w:after="0" w:line="240" w:lineRule="auto"/>
                    <w:ind w:right="0" w:firstLine="0" w:firstLineChars="0"/>
                    <w:jc w:val="left"/>
                    <w:rPr>
                      <w:rFonts w:ascii="Times New Roman" w:hAnsi="Times New Roman" w:eastAsia="宋体" w:cs="Times New Roman"/>
                      <w:color w:val="auto"/>
                      <w:spacing w:val="0"/>
                      <w:position w:val="0"/>
                      <w:szCs w:val="18"/>
                      <w:highlight w:val="none"/>
                    </w:rPr>
                  </w:pPr>
                  <w:r>
                    <w:rPr>
                      <w:rFonts w:hint="eastAsia" w:ascii="Times New Roman" w:hAnsi="Times New Roman" w:eastAsia="宋体" w:cs="Times New Roman"/>
                      <w:color w:val="auto"/>
                      <w:spacing w:val="0"/>
                      <w:position w:val="0"/>
                      <w:szCs w:val="18"/>
                      <w:highlight w:val="none"/>
                    </w:rPr>
                    <w:t>备</w:t>
                  </w:r>
                  <w:r>
                    <w:rPr>
                      <w:rFonts w:ascii="Times New Roman" w:hAnsi="Times New Roman" w:eastAsia="宋体" w:cs="Times New Roman"/>
                      <w:color w:val="auto"/>
                      <w:spacing w:val="0"/>
                      <w:position w:val="0"/>
                      <w:szCs w:val="18"/>
                      <w:highlight w:val="none"/>
                    </w:rPr>
                    <w:t>注：</w:t>
                  </w:r>
                </w:p>
                <w:p w14:paraId="2425E118">
                  <w:pPr>
                    <w:pStyle w:val="27"/>
                    <w:adjustRightInd w:val="0"/>
                    <w:spacing w:before="0" w:after="0" w:line="240" w:lineRule="auto"/>
                    <w:ind w:right="0" w:firstLine="0" w:firstLineChars="0"/>
                    <w:jc w:val="left"/>
                    <w:rPr>
                      <w:rFonts w:ascii="Times New Roman" w:hAnsi="Times New Roman" w:eastAsia="宋体" w:cs="Times New Roman"/>
                      <w:color w:val="auto"/>
                      <w:spacing w:val="0"/>
                      <w:position w:val="0"/>
                      <w:szCs w:val="18"/>
                      <w:highlight w:val="none"/>
                    </w:rPr>
                  </w:pPr>
                  <w:r>
                    <w:rPr>
                      <w:rFonts w:ascii="Times New Roman" w:hAnsi="Times New Roman" w:eastAsia="宋体" w:cs="Times New Roman"/>
                      <w:color w:val="auto"/>
                      <w:spacing w:val="0"/>
                      <w:position w:val="0"/>
                      <w:szCs w:val="18"/>
                      <w:highlight w:val="none"/>
                    </w:rPr>
                    <w:t>①废气中有毒有害污染物指纳入《有毒有害大气污染物名录》的污染物（不包括无排放标准的污染物）。</w:t>
                  </w:r>
                </w:p>
                <w:p w14:paraId="3F2D7FF7">
                  <w:pPr>
                    <w:pStyle w:val="27"/>
                    <w:adjustRightInd w:val="0"/>
                    <w:spacing w:before="0" w:after="0" w:line="240" w:lineRule="auto"/>
                    <w:ind w:right="0" w:firstLine="0" w:firstLineChars="0"/>
                    <w:jc w:val="left"/>
                    <w:rPr>
                      <w:rFonts w:ascii="Times New Roman" w:hAnsi="Times New Roman" w:eastAsia="宋体" w:cs="Times New Roman"/>
                      <w:color w:val="auto"/>
                      <w:spacing w:val="0"/>
                      <w:position w:val="0"/>
                      <w:szCs w:val="18"/>
                      <w:highlight w:val="none"/>
                    </w:rPr>
                  </w:pPr>
                  <w:r>
                    <w:rPr>
                      <w:rFonts w:ascii="Times New Roman" w:hAnsi="Times New Roman" w:eastAsia="宋体" w:cs="Times New Roman"/>
                      <w:color w:val="auto"/>
                      <w:spacing w:val="0"/>
                      <w:position w:val="0"/>
                      <w:szCs w:val="18"/>
                      <w:highlight w:val="none"/>
                    </w:rPr>
                    <w:t>②环境空气保护目标指自然保护区、风景名胜区</w:t>
                  </w:r>
                  <w:r>
                    <w:rPr>
                      <w:rFonts w:hint="eastAsia" w:ascii="Times New Roman" w:hAnsi="Times New Roman" w:eastAsia="宋体" w:cs="Times New Roman"/>
                      <w:color w:val="auto"/>
                      <w:spacing w:val="0"/>
                      <w:position w:val="0"/>
                      <w:szCs w:val="18"/>
                      <w:highlight w:val="none"/>
                    </w:rPr>
                    <w:t>、</w:t>
                  </w:r>
                  <w:r>
                    <w:rPr>
                      <w:rFonts w:ascii="Times New Roman" w:hAnsi="Times New Roman" w:eastAsia="宋体" w:cs="Times New Roman"/>
                      <w:color w:val="auto"/>
                      <w:spacing w:val="0"/>
                      <w:position w:val="0"/>
                      <w:szCs w:val="18"/>
                      <w:highlight w:val="none"/>
                    </w:rPr>
                    <w:t>居住区、文化区和农村地区中人群较集中的区域。</w:t>
                  </w:r>
                </w:p>
                <w:p w14:paraId="7D666E08">
                  <w:pPr>
                    <w:pStyle w:val="27"/>
                    <w:overflowPunct/>
                    <w:autoSpaceDE/>
                    <w:autoSpaceDN/>
                    <w:spacing w:before="0" w:after="0" w:line="240" w:lineRule="auto"/>
                    <w:ind w:right="0"/>
                    <w:jc w:val="both"/>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Cs w:val="18"/>
                      <w:highlight w:val="none"/>
                    </w:rPr>
                    <w:t>③临界量及其计算方法参考《建设项目环境风险评价技术导则》（HJ169）附录B、附录C。</w:t>
                  </w:r>
                </w:p>
              </w:tc>
            </w:tr>
          </w:tbl>
          <w:p w14:paraId="4BB1BBBA">
            <w:pPr>
              <w:keepNext w:val="0"/>
              <w:keepLines w:val="0"/>
              <w:pageBreakBefore w:val="0"/>
              <w:widowControl w:val="0"/>
              <w:kinsoku/>
              <w:wordWrap/>
              <w:overflowPunct/>
              <w:topLinePunct w:val="0"/>
              <w:autoSpaceDE w:val="0"/>
              <w:autoSpaceDN w:val="0"/>
              <w:bidi w:val="0"/>
              <w:adjustRightInd w:val="0"/>
              <w:snapToGrid w:val="0"/>
              <w:spacing w:before="157" w:beforeLines="50"/>
              <w:ind w:firstLine="480" w:firstLineChars="200"/>
              <w:jc w:val="both"/>
              <w:textAlignment w:val="auto"/>
              <w:rPr>
                <w:rFonts w:hint="eastAsia" w:ascii="Times New Roman" w:hAnsi="Times New Roman" w:eastAsia="宋体" w:cs="Times New Roman"/>
                <w:color w:val="auto"/>
                <w:spacing w:val="0"/>
                <w:kern w:val="0"/>
                <w:position w:val="0"/>
                <w:szCs w:val="21"/>
                <w:highlight w:val="none"/>
                <w:lang w:eastAsia="zh-CN"/>
              </w:rPr>
            </w:pPr>
            <w:r>
              <w:rPr>
                <w:rFonts w:ascii="Times New Roman" w:hAnsi="Times New Roman" w:eastAsia="宋体" w:cs="Times New Roman"/>
                <w:color w:val="auto"/>
                <w:spacing w:val="0"/>
                <w:position w:val="0"/>
                <w:sz w:val="24"/>
                <w:highlight w:val="none"/>
              </w:rPr>
              <w:t>根据上表分析可知，项目无需开展专项评价工作。</w:t>
            </w:r>
          </w:p>
        </w:tc>
      </w:tr>
      <w:tr w14:paraId="0E28B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934" w:type="dxa"/>
            <w:vAlign w:val="center"/>
          </w:tcPr>
          <w:p w14:paraId="158BB176">
            <w:pPr>
              <w:autoSpaceDE w:val="0"/>
              <w:autoSpaceDN w:val="0"/>
              <w:adjustRightInd w:val="0"/>
              <w:snapToGrid w:val="0"/>
              <w:jc w:val="center"/>
              <w:rPr>
                <w:rFonts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规划情况</w:t>
            </w:r>
          </w:p>
        </w:tc>
        <w:tc>
          <w:tcPr>
            <w:tcW w:w="6936" w:type="dxa"/>
            <w:gridSpan w:val="3"/>
            <w:vAlign w:val="center"/>
          </w:tcPr>
          <w:p w14:paraId="543185D1">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规划名称</w:t>
            </w:r>
            <w:r>
              <w:rPr>
                <w:rFonts w:hint="eastAsia" w:ascii="Times New Roman" w:hAnsi="Times New Roman" w:eastAsia="宋体" w:cs="Times New Roman"/>
                <w:color w:val="auto"/>
                <w:kern w:val="0"/>
                <w:sz w:val="24"/>
                <w:szCs w:val="24"/>
                <w:highlight w:val="none"/>
                <w:lang w:val="en-US" w:eastAsia="zh-CN"/>
              </w:rPr>
              <w:t>一</w:t>
            </w:r>
            <w:r>
              <w:rPr>
                <w:rFonts w:hint="eastAsia" w:ascii="Times New Roman" w:hAnsi="Times New Roman" w:eastAsia="宋体" w:cs="Times New Roman"/>
                <w:color w:val="auto"/>
                <w:kern w:val="0"/>
                <w:sz w:val="24"/>
                <w:szCs w:val="24"/>
                <w:highlight w:val="none"/>
              </w:rPr>
              <w:t>：《闽侯经济技术开发区规划提升（控制性详细规划和城市设计）》</w:t>
            </w:r>
          </w:p>
          <w:p w14:paraId="6C9DA501">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rPr>
              <w:t>审批机关：</w:t>
            </w:r>
            <w:r>
              <w:rPr>
                <w:rFonts w:hint="eastAsia" w:ascii="Times New Roman" w:hAnsi="Times New Roman" w:eastAsia="宋体" w:cs="Times New Roman"/>
                <w:color w:val="auto"/>
                <w:kern w:val="0"/>
                <w:sz w:val="24"/>
                <w:szCs w:val="24"/>
                <w:highlight w:val="none"/>
                <w:lang w:val="en-US" w:eastAsia="zh-CN"/>
              </w:rPr>
              <w:t>/</w:t>
            </w:r>
          </w:p>
          <w:p w14:paraId="10BD13EE">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rPr>
              <w:t>审批</w:t>
            </w:r>
            <w:r>
              <w:rPr>
                <w:rFonts w:hint="eastAsia" w:ascii="Times New Roman" w:hAnsi="Times New Roman" w:eastAsia="宋体" w:cs="Times New Roman"/>
                <w:color w:val="auto"/>
                <w:kern w:val="0"/>
                <w:sz w:val="24"/>
                <w:szCs w:val="24"/>
                <w:highlight w:val="none"/>
                <w:lang w:eastAsia="zh-CN"/>
              </w:rPr>
              <w:t>文号</w:t>
            </w:r>
            <w:r>
              <w:rPr>
                <w:rFonts w:hint="eastAsia"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w:t>
            </w:r>
          </w:p>
          <w:p w14:paraId="681F6B5A">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规划名称二：</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福州市国土空间总体规划（2021-2035年）</w:t>
            </w:r>
            <w:r>
              <w:rPr>
                <w:rFonts w:hint="default" w:ascii="Times New Roman" w:hAnsi="Times New Roman" w:eastAsia="宋体" w:cs="Times New Roman"/>
                <w:color w:val="auto"/>
                <w:kern w:val="0"/>
                <w:sz w:val="24"/>
                <w:szCs w:val="24"/>
                <w:highlight w:val="none"/>
                <w:lang w:val="en-US" w:eastAsia="zh-CN"/>
              </w:rPr>
              <w:t>》</w:t>
            </w:r>
          </w:p>
          <w:p w14:paraId="2879D82E">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审批机关：</w:t>
            </w:r>
            <w:r>
              <w:rPr>
                <w:rFonts w:hint="eastAsia" w:ascii="Times New Roman" w:hAnsi="Times New Roman" w:eastAsia="宋体" w:cs="Times New Roman"/>
                <w:color w:val="auto"/>
                <w:kern w:val="0"/>
                <w:sz w:val="24"/>
                <w:szCs w:val="24"/>
                <w:highlight w:val="none"/>
                <w:lang w:val="en-US" w:eastAsia="zh-CN"/>
              </w:rPr>
              <w:t>福州市</w:t>
            </w:r>
            <w:r>
              <w:rPr>
                <w:rFonts w:hint="default" w:ascii="Times New Roman" w:hAnsi="Times New Roman" w:eastAsia="宋体" w:cs="Times New Roman"/>
                <w:color w:val="auto"/>
                <w:kern w:val="0"/>
                <w:sz w:val="24"/>
                <w:szCs w:val="24"/>
                <w:highlight w:val="none"/>
                <w:lang w:val="en-US" w:eastAsia="zh-CN"/>
              </w:rPr>
              <w:t>人民政府</w:t>
            </w:r>
          </w:p>
          <w:p w14:paraId="58CB0459">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审批文号：榕政综〔2025〕83号</w:t>
            </w:r>
          </w:p>
        </w:tc>
      </w:tr>
      <w:tr w14:paraId="0B82C4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934" w:type="dxa"/>
            <w:vAlign w:val="center"/>
          </w:tcPr>
          <w:p w14:paraId="5E2F062F">
            <w:pPr>
              <w:adjustRightInd w:val="0"/>
              <w:snapToGrid w:val="0"/>
              <w:jc w:val="center"/>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规划环境影响</w:t>
            </w:r>
          </w:p>
          <w:p w14:paraId="74D5C945">
            <w:pPr>
              <w:adjustRightInd w:val="0"/>
              <w:snapToGrid w:val="0"/>
              <w:jc w:val="center"/>
              <w:rPr>
                <w:rFonts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评价情况</w:t>
            </w:r>
          </w:p>
        </w:tc>
        <w:tc>
          <w:tcPr>
            <w:tcW w:w="6936" w:type="dxa"/>
            <w:gridSpan w:val="3"/>
            <w:vAlign w:val="center"/>
          </w:tcPr>
          <w:p w14:paraId="61D87C57">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rPr>
              <w:t>规划环评</w:t>
            </w:r>
            <w:r>
              <w:rPr>
                <w:rFonts w:hint="eastAsia" w:ascii="Times New Roman" w:hAnsi="Times New Roman" w:eastAsia="宋体" w:cs="Times New Roman"/>
                <w:color w:val="auto"/>
                <w:kern w:val="0"/>
                <w:sz w:val="24"/>
                <w:szCs w:val="24"/>
                <w:highlight w:val="none"/>
                <w:lang w:val="en-US" w:eastAsia="zh-CN"/>
              </w:rPr>
              <w:t>文件</w:t>
            </w:r>
            <w:r>
              <w:rPr>
                <w:rFonts w:hint="eastAsia" w:ascii="Times New Roman" w:hAnsi="Times New Roman" w:eastAsia="宋体" w:cs="Times New Roman"/>
                <w:color w:val="auto"/>
                <w:kern w:val="0"/>
                <w:sz w:val="24"/>
                <w:szCs w:val="24"/>
                <w:highlight w:val="none"/>
              </w:rPr>
              <w:t>名称：</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rPr>
              <w:t>闽侯县经济技术开发区一期延伸区控制性详细规划环境影响报告书</w:t>
            </w:r>
            <w:r>
              <w:rPr>
                <w:rFonts w:hint="eastAsia" w:ascii="Times New Roman" w:hAnsi="Times New Roman" w:eastAsia="宋体" w:cs="Times New Roman"/>
                <w:color w:val="auto"/>
                <w:kern w:val="0"/>
                <w:sz w:val="24"/>
                <w:szCs w:val="24"/>
                <w:highlight w:val="none"/>
                <w:lang w:val="en-US" w:eastAsia="zh-CN"/>
              </w:rPr>
              <w:t>》</w:t>
            </w:r>
          </w:p>
          <w:p w14:paraId="72A8DC55">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rPr>
              <w:t>召集审查机关：</w:t>
            </w:r>
            <w:r>
              <w:rPr>
                <w:rFonts w:hint="eastAsia" w:ascii="Times New Roman" w:hAnsi="Times New Roman" w:eastAsia="宋体" w:cs="Times New Roman"/>
                <w:color w:val="auto"/>
                <w:kern w:val="0"/>
                <w:sz w:val="24"/>
                <w:szCs w:val="24"/>
                <w:highlight w:val="none"/>
                <w:lang w:val="en-US" w:eastAsia="zh-CN"/>
              </w:rPr>
              <w:t>原闽侯县环境保护局</w:t>
            </w:r>
          </w:p>
          <w:p w14:paraId="2D9D82D8">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auto"/>
                <w:spacing w:val="0"/>
                <w:kern w:val="0"/>
                <w:position w:val="0"/>
                <w:sz w:val="24"/>
                <w:szCs w:val="24"/>
                <w:highlight w:val="none"/>
                <w:lang w:eastAsia="zh-CN"/>
              </w:rPr>
            </w:pPr>
            <w:r>
              <w:rPr>
                <w:rFonts w:hint="eastAsia" w:ascii="Times New Roman" w:hAnsi="Times New Roman" w:eastAsia="宋体" w:cs="Times New Roman"/>
                <w:color w:val="auto"/>
                <w:kern w:val="0"/>
                <w:sz w:val="24"/>
                <w:szCs w:val="24"/>
                <w:highlight w:val="none"/>
              </w:rPr>
              <w:t>审查文件名称及文号：关于闽侯县经济技术开发区一期延伸区控制性详细规划环境影响报告书的审查意见</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rPr>
              <w:t>侯环保〔2014〕140号</w:t>
            </w:r>
            <w:r>
              <w:rPr>
                <w:rFonts w:hint="eastAsia" w:ascii="Times New Roman" w:hAnsi="Times New Roman" w:eastAsia="宋体" w:cs="Times New Roman"/>
                <w:color w:val="auto"/>
                <w:kern w:val="0"/>
                <w:sz w:val="24"/>
                <w:szCs w:val="24"/>
                <w:highlight w:val="none"/>
                <w:lang w:val="en-US" w:eastAsia="zh-CN"/>
              </w:rPr>
              <w:t>)</w:t>
            </w:r>
          </w:p>
        </w:tc>
      </w:tr>
      <w:tr w14:paraId="70BB75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934" w:type="dxa"/>
            <w:vAlign w:val="center"/>
          </w:tcPr>
          <w:p w14:paraId="6D134055">
            <w:pPr>
              <w:autoSpaceDE w:val="0"/>
              <w:autoSpaceDN w:val="0"/>
              <w:adjustRightInd w:val="0"/>
              <w:snapToGrid w:val="0"/>
              <w:jc w:val="center"/>
              <w:rPr>
                <w:rFonts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rPr>
              <w:t>规划及规划环境</w:t>
            </w:r>
          </w:p>
          <w:p w14:paraId="4541C160">
            <w:pPr>
              <w:autoSpaceDE w:val="0"/>
              <w:autoSpaceDN w:val="0"/>
              <w:adjustRightInd w:val="0"/>
              <w:snapToGrid w:val="0"/>
              <w:jc w:val="center"/>
              <w:rPr>
                <w:rFonts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rPr>
              <w:t>影响评价符合性分析</w:t>
            </w:r>
          </w:p>
        </w:tc>
        <w:tc>
          <w:tcPr>
            <w:tcW w:w="6936" w:type="dxa"/>
            <w:gridSpan w:val="3"/>
            <w:vAlign w:val="center"/>
          </w:tcPr>
          <w:p w14:paraId="1E9E046B">
            <w:pPr>
              <w:keepNext w:val="0"/>
              <w:keepLines w:val="0"/>
              <w:pageBreakBefore w:val="0"/>
              <w:widowControl/>
              <w:kinsoku/>
              <w:wordWrap/>
              <w:overflowPunct/>
              <w:topLinePunct w:val="0"/>
              <w:autoSpaceDE/>
              <w:autoSpaceDN/>
              <w:bidi w:val="0"/>
              <w:adjustRightInd/>
              <w:snapToGrid w:val="0"/>
              <w:spacing w:line="348" w:lineRule="auto"/>
              <w:ind w:left="0"/>
              <w:rPr>
                <w:rFonts w:hint="eastAsia" w:ascii="Times New Roman" w:hAnsi="Times New Roman" w:eastAsia="宋体" w:cs="Times New Roman"/>
                <w:b/>
                <w:bCs/>
                <w:color w:val="auto"/>
                <w:spacing w:val="0"/>
                <w:position w:val="0"/>
                <w:sz w:val="24"/>
                <w:szCs w:val="32"/>
                <w:highlight w:val="none"/>
              </w:rPr>
            </w:pPr>
            <w:r>
              <w:rPr>
                <w:rFonts w:hint="eastAsia" w:ascii="Times New Roman" w:hAnsi="Times New Roman" w:eastAsia="宋体" w:cs="Times New Roman"/>
                <w:b/>
                <w:bCs/>
                <w:color w:val="auto"/>
                <w:spacing w:val="0"/>
                <w:position w:val="0"/>
                <w:sz w:val="24"/>
                <w:szCs w:val="32"/>
                <w:highlight w:val="none"/>
                <w:lang w:val="en-US" w:eastAsia="zh-CN"/>
              </w:rPr>
              <w:t>1.</w:t>
            </w:r>
            <w:r>
              <w:rPr>
                <w:rFonts w:hint="eastAsia" w:ascii="Times New Roman" w:hAnsi="Times New Roman" w:eastAsia="宋体" w:cs="Times New Roman"/>
                <w:b/>
                <w:bCs/>
                <w:color w:val="auto"/>
                <w:spacing w:val="0"/>
                <w:position w:val="0"/>
                <w:sz w:val="24"/>
                <w:szCs w:val="32"/>
                <w:highlight w:val="none"/>
              </w:rPr>
              <w:t>规划符合性分析</w:t>
            </w:r>
          </w:p>
          <w:p w14:paraId="310C8195">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pacing w:val="0"/>
                <w:kern w:val="2"/>
                <w:sz w:val="24"/>
                <w:szCs w:val="32"/>
                <w:highlight w:val="none"/>
                <w:lang w:val="en-US" w:eastAsia="zh-CN" w:bidi="ar-SA"/>
              </w:rPr>
              <w:t>（</w:t>
            </w:r>
            <w:r>
              <w:rPr>
                <w:rFonts w:hint="default" w:ascii="Times New Roman" w:hAnsi="Times New Roman" w:eastAsia="宋体" w:cs="Times New Roman"/>
                <w:b/>
                <w:bCs/>
                <w:color w:val="auto"/>
                <w:spacing w:val="0"/>
                <w:kern w:val="2"/>
                <w:sz w:val="24"/>
                <w:szCs w:val="32"/>
                <w:highlight w:val="none"/>
                <w:lang w:val="en-US" w:eastAsia="zh-CN" w:bidi="ar-SA"/>
              </w:rPr>
              <w:t>1</w:t>
            </w:r>
            <w:r>
              <w:rPr>
                <w:rFonts w:hint="eastAsia" w:ascii="Times New Roman" w:hAnsi="Times New Roman" w:eastAsia="宋体" w:cs="Times New Roman"/>
                <w:b/>
                <w:bCs/>
                <w:color w:val="auto"/>
                <w:spacing w:val="0"/>
                <w:kern w:val="2"/>
                <w:sz w:val="24"/>
                <w:szCs w:val="32"/>
                <w:highlight w:val="none"/>
                <w:lang w:val="en-US" w:eastAsia="zh-CN" w:bidi="ar-SA"/>
              </w:rPr>
              <w:t>）</w:t>
            </w:r>
            <w:r>
              <w:rPr>
                <w:rFonts w:hint="eastAsia" w:ascii="Times New Roman" w:hAnsi="Times New Roman" w:eastAsia="宋体" w:cs="Times New Roman"/>
                <w:b/>
                <w:bCs/>
                <w:color w:val="auto"/>
                <w:sz w:val="24"/>
                <w:szCs w:val="24"/>
                <w:highlight w:val="none"/>
                <w:lang w:val="en-US" w:eastAsia="zh-CN"/>
              </w:rPr>
              <w:t>与</w:t>
            </w:r>
            <w:r>
              <w:rPr>
                <w:rFonts w:hint="default" w:ascii="Times New Roman" w:hAnsi="Times New Roman" w:eastAsia="宋体" w:cs="Times New Roman"/>
                <w:b/>
                <w:bCs/>
                <w:color w:val="auto"/>
                <w:sz w:val="24"/>
                <w:szCs w:val="24"/>
                <w:highlight w:val="none"/>
                <w:lang w:val="en-US" w:eastAsia="zh-CN"/>
              </w:rPr>
              <w:t>《闽侯经济技术开发区规划提升(控制性详细规划和城市设计)》</w:t>
            </w:r>
            <w:r>
              <w:rPr>
                <w:rFonts w:hint="eastAsia" w:ascii="Times New Roman" w:hAnsi="Times New Roman" w:eastAsia="宋体" w:cs="Times New Roman"/>
                <w:b/>
                <w:bCs/>
                <w:color w:val="auto"/>
                <w:sz w:val="24"/>
                <w:szCs w:val="24"/>
                <w:highlight w:val="none"/>
                <w:lang w:val="en-US" w:eastAsia="zh-CN"/>
              </w:rPr>
              <w:t>符合性分析</w:t>
            </w:r>
          </w:p>
          <w:p w14:paraId="365AE61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w:t>
            </w:r>
            <w:r>
              <w:rPr>
                <w:rFonts w:hint="default" w:ascii="Times New Roman" w:hAnsi="Times New Roman" w:eastAsia="宋体" w:cs="Times New Roman"/>
                <w:b w:val="0"/>
                <w:bCs w:val="0"/>
                <w:color w:val="auto"/>
                <w:sz w:val="24"/>
                <w:szCs w:val="24"/>
                <w:highlight w:val="none"/>
                <w:lang w:val="en-US" w:eastAsia="zh-CN"/>
              </w:rPr>
              <w:t>《闽侯经济技术开发区规划提升(控制性详细规划和城市设计)》</w:t>
            </w:r>
            <w:r>
              <w:rPr>
                <w:rFonts w:hint="eastAsia" w:ascii="Times New Roman" w:hAnsi="Times New Roman" w:eastAsia="宋体" w:cs="Times New Roman"/>
                <w:b w:val="0"/>
                <w:bCs w:val="0"/>
                <w:color w:val="auto"/>
                <w:sz w:val="24"/>
                <w:szCs w:val="24"/>
                <w:highlight w:val="none"/>
                <w:lang w:val="en-US" w:eastAsia="zh-CN"/>
              </w:rPr>
              <w:t>可知，闽侯经济技术开发区位于闽侯县城北部、峰福铁路以北。本次规划研究范围包含闽侯经济开发区一、二、三期、陈店湖工业园和关口工业区，南至峰福铁路、北至闽侯县城北部山体、东至石井路、西至闽侯大桥，涉及甘蔗、荆溪两个街道（镇），总用地面积912公顷。</w:t>
            </w:r>
          </w:p>
          <w:p w14:paraId="0F26D17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闽侯经济技术开发区</w:t>
            </w:r>
            <w:r>
              <w:rPr>
                <w:rFonts w:hint="eastAsia" w:ascii="Times New Roman" w:hAnsi="Times New Roman" w:eastAsia="宋体" w:cs="Times New Roman"/>
                <w:color w:val="auto"/>
                <w:kern w:val="0"/>
                <w:sz w:val="24"/>
                <w:szCs w:val="24"/>
                <w:highlight w:val="none"/>
              </w:rPr>
              <w:t>功能定位</w:t>
            </w:r>
            <w:r>
              <w:rPr>
                <w:rFonts w:hint="eastAsia" w:ascii="Times New Roman" w:hAnsi="Times New Roman" w:eastAsia="宋体" w:cs="Times New Roman"/>
                <w:color w:val="auto"/>
                <w:kern w:val="0"/>
                <w:sz w:val="24"/>
                <w:szCs w:val="24"/>
                <w:highlight w:val="none"/>
                <w:lang w:val="en-US" w:eastAsia="zh-CN"/>
              </w:rPr>
              <w:t>为：</w:t>
            </w:r>
            <w:r>
              <w:rPr>
                <w:rFonts w:hint="eastAsia" w:ascii="Times New Roman" w:hAnsi="Times New Roman" w:eastAsia="宋体" w:cs="Times New Roman"/>
                <w:color w:val="auto"/>
                <w:kern w:val="0"/>
                <w:sz w:val="24"/>
                <w:szCs w:val="24"/>
                <w:highlight w:val="none"/>
              </w:rPr>
              <w:t>综合上位及相关规划对闽侯经济技术开发区的发展定位指引，结合园区实际，本次规划将园区发展定位确定为：园城融合、产业集聚、生态友好、配套完善，以“制造+智造”为核心的福州市近郊型工业园区转型升级样板，具体内涵包括福州市都市型工业示范区、福州市智能制造基地、闽侯县“制造+智造”转型示范园区</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本片区规划形成“一核、三心、一轴、两带、四区”的空间布局结构。</w:t>
            </w:r>
            <w:r>
              <w:rPr>
                <w:rFonts w:hint="eastAsia" w:ascii="Times New Roman" w:hAnsi="Times New Roman" w:eastAsia="宋体" w:cs="Times New Roman"/>
                <w:b w:val="0"/>
                <w:bCs w:val="0"/>
                <w:color w:val="auto"/>
                <w:kern w:val="0"/>
                <w:sz w:val="24"/>
                <w:szCs w:val="24"/>
                <w:highlight w:val="none"/>
                <w:lang w:val="en-US" w:eastAsia="zh-CN"/>
              </w:rPr>
              <w:t>“一核”以克姆湖产城融合综合发展区为核心，承载园区公共服务、商务配套与总部经济功能，为全园区提供生产性服务支撑；“三心”分别对应陈店湖家居产业服务中心、铁岭智能制造服务中心、园区综合配套中心，形成产业服务节点；“一轴”依托园区主干道形成产业发展轴，串联四大片区，实现产业联动与要素流动；“两带”结合生态廊道与园区道路打造生态景观带与产业配套带，兼顾生态友好与产城融合；“四区”为陈店湖国际创意家居生产聚集区、克姆湖产城融合综合发展区、铁岭二期智能制造工业示范区及铁岭一期都市型工业集聚区</w:t>
            </w:r>
            <w:r>
              <w:rPr>
                <w:rFonts w:hint="eastAsia" w:ascii="Times New Roman" w:hAnsi="Times New Roman" w:eastAsia="宋体" w:cs="Times New Roman"/>
                <w:color w:val="auto"/>
                <w:kern w:val="0"/>
                <w:sz w:val="24"/>
                <w:szCs w:val="24"/>
                <w:highlight w:val="none"/>
                <w:lang w:val="en-US" w:eastAsia="zh-CN"/>
              </w:rPr>
              <w:t>。</w:t>
            </w:r>
          </w:p>
          <w:p w14:paraId="4ADD461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本项目选址于</w:t>
            </w:r>
            <w:r>
              <w:rPr>
                <w:rFonts w:hint="eastAsia" w:ascii="Times New Roman" w:hAnsi="Times New Roman" w:eastAsia="宋体" w:cs="Times New Roman"/>
                <w:i w:val="0"/>
                <w:iCs w:val="0"/>
                <w:caps w:val="0"/>
                <w:color w:val="auto"/>
                <w:spacing w:val="0"/>
                <w:sz w:val="24"/>
                <w:szCs w:val="24"/>
                <w:highlight w:val="none"/>
                <w:lang w:eastAsia="zh-CN"/>
              </w:rPr>
              <w:t>福建省福州市闽侯县荆溪镇长龙三路23、25号（福建省奥德瑞电子科技有限公司5#厂房二层），</w:t>
            </w:r>
            <w:r>
              <w:rPr>
                <w:rFonts w:hint="eastAsia" w:ascii="Times New Roman" w:hAnsi="Times New Roman" w:eastAsia="宋体" w:cs="Times New Roman"/>
                <w:i w:val="0"/>
                <w:iCs w:val="0"/>
                <w:caps w:val="0"/>
                <w:color w:val="auto"/>
                <w:spacing w:val="0"/>
                <w:sz w:val="24"/>
                <w:szCs w:val="24"/>
                <w:highlight w:val="none"/>
                <w:lang w:val="en-US" w:eastAsia="zh-CN"/>
              </w:rPr>
              <w:t>位于</w:t>
            </w:r>
            <w:r>
              <w:rPr>
                <w:rFonts w:hint="eastAsia" w:ascii="Times New Roman" w:hAnsi="Times New Roman" w:eastAsia="宋体" w:cs="Times New Roman"/>
                <w:b w:val="0"/>
                <w:bCs w:val="0"/>
                <w:color w:val="auto"/>
                <w:sz w:val="24"/>
                <w:szCs w:val="24"/>
                <w:highlight w:val="none"/>
                <w:lang w:val="en-US" w:eastAsia="zh-CN"/>
              </w:rPr>
              <w:t>闽侯县经济技术开发区一期延伸区（详见附图5）</w:t>
            </w:r>
            <w:r>
              <w:rPr>
                <w:rFonts w:hint="eastAsia" w:ascii="Times New Roman" w:hAnsi="Times New Roman" w:eastAsia="宋体" w:cs="Times New Roman"/>
                <w:color w:val="auto"/>
                <w:kern w:val="0"/>
                <w:sz w:val="24"/>
                <w:szCs w:val="24"/>
                <w:highlight w:val="none"/>
                <w:lang w:val="en-US" w:eastAsia="zh-CN"/>
              </w:rPr>
              <w:t>，</w:t>
            </w:r>
            <w:r>
              <w:rPr>
                <w:rFonts w:ascii="宋体" w:hAnsi="宋体" w:eastAsia="宋体" w:cs="宋体"/>
                <w:color w:val="auto"/>
                <w:sz w:val="24"/>
                <w:szCs w:val="24"/>
                <w:highlight w:val="none"/>
              </w:rPr>
              <w:t>该区域属于规划中“四区”之一的</w:t>
            </w:r>
            <w:r>
              <w:rPr>
                <w:rStyle w:val="32"/>
                <w:rFonts w:ascii="宋体" w:hAnsi="宋体" w:eastAsia="宋体" w:cs="宋体"/>
                <w:b w:val="0"/>
                <w:bCs w:val="0"/>
                <w:color w:val="auto"/>
                <w:sz w:val="24"/>
                <w:szCs w:val="24"/>
                <w:highlight w:val="none"/>
              </w:rPr>
              <w:t>铁岭一期都市型工业集聚区</w:t>
            </w:r>
            <w:r>
              <w:rPr>
                <w:rFonts w:ascii="宋体" w:hAnsi="宋体" w:eastAsia="宋体" w:cs="宋体"/>
                <w:color w:val="auto"/>
                <w:sz w:val="24"/>
                <w:szCs w:val="24"/>
                <w:highlight w:val="none"/>
              </w:rPr>
              <w:t>范围，</w:t>
            </w:r>
            <w:r>
              <w:rPr>
                <w:rFonts w:hint="eastAsia" w:ascii="宋体" w:hAnsi="宋体" w:cs="宋体"/>
                <w:color w:val="auto"/>
                <w:sz w:val="24"/>
                <w:szCs w:val="24"/>
                <w:highlight w:val="none"/>
                <w:lang w:val="en-US" w:eastAsia="zh-CN"/>
              </w:rPr>
              <w:t>该工业集聚区主要以</w:t>
            </w:r>
            <w:r>
              <w:rPr>
                <w:rFonts w:ascii="宋体" w:hAnsi="宋体" w:eastAsia="宋体" w:cs="宋体"/>
                <w:color w:val="auto"/>
                <w:sz w:val="24"/>
                <w:szCs w:val="24"/>
                <w:highlight w:val="none"/>
              </w:rPr>
              <w:t>都市型轻工制造、电子信息配套、精密加工等产业</w:t>
            </w:r>
            <w:r>
              <w:rPr>
                <w:rFonts w:hint="eastAsia" w:ascii="宋体" w:hAnsi="宋体" w:eastAsia="宋体" w:cs="宋体"/>
                <w:color w:val="auto"/>
                <w:sz w:val="24"/>
                <w:szCs w:val="24"/>
                <w:highlight w:val="none"/>
                <w:lang w:val="en-US" w:eastAsia="zh-CN"/>
              </w:rPr>
              <w:t>为主，项目</w:t>
            </w:r>
            <w:r>
              <w:rPr>
                <w:rFonts w:hint="eastAsia" w:ascii="Times New Roman" w:hAnsi="Times New Roman" w:eastAsia="宋体" w:cs="Times New Roman"/>
                <w:color w:val="auto"/>
                <w:kern w:val="0"/>
                <w:sz w:val="24"/>
                <w:szCs w:val="24"/>
                <w:highlight w:val="none"/>
                <w:lang w:val="en-US" w:eastAsia="zh-CN"/>
              </w:rPr>
              <w:t>主要从事木质屏风加工生产，属于轻工制造类工业项目，</w:t>
            </w:r>
            <w:r>
              <w:rPr>
                <w:rFonts w:hint="eastAsia" w:ascii="Times New Roman" w:hAnsi="Times New Roman" w:eastAsia="宋体" w:cs="Times New Roman"/>
                <w:b w:val="0"/>
                <w:bCs w:val="0"/>
                <w:color w:val="auto"/>
                <w:kern w:val="0"/>
                <w:sz w:val="24"/>
                <w:szCs w:val="24"/>
                <w:highlight w:val="none"/>
                <w:lang w:val="en-US" w:eastAsia="zh-CN"/>
              </w:rPr>
              <w:t>用地性质与园区工业用地规划相符，契合闽侯经济技术开发区都市型工业集聚、轻工制造提质升级的发展导向，符合园区“制造+智造”转型发展定位及整体产业规划、空间布局要求</w:t>
            </w:r>
            <w:r>
              <w:rPr>
                <w:rFonts w:hint="eastAsia" w:ascii="Times New Roman" w:hAnsi="Times New Roman" w:eastAsia="宋体" w:cs="Times New Roman"/>
                <w:color w:val="auto"/>
                <w:kern w:val="0"/>
                <w:sz w:val="24"/>
                <w:szCs w:val="24"/>
                <w:highlight w:val="none"/>
                <w:lang w:val="en-US" w:eastAsia="zh-CN"/>
              </w:rPr>
              <w:t>。</w:t>
            </w:r>
          </w:p>
          <w:p w14:paraId="0FDF2A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1"/>
                <w:szCs w:val="21"/>
                <w:highlight w:val="none"/>
                <w:lang w:val="en-US" w:eastAsia="zh-CN"/>
              </w:rPr>
              <w:t>（2）</w:t>
            </w:r>
            <w:r>
              <w:rPr>
                <w:rFonts w:hint="eastAsia" w:ascii="Times New Roman" w:hAnsi="Times New Roman" w:eastAsia="宋体" w:cs="Times New Roman"/>
                <w:b/>
                <w:bCs/>
                <w:color w:val="auto"/>
                <w:spacing w:val="0"/>
                <w:position w:val="0"/>
                <w:sz w:val="24"/>
                <w:szCs w:val="24"/>
                <w:highlight w:val="none"/>
                <w:lang w:val="en-US" w:eastAsia="zh-CN"/>
              </w:rPr>
              <w:t>与</w:t>
            </w:r>
            <w:r>
              <w:rPr>
                <w:rFonts w:hint="eastAsia" w:ascii="Times New Roman" w:hAnsi="Times New Roman" w:eastAsia="宋体" w:cs="Times New Roman"/>
                <w:b/>
                <w:bCs/>
                <w:color w:val="auto"/>
                <w:sz w:val="24"/>
                <w:szCs w:val="24"/>
                <w:highlight w:val="none"/>
                <w:lang w:val="en-US" w:eastAsia="zh-CN"/>
              </w:rPr>
              <w:t>《福州市国土空间总体规划（2021-2035年）市域三条控制线图》符合性分析</w:t>
            </w:r>
          </w:p>
          <w:p w14:paraId="6D4D74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根据《自然资源部办公厅关于北京等省</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区、市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启用</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三区三线</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划定成果作为报批建设项目用地用海依据的函》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自然资办函</w:t>
            </w:r>
            <w:r>
              <w:rPr>
                <w:rFonts w:hint="eastAsia" w:ascii="Times New Roman" w:hAnsi="Times New Roman" w:eastAsia="宋体" w:cs="Times New Roman"/>
                <w:color w:val="auto"/>
                <w:sz w:val="24"/>
                <w:szCs w:val="24"/>
                <w:highlight w:val="none"/>
                <w:lang w:val="en-US" w:eastAsia="zh-CN"/>
              </w:rPr>
              <w:t>〔2022〕2207号）</w:t>
            </w:r>
            <w:r>
              <w:rPr>
                <w:rFonts w:hint="default" w:ascii="Times New Roman" w:hAnsi="Times New Roman" w:eastAsia="宋体" w:cs="Times New Roman"/>
                <w:color w:val="auto"/>
                <w:sz w:val="24"/>
                <w:szCs w:val="24"/>
                <w:highlight w:val="none"/>
                <w:lang w:val="en-US" w:eastAsia="zh-CN"/>
              </w:rPr>
              <w:t>，福建省已按照《全国国土空间规划纲要</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2021-2035年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》确定的耕地和永久基本农田保护红线任务和《全国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三区三线</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划定规则》，完成了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三区三线</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划定工作，划定成果符合质检要求，从即日起正式启用，作为建设项目用地用海组卷报批的依据</w:t>
            </w:r>
            <w:r>
              <w:rPr>
                <w:rFonts w:hint="eastAsia" w:ascii="Times New Roman" w:hAnsi="Times New Roman" w:eastAsia="宋体" w:cs="Times New Roman"/>
                <w:color w:val="auto"/>
                <w:sz w:val="24"/>
                <w:szCs w:val="24"/>
                <w:highlight w:val="none"/>
                <w:lang w:val="en-US" w:eastAsia="zh-CN"/>
              </w:rPr>
              <w:t>。根据《福州市国土空间总体规划（2021-2035年）市域三条控制线图》可知（详见附图9）</w:t>
            </w:r>
            <w:r>
              <w:rPr>
                <w:rFonts w:hint="default" w:ascii="Times New Roman" w:hAnsi="Times New Roman" w:eastAsia="宋体" w:cs="Times New Roman"/>
                <w:color w:val="auto"/>
                <w:sz w:val="24"/>
                <w:szCs w:val="24"/>
                <w:highlight w:val="none"/>
                <w:lang w:val="en-US" w:eastAsia="zh-CN"/>
              </w:rPr>
              <w:t>，本项目不占用永久基本农田、不占用生态保护红线，工程区位于城镇开发边界范围内，符合城镇集中建设区的功能定位</w:t>
            </w:r>
            <w:r>
              <w:rPr>
                <w:rFonts w:hint="eastAsia" w:ascii="Times New Roman" w:hAnsi="Times New Roman" w:eastAsia="宋体" w:cs="Times New Roman"/>
                <w:color w:val="auto"/>
                <w:sz w:val="24"/>
                <w:szCs w:val="24"/>
                <w:highlight w:val="none"/>
                <w:lang w:val="en-US" w:eastAsia="zh-CN"/>
              </w:rPr>
              <w:t>。</w:t>
            </w:r>
          </w:p>
          <w:p w14:paraId="74587406">
            <w:pPr>
              <w:keepNext w:val="0"/>
              <w:keepLines w:val="0"/>
              <w:pageBreakBefore w:val="0"/>
              <w:widowControl w:val="0"/>
              <w:kinsoku/>
              <w:wordWrap/>
              <w:overflowPunct/>
              <w:topLinePunct w:val="0"/>
              <w:autoSpaceDE/>
              <w:autoSpaceDN/>
              <w:bidi w:val="0"/>
              <w:adjustRightInd w:val="0"/>
              <w:snapToGrid w:val="0"/>
              <w:spacing w:line="360" w:lineRule="auto"/>
              <w:ind w:left="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2.与</w:t>
            </w:r>
            <w:r>
              <w:rPr>
                <w:rFonts w:hint="default" w:ascii="Times New Roman" w:hAnsi="Times New Roman" w:eastAsia="宋体" w:cs="Times New Roman"/>
                <w:b/>
                <w:bCs/>
                <w:color w:val="auto"/>
                <w:sz w:val="24"/>
                <w:szCs w:val="24"/>
                <w:highlight w:val="none"/>
                <w:lang w:val="en-US" w:eastAsia="zh-CN"/>
              </w:rPr>
              <w:t>规划环境影响评价符合性分析</w:t>
            </w:r>
          </w:p>
          <w:p w14:paraId="29920FC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（1）与规划环评符合性分析</w:t>
            </w:r>
          </w:p>
          <w:p w14:paraId="3501651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w:t>
            </w:r>
            <w:r>
              <w:rPr>
                <w:rFonts w:hint="eastAsia" w:ascii="Times New Roman" w:hAnsi="Times New Roman" w:eastAsia="宋体" w:cs="Times New Roman"/>
                <w:b w:val="0"/>
                <w:bCs w:val="0"/>
                <w:color w:val="auto"/>
                <w:kern w:val="0"/>
                <w:sz w:val="24"/>
                <w:szCs w:val="24"/>
                <w:highlight w:val="none"/>
                <w:lang w:val="en-US" w:eastAsia="zh-CN"/>
              </w:rPr>
              <w:t>《闽侯县经济技术开发区一期延伸区控制性详细规划</w:t>
            </w:r>
            <w:r>
              <w:rPr>
                <w:rFonts w:hint="eastAsia" w:ascii="Times New Roman" w:hAnsi="Times New Roman" w:eastAsia="宋体" w:cs="Times New Roman"/>
                <w:b w:val="0"/>
                <w:bCs w:val="0"/>
                <w:color w:val="auto"/>
                <w:kern w:val="0"/>
                <w:sz w:val="24"/>
                <w:szCs w:val="24"/>
                <w:highlight w:val="none"/>
              </w:rPr>
              <w:t>环境影响报告书</w:t>
            </w:r>
            <w:r>
              <w:rPr>
                <w:rFonts w:hint="eastAsia"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可知，规划未给出功能定位，由于本区是闽侯开发区一期的延伸区，其功能定位应与开发区总体一致。根据开发区一期、二期规划，开发区总体功能定位为：技术先进、耗能低、污染小、效益好的工业园区。产业定位为：充分利用闽侯经济开发区的综合优势，扬长避短，发展无污染少污染的工业，可考虑与一期产业情况进行衔接。一期主要产业为食品饮料、机械制造、电子电气、服装加工。</w:t>
            </w:r>
          </w:p>
          <w:p w14:paraId="2E053EC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本项目为</w:t>
            </w:r>
            <w:r>
              <w:rPr>
                <w:rFonts w:hint="eastAsia" w:ascii="Times New Roman" w:hAnsi="Times New Roman" w:eastAsia="宋体" w:cs="Times New Roman"/>
                <w:color w:val="auto"/>
                <w:kern w:val="0"/>
                <w:sz w:val="24"/>
                <w:szCs w:val="24"/>
                <w:highlight w:val="none"/>
                <w:lang w:val="en-US" w:eastAsia="zh-CN"/>
              </w:rPr>
              <w:t>木质屏风加工生产</w:t>
            </w:r>
            <w:r>
              <w:rPr>
                <w:rFonts w:hint="eastAsia" w:ascii="Times New Roman" w:hAnsi="Times New Roman" w:eastAsia="宋体" w:cs="Times New Roman"/>
                <w:b w:val="0"/>
                <w:bCs w:val="0"/>
                <w:color w:val="auto"/>
                <w:sz w:val="24"/>
                <w:szCs w:val="24"/>
                <w:highlight w:val="none"/>
                <w:lang w:val="en-US" w:eastAsia="zh-CN"/>
              </w:rPr>
              <w:t>，能源使用主要是电能，属于低污染、低能耗的园区主导产业体系的配套轻工制造类项目，根据闽侯县经济技术开发区一期延伸区控制性详细规划环境影响报告书的审查意见（侯环保〔2014〕140号），项目与审查小组意见符合分析如下表1-2。</w:t>
            </w:r>
          </w:p>
          <w:p w14:paraId="65958BAD">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4"/>
                <w:szCs w:val="24"/>
                <w:highlight w:val="none"/>
                <w:lang w:eastAsia="zh-CN"/>
              </w:rPr>
            </w:pPr>
            <w:r>
              <w:rPr>
                <w:rFonts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rPr>
              <w:t xml:space="preserve">2 </w:t>
            </w:r>
            <w:r>
              <w:rPr>
                <w:rFonts w:ascii="Times New Roman" w:hAnsi="Times New Roman" w:eastAsia="宋体" w:cs="Times New Roman"/>
                <w:b/>
                <w:bCs/>
                <w:color w:val="auto"/>
                <w:sz w:val="24"/>
                <w:szCs w:val="24"/>
                <w:highlight w:val="none"/>
              </w:rPr>
              <w:t>本项目与规划环评审查意见的符合性分析</w:t>
            </w: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rPr>
              <w:t>摘录</w:t>
            </w:r>
            <w:r>
              <w:rPr>
                <w:rFonts w:hint="eastAsia" w:ascii="Times New Roman" w:hAnsi="Times New Roman" w:eastAsia="宋体" w:cs="Times New Roman"/>
                <w:b/>
                <w:bCs/>
                <w:color w:val="auto"/>
                <w:sz w:val="24"/>
                <w:szCs w:val="24"/>
                <w:highlight w:val="none"/>
                <w:lang w:eastAsia="zh-CN"/>
              </w:rPr>
              <w:t>）</w:t>
            </w:r>
          </w:p>
          <w:tbl>
            <w:tblPr>
              <w:tblStyle w:val="29"/>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80"/>
              <w:gridCol w:w="2265"/>
              <w:gridCol w:w="774"/>
            </w:tblGrid>
            <w:tr w14:paraId="4ABD01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8" w:type="pct"/>
                  <w:tcBorders>
                    <w:tl2br w:val="nil"/>
                    <w:tr2bl w:val="nil"/>
                  </w:tcBorders>
                  <w:noWrap w:val="0"/>
                  <w:vAlign w:val="center"/>
                </w:tcPr>
                <w:p w14:paraId="219D6F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规划环评审查意见要求</w:t>
                  </w:r>
                </w:p>
              </w:tc>
              <w:tc>
                <w:tcPr>
                  <w:tcW w:w="1685" w:type="pct"/>
                  <w:tcBorders>
                    <w:tl2br w:val="nil"/>
                    <w:tr2bl w:val="nil"/>
                  </w:tcBorders>
                  <w:noWrap w:val="0"/>
                  <w:vAlign w:val="center"/>
                </w:tcPr>
                <w:p w14:paraId="393C3F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本项目内容</w:t>
                  </w:r>
                </w:p>
              </w:tc>
              <w:tc>
                <w:tcPr>
                  <w:tcW w:w="576" w:type="pct"/>
                  <w:tcBorders>
                    <w:tl2br w:val="nil"/>
                    <w:tr2bl w:val="nil"/>
                  </w:tcBorders>
                  <w:noWrap w:val="0"/>
                  <w:vAlign w:val="center"/>
                </w:tcPr>
                <w:p w14:paraId="4AB61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5F534B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8" w:type="pct"/>
                  <w:tcBorders>
                    <w:tl2br w:val="nil"/>
                    <w:tr2bl w:val="nil"/>
                  </w:tcBorders>
                  <w:noWrap w:val="0"/>
                  <w:vAlign w:val="center"/>
                </w:tcPr>
                <w:p w14:paraId="5996B0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进一步明确园区定位与主导产业。</w:t>
                  </w:r>
                </w:p>
                <w:p w14:paraId="719630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规划对延伸区总体定位为：闽侯县经济技术开发区一期延伸区以发展“无污染、少污染的工业”为主，主导产业为食品饮料、机械制造、电子电气、服装加工。</w:t>
                  </w:r>
                </w:p>
                <w:p w14:paraId="2B76B7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闽侯县经济技术开发区一期延伸区应按照生态县建设规划的要求，从规划、项目引进、落地、实施等各个环节择优发展工业，加快产业结构调整和传统产业改造，逐步推进清洁生产、实施循环经济。严格限制高耗水、高污染型产业，园区内不得新建燃煤锅炉，延伸区内引进的机械产业涉及喷涂工艺的，应安装废气回收净化装置，大力推广使用环保涂料，减少有机废气排放。延伸区应严格执行甘蔗街道及荆溪镇的环境功能区划，科学规划、合理布局，提高企业环保准入门槛，加快环保基础设施建设，按照甘蔗街道和荆溪镇环境规划的要求，保障相关功能区环境质量达标。</w:t>
                  </w:r>
                </w:p>
              </w:tc>
              <w:tc>
                <w:tcPr>
                  <w:tcW w:w="1685" w:type="pct"/>
                  <w:tcBorders>
                    <w:tl2br w:val="nil"/>
                    <w:tr2bl w:val="nil"/>
                  </w:tcBorders>
                  <w:noWrap w:val="0"/>
                  <w:vAlign w:val="center"/>
                </w:tcPr>
                <w:p w14:paraId="61C54A45">
                  <w:pPr>
                    <w:keepNext w:val="0"/>
                    <w:keepLines w:val="0"/>
                    <w:widowControl/>
                    <w:suppressLineNumbers w:val="0"/>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项目主要从事木质屏风加工生产，</w:t>
                  </w:r>
                  <w:r>
                    <w:rPr>
                      <w:rFonts w:hint="eastAsia"/>
                      <w:color w:val="auto"/>
                      <w:highlight w:val="none"/>
                      <w:lang w:val="en-US" w:eastAsia="zh-CN"/>
                    </w:rPr>
                    <w:t>已通过发改备案，基本符合开发区产业布局规划</w:t>
                  </w:r>
                  <w:r>
                    <w:rPr>
                      <w:rFonts w:hint="eastAsia" w:ascii="Times New Roman" w:hAnsi="Times New Roman" w:eastAsia="宋体" w:cs="Times New Roman"/>
                      <w:color w:val="auto"/>
                      <w:sz w:val="21"/>
                      <w:szCs w:val="21"/>
                      <w:highlight w:val="none"/>
                      <w:lang w:val="en-US" w:eastAsia="zh-CN"/>
                    </w:rPr>
                    <w:t>，项目主要使用</w:t>
                  </w:r>
                  <w:r>
                    <w:rPr>
                      <w:rFonts w:hint="eastAsia" w:ascii="Times New Roman" w:hAnsi="Times New Roman" w:eastAsia="宋体" w:cs="Times New Roman"/>
                      <w:color w:val="auto"/>
                      <w:kern w:val="2"/>
                      <w:sz w:val="21"/>
                      <w:szCs w:val="21"/>
                      <w:highlight w:val="none"/>
                      <w:lang w:val="en-US" w:eastAsia="zh-CN" w:bidi="ar-SA"/>
                    </w:rPr>
                    <w:t>油性漆、水性漆、固化剂、稀释剂</w:t>
                  </w:r>
                  <w:r>
                    <w:rPr>
                      <w:rFonts w:hint="eastAsia" w:ascii="Times New Roman" w:hAnsi="Times New Roman" w:eastAsia="宋体" w:cs="Times New Roman"/>
                      <w:color w:val="auto"/>
                      <w:sz w:val="21"/>
                      <w:szCs w:val="21"/>
                      <w:highlight w:val="none"/>
                      <w:lang w:val="en-US" w:eastAsia="zh-CN"/>
                    </w:rPr>
                    <w:t>等主要原辅材料，</w:t>
                  </w:r>
                  <w:r>
                    <w:rPr>
                      <w:rFonts w:hint="eastAsia" w:ascii="Times New Roman" w:hAnsi="Times New Roman" w:eastAsia="宋体" w:cs="Times New Roman"/>
                      <w:color w:val="auto"/>
                      <w:spacing w:val="0"/>
                      <w:position w:val="0"/>
                      <w:sz w:val="21"/>
                      <w:szCs w:val="21"/>
                      <w:highlight w:val="none"/>
                      <w:lang w:eastAsia="zh-CN"/>
                    </w:rPr>
                    <w:t>根据第二章节</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主要原辅材料及能源消耗 主要原辅材料理化性质</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分析，项目使用的</w:t>
                  </w:r>
                  <w:r>
                    <w:rPr>
                      <w:rFonts w:hint="eastAsia" w:ascii="Times New Roman" w:hAnsi="Times New Roman" w:eastAsia="宋体" w:cs="Times New Roman"/>
                      <w:color w:val="auto"/>
                      <w:spacing w:val="0"/>
                      <w:kern w:val="0"/>
                      <w:sz w:val="21"/>
                      <w:szCs w:val="21"/>
                      <w:highlight w:val="none"/>
                      <w:lang w:val="en-US" w:eastAsia="zh-CN"/>
                    </w:rPr>
                    <w:t>油性</w:t>
                  </w:r>
                  <w:r>
                    <w:rPr>
                      <w:rFonts w:hint="default" w:ascii="Times New Roman" w:hAnsi="Times New Roman" w:eastAsia="宋体" w:cs="Times New Roman"/>
                      <w:color w:val="auto"/>
                      <w:spacing w:val="0"/>
                      <w:kern w:val="0"/>
                      <w:sz w:val="21"/>
                      <w:szCs w:val="21"/>
                      <w:highlight w:val="none"/>
                    </w:rPr>
                    <w:t>漆、稀释剂、固化剂在施工状态下属于低VOCs含量原辅材料，不属于高VOCs排放范畴；项目使用的水性</w:t>
                  </w:r>
                  <w:r>
                    <w:rPr>
                      <w:rFonts w:hint="eastAsia" w:ascii="Times New Roman" w:hAnsi="Times New Roman" w:eastAsia="宋体" w:cs="Times New Roman"/>
                      <w:color w:val="auto"/>
                      <w:spacing w:val="0"/>
                      <w:kern w:val="0"/>
                      <w:sz w:val="21"/>
                      <w:szCs w:val="21"/>
                      <w:highlight w:val="none"/>
                      <w:lang w:val="en-US" w:eastAsia="zh-CN"/>
                    </w:rPr>
                    <w:t>漆</w:t>
                  </w:r>
                  <w:r>
                    <w:rPr>
                      <w:rFonts w:hint="default" w:ascii="Times New Roman" w:hAnsi="Times New Roman" w:eastAsia="宋体" w:cs="Times New Roman"/>
                      <w:color w:val="auto"/>
                      <w:spacing w:val="0"/>
                      <w:kern w:val="0"/>
                      <w:sz w:val="21"/>
                      <w:szCs w:val="21"/>
                      <w:highlight w:val="none"/>
                    </w:rPr>
                    <w:t>符合《低挥发性有机化合物含量涂料产品技术要求》（GB/T 38597-2020）中的VOCs含量要求规定</w:t>
                  </w:r>
                  <w:r>
                    <w:rPr>
                      <w:rFonts w:hint="eastAsia" w:ascii="Times New Roman" w:hAnsi="Times New Roman" w:eastAsia="宋体" w:cs="Times New Roman"/>
                      <w:color w:val="auto"/>
                      <w:sz w:val="21"/>
                      <w:szCs w:val="21"/>
                      <w:highlight w:val="none"/>
                      <w:lang w:val="en-US" w:eastAsia="zh-CN"/>
                    </w:rPr>
                    <w:t>，不属于高能耗、高污染型产业；</w:t>
                  </w:r>
                  <w:r>
                    <w:rPr>
                      <w:rFonts w:hint="eastAsia"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lang w:val="en-US" w:eastAsia="zh-CN"/>
                    </w:rPr>
                    <w:t>不涉及锅炉建设，</w:t>
                  </w:r>
                  <w:r>
                    <w:rPr>
                      <w:rFonts w:hint="eastAsia" w:cs="Times New Roman"/>
                      <w:color w:val="auto"/>
                      <w:sz w:val="21"/>
                      <w:szCs w:val="21"/>
                      <w:highlight w:val="none"/>
                      <w:lang w:val="en-US" w:eastAsia="zh-CN"/>
                    </w:rPr>
                    <w:t>不属于机械产业，且</w:t>
                  </w:r>
                  <w:r>
                    <w:rPr>
                      <w:rFonts w:hint="eastAsia" w:ascii="Times New Roman" w:hAnsi="Times New Roman" w:eastAsia="宋体" w:cs="Times New Roman"/>
                      <w:color w:val="auto"/>
                      <w:sz w:val="21"/>
                      <w:szCs w:val="21"/>
                      <w:highlight w:val="none"/>
                    </w:rPr>
                    <w:t>安装</w:t>
                  </w:r>
                  <w:r>
                    <w:rPr>
                      <w:rFonts w:hint="eastAsia" w:ascii="Times New Roman" w:hAnsi="Times New Roman" w:eastAsia="宋体" w:cs="Times New Roman"/>
                      <w:color w:val="auto"/>
                      <w:sz w:val="21"/>
                      <w:szCs w:val="21"/>
                      <w:highlight w:val="none"/>
                      <w:lang w:val="en-US" w:eastAsia="zh-CN"/>
                    </w:rPr>
                    <w:t>有</w:t>
                  </w:r>
                  <w:r>
                    <w:rPr>
                      <w:rFonts w:hint="eastAsia" w:ascii="Times New Roman" w:hAnsi="Times New Roman" w:eastAsia="宋体" w:cs="Times New Roman"/>
                      <w:color w:val="auto"/>
                      <w:sz w:val="21"/>
                      <w:szCs w:val="21"/>
                      <w:highlight w:val="none"/>
                    </w:rPr>
                    <w:t>废气净化装置</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减少有机废气排放。</w:t>
                  </w:r>
                  <w:r>
                    <w:rPr>
                      <w:rFonts w:hint="eastAsia" w:ascii="Times New Roman" w:hAnsi="Times New Roman" w:eastAsia="宋体" w:cs="Times New Roman"/>
                      <w:color w:val="auto"/>
                      <w:sz w:val="21"/>
                      <w:szCs w:val="21"/>
                      <w:highlight w:val="none"/>
                      <w:lang w:val="en-US" w:eastAsia="zh-CN"/>
                    </w:rPr>
                    <w:t>目前所在区域功能区环境质量达标。</w:t>
                  </w:r>
                </w:p>
              </w:tc>
              <w:tc>
                <w:tcPr>
                  <w:tcW w:w="576" w:type="pct"/>
                  <w:tcBorders>
                    <w:tl2br w:val="nil"/>
                    <w:tr2bl w:val="nil"/>
                  </w:tcBorders>
                  <w:noWrap w:val="0"/>
                  <w:vAlign w:val="center"/>
                </w:tcPr>
                <w:p w14:paraId="221704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54CD2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8" w:type="pct"/>
                  <w:tcBorders>
                    <w:tl2br w:val="nil"/>
                    <w:tr2bl w:val="nil"/>
                  </w:tcBorders>
                  <w:noWrap w:val="0"/>
                  <w:vAlign w:val="center"/>
                </w:tcPr>
                <w:p w14:paraId="0DCFEC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进一步优化园区规划功能布局。严格按照产业发展导向来引进项目，根据入驻企业污染物排放的具体情况来制定环境防护距离。与居住用地相邻的工业用地应以科技研发或一类工业为主，不得规划布局产生恶臭或噪声污染的项目。应利用仓库、站场、绿化带，设置居住区与园区的防护隔离带，交通干线两侧应按规范设置噪声隔离带。</w:t>
                  </w:r>
                </w:p>
              </w:tc>
              <w:tc>
                <w:tcPr>
                  <w:tcW w:w="1685" w:type="pct"/>
                  <w:tcBorders>
                    <w:tl2br w:val="nil"/>
                    <w:tr2bl w:val="nil"/>
                  </w:tcBorders>
                  <w:noWrap w:val="0"/>
                  <w:vAlign w:val="center"/>
                </w:tcPr>
                <w:p w14:paraId="4397E2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3"/>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项目主要从事木质屏风加工生产，不属于高能耗项目，高污染</w:t>
                  </w:r>
                  <w:r>
                    <w:rPr>
                      <w:rFonts w:hint="eastAsia" w:ascii="Times New Roman" w:hAnsi="Times New Roman" w:eastAsia="宋体" w:cs="Times New Roman"/>
                      <w:color w:val="auto"/>
                      <w:sz w:val="21"/>
                      <w:szCs w:val="21"/>
                      <w:highlight w:val="none"/>
                    </w:rPr>
                    <w:t>型产业</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项目周边最近的环境空气保护目标为西北侧的福建京台高速管理中心，距离项目厂界433m</w:t>
                  </w:r>
                  <w:r>
                    <w:rPr>
                      <w:rFonts w:hint="eastAsia" w:cs="Times New Roman"/>
                      <w:color w:val="auto"/>
                      <w:sz w:val="21"/>
                      <w:szCs w:val="21"/>
                      <w:highlight w:val="none"/>
                      <w:lang w:val="en-US" w:eastAsia="zh-CN"/>
                    </w:rPr>
                    <w:t>，与居住用地不相</w:t>
                  </w:r>
                  <w:r>
                    <w:rPr>
                      <w:rFonts w:hint="eastAsia" w:ascii="Times New Roman" w:hAnsi="Times New Roman" w:eastAsia="宋体" w:cs="Times New Roman"/>
                      <w:color w:val="auto"/>
                      <w:sz w:val="21"/>
                      <w:szCs w:val="21"/>
                      <w:highlight w:val="none"/>
                      <w:lang w:val="en-US" w:eastAsia="zh-CN"/>
                    </w:rPr>
                    <w:t>邻。</w:t>
                  </w:r>
                </w:p>
              </w:tc>
              <w:tc>
                <w:tcPr>
                  <w:tcW w:w="576" w:type="pct"/>
                  <w:tcBorders>
                    <w:tl2br w:val="nil"/>
                    <w:tr2bl w:val="nil"/>
                  </w:tcBorders>
                  <w:noWrap w:val="0"/>
                  <w:vAlign w:val="center"/>
                </w:tcPr>
                <w:p w14:paraId="199FAE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B7697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8" w:type="pct"/>
                  <w:tcBorders>
                    <w:tl2br w:val="nil"/>
                    <w:tr2bl w:val="nil"/>
                  </w:tcBorders>
                  <w:noWrap w:val="0"/>
                  <w:vAlign w:val="center"/>
                </w:tcPr>
                <w:p w14:paraId="0A21DA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进一步深化园区污水处理与区域污水处理系统的衔接可行性分析。规划部门应对园区有关污水处理排放问题进行专题规划论证，从闽侯县城污水处理厂的处理规模、处理工艺、管网配套和服务范围，从园区类比污水产生量、污水性质及园区内污水处理要求，分析污水处理接纳关系。园区内企业必须配套建设污水处理设施，将污水自行处理达标后纳入闽侯县城污水处理厂集中处理。</w:t>
                  </w:r>
                </w:p>
              </w:tc>
              <w:tc>
                <w:tcPr>
                  <w:tcW w:w="1685" w:type="pct"/>
                  <w:tcBorders>
                    <w:tl2br w:val="nil"/>
                    <w:tr2bl w:val="nil"/>
                  </w:tcBorders>
                  <w:noWrap w:val="0"/>
                  <w:vAlign w:val="center"/>
                </w:tcPr>
                <w:p w14:paraId="45EAE8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1"/>
                      <w:sz w:val="21"/>
                      <w:szCs w:val="21"/>
                      <w:highlight w:val="none"/>
                    </w:rPr>
                    <w:t>项</w:t>
                  </w:r>
                  <w:r>
                    <w:rPr>
                      <w:rFonts w:hint="default" w:ascii="Times New Roman" w:hAnsi="Times New Roman" w:eastAsia="宋体" w:cs="Times New Roman"/>
                      <w:color w:val="auto"/>
                      <w:spacing w:val="9"/>
                      <w:sz w:val="21"/>
                      <w:szCs w:val="21"/>
                      <w:highlight w:val="none"/>
                    </w:rPr>
                    <w:t>目厂区已实现</w:t>
                  </w:r>
                  <w:r>
                    <w:rPr>
                      <w:rFonts w:hint="eastAsia" w:ascii="Times New Roman" w:hAnsi="Times New Roman" w:eastAsia="宋体" w:cs="Times New Roman"/>
                      <w:color w:val="auto"/>
                      <w:spacing w:val="9"/>
                      <w:sz w:val="21"/>
                      <w:szCs w:val="21"/>
                      <w:highlight w:val="none"/>
                      <w:lang w:eastAsia="zh-CN"/>
                    </w:rPr>
                    <w:t>“</w:t>
                  </w:r>
                  <w:r>
                    <w:rPr>
                      <w:rFonts w:hint="default" w:ascii="Times New Roman" w:hAnsi="Times New Roman" w:eastAsia="宋体" w:cs="Times New Roman"/>
                      <w:color w:val="auto"/>
                      <w:spacing w:val="9"/>
                      <w:sz w:val="21"/>
                      <w:szCs w:val="21"/>
                      <w:highlight w:val="none"/>
                    </w:rPr>
                    <w:t>雨污分流</w:t>
                  </w:r>
                  <w:r>
                    <w:rPr>
                      <w:rFonts w:hint="eastAsia" w:ascii="Times New Roman" w:hAnsi="Times New Roman" w:eastAsia="宋体" w:cs="Times New Roman"/>
                      <w:color w:val="auto"/>
                      <w:spacing w:val="9"/>
                      <w:sz w:val="21"/>
                      <w:szCs w:val="21"/>
                      <w:highlight w:val="none"/>
                      <w:lang w:eastAsia="zh-CN"/>
                    </w:rPr>
                    <w:t>”</w:t>
                  </w:r>
                  <w:r>
                    <w:rPr>
                      <w:rFonts w:hint="default" w:ascii="Times New Roman" w:hAnsi="Times New Roman" w:eastAsia="宋体" w:cs="Times New Roman"/>
                      <w:color w:val="auto"/>
                      <w:spacing w:val="9"/>
                      <w:sz w:val="21"/>
                      <w:szCs w:val="21"/>
                      <w:highlight w:val="none"/>
                    </w:rPr>
                    <w:t>，项目不涉及生产废水排放，生活污水直接依托厂区内现有的排水管网排入市政污水管网送往</w:t>
                  </w:r>
                  <w:r>
                    <w:rPr>
                      <w:rFonts w:hint="eastAsia" w:ascii="Times New Roman" w:hAnsi="Times New Roman" w:eastAsia="宋体" w:cs="Times New Roman"/>
                      <w:color w:val="auto"/>
                      <w:spacing w:val="9"/>
                      <w:sz w:val="21"/>
                      <w:szCs w:val="21"/>
                      <w:highlight w:val="none"/>
                      <w:lang w:eastAsia="zh-CN"/>
                    </w:rPr>
                    <w:t>闽侯县城关污水处理厂集中处理。</w:t>
                  </w:r>
                </w:p>
              </w:tc>
              <w:tc>
                <w:tcPr>
                  <w:tcW w:w="576" w:type="pct"/>
                  <w:tcBorders>
                    <w:tl2br w:val="nil"/>
                    <w:tr2bl w:val="nil"/>
                  </w:tcBorders>
                  <w:noWrap w:val="0"/>
                  <w:vAlign w:val="center"/>
                </w:tcPr>
                <w:p w14:paraId="7BCAD6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符</w:t>
                  </w:r>
                  <w:r>
                    <w:rPr>
                      <w:rFonts w:hint="default" w:ascii="Times New Roman" w:hAnsi="Times New Roman" w:eastAsia="宋体" w:cs="Times New Roman"/>
                      <w:color w:val="auto"/>
                      <w:spacing w:val="5"/>
                      <w:sz w:val="21"/>
                      <w:szCs w:val="21"/>
                      <w:highlight w:val="none"/>
                    </w:rPr>
                    <w:t>合</w:t>
                  </w:r>
                </w:p>
              </w:tc>
            </w:tr>
            <w:tr w14:paraId="312CE6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8" w:type="pct"/>
                  <w:tcBorders>
                    <w:tl2br w:val="nil"/>
                    <w:tr2bl w:val="nil"/>
                  </w:tcBorders>
                  <w:noWrap w:val="0"/>
                  <w:vAlign w:val="center"/>
                </w:tcPr>
                <w:p w14:paraId="25B173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规划应进一步落实园区及园区入驻企业清洁生产、节水、节能、中水回用、固废处置等相关内容，编制水土保持方案。规划实施过程中，应优先实施水土保持、防洪排涝、污水管网等工程。园区新增污染物排放量应按照国家污染物排放总量控制的要求予以落实。园区应完善环境风险应急能力建设规划，建立区域联动协调机制，切实防范环境风险。</w:t>
                  </w:r>
                </w:p>
              </w:tc>
              <w:tc>
                <w:tcPr>
                  <w:tcW w:w="1685" w:type="pct"/>
                  <w:tcBorders>
                    <w:tl2br w:val="nil"/>
                    <w:tr2bl w:val="nil"/>
                  </w:tcBorders>
                  <w:noWrap w:val="0"/>
                  <w:vAlign w:val="center"/>
                </w:tcPr>
                <w:p w14:paraId="1F0DE4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项目排放的VOC</w:t>
                  </w:r>
                  <w:r>
                    <w:rPr>
                      <w:rFonts w:hint="eastAsia" w:cs="Times New Roman"/>
                      <w:color w:val="auto"/>
                      <w:sz w:val="21"/>
                      <w:szCs w:val="21"/>
                      <w:highlight w:val="none"/>
                      <w:vertAlign w:val="baseline"/>
                      <w:lang w:val="en-US" w:eastAsia="zh-CN"/>
                    </w:rPr>
                    <w:t>s</w:t>
                  </w:r>
                  <w:r>
                    <w:rPr>
                      <w:rFonts w:hint="default" w:ascii="Times New Roman" w:hAnsi="Times New Roman" w:eastAsia="宋体" w:cs="Times New Roman"/>
                      <w:color w:val="auto"/>
                      <w:sz w:val="21"/>
                      <w:szCs w:val="21"/>
                      <w:highlight w:val="none"/>
                    </w:rPr>
                    <w:t>拟实行区域内倍量替代</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2"/>
                      <w:sz w:val="21"/>
                      <w:szCs w:val="21"/>
                      <w:highlight w:val="none"/>
                    </w:rPr>
                    <w:t>项</w:t>
                  </w:r>
                  <w:r>
                    <w:rPr>
                      <w:rFonts w:hint="default" w:ascii="Times New Roman" w:hAnsi="Times New Roman" w:eastAsia="宋体" w:cs="Times New Roman"/>
                      <w:color w:val="auto"/>
                      <w:spacing w:val="1"/>
                      <w:sz w:val="21"/>
                      <w:szCs w:val="21"/>
                      <w:highlight w:val="none"/>
                    </w:rPr>
                    <w:t>目生产工艺、技术装备、</w:t>
                  </w:r>
                  <w:r>
                    <w:rPr>
                      <w:rFonts w:hint="default" w:ascii="Times New Roman" w:hAnsi="Times New Roman" w:eastAsia="宋体" w:cs="Times New Roman"/>
                      <w:color w:val="auto"/>
                      <w:spacing w:val="7"/>
                      <w:sz w:val="21"/>
                      <w:szCs w:val="21"/>
                      <w:highlight w:val="none"/>
                    </w:rPr>
                    <w:t>污染治理水平以及单位产</w:t>
                  </w:r>
                  <w:r>
                    <w:rPr>
                      <w:rFonts w:hint="default" w:ascii="Times New Roman" w:hAnsi="Times New Roman" w:eastAsia="宋体" w:cs="Times New Roman"/>
                      <w:color w:val="auto"/>
                      <w:spacing w:val="6"/>
                      <w:sz w:val="21"/>
                      <w:szCs w:val="21"/>
                      <w:highlight w:val="none"/>
                    </w:rPr>
                    <w:t>品</w:t>
                  </w:r>
                  <w:r>
                    <w:rPr>
                      <w:rFonts w:hint="default" w:ascii="Times New Roman" w:hAnsi="Times New Roman" w:eastAsia="宋体" w:cs="Times New Roman"/>
                      <w:color w:val="auto"/>
                      <w:spacing w:val="7"/>
                      <w:sz w:val="21"/>
                      <w:szCs w:val="21"/>
                      <w:highlight w:val="none"/>
                    </w:rPr>
                    <w:t>能耗、物耗等</w:t>
                  </w:r>
                  <w:r>
                    <w:rPr>
                      <w:rFonts w:hint="eastAsia" w:ascii="Times New Roman" w:hAnsi="Times New Roman" w:eastAsia="宋体" w:cs="Times New Roman"/>
                      <w:color w:val="auto"/>
                      <w:spacing w:val="7"/>
                      <w:sz w:val="21"/>
                      <w:szCs w:val="21"/>
                      <w:highlight w:val="none"/>
                      <w:lang w:val="en-US" w:eastAsia="zh-CN"/>
                    </w:rPr>
                    <w:t>可以达到</w:t>
                  </w:r>
                  <w:r>
                    <w:rPr>
                      <w:rFonts w:hint="default" w:ascii="Times New Roman" w:hAnsi="Times New Roman" w:eastAsia="宋体" w:cs="Times New Roman"/>
                      <w:color w:val="auto"/>
                      <w:sz w:val="21"/>
                      <w:szCs w:val="21"/>
                      <w:highlight w:val="none"/>
                    </w:rPr>
                    <w:t>同行业国际先进水平</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13"/>
                      <w:sz w:val="21"/>
                      <w:szCs w:val="21"/>
                      <w:highlight w:val="none"/>
                    </w:rPr>
                    <w:t>本</w:t>
                  </w:r>
                  <w:r>
                    <w:rPr>
                      <w:rFonts w:hint="default" w:ascii="Times New Roman" w:hAnsi="Times New Roman" w:eastAsia="宋体" w:cs="Times New Roman"/>
                      <w:color w:val="auto"/>
                      <w:spacing w:val="9"/>
                      <w:sz w:val="21"/>
                      <w:szCs w:val="21"/>
                      <w:highlight w:val="none"/>
                    </w:rPr>
                    <w:t>项目将严格落实环境风险事故防</w:t>
                  </w:r>
                  <w:r>
                    <w:rPr>
                      <w:rFonts w:hint="default" w:ascii="Times New Roman" w:hAnsi="Times New Roman" w:eastAsia="宋体" w:cs="Times New Roman"/>
                      <w:color w:val="auto"/>
                      <w:spacing w:val="13"/>
                      <w:sz w:val="21"/>
                      <w:szCs w:val="21"/>
                      <w:highlight w:val="none"/>
                    </w:rPr>
                    <w:t>范</w:t>
                  </w:r>
                  <w:r>
                    <w:rPr>
                      <w:rFonts w:hint="default" w:ascii="Times New Roman" w:hAnsi="Times New Roman" w:eastAsia="宋体" w:cs="Times New Roman"/>
                      <w:color w:val="auto"/>
                      <w:spacing w:val="9"/>
                      <w:sz w:val="21"/>
                      <w:szCs w:val="21"/>
                      <w:highlight w:val="none"/>
                    </w:rPr>
                    <w:t>措施，并</w:t>
                  </w:r>
                  <w:r>
                    <w:rPr>
                      <w:rFonts w:hint="default" w:ascii="Times New Roman" w:hAnsi="Times New Roman" w:eastAsia="宋体" w:cs="Times New Roman"/>
                      <w:color w:val="auto"/>
                      <w:spacing w:val="12"/>
                      <w:sz w:val="21"/>
                      <w:szCs w:val="21"/>
                      <w:highlight w:val="none"/>
                    </w:rPr>
                    <w:t>做</w:t>
                  </w:r>
                  <w:r>
                    <w:rPr>
                      <w:rFonts w:hint="default" w:ascii="Times New Roman" w:hAnsi="Times New Roman" w:eastAsia="宋体" w:cs="Times New Roman"/>
                      <w:color w:val="auto"/>
                      <w:spacing w:val="8"/>
                      <w:sz w:val="21"/>
                      <w:szCs w:val="21"/>
                      <w:highlight w:val="none"/>
                    </w:rPr>
                    <w:t>好与园区的应急联动。</w:t>
                  </w:r>
                </w:p>
              </w:tc>
              <w:tc>
                <w:tcPr>
                  <w:tcW w:w="576" w:type="pct"/>
                  <w:tcBorders>
                    <w:tl2br w:val="nil"/>
                    <w:tr2bl w:val="nil"/>
                  </w:tcBorders>
                  <w:noWrap w:val="0"/>
                  <w:vAlign w:val="center"/>
                </w:tcPr>
                <w:p w14:paraId="7E2F7B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符</w:t>
                  </w:r>
                  <w:r>
                    <w:rPr>
                      <w:rFonts w:hint="default" w:ascii="Times New Roman" w:hAnsi="Times New Roman" w:eastAsia="宋体" w:cs="Times New Roman"/>
                      <w:color w:val="auto"/>
                      <w:spacing w:val="5"/>
                      <w:sz w:val="21"/>
                      <w:szCs w:val="21"/>
                      <w:highlight w:val="none"/>
                    </w:rPr>
                    <w:t>合</w:t>
                  </w:r>
                </w:p>
              </w:tc>
            </w:tr>
          </w:tbl>
          <w:p w14:paraId="3E4B68A0">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left="0" w:right="0" w:firstLine="420" w:firstLineChars="200"/>
              <w:textAlignment w:val="auto"/>
              <w:rPr>
                <w:rFonts w:hint="eastAsia" w:ascii="Times New Roman" w:hAnsi="Times New Roman" w:eastAsia="宋体" w:cs="Times New Roman"/>
                <w:color w:val="auto"/>
                <w:spacing w:val="0"/>
                <w:position w:val="0"/>
                <w:highlight w:val="none"/>
                <w:lang w:eastAsia="zh-CN"/>
              </w:rPr>
            </w:pPr>
            <w:r>
              <w:rPr>
                <w:rFonts w:hint="eastAsia" w:ascii="Times New Roman" w:hAnsi="Times New Roman" w:eastAsia="宋体" w:cs="Times New Roman"/>
                <w:color w:val="auto"/>
                <w:szCs w:val="21"/>
                <w:highlight w:val="none"/>
              </w:rPr>
              <w:t>综上所述，本项目符合规划环评及审查意见的要求。</w:t>
            </w:r>
          </w:p>
        </w:tc>
      </w:tr>
      <w:tr w14:paraId="4971D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934" w:type="dxa"/>
            <w:vAlign w:val="center"/>
          </w:tcPr>
          <w:p w14:paraId="10008179">
            <w:pPr>
              <w:autoSpaceDE w:val="0"/>
              <w:autoSpaceDN w:val="0"/>
              <w:adjustRightInd w:val="0"/>
              <w:snapToGrid w:val="0"/>
              <w:jc w:val="center"/>
              <w:rPr>
                <w:rFonts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rPr>
              <w:t>其他符合性分析</w:t>
            </w:r>
          </w:p>
        </w:tc>
        <w:tc>
          <w:tcPr>
            <w:tcW w:w="6936" w:type="dxa"/>
            <w:gridSpan w:val="3"/>
            <w:vAlign w:val="center"/>
          </w:tcPr>
          <w:p w14:paraId="54D5E4A5">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Times New Roman" w:hAnsi="Times New Roman" w:eastAsia="宋体" w:cs="Times New Roman"/>
                <w:b/>
                <w:bCs/>
                <w:color w:val="auto"/>
                <w:spacing w:val="0"/>
                <w:position w:val="0"/>
                <w:sz w:val="24"/>
                <w:szCs w:val="24"/>
                <w:highlight w:val="none"/>
                <w:lang w:eastAsia="zh-CN"/>
              </w:rPr>
            </w:pPr>
            <w:r>
              <w:rPr>
                <w:rFonts w:hint="eastAsia" w:ascii="Times New Roman" w:hAnsi="Times New Roman" w:eastAsia="宋体" w:cs="Times New Roman"/>
                <w:b/>
                <w:bCs/>
                <w:color w:val="auto"/>
                <w:spacing w:val="0"/>
                <w:position w:val="0"/>
                <w:sz w:val="24"/>
                <w:szCs w:val="32"/>
                <w:highlight w:val="none"/>
                <w:lang w:val="en-US" w:eastAsia="zh-CN"/>
              </w:rPr>
              <w:t>1、</w:t>
            </w:r>
            <w:r>
              <w:rPr>
                <w:rFonts w:hint="default" w:ascii="Times New Roman" w:hAnsi="Times New Roman" w:eastAsia="宋体" w:cs="Times New Roman"/>
                <w:b/>
                <w:bCs/>
                <w:color w:val="auto"/>
                <w:spacing w:val="0"/>
                <w:position w:val="0"/>
                <w:sz w:val="24"/>
                <w:szCs w:val="24"/>
                <w:highlight w:val="none"/>
                <w:lang w:eastAsia="zh-CN"/>
              </w:rPr>
              <w:t>产业政策符合性分析</w:t>
            </w:r>
          </w:p>
          <w:p w14:paraId="39BA17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本项目主要</w:t>
            </w:r>
            <w:r>
              <w:rPr>
                <w:rFonts w:hint="eastAsia" w:ascii="Times New Roman" w:hAnsi="Times New Roman" w:eastAsia="宋体" w:cs="Times New Roman"/>
                <w:color w:val="auto"/>
                <w:spacing w:val="0"/>
                <w:position w:val="0"/>
                <w:sz w:val="24"/>
                <w:szCs w:val="24"/>
                <w:highlight w:val="none"/>
                <w:lang w:eastAsia="zh-CN"/>
              </w:rPr>
              <w:t>从事</w:t>
            </w:r>
            <w:r>
              <w:rPr>
                <w:rFonts w:hint="eastAsia" w:ascii="Times New Roman" w:hAnsi="Times New Roman" w:eastAsia="宋体" w:cs="Times New Roman"/>
                <w:color w:val="auto"/>
                <w:spacing w:val="0"/>
                <w:position w:val="0"/>
                <w:sz w:val="24"/>
                <w:szCs w:val="24"/>
                <w:highlight w:val="none"/>
                <w:lang w:val="en-US" w:eastAsia="zh-CN"/>
              </w:rPr>
              <w:t>木质屏风加工生产</w:t>
            </w:r>
            <w:r>
              <w:rPr>
                <w:rFonts w:hint="default" w:ascii="Times New Roman" w:hAnsi="Times New Roman" w:eastAsia="宋体" w:cs="Times New Roman"/>
                <w:color w:val="auto"/>
                <w:spacing w:val="0"/>
                <w:position w:val="0"/>
                <w:sz w:val="24"/>
                <w:szCs w:val="24"/>
                <w:highlight w:val="none"/>
              </w:rPr>
              <w:t>，对照《自然资源要素支撑产业高质量发展指导目录（2024年本）》，本项目不属于所列</w:t>
            </w:r>
            <w:r>
              <w:rPr>
                <w:rFonts w:hint="eastAsia"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限制类</w:t>
            </w:r>
            <w:r>
              <w:rPr>
                <w:rFonts w:hint="eastAsia"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和</w:t>
            </w:r>
            <w:r>
              <w:rPr>
                <w:rFonts w:hint="eastAsia"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禁止类</w:t>
            </w:r>
            <w:r>
              <w:rPr>
                <w:rFonts w:hint="eastAsia"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项目；同时根据《产业结构调整指导目录（2024年）》，本项目生产的产品、规模、生产设备、生产工艺等不属于</w:t>
            </w:r>
            <w:r>
              <w:rPr>
                <w:rFonts w:hint="eastAsia"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限制类</w:t>
            </w:r>
            <w:r>
              <w:rPr>
                <w:rFonts w:hint="eastAsia"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和</w:t>
            </w:r>
            <w:r>
              <w:rPr>
                <w:rFonts w:hint="eastAsia"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淘汰类</w:t>
            </w:r>
            <w:r>
              <w:rPr>
                <w:rFonts w:hint="eastAsia"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项目，属于允许建设类项目；另外，</w:t>
            </w:r>
            <w:r>
              <w:rPr>
                <w:rFonts w:hint="eastAsia" w:ascii="Times New Roman" w:hAnsi="Times New Roman" w:eastAsia="宋体" w:cs="Times New Roman"/>
                <w:color w:val="auto"/>
                <w:spacing w:val="0"/>
                <w:position w:val="0"/>
                <w:sz w:val="24"/>
                <w:szCs w:val="24"/>
                <w:highlight w:val="none"/>
                <w:lang w:eastAsia="zh-CN"/>
              </w:rPr>
              <w:t>福州市搜一家具有限公司年产木质屏风4800个迁建项目</w:t>
            </w:r>
            <w:r>
              <w:rPr>
                <w:rFonts w:hint="default" w:ascii="Times New Roman" w:hAnsi="Times New Roman" w:eastAsia="宋体" w:cs="Times New Roman"/>
                <w:color w:val="auto"/>
                <w:spacing w:val="0"/>
                <w:position w:val="0"/>
                <w:sz w:val="24"/>
                <w:szCs w:val="24"/>
                <w:highlight w:val="none"/>
              </w:rPr>
              <w:t>已在</w:t>
            </w:r>
            <w:r>
              <w:rPr>
                <w:rFonts w:hint="eastAsia" w:ascii="Times New Roman" w:hAnsi="Times New Roman" w:eastAsia="宋体" w:cs="Times New Roman"/>
                <w:color w:val="auto"/>
                <w:spacing w:val="0"/>
                <w:position w:val="0"/>
                <w:sz w:val="24"/>
                <w:szCs w:val="24"/>
                <w:highlight w:val="none"/>
                <w:lang w:val="en-US" w:eastAsia="zh-CN"/>
              </w:rPr>
              <w:t>闽侯县</w:t>
            </w:r>
            <w:r>
              <w:rPr>
                <w:rFonts w:hint="default" w:ascii="Times New Roman" w:hAnsi="Times New Roman" w:eastAsia="宋体" w:cs="Times New Roman"/>
                <w:color w:val="auto"/>
                <w:spacing w:val="0"/>
                <w:position w:val="0"/>
                <w:sz w:val="24"/>
                <w:szCs w:val="24"/>
                <w:highlight w:val="none"/>
              </w:rPr>
              <w:t>发展和改革局进行了备案，备案表编号：闽发改备[2026]</w:t>
            </w:r>
            <w:r>
              <w:rPr>
                <w:rFonts w:hint="eastAsia" w:ascii="Times New Roman" w:hAnsi="Times New Roman" w:eastAsia="宋体" w:cs="Times New Roman"/>
                <w:color w:val="auto"/>
                <w:spacing w:val="0"/>
                <w:position w:val="0"/>
                <w:sz w:val="24"/>
                <w:szCs w:val="24"/>
                <w:highlight w:val="none"/>
                <w:lang w:val="en-US" w:eastAsia="zh-CN"/>
              </w:rPr>
              <w:t>A080343</w:t>
            </w:r>
            <w:r>
              <w:rPr>
                <w:rFonts w:hint="default" w:ascii="Times New Roman" w:hAnsi="Times New Roman" w:eastAsia="宋体" w:cs="Times New Roman"/>
                <w:color w:val="auto"/>
                <w:spacing w:val="0"/>
                <w:position w:val="0"/>
                <w:sz w:val="24"/>
                <w:szCs w:val="24"/>
                <w:highlight w:val="none"/>
              </w:rPr>
              <w:t>号</w:t>
            </w:r>
            <w:r>
              <w:rPr>
                <w:rFonts w:hint="eastAsia"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val="en-US" w:eastAsia="zh-CN"/>
              </w:rPr>
              <w:t>附件3</w:t>
            </w:r>
            <w:r>
              <w:rPr>
                <w:rFonts w:hint="eastAsia"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，因此，本项目建设符合国家产业政策。</w:t>
            </w:r>
          </w:p>
          <w:p w14:paraId="035344FD">
            <w:pPr>
              <w:keepNext w:val="0"/>
              <w:keepLines w:val="0"/>
              <w:pageBreakBefore w:val="0"/>
              <w:widowControl w:val="0"/>
              <w:numPr>
                <w:ilvl w:val="0"/>
                <w:numId w:val="0"/>
              </w:numPr>
              <w:kinsoku/>
              <w:wordWrap/>
              <w:overflowPunct/>
              <w:topLinePunct w:val="0"/>
              <w:bidi w:val="0"/>
              <w:adjustRightInd w:val="0"/>
              <w:snapToGrid w:val="0"/>
              <w:spacing w:line="360" w:lineRule="auto"/>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sz w:val="24"/>
                <w:szCs w:val="24"/>
                <w:highlight w:val="none"/>
                <w:lang w:val="en-US" w:eastAsia="zh-CN"/>
              </w:rPr>
              <w:t>选址合理性符合性分析</w:t>
            </w:r>
          </w:p>
          <w:p w14:paraId="3739B9C6">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auto"/>
                <w:spacing w:val="0"/>
                <w:position w:val="0"/>
                <w:sz w:val="24"/>
                <w:szCs w:val="32"/>
                <w:highlight w:val="none"/>
              </w:rPr>
            </w:pPr>
            <w:r>
              <w:rPr>
                <w:rFonts w:hint="eastAsia" w:ascii="Times New Roman" w:hAnsi="Times New Roman" w:eastAsia="宋体" w:cs="Times New Roman"/>
                <w:color w:val="auto"/>
                <w:kern w:val="0"/>
                <w:sz w:val="24"/>
                <w:szCs w:val="24"/>
                <w:highlight w:val="none"/>
                <w:lang w:val="en-US" w:eastAsia="zh-CN"/>
              </w:rPr>
              <w:t>项目选址于</w:t>
            </w:r>
            <w:r>
              <w:rPr>
                <w:rFonts w:hint="eastAsia" w:ascii="Times New Roman" w:hAnsi="Times New Roman" w:eastAsia="宋体" w:cs="Times New Roman"/>
                <w:i w:val="0"/>
                <w:iCs w:val="0"/>
                <w:caps w:val="0"/>
                <w:color w:val="auto"/>
                <w:spacing w:val="0"/>
                <w:sz w:val="24"/>
                <w:szCs w:val="24"/>
                <w:highlight w:val="none"/>
                <w:lang w:eastAsia="zh-CN"/>
              </w:rPr>
              <w:t>福建省福州市闽侯县荆溪镇长龙三路23、25号（福建省奥德瑞电子科技有限公司5#厂房二层），</w:t>
            </w:r>
            <w:r>
              <w:rPr>
                <w:rFonts w:hint="eastAsia" w:ascii="Times New Roman" w:hAnsi="Times New Roman" w:eastAsia="宋体" w:cs="Times New Roman"/>
                <w:i w:val="0"/>
                <w:iCs w:val="0"/>
                <w:caps w:val="0"/>
                <w:color w:val="auto"/>
                <w:spacing w:val="0"/>
                <w:sz w:val="24"/>
                <w:szCs w:val="24"/>
                <w:highlight w:val="none"/>
                <w:lang w:val="en-US" w:eastAsia="zh-CN"/>
              </w:rPr>
              <w:t>位于</w:t>
            </w:r>
            <w:r>
              <w:rPr>
                <w:rFonts w:hint="eastAsia" w:ascii="Times New Roman" w:hAnsi="Times New Roman" w:eastAsia="宋体" w:cs="Times New Roman"/>
                <w:b w:val="0"/>
                <w:bCs w:val="0"/>
                <w:color w:val="auto"/>
                <w:sz w:val="24"/>
                <w:szCs w:val="24"/>
                <w:highlight w:val="none"/>
                <w:lang w:val="en-US" w:eastAsia="zh-CN"/>
              </w:rPr>
              <w:t>闽侯县经济技术开发区一期延伸区</w:t>
            </w:r>
            <w:r>
              <w:rPr>
                <w:rFonts w:hint="eastAsia" w:ascii="Times New Roman" w:hAnsi="Times New Roman" w:eastAsia="宋体" w:cs="Times New Roman"/>
                <w:color w:val="auto"/>
                <w:kern w:val="0"/>
                <w:sz w:val="24"/>
                <w:szCs w:val="24"/>
                <w:highlight w:val="none"/>
                <w:lang w:val="en-US" w:eastAsia="zh-CN"/>
              </w:rPr>
              <w:t>，主要从事木质屏风加工生产，</w:t>
            </w:r>
            <w:r>
              <w:rPr>
                <w:rFonts w:hint="default" w:ascii="Times New Roman" w:hAnsi="Times New Roman" w:eastAsia="宋体" w:cs="Times New Roman"/>
                <w:color w:val="auto"/>
                <w:sz w:val="24"/>
                <w:szCs w:val="24"/>
                <w:highlight w:val="none"/>
              </w:rPr>
              <w:t>根据</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闽侯县城乡发展战略规划用地布局规划图(局部)</w:t>
            </w:r>
            <w:r>
              <w:rPr>
                <w:rFonts w:hint="eastAsia" w:cs="Times New Roman"/>
                <w:color w:val="auto"/>
                <w:sz w:val="24"/>
                <w:szCs w:val="24"/>
                <w:highlight w:val="none"/>
                <w:lang w:eastAsia="zh-CN"/>
              </w:rPr>
              <w:t>》</w:t>
            </w:r>
            <w:r>
              <w:rPr>
                <w:rFonts w:hint="eastAsia" w:ascii="Times New Roman" w:hAnsi="Times New Roman" w:eastAsia="宋体" w:cs="Times New Roman"/>
                <w:color w:val="auto"/>
                <w:kern w:val="2"/>
                <w:sz w:val="24"/>
                <w:szCs w:val="24"/>
                <w:highlight w:val="none"/>
                <w:lang w:val="en-US" w:eastAsia="zh-CN" w:bidi="ar-SA"/>
              </w:rPr>
              <w:t>（详见附图</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）分析，所在地为</w:t>
            </w:r>
            <w:r>
              <w:rPr>
                <w:rFonts w:hint="eastAsia" w:cs="Times New Roman"/>
                <w:color w:val="auto"/>
                <w:kern w:val="2"/>
                <w:sz w:val="24"/>
                <w:szCs w:val="24"/>
                <w:highlight w:val="none"/>
                <w:lang w:val="en-US" w:eastAsia="zh-CN" w:bidi="ar-SA"/>
              </w:rPr>
              <w:t>工业用地</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《甘蔗街道和荆溪镇土地利用总体规划图（2006-2020年）（局部）》</w:t>
            </w:r>
            <w:r>
              <w:rPr>
                <w:rFonts w:hint="eastAsia" w:ascii="Times New Roman" w:hAnsi="Times New Roman" w:eastAsia="宋体" w:cs="Times New Roman"/>
                <w:color w:val="auto"/>
                <w:kern w:val="2"/>
                <w:sz w:val="24"/>
                <w:szCs w:val="24"/>
                <w:highlight w:val="none"/>
                <w:lang w:val="en-US" w:eastAsia="zh-CN" w:bidi="ar-SA"/>
              </w:rPr>
              <w:t>（详见附图6）分析，所在地为</w:t>
            </w:r>
            <w:r>
              <w:rPr>
                <w:rFonts w:hint="eastAsia" w:cs="Times New Roman"/>
                <w:color w:val="auto"/>
                <w:kern w:val="2"/>
                <w:sz w:val="24"/>
                <w:szCs w:val="24"/>
                <w:highlight w:val="none"/>
                <w:lang w:val="en-US" w:eastAsia="zh-CN" w:bidi="ar-SA"/>
              </w:rPr>
              <w:t>建设用地</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pacing w:val="0"/>
                <w:kern w:val="2"/>
                <w:position w:val="0"/>
                <w:sz w:val="24"/>
                <w:szCs w:val="32"/>
                <w:highlight w:val="none"/>
                <w:shd w:val="clear" w:color="auto" w:fill="auto"/>
                <w:lang w:val="zh-CN" w:eastAsia="zh-CN" w:bidi="ar-SA"/>
              </w:rPr>
              <w:t>项目系</w:t>
            </w:r>
            <w:r>
              <w:rPr>
                <w:rFonts w:hint="eastAsia" w:ascii="Times New Roman" w:hAnsi="Times New Roman" w:eastAsia="宋体" w:cs="Times New Roman"/>
                <w:color w:val="auto"/>
                <w:spacing w:val="0"/>
                <w:kern w:val="2"/>
                <w:position w:val="0"/>
                <w:sz w:val="24"/>
                <w:szCs w:val="32"/>
                <w:highlight w:val="none"/>
                <w:shd w:val="clear" w:color="auto" w:fill="auto"/>
                <w:lang w:val="zh-CN" w:eastAsia="zh-CN" w:bidi="ar-SA"/>
              </w:rPr>
              <w:t>租赁福建省奥德瑞电子科技有限公司</w:t>
            </w:r>
            <w:r>
              <w:rPr>
                <w:rFonts w:hint="default" w:ascii="Times New Roman" w:hAnsi="Times New Roman" w:eastAsia="宋体" w:cs="Times New Roman"/>
                <w:color w:val="auto"/>
                <w:spacing w:val="0"/>
                <w:kern w:val="2"/>
                <w:position w:val="0"/>
                <w:sz w:val="24"/>
                <w:szCs w:val="32"/>
                <w:highlight w:val="none"/>
                <w:shd w:val="clear" w:color="auto" w:fill="auto"/>
                <w:lang w:val="zh-CN" w:eastAsia="zh-CN" w:bidi="ar-SA"/>
              </w:rPr>
              <w:t>的闲置厂房进行生产</w:t>
            </w:r>
            <w:r>
              <w:rPr>
                <w:rFonts w:hint="eastAsia" w:ascii="Times New Roman" w:hAnsi="Times New Roman" w:eastAsia="宋体" w:cs="Times New Roman"/>
                <w:color w:val="auto"/>
                <w:spacing w:val="0"/>
                <w:sz w:val="24"/>
                <w:szCs w:val="24"/>
                <w:highlight w:val="none"/>
                <w:vertAlign w:val="baseli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根据出租方不动产权证</w:t>
            </w:r>
            <w:r>
              <w:rPr>
                <w:rFonts w:hint="default" w:ascii="Times New Roman" w:hAnsi="Times New Roman" w:eastAsia="宋体" w:cs="Times New Roman"/>
                <w:b w:val="0"/>
                <w:bCs w:val="0"/>
                <w:color w:val="auto"/>
                <w:kern w:val="0"/>
                <w:sz w:val="24"/>
                <w:szCs w:val="24"/>
                <w:highlight w:val="none"/>
                <w:lang w:val="zh-CN" w:eastAsia="zh-CN"/>
              </w:rPr>
              <w:t>（</w:t>
            </w:r>
            <w:r>
              <w:rPr>
                <w:rFonts w:hint="eastAsia" w:ascii="Times New Roman" w:hAnsi="Times New Roman" w:eastAsia="宋体" w:cs="Times New Roman"/>
                <w:b w:val="0"/>
                <w:bCs w:val="0"/>
                <w:color w:val="auto"/>
                <w:kern w:val="0"/>
                <w:sz w:val="24"/>
                <w:szCs w:val="24"/>
                <w:highlight w:val="none"/>
                <w:lang w:val="en-US" w:eastAsia="zh-CN"/>
              </w:rPr>
              <w:t>闽（2020）闽侯县不动产权</w:t>
            </w:r>
            <w:r>
              <w:rPr>
                <w:rFonts w:hint="eastAsia" w:ascii="Times New Roman" w:hAnsi="Times New Roman" w:eastAsia="宋体" w:cs="Times New Roman"/>
                <w:b w:val="0"/>
                <w:bCs w:val="0"/>
                <w:color w:val="auto"/>
                <w:kern w:val="0"/>
                <w:sz w:val="24"/>
                <w:szCs w:val="24"/>
                <w:highlight w:val="none"/>
                <w:lang w:val="zh-CN" w:eastAsia="zh-CN"/>
              </w:rPr>
              <w:t>第</w:t>
            </w:r>
            <w:r>
              <w:rPr>
                <w:rFonts w:hint="eastAsia" w:ascii="Times New Roman" w:hAnsi="Times New Roman" w:eastAsia="宋体" w:cs="Times New Roman"/>
                <w:b w:val="0"/>
                <w:bCs w:val="0"/>
                <w:color w:val="auto"/>
                <w:kern w:val="0"/>
                <w:sz w:val="24"/>
                <w:szCs w:val="24"/>
                <w:highlight w:val="none"/>
                <w:lang w:val="en-US" w:eastAsia="zh-CN"/>
              </w:rPr>
              <w:t>0001995</w:t>
            </w:r>
            <w:r>
              <w:rPr>
                <w:rFonts w:hint="eastAsia" w:ascii="Times New Roman" w:hAnsi="Times New Roman" w:eastAsia="宋体" w:cs="Times New Roman"/>
                <w:b w:val="0"/>
                <w:bCs w:val="0"/>
                <w:color w:val="auto"/>
                <w:kern w:val="0"/>
                <w:sz w:val="24"/>
                <w:szCs w:val="24"/>
                <w:highlight w:val="none"/>
                <w:lang w:val="zh-CN" w:eastAsia="zh-CN"/>
              </w:rPr>
              <w:t>号</w:t>
            </w:r>
            <w:r>
              <w:rPr>
                <w:rFonts w:hint="default" w:ascii="Times New Roman" w:hAnsi="Times New Roman" w:eastAsia="宋体" w:cs="Times New Roman"/>
                <w:b w:val="0"/>
                <w:bCs w:val="0"/>
                <w:color w:val="auto"/>
                <w:kern w:val="0"/>
                <w:sz w:val="24"/>
                <w:szCs w:val="24"/>
                <w:highlight w:val="none"/>
                <w:lang w:val="zh-CN" w:eastAsia="zh-CN"/>
              </w:rPr>
              <w:t>）</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zh-CN" w:eastAsia="zh-CN"/>
              </w:rPr>
              <w:t>项目用地性质为工业用地</w:t>
            </w:r>
            <w:r>
              <w:rPr>
                <w:rFonts w:hint="eastAsia" w:ascii="Times New Roman" w:hAnsi="Times New Roman" w:eastAsia="宋体" w:cs="Times New Roman"/>
                <w:b w:val="0"/>
                <w:bCs w:val="0"/>
                <w:color w:val="auto"/>
                <w:kern w:val="0"/>
                <w:sz w:val="24"/>
                <w:szCs w:val="24"/>
                <w:highlight w:val="none"/>
                <w:lang w:val="zh-CN" w:eastAsia="zh-CN"/>
              </w:rPr>
              <w:t>（</w:t>
            </w:r>
            <w:r>
              <w:rPr>
                <w:rFonts w:hint="eastAsia" w:ascii="Times New Roman" w:hAnsi="Times New Roman" w:eastAsia="宋体" w:cs="Times New Roman"/>
                <w:b w:val="0"/>
                <w:bCs w:val="0"/>
                <w:color w:val="auto"/>
                <w:kern w:val="0"/>
                <w:sz w:val="24"/>
                <w:szCs w:val="24"/>
                <w:highlight w:val="none"/>
                <w:lang w:val="en-US" w:eastAsia="zh-CN"/>
              </w:rPr>
              <w:t>详见附件4</w:t>
            </w:r>
            <w:r>
              <w:rPr>
                <w:rFonts w:hint="eastAsia" w:ascii="Times New Roman" w:hAnsi="Times New Roman" w:eastAsia="宋体" w:cs="Times New Roman"/>
                <w:b w:val="0"/>
                <w:bCs w:val="0"/>
                <w:color w:val="auto"/>
                <w:kern w:val="0"/>
                <w:sz w:val="24"/>
                <w:szCs w:val="24"/>
                <w:highlight w:val="none"/>
                <w:lang w:val="zh-CN" w:eastAsia="zh-CN"/>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0"/>
                <w:kern w:val="2"/>
                <w:position w:val="0"/>
                <w:sz w:val="24"/>
                <w:szCs w:val="32"/>
                <w:highlight w:val="none"/>
                <w:shd w:val="clear" w:color="auto" w:fill="auto"/>
                <w:lang w:val="zh-CN" w:eastAsia="zh-CN" w:bidi="ar-SA"/>
              </w:rPr>
              <w:t>与用地性质相符。因此，项目选址</w:t>
            </w:r>
            <w:r>
              <w:rPr>
                <w:rFonts w:hint="eastAsia" w:ascii="Times New Roman" w:hAnsi="Times New Roman" w:eastAsia="宋体" w:cs="Times New Roman"/>
                <w:color w:val="auto"/>
                <w:spacing w:val="0"/>
                <w:kern w:val="2"/>
                <w:position w:val="0"/>
                <w:sz w:val="24"/>
                <w:szCs w:val="24"/>
                <w:highlight w:val="none"/>
                <w:shd w:val="clear" w:color="auto" w:fill="auto"/>
                <w:lang w:val="en-US" w:eastAsia="zh-CN" w:bidi="ar-SA"/>
              </w:rPr>
              <w:t>符合所在地利用规划</w:t>
            </w:r>
            <w:r>
              <w:rPr>
                <w:rFonts w:hint="eastAsia" w:ascii="Times New Roman" w:hAnsi="Times New Roman" w:eastAsia="宋体" w:cs="Times New Roman"/>
                <w:b w:val="0"/>
                <w:bCs w:val="0"/>
                <w:color w:val="auto"/>
                <w:spacing w:val="0"/>
                <w:position w:val="0"/>
                <w:sz w:val="24"/>
                <w:szCs w:val="32"/>
                <w:highlight w:val="none"/>
              </w:rPr>
              <w:t>。</w:t>
            </w:r>
          </w:p>
          <w:p w14:paraId="79D2263E">
            <w:pPr>
              <w:keepNext/>
              <w:keepLines/>
              <w:pageBreakBefore w:val="0"/>
              <w:widowControl/>
              <w:kinsoku/>
              <w:wordWrap/>
              <w:overflowPunct/>
              <w:topLinePunct w:val="0"/>
              <w:autoSpaceDE/>
              <w:autoSpaceDN/>
              <w:bidi w:val="0"/>
              <w:adjustRightInd/>
              <w:snapToGrid/>
              <w:spacing w:line="360" w:lineRule="auto"/>
              <w:ind w:right="0" w:firstLine="0" w:firstLineChars="0"/>
              <w:jc w:val="both"/>
              <w:textAlignment w:val="auto"/>
              <w:outlineLvl w:val="2"/>
              <w:rPr>
                <w:rFonts w:hint="default" w:ascii="Times New Roman" w:hAnsi="Times New Roman" w:eastAsia="宋体" w:cs="Times New Roman"/>
                <w:b/>
                <w:color w:val="auto"/>
                <w:spacing w:val="0"/>
                <w:kern w:val="0"/>
                <w:position w:val="0"/>
                <w:sz w:val="24"/>
                <w:szCs w:val="24"/>
                <w:highlight w:val="none"/>
              </w:rPr>
            </w:pPr>
            <w:r>
              <w:rPr>
                <w:rFonts w:hint="eastAsia" w:ascii="Times New Roman" w:hAnsi="Times New Roman" w:eastAsia="宋体" w:cs="Times New Roman"/>
                <w:b/>
                <w:bCs/>
                <w:color w:val="auto"/>
                <w:spacing w:val="0"/>
                <w:position w:val="0"/>
                <w:sz w:val="24"/>
                <w:szCs w:val="32"/>
                <w:highlight w:val="none"/>
                <w:lang w:val="en-US" w:eastAsia="zh-CN"/>
              </w:rPr>
              <w:t>3、</w:t>
            </w:r>
            <w:r>
              <w:rPr>
                <w:rFonts w:hint="default" w:ascii="Times New Roman" w:hAnsi="Times New Roman" w:eastAsia="宋体" w:cs="Times New Roman"/>
                <w:b/>
                <w:color w:val="auto"/>
                <w:spacing w:val="0"/>
                <w:kern w:val="0"/>
                <w:position w:val="0"/>
                <w:sz w:val="24"/>
                <w:szCs w:val="24"/>
                <w:highlight w:val="none"/>
              </w:rPr>
              <w:t>周围环境相容性分析</w:t>
            </w:r>
          </w:p>
          <w:p w14:paraId="5B206E86">
            <w:pPr>
              <w:pStyle w:val="24"/>
              <w:pageBreakBefore w:val="0"/>
              <w:kinsoku/>
              <w:wordWrap/>
              <w:overflowPunct/>
              <w:topLinePunct w:val="0"/>
              <w:autoSpaceDE/>
              <w:autoSpaceDN/>
              <w:bidi w:val="0"/>
              <w:adjustRightInd/>
              <w:spacing w:before="0" w:beforeAutospacing="0" w:after="0" w:afterAutospacing="0" w:line="360" w:lineRule="auto"/>
              <w:ind w:right="0"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项目</w:t>
            </w:r>
            <w:r>
              <w:rPr>
                <w:rFonts w:hint="eastAsia" w:ascii="Times New Roman" w:hAnsi="Times New Roman" w:eastAsia="宋体" w:cs="Times New Roman"/>
                <w:color w:val="auto"/>
                <w:spacing w:val="0"/>
                <w:position w:val="0"/>
                <w:sz w:val="24"/>
                <w:szCs w:val="24"/>
                <w:highlight w:val="none"/>
                <w:lang w:val="en-US" w:eastAsia="zh-CN"/>
              </w:rPr>
              <w:t>选址于</w:t>
            </w:r>
            <w:r>
              <w:rPr>
                <w:rFonts w:hint="eastAsia" w:ascii="Times New Roman" w:hAnsi="Times New Roman" w:eastAsia="宋体" w:cs="Times New Roman"/>
                <w:color w:val="auto"/>
                <w:spacing w:val="0"/>
                <w:position w:val="0"/>
                <w:sz w:val="24"/>
                <w:szCs w:val="24"/>
                <w:highlight w:val="none"/>
                <w:u w:val="none"/>
                <w:lang w:val="en-US" w:eastAsia="zh-CN"/>
              </w:rPr>
              <w:t>福建省福州市闽侯县荆溪镇长龙三路23、25号（福建省奥德瑞电子科技有限公司5#厂房二层）</w:t>
            </w:r>
            <w:r>
              <w:rPr>
                <w:rFonts w:hint="default" w:ascii="Times New Roman" w:hAnsi="Times New Roman" w:eastAsia="宋体" w:cs="Times New Roman"/>
                <w:color w:val="auto"/>
                <w:spacing w:val="0"/>
                <w:position w:val="0"/>
                <w:sz w:val="24"/>
                <w:szCs w:val="24"/>
                <w:highlight w:val="none"/>
              </w:rPr>
              <w:t>，项目北</w:t>
            </w:r>
            <w:r>
              <w:rPr>
                <w:rFonts w:hint="eastAsia" w:ascii="Times New Roman" w:hAnsi="Times New Roman" w:eastAsia="宋体" w:cs="Times New Roman"/>
                <w:color w:val="auto"/>
                <w:spacing w:val="0"/>
                <w:position w:val="0"/>
                <w:sz w:val="24"/>
                <w:szCs w:val="24"/>
                <w:highlight w:val="none"/>
                <w:lang w:val="en-US" w:eastAsia="zh-CN"/>
              </w:rPr>
              <w:t>侧</w:t>
            </w:r>
            <w:r>
              <w:rPr>
                <w:rFonts w:hint="eastAsia" w:ascii="Times New Roman" w:hAnsi="Times New Roman" w:eastAsia="宋体" w:cs="Times New Roman"/>
                <w:b w:val="0"/>
                <w:bCs/>
                <w:color w:val="auto"/>
                <w:spacing w:val="0"/>
                <w:position w:val="0"/>
                <w:sz w:val="24"/>
                <w:szCs w:val="24"/>
                <w:highlight w:val="none"/>
                <w:vertAlign w:val="baseline"/>
                <w:lang w:val="en-US" w:eastAsia="zh-CN"/>
              </w:rPr>
              <w:t>为申德（福州）木业有限公司及福州海亦帆纸制品有限公司，西北侧为福建省记得来木业有限公司，西侧及西南侧为出租方</w:t>
            </w:r>
            <w:r>
              <w:rPr>
                <w:rFonts w:hint="eastAsia" w:ascii="Times New Roman" w:hAnsi="Times New Roman" w:eastAsia="宋体" w:cs="Times New Roman"/>
                <w:color w:val="auto"/>
                <w:spacing w:val="0"/>
                <w:position w:val="0"/>
                <w:sz w:val="24"/>
                <w:szCs w:val="24"/>
                <w:highlight w:val="none"/>
                <w:u w:val="none"/>
                <w:lang w:val="en-US" w:eastAsia="zh-CN"/>
              </w:rPr>
              <w:t>福建省奥德瑞电子科技有限公司</w:t>
            </w:r>
            <w:r>
              <w:rPr>
                <w:rFonts w:hint="eastAsia" w:ascii="Times New Roman" w:hAnsi="Times New Roman" w:eastAsia="宋体" w:cs="Times New Roman"/>
                <w:b w:val="0"/>
                <w:bCs/>
                <w:color w:val="auto"/>
                <w:spacing w:val="0"/>
                <w:position w:val="0"/>
                <w:sz w:val="24"/>
                <w:szCs w:val="24"/>
                <w:highlight w:val="none"/>
                <w:vertAlign w:val="baseline"/>
                <w:lang w:val="en-US" w:eastAsia="zh-CN"/>
              </w:rPr>
              <w:t>，南侧为福州市方和森家具有限公司，东侧为福建闽森源电力科技有限公司；</w:t>
            </w:r>
            <w:r>
              <w:rPr>
                <w:rFonts w:hint="eastAsia" w:ascii="Times New Roman" w:hAnsi="Times New Roman" w:eastAsia="宋体" w:cs="Times New Roman"/>
                <w:color w:val="auto"/>
                <w:spacing w:val="0"/>
                <w:position w:val="0"/>
                <w:sz w:val="24"/>
                <w:szCs w:val="24"/>
                <w:highlight w:val="none"/>
                <w:lang w:val="en-US" w:eastAsia="zh-CN"/>
              </w:rPr>
              <w:t>距离本项目厂界500m范围内的敏感点分别是西北侧433m福建京台高速管理中心。</w:t>
            </w:r>
            <w:r>
              <w:rPr>
                <w:rFonts w:hint="eastAsia" w:ascii="Times New Roman" w:hAnsi="Times New Roman" w:eastAsia="宋体" w:cs="Times New Roman"/>
                <w:color w:val="auto"/>
                <w:spacing w:val="0"/>
                <w:kern w:val="0"/>
                <w:position w:val="0"/>
                <w:sz w:val="24"/>
                <w:szCs w:val="24"/>
                <w:highlight w:val="none"/>
                <w:lang w:bidi="ar"/>
              </w:rPr>
              <w:t>从整个厂区生产情况分析，建设单位在严格落实本项目提出的环保措施的前提下，各废气均可达标排放，对周围环境影响较小；项目生产设备</w:t>
            </w:r>
            <w:r>
              <w:rPr>
                <w:rFonts w:hint="eastAsia" w:ascii="Times New Roman" w:hAnsi="Times New Roman" w:eastAsia="宋体" w:cs="Times New Roman"/>
                <w:color w:val="auto"/>
                <w:spacing w:val="0"/>
                <w:kern w:val="0"/>
                <w:position w:val="0"/>
                <w:sz w:val="24"/>
                <w:szCs w:val="24"/>
                <w:highlight w:val="none"/>
                <w:lang w:val="en-US" w:eastAsia="zh-CN" w:bidi="ar"/>
              </w:rPr>
              <w:t>均位于生产车间内，</w:t>
            </w:r>
            <w:r>
              <w:rPr>
                <w:rFonts w:hint="eastAsia" w:ascii="Times New Roman" w:hAnsi="Times New Roman" w:eastAsia="宋体" w:cs="Times New Roman"/>
                <w:color w:val="auto"/>
                <w:spacing w:val="0"/>
                <w:kern w:val="0"/>
                <w:position w:val="0"/>
                <w:sz w:val="24"/>
                <w:szCs w:val="24"/>
                <w:highlight w:val="none"/>
                <w:lang w:bidi="ar"/>
              </w:rPr>
              <w:t>经采取隔声减振措施且距离衰减后，厂界噪声可达标，对周围</w:t>
            </w:r>
            <w:r>
              <w:rPr>
                <w:rFonts w:hint="eastAsia" w:ascii="Times New Roman" w:hAnsi="Times New Roman" w:cs="Times New Roman"/>
                <w:color w:val="auto"/>
                <w:spacing w:val="0"/>
                <w:kern w:val="0"/>
                <w:position w:val="0"/>
                <w:sz w:val="24"/>
                <w:szCs w:val="24"/>
                <w:highlight w:val="none"/>
                <w:lang w:val="en-US" w:eastAsia="zh-CN" w:bidi="ar"/>
              </w:rPr>
              <w:t>环境</w:t>
            </w:r>
            <w:r>
              <w:rPr>
                <w:rFonts w:hint="eastAsia" w:ascii="Times New Roman" w:hAnsi="Times New Roman" w:eastAsia="宋体" w:cs="Times New Roman"/>
                <w:color w:val="auto"/>
                <w:spacing w:val="0"/>
                <w:kern w:val="0"/>
                <w:position w:val="0"/>
                <w:sz w:val="24"/>
                <w:szCs w:val="24"/>
                <w:highlight w:val="none"/>
                <w:lang w:bidi="ar"/>
              </w:rPr>
              <w:t>影响较小；</w:t>
            </w:r>
            <w:r>
              <w:rPr>
                <w:rFonts w:hint="eastAsia" w:ascii="Times New Roman" w:hAnsi="Times New Roman" w:eastAsia="宋体" w:cs="Times New Roman"/>
                <w:color w:val="auto"/>
                <w:kern w:val="0"/>
                <w:sz w:val="24"/>
                <w:szCs w:val="24"/>
                <w:highlight w:val="none"/>
                <w:lang w:bidi="ar"/>
              </w:rPr>
              <w:t>项目</w:t>
            </w:r>
            <w:r>
              <w:rPr>
                <w:rFonts w:hint="eastAsia" w:ascii="Times New Roman" w:hAnsi="Times New Roman" w:eastAsia="宋体" w:cs="Times New Roman"/>
                <w:color w:val="auto"/>
                <w:kern w:val="0"/>
                <w:sz w:val="24"/>
                <w:szCs w:val="24"/>
                <w:highlight w:val="none"/>
                <w:lang w:eastAsia="zh-CN" w:bidi="ar"/>
              </w:rPr>
              <w:t>水帘气旋废</w:t>
            </w:r>
            <w:r>
              <w:rPr>
                <w:rFonts w:hint="eastAsia" w:ascii="Times New Roman" w:hAnsi="Times New Roman" w:eastAsia="宋体" w:cs="Times New Roman"/>
                <w:color w:val="auto"/>
                <w:sz w:val="24"/>
                <w:szCs w:val="24"/>
                <w:highlight w:val="none"/>
                <w:lang w:val="en-US" w:eastAsia="zh-CN"/>
              </w:rPr>
              <w:t>水</w:t>
            </w:r>
            <w:r>
              <w:rPr>
                <w:rFonts w:hint="eastAsia" w:ascii="Times New Roman" w:hAnsi="Times New Roman" w:eastAsia="宋体" w:cs="Times New Roman"/>
                <w:color w:val="auto"/>
                <w:kern w:val="0"/>
                <w:sz w:val="24"/>
                <w:szCs w:val="24"/>
                <w:highlight w:val="none"/>
                <w:lang w:bidi="ar"/>
              </w:rPr>
              <w:t>经</w:t>
            </w:r>
            <w:r>
              <w:rPr>
                <w:rFonts w:hint="eastAsia" w:ascii="Times New Roman" w:hAnsi="Times New Roman" w:eastAsia="宋体" w:cs="Times New Roman"/>
                <w:color w:val="auto"/>
                <w:kern w:val="0"/>
                <w:sz w:val="24"/>
                <w:szCs w:val="24"/>
                <w:highlight w:val="none"/>
                <w:lang w:val="en-US" w:eastAsia="zh-CN" w:bidi="ar"/>
              </w:rPr>
              <w:t>废水处理设施</w:t>
            </w:r>
            <w:r>
              <w:rPr>
                <w:rFonts w:hint="eastAsia" w:ascii="Times New Roman" w:hAnsi="Times New Roman" w:eastAsia="宋体" w:cs="Times New Roman"/>
                <w:color w:val="auto"/>
                <w:kern w:val="0"/>
                <w:sz w:val="24"/>
                <w:szCs w:val="24"/>
                <w:highlight w:val="none"/>
                <w:lang w:bidi="ar"/>
              </w:rPr>
              <w:t>处理后</w:t>
            </w:r>
            <w:r>
              <w:rPr>
                <w:rFonts w:hint="eastAsia" w:ascii="Times New Roman" w:hAnsi="Times New Roman" w:eastAsia="宋体" w:cs="Times New Roman"/>
                <w:color w:val="auto"/>
                <w:kern w:val="0"/>
                <w:sz w:val="24"/>
                <w:szCs w:val="24"/>
                <w:highlight w:val="none"/>
                <w:lang w:eastAsia="zh-CN" w:bidi="ar"/>
              </w:rPr>
              <w:t>，</w:t>
            </w:r>
            <w:r>
              <w:rPr>
                <w:rFonts w:hint="eastAsia" w:ascii="Times New Roman" w:hAnsi="Times New Roman" w:eastAsia="宋体" w:cs="Times New Roman"/>
                <w:color w:val="auto"/>
                <w:kern w:val="0"/>
                <w:sz w:val="24"/>
                <w:szCs w:val="24"/>
                <w:highlight w:val="none"/>
                <w:lang w:bidi="ar"/>
              </w:rPr>
              <w:t>回用于</w:t>
            </w:r>
            <w:r>
              <w:rPr>
                <w:rFonts w:hint="eastAsia" w:ascii="Times New Roman" w:hAnsi="Times New Roman" w:eastAsia="宋体" w:cs="Times New Roman"/>
                <w:color w:val="auto"/>
                <w:kern w:val="0"/>
                <w:sz w:val="24"/>
                <w:szCs w:val="24"/>
                <w:highlight w:val="none"/>
                <w:lang w:val="en-US" w:eastAsia="zh-CN" w:bidi="ar"/>
              </w:rPr>
              <w:t>生产</w:t>
            </w:r>
            <w:r>
              <w:rPr>
                <w:rFonts w:hint="eastAsia" w:ascii="Times New Roman" w:hAnsi="Times New Roman" w:eastAsia="宋体" w:cs="Times New Roman"/>
                <w:color w:val="auto"/>
                <w:kern w:val="0"/>
                <w:sz w:val="24"/>
                <w:szCs w:val="24"/>
                <w:highlight w:val="none"/>
                <w:lang w:bidi="ar"/>
              </w:rPr>
              <w:t>，循环使用，</w:t>
            </w:r>
            <w:r>
              <w:rPr>
                <w:rFonts w:hint="eastAsia" w:ascii="Times New Roman" w:hAnsi="Times New Roman" w:eastAsia="宋体" w:cs="Times New Roman"/>
                <w:color w:val="auto"/>
                <w:sz w:val="24"/>
                <w:szCs w:val="24"/>
                <w:highlight w:val="none"/>
                <w:lang w:val="en-US" w:eastAsia="zh-CN"/>
              </w:rPr>
              <w:t>水帘气旋废液</w:t>
            </w:r>
            <w:r>
              <w:rPr>
                <w:rFonts w:hint="eastAsia" w:ascii="Times New Roman" w:hAnsi="Times New Roman" w:eastAsia="宋体" w:cs="Times New Roman"/>
                <w:color w:val="auto"/>
                <w:kern w:val="0"/>
                <w:sz w:val="24"/>
                <w:szCs w:val="24"/>
                <w:highlight w:val="none"/>
                <w:lang w:eastAsia="zh-CN" w:bidi="ar"/>
              </w:rPr>
              <w:t>一年更换</w:t>
            </w:r>
            <w:r>
              <w:rPr>
                <w:rFonts w:hint="eastAsia" w:ascii="Times New Roman" w:hAnsi="Times New Roman" w:eastAsia="宋体" w:cs="Times New Roman"/>
                <w:color w:val="auto"/>
                <w:kern w:val="0"/>
                <w:sz w:val="24"/>
                <w:szCs w:val="24"/>
                <w:highlight w:val="none"/>
                <w:lang w:val="en-US" w:eastAsia="zh-CN" w:bidi="ar"/>
              </w:rPr>
              <w:t>一次</w:t>
            </w:r>
            <w:r>
              <w:rPr>
                <w:rFonts w:hint="eastAsia" w:ascii="Times New Roman" w:hAnsi="Times New Roman" w:eastAsia="宋体" w:cs="Times New Roman"/>
                <w:color w:val="auto"/>
                <w:kern w:val="0"/>
                <w:sz w:val="24"/>
                <w:szCs w:val="24"/>
                <w:highlight w:val="none"/>
                <w:lang w:bidi="ar"/>
              </w:rPr>
              <w:t>作为危废，委托有资质单位回收处置</w:t>
            </w:r>
            <w:r>
              <w:rPr>
                <w:rFonts w:hint="eastAsia" w:ascii="Times New Roman" w:hAnsi="Times New Roman" w:eastAsia="宋体" w:cs="Times New Roman"/>
                <w:color w:val="auto"/>
                <w:spacing w:val="0"/>
                <w:position w:val="0"/>
                <w:sz w:val="24"/>
                <w:szCs w:val="24"/>
                <w:highlight w:val="none"/>
                <w:lang w:eastAsia="zh-CN"/>
              </w:rPr>
              <w:t>，不外排，</w:t>
            </w:r>
            <w:r>
              <w:rPr>
                <w:rFonts w:hint="eastAsia" w:ascii="Times New Roman" w:hAnsi="Times New Roman" w:eastAsia="宋体" w:cs="Times New Roman"/>
                <w:color w:val="auto"/>
                <w:spacing w:val="0"/>
                <w:position w:val="0"/>
                <w:sz w:val="24"/>
                <w:szCs w:val="24"/>
                <w:highlight w:val="none"/>
                <w:lang w:val="en-US" w:eastAsia="zh-CN"/>
              </w:rPr>
              <w:t>喷枪清洗废液作为危险废物委托有资质单位处置</w:t>
            </w:r>
            <w:r>
              <w:rPr>
                <w:rFonts w:hint="eastAsia" w:ascii="Times New Roman" w:hAnsi="Times New Roman" w:eastAsia="宋体" w:cs="Times New Roman"/>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生活污水经</w:t>
            </w:r>
            <w:r>
              <w:rPr>
                <w:rFonts w:hint="eastAsia" w:ascii="Times New Roman" w:hAnsi="Times New Roman" w:eastAsia="宋体" w:cs="Times New Roman"/>
                <w:color w:val="auto"/>
                <w:spacing w:val="0"/>
                <w:position w:val="0"/>
                <w:sz w:val="24"/>
                <w:szCs w:val="24"/>
                <w:highlight w:val="none"/>
                <w:lang w:eastAsia="zh-CN"/>
              </w:rPr>
              <w:t>化粪池</w:t>
            </w:r>
            <w:r>
              <w:rPr>
                <w:rFonts w:ascii="Times New Roman" w:hAnsi="Times New Roman" w:eastAsia="宋体" w:cs="Times New Roman"/>
                <w:color w:val="auto"/>
                <w:spacing w:val="0"/>
                <w:position w:val="0"/>
                <w:sz w:val="24"/>
                <w:szCs w:val="24"/>
                <w:highlight w:val="none"/>
              </w:rPr>
              <w:t>处理后</w:t>
            </w:r>
            <w:r>
              <w:rPr>
                <w:rFonts w:hint="eastAsia" w:ascii="Times New Roman" w:hAnsi="Times New Roman" w:eastAsia="宋体" w:cs="Times New Roman"/>
                <w:color w:val="auto"/>
                <w:spacing w:val="0"/>
                <w:position w:val="0"/>
                <w:sz w:val="24"/>
                <w:szCs w:val="24"/>
                <w:highlight w:val="none"/>
                <w:lang w:val="en-US" w:eastAsia="zh-CN"/>
              </w:rPr>
              <w:t>通过</w:t>
            </w:r>
            <w:r>
              <w:rPr>
                <w:rFonts w:hint="eastAsia" w:ascii="Times New Roman" w:hAnsi="Times New Roman" w:eastAsia="宋体" w:cs="Times New Roman"/>
                <w:color w:val="auto"/>
                <w:spacing w:val="0"/>
                <w:position w:val="0"/>
                <w:sz w:val="24"/>
                <w:szCs w:val="24"/>
                <w:highlight w:val="none"/>
                <w:lang w:eastAsia="zh-CN"/>
              </w:rPr>
              <w:t>市政管网</w:t>
            </w:r>
            <w:r>
              <w:rPr>
                <w:rFonts w:hint="eastAsia" w:ascii="Times New Roman" w:hAnsi="Times New Roman" w:eastAsia="宋体" w:cs="Times New Roman"/>
                <w:color w:val="auto"/>
                <w:spacing w:val="0"/>
                <w:position w:val="0"/>
                <w:sz w:val="24"/>
                <w:szCs w:val="24"/>
                <w:highlight w:val="none"/>
              </w:rPr>
              <w:t>排入</w:t>
            </w:r>
            <w:r>
              <w:rPr>
                <w:rFonts w:hint="eastAsia" w:ascii="Times New Roman" w:hAnsi="Times New Roman" w:eastAsia="宋体" w:cs="Times New Roman"/>
                <w:color w:val="auto"/>
                <w:spacing w:val="0"/>
                <w:position w:val="0"/>
                <w:sz w:val="24"/>
                <w:szCs w:val="24"/>
                <w:highlight w:val="none"/>
                <w:lang w:eastAsia="zh-CN"/>
              </w:rPr>
              <w:t>闽侯县城关污水处理厂处理</w:t>
            </w:r>
            <w:r>
              <w:rPr>
                <w:rFonts w:hint="eastAsia" w:ascii="Times New Roman" w:hAnsi="Times New Roman" w:eastAsia="宋体" w:cs="Times New Roman"/>
                <w:color w:val="auto"/>
                <w:spacing w:val="0"/>
                <w:kern w:val="0"/>
                <w:position w:val="0"/>
                <w:sz w:val="24"/>
                <w:szCs w:val="24"/>
                <w:highlight w:val="none"/>
                <w:lang w:bidi="ar"/>
              </w:rPr>
              <w:t>，不会对周围环境造成影响；项目固废均可得到妥善处置，不向周围环境排放，不会对周围环境造成影响。</w:t>
            </w:r>
            <w:r>
              <w:rPr>
                <w:rFonts w:hint="eastAsia" w:ascii="Times New Roman" w:hAnsi="Times New Roman" w:eastAsia="宋体" w:cs="Times New Roman"/>
                <w:color w:val="auto"/>
                <w:spacing w:val="0"/>
                <w:kern w:val="0"/>
                <w:position w:val="0"/>
                <w:sz w:val="24"/>
                <w:szCs w:val="24"/>
                <w:highlight w:val="none"/>
                <w:lang w:val="en-US" w:eastAsia="zh-CN" w:bidi="ar"/>
              </w:rPr>
              <w:t>因此本</w:t>
            </w:r>
            <w:r>
              <w:rPr>
                <w:rFonts w:hint="eastAsia" w:ascii="Times New Roman" w:hAnsi="Times New Roman" w:eastAsia="宋体" w:cs="Times New Roman"/>
                <w:color w:val="auto"/>
                <w:spacing w:val="0"/>
                <w:kern w:val="0"/>
                <w:position w:val="0"/>
                <w:sz w:val="24"/>
                <w:szCs w:val="24"/>
                <w:highlight w:val="none"/>
                <w:lang w:bidi="ar"/>
              </w:rPr>
              <w:t>项目废气、噪声、废水、固废等各项污染物均可得到妥</w:t>
            </w:r>
            <w:r>
              <w:rPr>
                <w:rFonts w:hint="eastAsia" w:ascii="Times New Roman" w:hAnsi="Times New Roman" w:eastAsia="宋体" w:cs="Times New Roman"/>
                <w:color w:val="auto"/>
                <w:spacing w:val="0"/>
                <w:kern w:val="0"/>
                <w:position w:val="0"/>
                <w:sz w:val="24"/>
                <w:highlight w:val="none"/>
                <w:lang w:bidi="ar"/>
              </w:rPr>
              <w:t>善处理，</w:t>
            </w:r>
            <w:r>
              <w:rPr>
                <w:rFonts w:hint="eastAsia" w:ascii="Times New Roman" w:hAnsi="Times New Roman" w:eastAsia="宋体" w:cs="Times New Roman"/>
                <w:color w:val="auto"/>
                <w:spacing w:val="0"/>
                <w:kern w:val="0"/>
                <w:position w:val="0"/>
                <w:sz w:val="24"/>
                <w:highlight w:val="none"/>
                <w:lang w:val="en-US" w:eastAsia="zh-CN" w:bidi="ar"/>
              </w:rPr>
              <w:t>进行</w:t>
            </w:r>
            <w:r>
              <w:rPr>
                <w:rFonts w:hint="eastAsia" w:ascii="Times New Roman" w:hAnsi="Times New Roman" w:eastAsia="宋体" w:cs="Times New Roman"/>
                <w:color w:val="auto"/>
                <w:spacing w:val="0"/>
                <w:kern w:val="0"/>
                <w:position w:val="0"/>
                <w:sz w:val="24"/>
                <w:highlight w:val="none"/>
                <w:lang w:bidi="ar"/>
              </w:rPr>
              <w:t>达标排放，对周围环境影响较小</w:t>
            </w:r>
            <w:r>
              <w:rPr>
                <w:rFonts w:hint="default" w:ascii="Times New Roman" w:hAnsi="Times New Roman" w:eastAsia="宋体" w:cs="Times New Roman"/>
                <w:color w:val="auto"/>
                <w:spacing w:val="0"/>
                <w:position w:val="0"/>
                <w:sz w:val="24"/>
                <w:szCs w:val="24"/>
                <w:highlight w:val="none"/>
              </w:rPr>
              <w:t>。</w:t>
            </w:r>
          </w:p>
          <w:p w14:paraId="45E35BF4">
            <w:pPr>
              <w:keepNext w:val="0"/>
              <w:keepLines w:val="0"/>
              <w:pageBreakBefore w:val="0"/>
              <w:widowControl/>
              <w:kinsoku/>
              <w:wordWrap/>
              <w:overflowPunct/>
              <w:topLinePunct w:val="0"/>
              <w:autoSpaceDE/>
              <w:autoSpaceDN/>
              <w:bidi w:val="0"/>
              <w:adjustRightInd/>
              <w:snapToGrid w:val="0"/>
              <w:spacing w:line="360" w:lineRule="auto"/>
              <w:ind w:firstLine="0" w:firstLineChars="0"/>
              <w:jc w:val="left"/>
              <w:textAlignment w:val="auto"/>
              <w:rPr>
                <w:rFonts w:hint="eastAsia" w:ascii="Times New Roman" w:hAnsi="Times New Roman" w:eastAsia="宋体" w:cs="Times New Roman"/>
                <w:b/>
                <w:bCs/>
                <w:color w:val="auto"/>
                <w:spacing w:val="0"/>
                <w:position w:val="0"/>
                <w:sz w:val="24"/>
                <w:szCs w:val="32"/>
                <w:highlight w:val="none"/>
                <w:lang w:eastAsia="zh-CN"/>
              </w:rPr>
            </w:pPr>
            <w:r>
              <w:rPr>
                <w:rFonts w:hint="eastAsia" w:ascii="Times New Roman" w:hAnsi="Times New Roman" w:eastAsia="宋体" w:cs="Times New Roman"/>
                <w:b/>
                <w:color w:val="auto"/>
                <w:spacing w:val="0"/>
                <w:position w:val="0"/>
                <w:sz w:val="24"/>
                <w:szCs w:val="24"/>
                <w:highlight w:val="none"/>
                <w:lang w:val="en-US" w:eastAsia="zh-CN"/>
              </w:rPr>
              <w:t>4</w:t>
            </w:r>
            <w:r>
              <w:rPr>
                <w:rFonts w:hint="eastAsia" w:ascii="Times New Roman" w:hAnsi="Times New Roman" w:eastAsia="宋体" w:cs="Times New Roman"/>
                <w:b/>
                <w:color w:val="auto"/>
                <w:spacing w:val="0"/>
                <w:position w:val="0"/>
                <w:sz w:val="24"/>
                <w:szCs w:val="24"/>
                <w:highlight w:val="none"/>
                <w:lang w:eastAsia="zh-CN"/>
              </w:rPr>
              <w:t>、</w:t>
            </w:r>
            <w:r>
              <w:rPr>
                <w:rFonts w:hint="eastAsia" w:ascii="Times New Roman" w:hAnsi="Times New Roman" w:eastAsia="宋体" w:cs="Times New Roman"/>
                <w:b/>
                <w:bCs/>
                <w:color w:val="auto"/>
                <w:spacing w:val="0"/>
                <w:position w:val="0"/>
                <w:sz w:val="24"/>
                <w:szCs w:val="32"/>
                <w:highlight w:val="none"/>
              </w:rPr>
              <w:t>与市场准入负面清单</w:t>
            </w:r>
            <w:r>
              <w:rPr>
                <w:rFonts w:hint="eastAsia" w:ascii="Times New Roman" w:hAnsi="Times New Roman" w:eastAsia="宋体" w:cs="Times New Roman"/>
                <w:b/>
                <w:bCs/>
                <w:color w:val="auto"/>
                <w:spacing w:val="0"/>
                <w:position w:val="0"/>
                <w:sz w:val="24"/>
                <w:szCs w:val="32"/>
                <w:highlight w:val="none"/>
                <w:lang w:eastAsia="zh-CN"/>
              </w:rPr>
              <w:t>符合性分析</w:t>
            </w:r>
          </w:p>
          <w:p w14:paraId="11CFA11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经检索《市场准入负面清单（2025版）》，项目主要从事</w:t>
            </w:r>
            <w:r>
              <w:rPr>
                <w:rFonts w:hint="eastAsia" w:ascii="Times New Roman" w:hAnsi="Times New Roman" w:eastAsia="宋体" w:cs="Times New Roman"/>
                <w:color w:val="auto"/>
                <w:spacing w:val="0"/>
                <w:sz w:val="24"/>
                <w:szCs w:val="24"/>
                <w:highlight w:val="none"/>
                <w:lang w:val="en-US" w:eastAsia="zh-CN"/>
              </w:rPr>
              <w:t>木质屏风加工生产</w:t>
            </w:r>
            <w:r>
              <w:rPr>
                <w:rFonts w:hint="default" w:ascii="Times New Roman" w:hAnsi="Times New Roman" w:eastAsia="宋体" w:cs="Times New Roman"/>
                <w:color w:val="auto"/>
                <w:spacing w:val="0"/>
                <w:sz w:val="24"/>
                <w:szCs w:val="24"/>
                <w:highlight w:val="none"/>
              </w:rPr>
              <w:t>，对照上述清单的禁止准入类和限制准入类，项目不在其禁止准入类和限制准入类。因此，项目建设符合国家产业政策和《市场准入负面清单（2025版）》等相关要求</w:t>
            </w:r>
          </w:p>
          <w:p w14:paraId="4BD35048">
            <w:pPr>
              <w:keepNext w:val="0"/>
              <w:keepLines w:val="0"/>
              <w:pageBreakBefore w:val="0"/>
              <w:widowControl/>
              <w:numPr>
                <w:ilvl w:val="0"/>
                <w:numId w:val="0"/>
              </w:numPr>
              <w:kinsoku/>
              <w:wordWrap/>
              <w:overflowPunct/>
              <w:topLinePunct w:val="0"/>
              <w:autoSpaceDE/>
              <w:autoSpaceDN/>
              <w:bidi w:val="0"/>
              <w:adjustRightInd/>
              <w:snapToGrid w:val="0"/>
              <w:spacing w:beforeAutospacing="0" w:afterAutospacing="0" w:line="360" w:lineRule="auto"/>
              <w:ind w:right="0" w:rightChars="0"/>
              <w:jc w:val="both"/>
              <w:textAlignment w:val="auto"/>
              <w:rPr>
                <w:rFonts w:hint="eastAsia" w:ascii="Times New Roman" w:hAnsi="Times New Roman" w:eastAsia="宋体" w:cs="Times New Roman"/>
                <w:b/>
                <w:bCs/>
                <w:color w:val="auto"/>
                <w:spacing w:val="0"/>
                <w:kern w:val="2"/>
                <w:position w:val="0"/>
                <w:sz w:val="24"/>
                <w:szCs w:val="24"/>
                <w:highlight w:val="none"/>
                <w:lang w:val="en-US" w:eastAsia="zh-CN" w:bidi="ar-SA"/>
              </w:rPr>
            </w:pPr>
            <w:r>
              <w:rPr>
                <w:rFonts w:hint="eastAsia" w:ascii="Times New Roman" w:hAnsi="Times New Roman" w:eastAsia="宋体" w:cs="Times New Roman"/>
                <w:b/>
                <w:bCs/>
                <w:color w:val="auto"/>
                <w:spacing w:val="0"/>
                <w:kern w:val="2"/>
                <w:position w:val="0"/>
                <w:sz w:val="24"/>
                <w:szCs w:val="24"/>
                <w:highlight w:val="none"/>
                <w:lang w:val="en-US" w:eastAsia="zh-CN" w:bidi="ar-SA"/>
              </w:rPr>
              <w:t xml:space="preserve">5、与《重点管控新污染物清单（2023年版）》符合性分析 </w:t>
            </w:r>
          </w:p>
          <w:p w14:paraId="1305338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 w:val="0"/>
                <w:bCs w:val="0"/>
                <w:color w:val="auto"/>
                <w:spacing w:val="0"/>
                <w:kern w:val="2"/>
                <w:position w:val="0"/>
                <w:sz w:val="24"/>
                <w:szCs w:val="24"/>
                <w:highlight w:val="none"/>
                <w:lang w:val="en-US" w:eastAsia="zh-CN" w:bidi="ar-SA"/>
              </w:rPr>
            </w:pPr>
            <w:r>
              <w:rPr>
                <w:rFonts w:hint="eastAsia" w:ascii="Times New Roman" w:hAnsi="Times New Roman" w:eastAsia="宋体" w:cs="Times New Roman"/>
                <w:b w:val="0"/>
                <w:bCs w:val="0"/>
                <w:color w:val="auto"/>
                <w:spacing w:val="0"/>
                <w:kern w:val="2"/>
                <w:position w:val="0"/>
                <w:sz w:val="24"/>
                <w:szCs w:val="24"/>
                <w:highlight w:val="none"/>
                <w:lang w:val="en-US" w:eastAsia="zh-CN" w:bidi="ar-SA"/>
              </w:rPr>
              <w:t>根据原辅材料化学成分说明书项目运营期间产生的的污染物为颗粒物、非甲烷总烃、二甲苯、乙酸乙酯、乙酸丁酯等，检索《优先控制化学品名录（第一批）》（公告2017年第83号）、《优先控制化学品名录（第二批）》（公告2020年第47号）、《优先控制化学品名录（第三批）》（公告2025年第43号）、《有毒有害大气污染物名录（2018年）》、《关于持久性有机污染物的斯德哥尔摩公约》、《有毒有害水污染物名录（2019年）》、《重点管控新污染物清单（2023年版）》</w:t>
            </w:r>
            <w:r>
              <w:rPr>
                <w:rFonts w:ascii="宋体" w:hAnsi="宋体" w:eastAsia="宋体" w:cs="宋体"/>
                <w:color w:val="auto"/>
                <w:sz w:val="24"/>
                <w:szCs w:val="24"/>
                <w:highlight w:val="none"/>
              </w:rPr>
              <w:t>，均不涉及上述名录及公约中提及的化学品、污染物</w:t>
            </w:r>
            <w:r>
              <w:rPr>
                <w:rFonts w:hint="eastAsia" w:ascii="Times New Roman" w:hAnsi="Times New Roman" w:eastAsia="宋体" w:cs="Times New Roman"/>
                <w:b w:val="0"/>
                <w:bCs w:val="0"/>
                <w:color w:val="auto"/>
                <w:spacing w:val="0"/>
                <w:kern w:val="2"/>
                <w:position w:val="0"/>
                <w:sz w:val="24"/>
                <w:szCs w:val="24"/>
                <w:highlight w:val="none"/>
                <w:lang w:val="en-US" w:eastAsia="zh-CN" w:bidi="ar-SA"/>
              </w:rPr>
              <w:t>。</w:t>
            </w:r>
          </w:p>
          <w:p w14:paraId="7ADC645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lang w:val="en-US"/>
              </w:rPr>
            </w:pPr>
            <w:r>
              <w:rPr>
                <w:rFonts w:hint="eastAsia" w:ascii="Times New Roman" w:hAnsi="Times New Roman" w:eastAsia="宋体" w:cs="Times New Roman"/>
                <w:b w:val="0"/>
                <w:bCs w:val="0"/>
                <w:color w:val="auto"/>
                <w:spacing w:val="0"/>
                <w:kern w:val="2"/>
                <w:position w:val="0"/>
                <w:sz w:val="24"/>
                <w:szCs w:val="24"/>
                <w:highlight w:val="none"/>
                <w:lang w:val="en-US" w:eastAsia="zh-CN" w:bidi="ar-SA"/>
              </w:rPr>
              <w:t>项目在运营期应当严格控制原料的成分，不使用含有以及降解产物为全氟辛酸及其盐类和相关化合物（PFOA）等重点管控新污染物清单和公约履约物质的化合物。</w:t>
            </w:r>
          </w:p>
          <w:p w14:paraId="3EC95C42">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b/>
                <w:bCs/>
                <w:color w:val="auto"/>
                <w:spacing w:val="0"/>
                <w:position w:val="0"/>
                <w:sz w:val="24"/>
                <w:szCs w:val="32"/>
                <w:highlight w:val="none"/>
                <w:lang w:val="en-US" w:eastAsia="zh-CN"/>
              </w:rPr>
              <w:t>6、</w:t>
            </w:r>
            <w:r>
              <w:rPr>
                <w:rFonts w:hint="eastAsia" w:ascii="Times New Roman" w:hAnsi="Times New Roman" w:eastAsia="宋体" w:cs="Times New Roman"/>
                <w:b/>
                <w:bCs/>
                <w:color w:val="auto"/>
                <w:spacing w:val="0"/>
                <w:position w:val="0"/>
                <w:sz w:val="24"/>
                <w:szCs w:val="24"/>
                <w:highlight w:val="none"/>
                <w:lang w:val="en-US" w:eastAsia="zh-CN"/>
              </w:rPr>
              <w:t>与</w:t>
            </w:r>
            <w:r>
              <w:rPr>
                <w:rFonts w:hint="eastAsia" w:ascii="Times New Roman" w:hAnsi="Times New Roman" w:eastAsia="宋体" w:cs="Times New Roman"/>
                <w:b/>
                <w:bCs/>
                <w:color w:val="auto"/>
                <w:spacing w:val="0"/>
                <w:position w:val="0"/>
                <w:sz w:val="24"/>
                <w:szCs w:val="24"/>
                <w:highlight w:val="none"/>
                <w:lang w:eastAsia="zh-CN"/>
              </w:rPr>
              <w:t>“</w:t>
            </w:r>
            <w:r>
              <w:rPr>
                <w:rFonts w:hint="eastAsia" w:ascii="Times New Roman" w:hAnsi="Times New Roman" w:eastAsia="宋体" w:cs="Times New Roman"/>
                <w:b/>
                <w:bCs/>
                <w:color w:val="auto"/>
                <w:spacing w:val="0"/>
                <w:position w:val="0"/>
                <w:sz w:val="24"/>
                <w:szCs w:val="24"/>
                <w:highlight w:val="none"/>
              </w:rPr>
              <w:t>三线一单</w:t>
            </w:r>
            <w:r>
              <w:rPr>
                <w:rFonts w:hint="eastAsia" w:ascii="Times New Roman" w:hAnsi="Times New Roman" w:eastAsia="宋体" w:cs="Times New Roman"/>
                <w:b/>
                <w:bCs/>
                <w:color w:val="auto"/>
                <w:spacing w:val="0"/>
                <w:position w:val="0"/>
                <w:sz w:val="24"/>
                <w:szCs w:val="24"/>
                <w:highlight w:val="none"/>
                <w:lang w:eastAsia="zh-CN"/>
              </w:rPr>
              <w:t>”</w:t>
            </w:r>
            <w:r>
              <w:rPr>
                <w:rFonts w:hint="default" w:ascii="Times New Roman" w:hAnsi="Times New Roman" w:eastAsia="宋体" w:cs="Times New Roman"/>
                <w:b/>
                <w:color w:val="auto"/>
                <w:spacing w:val="0"/>
                <w:kern w:val="0"/>
                <w:position w:val="0"/>
                <w:sz w:val="24"/>
                <w:szCs w:val="24"/>
                <w:highlight w:val="none"/>
              </w:rPr>
              <w:t>控制要求符合性分析</w:t>
            </w:r>
          </w:p>
          <w:p w14:paraId="364C52C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32"/>
                <w:highlight w:val="none"/>
              </w:rPr>
              <w:t>（1）与生态红线相符性分析</w:t>
            </w:r>
          </w:p>
          <w:p w14:paraId="21BC035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项目选址于</w:t>
            </w:r>
            <w:r>
              <w:rPr>
                <w:rFonts w:hint="eastAsia" w:ascii="Times New Roman" w:hAnsi="Times New Roman" w:eastAsia="宋体" w:cs="Times New Roman"/>
                <w:color w:val="auto"/>
                <w:spacing w:val="0"/>
                <w:position w:val="0"/>
                <w:sz w:val="24"/>
                <w:szCs w:val="24"/>
                <w:highlight w:val="none"/>
                <w:u w:val="none"/>
                <w:lang w:val="en-US" w:eastAsia="zh-CN"/>
              </w:rPr>
              <w:t>福建省福州市闽侯县荆溪镇长龙三路23、25号（福建省奥德瑞电子科技有限公司5#厂房二层）</w:t>
            </w:r>
            <w:r>
              <w:rPr>
                <w:rFonts w:hint="eastAsia"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position w:val="0"/>
                <w:sz w:val="24"/>
                <w:szCs w:val="24"/>
                <w:highlight w:val="none"/>
                <w:lang w:val="en-US" w:eastAsia="zh-CN"/>
              </w:rPr>
              <w:t>位于</w:t>
            </w:r>
            <w:r>
              <w:rPr>
                <w:rFonts w:hint="eastAsia" w:ascii="Times New Roman" w:hAnsi="Times New Roman" w:eastAsia="宋体" w:cs="Times New Roman"/>
                <w:b w:val="0"/>
                <w:bCs w:val="0"/>
                <w:color w:val="auto"/>
                <w:sz w:val="24"/>
                <w:szCs w:val="24"/>
                <w:highlight w:val="none"/>
                <w:lang w:val="en-US" w:eastAsia="zh-CN"/>
              </w:rPr>
              <w:t>闽侯县经济技术开发区一期延伸区</w:t>
            </w:r>
            <w:r>
              <w:rPr>
                <w:rFonts w:hint="eastAsia"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eastAsia="宋体" w:cs="Times New Roman"/>
                <w:color w:val="auto"/>
                <w:spacing w:val="0"/>
                <w:position w:val="0"/>
                <w:sz w:val="24"/>
                <w:szCs w:val="24"/>
                <w:highlight w:val="none"/>
              </w:rPr>
              <w:t>不在自然保护区、风景名胜区、饮用水源保护地和其他需要特别保护等法律法规禁止开发建设的区域。因此，项目建设符合生态红线控制要求。</w:t>
            </w:r>
          </w:p>
          <w:p w14:paraId="6C35047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（2）与环境质量底线相符性分析</w:t>
            </w:r>
          </w:p>
          <w:p w14:paraId="2A4F0C2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项目所在区域的环境</w:t>
            </w:r>
            <w:r>
              <w:rPr>
                <w:rFonts w:hint="eastAsia" w:ascii="Times New Roman" w:hAnsi="Times New Roman" w:eastAsia="宋体" w:cs="Times New Roman"/>
                <w:color w:val="auto"/>
                <w:spacing w:val="0"/>
                <w:position w:val="0"/>
                <w:sz w:val="24"/>
                <w:szCs w:val="32"/>
                <w:highlight w:val="none"/>
              </w:rPr>
              <w:t>空气质量符合《环境空气质量标准》（GB3095-20</w:t>
            </w:r>
            <w:r>
              <w:rPr>
                <w:rFonts w:hint="eastAsia" w:cs="Times New Roman"/>
                <w:color w:val="auto"/>
                <w:spacing w:val="0"/>
                <w:position w:val="0"/>
                <w:sz w:val="24"/>
                <w:szCs w:val="32"/>
                <w:highlight w:val="none"/>
                <w:lang w:val="en-US" w:eastAsia="zh-CN"/>
              </w:rPr>
              <w:t>26</w:t>
            </w:r>
            <w:r>
              <w:rPr>
                <w:rFonts w:hint="eastAsia" w:ascii="Times New Roman" w:hAnsi="Times New Roman" w:eastAsia="宋体" w:cs="Times New Roman"/>
                <w:color w:val="auto"/>
                <w:spacing w:val="0"/>
                <w:position w:val="0"/>
                <w:sz w:val="24"/>
                <w:szCs w:val="32"/>
                <w:highlight w:val="none"/>
              </w:rPr>
              <w:t>）</w:t>
            </w:r>
            <w:r>
              <w:rPr>
                <w:rFonts w:hint="default" w:ascii="Times New Roman" w:hAnsi="Times New Roman" w:eastAsia="宋体" w:cs="Times New Roman"/>
                <w:color w:val="auto"/>
                <w:spacing w:val="0"/>
                <w:position w:val="0"/>
                <w:sz w:val="24"/>
                <w:szCs w:val="24"/>
                <w:highlight w:val="none"/>
              </w:rPr>
              <w:t>二级标准</w:t>
            </w:r>
            <w:r>
              <w:rPr>
                <w:rFonts w:hint="eastAsia" w:ascii="Times New Roman" w:hAnsi="Times New Roman" w:eastAsia="宋体" w:cs="Times New Roman"/>
                <w:color w:val="auto"/>
                <w:spacing w:val="0"/>
                <w:position w:val="0"/>
                <w:sz w:val="24"/>
                <w:szCs w:val="32"/>
                <w:highlight w:val="none"/>
              </w:rPr>
              <w:t>，纳污水体</w:t>
            </w:r>
            <w:r>
              <w:rPr>
                <w:rFonts w:hint="eastAsia" w:ascii="Times New Roman" w:hAnsi="Times New Roman" w:eastAsia="宋体" w:cs="Times New Roman"/>
                <w:color w:val="auto"/>
                <w:spacing w:val="0"/>
                <w:position w:val="0"/>
                <w:sz w:val="24"/>
                <w:szCs w:val="32"/>
                <w:highlight w:val="none"/>
                <w:lang w:eastAsia="zh-CN"/>
              </w:rPr>
              <w:t>荆溪</w:t>
            </w:r>
            <w:r>
              <w:rPr>
                <w:rFonts w:hint="eastAsia" w:ascii="Times New Roman" w:hAnsi="Times New Roman" w:eastAsia="宋体" w:cs="Times New Roman"/>
                <w:color w:val="auto"/>
                <w:spacing w:val="0"/>
                <w:position w:val="0"/>
                <w:sz w:val="24"/>
                <w:szCs w:val="32"/>
                <w:highlight w:val="none"/>
              </w:rPr>
              <w:t>水质符合《地表水</w:t>
            </w:r>
            <w:r>
              <w:rPr>
                <w:rFonts w:hint="eastAsia" w:ascii="Times New Roman" w:hAnsi="Times New Roman" w:eastAsia="宋体" w:cs="Times New Roman"/>
                <w:color w:val="auto"/>
                <w:spacing w:val="0"/>
                <w:position w:val="0"/>
                <w:sz w:val="24"/>
                <w:szCs w:val="24"/>
                <w:highlight w:val="none"/>
              </w:rPr>
              <w:t>环境质量标准》（GB3838-2002）</w:t>
            </w:r>
            <w:r>
              <w:rPr>
                <w:rFonts w:hint="default" w:ascii="Times New Roman" w:hAnsi="Times New Roman" w:eastAsia="宋体" w:cs="Times New Roman"/>
                <w:color w:val="auto"/>
                <w:spacing w:val="0"/>
                <w:position w:val="0"/>
                <w:sz w:val="24"/>
                <w:szCs w:val="24"/>
                <w:highlight w:val="none"/>
              </w:rPr>
              <w:t>Ⅳ</w:t>
            </w:r>
            <w:r>
              <w:rPr>
                <w:rFonts w:hint="eastAsia" w:ascii="Times New Roman" w:hAnsi="Times New Roman" w:eastAsia="宋体" w:cs="Times New Roman"/>
                <w:color w:val="auto"/>
                <w:spacing w:val="0"/>
                <w:position w:val="0"/>
                <w:sz w:val="24"/>
                <w:szCs w:val="24"/>
                <w:highlight w:val="none"/>
              </w:rPr>
              <w:t>类标准，声环境质量可以符合《声环境质量标准》（GB3096-2008）</w:t>
            </w:r>
            <w:r>
              <w:rPr>
                <w:rFonts w:hint="eastAsia" w:ascii="Times New Roman" w:hAnsi="Times New Roman" w:eastAsia="宋体" w:cs="Times New Roman"/>
                <w:color w:val="auto"/>
                <w:spacing w:val="0"/>
                <w:position w:val="0"/>
                <w:sz w:val="24"/>
                <w:szCs w:val="24"/>
                <w:highlight w:val="none"/>
                <w:lang w:val="en-US" w:eastAsia="zh-CN"/>
              </w:rPr>
              <w:t>3</w:t>
            </w:r>
            <w:r>
              <w:rPr>
                <w:rFonts w:hint="eastAsia" w:ascii="Times New Roman" w:hAnsi="Times New Roman" w:eastAsia="宋体" w:cs="Times New Roman"/>
                <w:color w:val="auto"/>
                <w:spacing w:val="0"/>
                <w:position w:val="0"/>
                <w:sz w:val="24"/>
                <w:szCs w:val="24"/>
                <w:highlight w:val="none"/>
              </w:rPr>
              <w:t>类标准。</w:t>
            </w:r>
          </w:p>
          <w:p w14:paraId="3F40180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项目</w:t>
            </w:r>
            <w:r>
              <w:rPr>
                <w:rFonts w:hint="eastAsia" w:cs="Times New Roman"/>
                <w:color w:val="auto"/>
                <w:spacing w:val="0"/>
                <w:position w:val="0"/>
                <w:sz w:val="24"/>
                <w:szCs w:val="24"/>
                <w:highlight w:val="none"/>
                <w:lang w:val="en-US" w:eastAsia="zh-CN"/>
              </w:rPr>
              <w:t>调漆、喷漆废气经水帘柜处理后，与晾干废气一同经集气装置负压收集后再引入“气旋塔+过滤棉+二级活性炭吸附装置”</w:t>
            </w:r>
            <w:r>
              <w:rPr>
                <w:rFonts w:hint="eastAsia" w:ascii="Times New Roman" w:hAnsi="Times New Roman" w:eastAsia="宋体" w:cs="Times New Roman"/>
                <w:color w:val="auto"/>
                <w:spacing w:val="0"/>
                <w:position w:val="0"/>
                <w:sz w:val="24"/>
                <w:szCs w:val="24"/>
                <w:highlight w:val="none"/>
                <w:lang w:val="en-US" w:eastAsia="zh-CN"/>
              </w:rPr>
              <w:t>处理后达标排放，根据第四章节源强分析，漆雾及有机废气经分析后均能达标排放，对周边环境影响较小；</w:t>
            </w:r>
            <w:r>
              <w:rPr>
                <w:rFonts w:hint="default" w:ascii="Times New Roman" w:hAnsi="Times New Roman" w:eastAsia="宋体" w:cs="Times New Roman"/>
                <w:color w:val="auto"/>
                <w:spacing w:val="0"/>
                <w:position w:val="0"/>
                <w:sz w:val="24"/>
                <w:szCs w:val="24"/>
                <w:highlight w:val="none"/>
              </w:rPr>
              <w:t>项目生产设备均位于生产车间内，经采取隔声减振措施且距离衰减后，厂界噪声可达标，对周围环</w:t>
            </w:r>
            <w:r>
              <w:rPr>
                <w:rFonts w:hint="eastAsia" w:cs="Times New Roman"/>
                <w:color w:val="auto"/>
                <w:spacing w:val="0"/>
                <w:position w:val="0"/>
                <w:sz w:val="24"/>
                <w:szCs w:val="24"/>
                <w:highlight w:val="none"/>
                <w:lang w:val="en-US" w:eastAsia="zh-CN"/>
              </w:rPr>
              <w:t>境</w:t>
            </w:r>
            <w:r>
              <w:rPr>
                <w:rFonts w:hint="default" w:ascii="Times New Roman" w:hAnsi="Times New Roman" w:eastAsia="宋体" w:cs="Times New Roman"/>
                <w:color w:val="auto"/>
                <w:spacing w:val="0"/>
                <w:position w:val="0"/>
                <w:sz w:val="24"/>
                <w:szCs w:val="24"/>
                <w:highlight w:val="none"/>
              </w:rPr>
              <w:t>影响较小；</w:t>
            </w:r>
            <w:r>
              <w:rPr>
                <w:rFonts w:hint="eastAsia" w:ascii="Times New Roman" w:hAnsi="Times New Roman" w:eastAsia="宋体" w:cs="Times New Roman"/>
                <w:color w:val="auto"/>
                <w:spacing w:val="0"/>
                <w:position w:val="0"/>
                <w:sz w:val="24"/>
                <w:szCs w:val="24"/>
                <w:highlight w:val="none"/>
                <w:lang w:val="en-US" w:eastAsia="zh-CN"/>
              </w:rPr>
              <w:t>项目水帘气旋废水经废水处理设施处理后，回用于生产，循环使用，水帘气旋废液一年更换一次作为危废，委托有资质单位回收处置，</w:t>
            </w:r>
            <w:r>
              <w:rPr>
                <w:rFonts w:hint="eastAsia" w:ascii="Times New Roman" w:hAnsi="Times New Roman" w:eastAsia="宋体" w:cs="Times New Roman"/>
                <w:color w:val="auto"/>
                <w:kern w:val="0"/>
                <w:sz w:val="24"/>
                <w:szCs w:val="24"/>
                <w:highlight w:val="none"/>
                <w:lang w:bidi="ar"/>
              </w:rPr>
              <w:t>不外排</w:t>
            </w:r>
            <w:r>
              <w:rPr>
                <w:rFonts w:ascii="Times New Roman" w:hAnsi="Times New Roman" w:eastAsia="宋体" w:cs="Times New Roman"/>
                <w:color w:val="auto"/>
                <w:kern w:val="0"/>
                <w:sz w:val="24"/>
                <w:szCs w:val="24"/>
                <w:highlight w:val="none"/>
                <w:lang w:bidi="ar"/>
              </w:rPr>
              <w:t>，</w:t>
            </w:r>
            <w:r>
              <w:rPr>
                <w:rFonts w:hint="eastAsia" w:ascii="Times New Roman" w:hAnsi="Times New Roman" w:eastAsia="宋体" w:cs="Times New Roman"/>
                <w:color w:val="auto"/>
                <w:spacing w:val="0"/>
                <w:position w:val="0"/>
                <w:sz w:val="24"/>
                <w:szCs w:val="24"/>
                <w:highlight w:val="none"/>
                <w:lang w:val="en-US" w:eastAsia="zh-CN"/>
              </w:rPr>
              <w:t>喷枪清洗废液作为危险废物委托有资质单位处置</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kern w:val="0"/>
                <w:position w:val="0"/>
                <w:sz w:val="24"/>
                <w:szCs w:val="24"/>
                <w:highlight w:val="none"/>
                <w:lang w:bidi="ar"/>
              </w:rPr>
              <w:t>项目固废均可得到妥善处置，不向周围环境排放，不会对周围环境造成影响。</w:t>
            </w:r>
          </w:p>
          <w:p w14:paraId="6541872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32"/>
                <w:highlight w:val="none"/>
              </w:rPr>
            </w:pPr>
            <w:r>
              <w:rPr>
                <w:rFonts w:hint="eastAsia" w:ascii="Times New Roman" w:hAnsi="Times New Roman" w:eastAsia="宋体" w:cs="Times New Roman"/>
                <w:color w:val="auto"/>
                <w:spacing w:val="0"/>
                <w:position w:val="0"/>
                <w:sz w:val="24"/>
                <w:szCs w:val="24"/>
                <w:highlight w:val="none"/>
                <w:lang w:val="en-US" w:eastAsia="zh-CN"/>
              </w:rPr>
              <w:t>综上，</w:t>
            </w:r>
            <w:r>
              <w:rPr>
                <w:rFonts w:hint="eastAsia" w:ascii="Times New Roman" w:hAnsi="Times New Roman" w:eastAsia="宋体" w:cs="Times New Roman"/>
                <w:color w:val="auto"/>
                <w:spacing w:val="0"/>
                <w:position w:val="0"/>
                <w:sz w:val="24"/>
                <w:szCs w:val="24"/>
                <w:highlight w:val="none"/>
              </w:rPr>
              <w:t>本项目废水、废气、噪声经治理之后对环境污染影响较小，固废可做到无害化处置</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lang w:val="en-US" w:eastAsia="zh-CN"/>
              </w:rPr>
              <w:t>因此项目</w:t>
            </w:r>
            <w:r>
              <w:rPr>
                <w:rFonts w:hint="eastAsia" w:ascii="Times New Roman" w:hAnsi="Times New Roman" w:eastAsia="宋体" w:cs="Times New Roman"/>
                <w:color w:val="auto"/>
                <w:spacing w:val="0"/>
                <w:position w:val="0"/>
                <w:sz w:val="24"/>
                <w:szCs w:val="24"/>
                <w:highlight w:val="none"/>
              </w:rPr>
              <w:t>采</w:t>
            </w:r>
            <w:r>
              <w:rPr>
                <w:rFonts w:hint="eastAsia" w:ascii="Times New Roman" w:hAnsi="Times New Roman" w:eastAsia="宋体" w:cs="Times New Roman"/>
                <w:color w:val="auto"/>
                <w:spacing w:val="0"/>
                <w:position w:val="0"/>
                <w:sz w:val="24"/>
                <w:szCs w:val="32"/>
                <w:highlight w:val="none"/>
              </w:rPr>
              <w:t>取本环评提出的相关防治措施后，本项目排放的污染物不会对区域环境质量底线造成冲击。</w:t>
            </w:r>
          </w:p>
          <w:p w14:paraId="20BCF6A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32"/>
                <w:highlight w:val="none"/>
              </w:rPr>
            </w:pPr>
            <w:r>
              <w:rPr>
                <w:rFonts w:hint="eastAsia" w:ascii="Times New Roman" w:hAnsi="Times New Roman" w:eastAsia="宋体" w:cs="Times New Roman"/>
                <w:color w:val="auto"/>
                <w:spacing w:val="0"/>
                <w:position w:val="0"/>
                <w:sz w:val="24"/>
                <w:szCs w:val="32"/>
                <w:highlight w:val="none"/>
              </w:rPr>
              <w:t>（3）与资源利用上线相符性分析</w:t>
            </w:r>
          </w:p>
          <w:p w14:paraId="399AB1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32"/>
                <w:highlight w:val="none"/>
              </w:rPr>
            </w:pPr>
            <w:r>
              <w:rPr>
                <w:rFonts w:hint="eastAsia" w:ascii="Times New Roman" w:hAnsi="Times New Roman" w:eastAsia="宋体" w:cs="Times New Roman"/>
                <w:color w:val="auto"/>
                <w:spacing w:val="0"/>
                <w:position w:val="0"/>
                <w:sz w:val="24"/>
                <w:szCs w:val="32"/>
                <w:highlight w:val="none"/>
              </w:rPr>
              <w:t>本项目建设过程中所利用的资源主要为水、电，均为清洁能源，项目建成运行后通过内部管理、设备选择、原辅材料的选用管理和污染治理等多方面采取合理可行的防治措施，以</w:t>
            </w:r>
            <w:r>
              <w:rPr>
                <w:rFonts w:hint="eastAsia" w:ascii="Times New Roman" w:hAnsi="Times New Roman" w:eastAsia="宋体" w:cs="Times New Roman"/>
                <w:color w:val="auto"/>
                <w:spacing w:val="0"/>
                <w:position w:val="0"/>
                <w:sz w:val="24"/>
                <w:szCs w:val="32"/>
                <w:highlight w:val="none"/>
                <w:lang w:eastAsia="zh-CN"/>
              </w:rPr>
              <w:t>“</w:t>
            </w:r>
            <w:r>
              <w:rPr>
                <w:rFonts w:hint="eastAsia" w:ascii="Times New Roman" w:hAnsi="Times New Roman" w:eastAsia="宋体" w:cs="Times New Roman"/>
                <w:color w:val="auto"/>
                <w:spacing w:val="0"/>
                <w:position w:val="0"/>
                <w:sz w:val="24"/>
                <w:szCs w:val="32"/>
                <w:highlight w:val="none"/>
              </w:rPr>
              <w:t>节能、降耗、减污</w:t>
            </w:r>
            <w:r>
              <w:rPr>
                <w:rFonts w:hint="eastAsia" w:ascii="Times New Roman" w:hAnsi="Times New Roman" w:eastAsia="宋体" w:cs="Times New Roman"/>
                <w:color w:val="auto"/>
                <w:spacing w:val="0"/>
                <w:position w:val="0"/>
                <w:sz w:val="24"/>
                <w:szCs w:val="32"/>
                <w:highlight w:val="none"/>
                <w:lang w:eastAsia="zh-CN"/>
              </w:rPr>
              <w:t>”</w:t>
            </w:r>
            <w:r>
              <w:rPr>
                <w:rFonts w:hint="eastAsia" w:ascii="Times New Roman" w:hAnsi="Times New Roman" w:eastAsia="宋体" w:cs="Times New Roman"/>
                <w:color w:val="auto"/>
                <w:spacing w:val="0"/>
                <w:position w:val="0"/>
                <w:sz w:val="24"/>
                <w:szCs w:val="32"/>
                <w:highlight w:val="none"/>
              </w:rPr>
              <w:t>为目标，有效的控制污染。项目的水、电等资源利用不会突破区域的资源利用上线。</w:t>
            </w:r>
          </w:p>
          <w:p w14:paraId="78EAA47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color w:val="auto"/>
                <w:spacing w:val="0"/>
                <w:sz w:val="24"/>
                <w:szCs w:val="32"/>
                <w:highlight w:val="none"/>
              </w:rPr>
            </w:pPr>
            <w:r>
              <w:rPr>
                <w:rFonts w:hint="eastAsia" w:ascii="Times New Roman" w:hAnsi="Times New Roman" w:eastAsia="宋体" w:cs="Times New Roman"/>
                <w:b w:val="0"/>
                <w:bCs w:val="0"/>
                <w:color w:val="auto"/>
                <w:spacing w:val="0"/>
                <w:sz w:val="24"/>
                <w:szCs w:val="32"/>
                <w:highlight w:val="none"/>
                <w:lang w:val="en-US" w:eastAsia="zh-CN"/>
              </w:rPr>
              <w:t>（4）</w:t>
            </w:r>
            <w:r>
              <w:rPr>
                <w:rFonts w:hint="default" w:ascii="Times New Roman" w:hAnsi="Times New Roman" w:eastAsia="宋体" w:cs="Times New Roman"/>
                <w:b w:val="0"/>
                <w:bCs w:val="0"/>
                <w:color w:val="auto"/>
                <w:spacing w:val="0"/>
                <w:sz w:val="24"/>
                <w:szCs w:val="32"/>
                <w:highlight w:val="none"/>
              </w:rPr>
              <w:t>与</w:t>
            </w:r>
            <w:r>
              <w:rPr>
                <w:rFonts w:hint="eastAsia" w:ascii="Times New Roman" w:hAnsi="Times New Roman" w:eastAsia="宋体" w:cs="Times New Roman"/>
                <w:b w:val="0"/>
                <w:bCs w:val="0"/>
                <w:color w:val="auto"/>
                <w:spacing w:val="0"/>
                <w:position w:val="0"/>
                <w:sz w:val="24"/>
                <w:szCs w:val="32"/>
                <w:highlight w:val="none"/>
                <w:shd w:val="clear" w:color="auto" w:fill="auto"/>
              </w:rPr>
              <w:t>生态环境</w:t>
            </w:r>
            <w:r>
              <w:rPr>
                <w:rFonts w:hint="eastAsia" w:ascii="Times New Roman" w:hAnsi="Times New Roman" w:eastAsia="宋体" w:cs="Times New Roman"/>
                <w:b w:val="0"/>
                <w:bCs w:val="0"/>
                <w:color w:val="auto"/>
                <w:spacing w:val="0"/>
                <w:position w:val="0"/>
                <w:sz w:val="24"/>
                <w:szCs w:val="32"/>
                <w:highlight w:val="none"/>
                <w:shd w:val="clear" w:color="auto" w:fill="auto"/>
                <w:lang w:val="en-US" w:eastAsia="zh-CN"/>
              </w:rPr>
              <w:t>准入清单</w:t>
            </w:r>
            <w:r>
              <w:rPr>
                <w:rFonts w:hint="eastAsia" w:ascii="Times New Roman" w:hAnsi="Times New Roman" w:eastAsia="宋体" w:cs="Times New Roman"/>
                <w:b w:val="0"/>
                <w:bCs w:val="0"/>
                <w:color w:val="auto"/>
                <w:spacing w:val="0"/>
                <w:position w:val="0"/>
                <w:sz w:val="24"/>
                <w:szCs w:val="32"/>
                <w:highlight w:val="none"/>
                <w:shd w:val="clear" w:color="auto" w:fill="auto"/>
              </w:rPr>
              <w:t>相符性</w:t>
            </w:r>
            <w:r>
              <w:rPr>
                <w:rFonts w:hint="default" w:ascii="Times New Roman" w:hAnsi="Times New Roman" w:eastAsia="宋体" w:cs="Times New Roman"/>
                <w:b w:val="0"/>
                <w:bCs w:val="0"/>
                <w:color w:val="auto"/>
                <w:spacing w:val="0"/>
                <w:sz w:val="24"/>
                <w:szCs w:val="32"/>
                <w:highlight w:val="none"/>
              </w:rPr>
              <w:t>分析</w:t>
            </w:r>
          </w:p>
          <w:p w14:paraId="6E6E9C6A">
            <w:pPr>
              <w:keepNext w:val="0"/>
              <w:keepLines w:val="0"/>
              <w:pageBreakBefore w:val="0"/>
              <w:widowControl/>
              <w:kinsoku/>
              <w:wordWrap/>
              <w:overflowPunct/>
              <w:topLinePunct w:val="0"/>
              <w:autoSpaceDE/>
              <w:autoSpaceDN/>
              <w:bidi w:val="0"/>
              <w:adjustRightInd/>
              <w:snapToGrid w:val="0"/>
              <w:spacing w:line="360" w:lineRule="auto"/>
              <w:ind w:firstLine="482"/>
              <w:jc w:val="both"/>
              <w:textAlignment w:val="auto"/>
              <w:rPr>
                <w:rFonts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kern w:val="0"/>
                <w:sz w:val="24"/>
                <w:szCs w:val="24"/>
                <w:highlight w:val="none"/>
                <w:lang w:val="en-US" w:eastAsia="zh-CN" w:bidi="ar"/>
              </w:rPr>
              <w:t>对照《福建省人民政府关于实施</w:t>
            </w:r>
            <w:r>
              <w:rPr>
                <w:rFonts w:hint="eastAsia" w:ascii="Times New Roman" w:hAnsi="Times New Roman" w:eastAsia="宋体"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三线一单</w:t>
            </w:r>
            <w:r>
              <w:rPr>
                <w:rFonts w:hint="eastAsia" w:ascii="Times New Roman" w:hAnsi="Times New Roman" w:eastAsia="宋体"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生态环境分区管控的通知》（闽政〔2020〕12号）和《福州市生态环境分区管控方案（2023年更新）》的通知</w:t>
            </w:r>
            <w:r>
              <w:rPr>
                <w:rFonts w:hint="eastAsia"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榕政办规〔2024〕20号</w:t>
            </w:r>
            <w:r>
              <w:rPr>
                <w:rFonts w:hint="eastAsia" w:cs="Times New Roman"/>
                <w:color w:val="auto"/>
                <w:spacing w:val="0"/>
                <w:kern w:val="0"/>
                <w:sz w:val="24"/>
                <w:szCs w:val="24"/>
                <w:highlight w:val="none"/>
                <w:lang w:val="en-US" w:eastAsia="zh-CN" w:bidi="ar"/>
              </w:rPr>
              <w:t>）</w:t>
            </w:r>
            <w:r>
              <w:rPr>
                <w:rFonts w:hint="eastAsia" w:ascii="Times New Roman" w:hAnsi="Times New Roman" w:eastAsia="宋体"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《福州市生态环境局关于发布福州市2024年生态环境分区管控动态更新成果的通知》</w:t>
            </w:r>
            <w:r>
              <w:rPr>
                <w:rFonts w:hint="eastAsia"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榕环保综〔2025〕1号</w:t>
            </w:r>
            <w:r>
              <w:rPr>
                <w:rFonts w:hint="eastAsia"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及《福建省生态环境分区管控综合查询报告书》（报告编号：FQGK1778744413608）（详见附图10），实施</w:t>
            </w:r>
            <w:r>
              <w:rPr>
                <w:rFonts w:hint="eastAsia" w:ascii="Times New Roman" w:hAnsi="Times New Roman" w:eastAsia="宋体"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三线一单</w:t>
            </w:r>
            <w:r>
              <w:rPr>
                <w:rFonts w:hint="eastAsia" w:ascii="Times New Roman" w:hAnsi="Times New Roman" w:eastAsia="宋体"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生态环境分区管控，对生态环境总体准入提出要求，项目所在地管控单元分类为闽侯县重点管控单元3，环境管控单元编码为ZH35012120005，本项目建设符合该文件要求，详见下表</w:t>
            </w:r>
            <w:r>
              <w:rPr>
                <w:rFonts w:hint="eastAsia" w:ascii="Times New Roman" w:hAnsi="Times New Roman" w:eastAsia="宋体" w:cs="Times New Roman"/>
                <w:color w:val="auto"/>
                <w:spacing w:val="0"/>
                <w:kern w:val="0"/>
                <w:sz w:val="24"/>
                <w:szCs w:val="24"/>
                <w:highlight w:val="none"/>
                <w:lang w:val="en-US" w:eastAsia="zh-CN" w:bidi="ar"/>
              </w:rPr>
              <w:t>1-3</w:t>
            </w:r>
            <w:r>
              <w:rPr>
                <w:rFonts w:hint="default" w:ascii="Times New Roman" w:hAnsi="Times New Roman" w:eastAsia="宋体" w:cs="Times New Roman"/>
                <w:color w:val="auto"/>
                <w:spacing w:val="0"/>
                <w:sz w:val="24"/>
                <w:szCs w:val="32"/>
                <w:highlight w:val="none"/>
              </w:rPr>
              <w:t>：</w:t>
            </w:r>
          </w:p>
        </w:tc>
      </w:tr>
    </w:tbl>
    <w:p w14:paraId="1E1E6CD7">
      <w:pPr>
        <w:pStyle w:val="27"/>
        <w:rPr>
          <w:rFonts w:ascii="Times New Roman" w:hAnsi="Times New Roman" w:eastAsia="宋体" w:cs="Times New Roman"/>
          <w:color w:val="auto"/>
          <w:spacing w:val="0"/>
          <w:highlight w:val="none"/>
        </w:rPr>
        <w:sectPr>
          <w:footerReference r:id="rId8" w:type="default"/>
          <w:pgSz w:w="11906" w:h="16838"/>
          <w:pgMar w:top="1134" w:right="1134" w:bottom="1134" w:left="1134"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3983"/>
      </w:tblGrid>
      <w:tr w14:paraId="630C8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03" w:type="dxa"/>
            <w:noWrap w:val="0"/>
            <w:vAlign w:val="center"/>
          </w:tcPr>
          <w:p w14:paraId="0D5967ED">
            <w:pPr>
              <w:adjustRightInd w:val="0"/>
              <w:snapToGrid w:val="0"/>
              <w:jc w:val="center"/>
              <w:rPr>
                <w:rFonts w:ascii="Times New Roman" w:hAnsi="Times New Roman" w:eastAsia="宋体" w:cs="Times New Roman"/>
                <w:color w:val="auto"/>
                <w:spacing w:val="0"/>
                <w:kern w:val="0"/>
                <w:sz w:val="24"/>
                <w:highlight w:val="none"/>
              </w:rPr>
            </w:pPr>
            <w:r>
              <w:rPr>
                <w:rFonts w:hint="eastAsia" w:ascii="Times New Roman" w:hAnsi="Times New Roman" w:eastAsia="宋体" w:cs="Times New Roman"/>
                <w:color w:val="auto"/>
                <w:spacing w:val="0"/>
                <w:kern w:val="0"/>
                <w:sz w:val="24"/>
                <w:highlight w:val="none"/>
              </w:rPr>
              <w:t>其他符合性分析</w:t>
            </w:r>
          </w:p>
        </w:tc>
        <w:tc>
          <w:tcPr>
            <w:tcW w:w="13983" w:type="dxa"/>
            <w:noWrap w:val="0"/>
            <w:vAlign w:val="top"/>
          </w:tcPr>
          <w:p w14:paraId="1AF07964">
            <w:pPr>
              <w:keepNext w:val="0"/>
              <w:keepLines w:val="0"/>
              <w:pageBreakBefore w:val="0"/>
              <w:widowControl/>
              <w:kinsoku/>
              <w:wordWrap/>
              <w:overflowPunct/>
              <w:topLinePunct w:val="0"/>
              <w:autoSpaceDE/>
              <w:autoSpaceDN/>
              <w:bidi w:val="0"/>
              <w:adjustRightInd/>
              <w:snapToGrid w:val="0"/>
              <w:spacing w:line="240" w:lineRule="auto"/>
              <w:ind w:firstLine="482"/>
              <w:jc w:val="center"/>
              <w:textAlignment w:val="auto"/>
              <w:rPr>
                <w:rFonts w:ascii="Times New Roman" w:hAnsi="Times New Roman" w:eastAsia="宋体" w:cs="Times New Roman"/>
                <w:b/>
                <w:bCs/>
                <w:color w:val="auto"/>
                <w:spacing w:val="0"/>
                <w:sz w:val="24"/>
                <w:szCs w:val="32"/>
                <w:highlight w:val="none"/>
              </w:rPr>
            </w:pPr>
            <w:r>
              <w:rPr>
                <w:rFonts w:hint="eastAsia" w:ascii="Times New Roman" w:hAnsi="Times New Roman" w:eastAsia="宋体" w:cs="Times New Roman"/>
                <w:b/>
                <w:bCs/>
                <w:color w:val="auto"/>
                <w:spacing w:val="0"/>
                <w:sz w:val="24"/>
                <w:szCs w:val="32"/>
                <w:highlight w:val="none"/>
              </w:rPr>
              <w:t>表1-</w:t>
            </w:r>
            <w:r>
              <w:rPr>
                <w:rFonts w:hint="eastAsia" w:cs="Times New Roman"/>
                <w:b/>
                <w:bCs/>
                <w:color w:val="auto"/>
                <w:spacing w:val="0"/>
                <w:sz w:val="24"/>
                <w:szCs w:val="32"/>
                <w:highlight w:val="none"/>
                <w:lang w:val="en-US" w:eastAsia="zh-CN"/>
              </w:rPr>
              <w:t>3</w:t>
            </w:r>
            <w:r>
              <w:rPr>
                <w:rFonts w:hint="eastAsia" w:ascii="Times New Roman" w:hAnsi="Times New Roman" w:eastAsia="宋体" w:cs="Times New Roman"/>
                <w:b/>
                <w:bCs/>
                <w:color w:val="auto"/>
                <w:spacing w:val="0"/>
                <w:sz w:val="24"/>
                <w:szCs w:val="32"/>
                <w:highlight w:val="none"/>
              </w:rPr>
              <w:t xml:space="preserve"> </w:t>
            </w:r>
            <w:r>
              <w:rPr>
                <w:rFonts w:hint="eastAsia" w:ascii="Times New Roman" w:hAnsi="Times New Roman" w:eastAsia="宋体" w:cs="Times New Roman"/>
                <w:b/>
                <w:bCs/>
                <w:color w:val="auto"/>
                <w:spacing w:val="0"/>
                <w:sz w:val="24"/>
                <w:szCs w:val="32"/>
                <w:highlight w:val="none"/>
                <w:lang w:val="en-US" w:eastAsia="zh-CN"/>
              </w:rPr>
              <w:t xml:space="preserve"> </w:t>
            </w:r>
            <w:r>
              <w:rPr>
                <w:rFonts w:hint="eastAsia" w:ascii="Times New Roman" w:hAnsi="Times New Roman" w:eastAsia="宋体" w:cs="Times New Roman"/>
                <w:b/>
                <w:bCs/>
                <w:color w:val="auto"/>
                <w:spacing w:val="0"/>
                <w:sz w:val="24"/>
                <w:szCs w:val="32"/>
                <w:highlight w:val="none"/>
              </w:rPr>
              <w:t>与生态环境准入清单符合性分析一览表</w:t>
            </w:r>
          </w:p>
          <w:tbl>
            <w:tblPr>
              <w:tblStyle w:val="3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092"/>
              <w:gridCol w:w="7030"/>
              <w:gridCol w:w="3957"/>
              <w:gridCol w:w="647"/>
            </w:tblGrid>
            <w:tr w14:paraId="35161A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tcBorders>
                    <w:tl2br w:val="nil"/>
                    <w:tr2bl w:val="nil"/>
                  </w:tcBorders>
                  <w:noWrap w:val="0"/>
                  <w:vAlign w:val="center"/>
                </w:tcPr>
                <w:p w14:paraId="4E82A268">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适用</w:t>
                  </w:r>
                </w:p>
                <w:p w14:paraId="151C3752">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范围</w:t>
                  </w:r>
                </w:p>
              </w:tc>
              <w:tc>
                <w:tcPr>
                  <w:tcW w:w="8122" w:type="dxa"/>
                  <w:gridSpan w:val="2"/>
                  <w:tcBorders>
                    <w:tl2br w:val="nil"/>
                    <w:tr2bl w:val="nil"/>
                  </w:tcBorders>
                  <w:noWrap w:val="0"/>
                  <w:vAlign w:val="center"/>
                </w:tcPr>
                <w:p w14:paraId="744F8217">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准入要求</w:t>
                  </w:r>
                </w:p>
              </w:tc>
              <w:tc>
                <w:tcPr>
                  <w:tcW w:w="3957" w:type="dxa"/>
                  <w:tcBorders>
                    <w:tl2br w:val="nil"/>
                    <w:tr2bl w:val="nil"/>
                  </w:tcBorders>
                  <w:noWrap w:val="0"/>
                  <w:vAlign w:val="center"/>
                </w:tcPr>
                <w:p w14:paraId="2478BC89">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本项目</w:t>
                  </w:r>
                </w:p>
              </w:tc>
              <w:tc>
                <w:tcPr>
                  <w:tcW w:w="647" w:type="dxa"/>
                  <w:tcBorders>
                    <w:tl2br w:val="nil"/>
                    <w:tr2bl w:val="nil"/>
                  </w:tcBorders>
                  <w:noWrap w:val="0"/>
                  <w:vAlign w:val="center"/>
                </w:tcPr>
                <w:p w14:paraId="44998B1B">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符合性</w:t>
                  </w:r>
                </w:p>
              </w:tc>
            </w:tr>
            <w:tr w14:paraId="497FAC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restart"/>
                  <w:tcBorders>
                    <w:tl2br w:val="nil"/>
                    <w:tr2bl w:val="nil"/>
                  </w:tcBorders>
                  <w:noWrap w:val="0"/>
                  <w:vAlign w:val="center"/>
                </w:tcPr>
                <w:p w14:paraId="744FFD94">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全省</w:t>
                  </w:r>
                </w:p>
                <w:p w14:paraId="33149215">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陆域</w:t>
                  </w:r>
                </w:p>
              </w:tc>
              <w:tc>
                <w:tcPr>
                  <w:tcW w:w="1092" w:type="dxa"/>
                  <w:tcBorders>
                    <w:tl2br w:val="nil"/>
                    <w:tr2bl w:val="nil"/>
                  </w:tcBorders>
                  <w:noWrap w:val="0"/>
                  <w:vAlign w:val="center"/>
                </w:tcPr>
                <w:p w14:paraId="122598CA">
                  <w:pPr>
                    <w:pStyle w:val="9"/>
                    <w:keepNext w:val="0"/>
                    <w:keepLines w:val="0"/>
                    <w:pageBreakBefore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空间布局约束</w:t>
                  </w:r>
                </w:p>
              </w:tc>
              <w:tc>
                <w:tcPr>
                  <w:tcW w:w="7030" w:type="dxa"/>
                  <w:tcBorders>
                    <w:tl2br w:val="nil"/>
                    <w:tr2bl w:val="nil"/>
                  </w:tcBorders>
                  <w:noWrap w:val="0"/>
                  <w:vAlign w:val="center"/>
                </w:tcPr>
                <w:p w14:paraId="2CC08A6C">
                  <w:pPr>
                    <w:numPr>
                      <w:ilvl w:val="0"/>
                      <w:numId w:val="0"/>
                    </w:numPr>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2"/>
                      <w:position w:val="0"/>
                      <w:sz w:val="21"/>
                      <w:szCs w:val="21"/>
                      <w:highlight w:val="none"/>
                      <w:vertAlign w:val="baseline"/>
                      <w:lang w:val="en-US" w:eastAsia="zh-CN" w:bidi="ar-SA"/>
                    </w:rPr>
                    <w:t>1.</w:t>
                  </w:r>
                  <w:r>
                    <w:rPr>
                      <w:rFonts w:hint="eastAsia" w:ascii="Times New Roman" w:hAnsi="Times New Roman" w:eastAsia="宋体" w:cs="Times New Roman"/>
                      <w:color w:val="auto"/>
                      <w:spacing w:val="0"/>
                      <w:position w:val="0"/>
                      <w:sz w:val="21"/>
                      <w:szCs w:val="21"/>
                      <w:highlight w:val="none"/>
                      <w:vertAlign w:val="baseline"/>
                      <w:lang w:val="en-US" w:eastAsia="zh-CN"/>
                    </w:rPr>
                    <w:t>石化、汽车、船舶、冶金、水泥、制浆造纸、印染等重点产业，要符合全省规划布局要求。</w:t>
                  </w:r>
                </w:p>
                <w:p w14:paraId="3D728A1E">
                  <w:pPr>
                    <w:numPr>
                      <w:ilvl w:val="0"/>
                      <w:numId w:val="0"/>
                    </w:numPr>
                    <w:ind w:left="0" w:leftChars="0" w:firstLine="0" w:firstLineChars="0"/>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2"/>
                      <w:position w:val="0"/>
                      <w:sz w:val="21"/>
                      <w:szCs w:val="21"/>
                      <w:highlight w:val="none"/>
                      <w:vertAlign w:val="baseline"/>
                      <w:lang w:val="en-US" w:eastAsia="zh-CN" w:bidi="ar-SA"/>
                    </w:rPr>
                    <w:t>2.</w:t>
                  </w:r>
                  <w:r>
                    <w:rPr>
                      <w:rFonts w:hint="eastAsia" w:ascii="Times New Roman" w:hAnsi="Times New Roman" w:eastAsia="宋体" w:cs="Times New Roman"/>
                      <w:color w:val="auto"/>
                      <w:spacing w:val="0"/>
                      <w:position w:val="0"/>
                      <w:sz w:val="21"/>
                      <w:szCs w:val="21"/>
                      <w:highlight w:val="none"/>
                      <w:vertAlign w:val="baseline"/>
                      <w:lang w:val="en-US" w:eastAsia="zh-CN"/>
                    </w:rPr>
                    <w:t>严控钢铁、水泥、平板玻璃等产能过剩行业新增产能，新增产能应实施产能等量或减量置换。</w:t>
                  </w:r>
                </w:p>
                <w:p w14:paraId="4C91607F">
                  <w:pPr>
                    <w:numPr>
                      <w:ilvl w:val="0"/>
                      <w:numId w:val="0"/>
                    </w:numPr>
                    <w:ind w:left="0" w:leftChars="0" w:firstLine="0" w:firstLineChars="0"/>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2"/>
                      <w:position w:val="0"/>
                      <w:sz w:val="21"/>
                      <w:szCs w:val="21"/>
                      <w:highlight w:val="none"/>
                      <w:vertAlign w:val="baseline"/>
                      <w:lang w:val="en-US" w:eastAsia="zh-CN" w:bidi="ar-SA"/>
                    </w:rPr>
                    <w:t>3.</w:t>
                  </w:r>
                  <w:r>
                    <w:rPr>
                      <w:rFonts w:hint="eastAsia" w:ascii="Times New Roman" w:hAnsi="Times New Roman" w:eastAsia="宋体" w:cs="Times New Roman"/>
                      <w:color w:val="auto"/>
                      <w:spacing w:val="0"/>
                      <w:position w:val="0"/>
                      <w:sz w:val="21"/>
                      <w:szCs w:val="21"/>
                      <w:highlight w:val="none"/>
                      <w:vertAlign w:val="baseline"/>
                      <w:lang w:val="en-US" w:eastAsia="zh-CN"/>
                    </w:rPr>
                    <w:t>除列入国家规划的大型煤电和符合相关要求的等容量替代项目，以及以供热为主的热电联产项目外，原则上不再建设新的煤电项目。</w:t>
                  </w:r>
                </w:p>
                <w:p w14:paraId="13AAAD3F">
                  <w:pPr>
                    <w:numPr>
                      <w:ilvl w:val="0"/>
                      <w:numId w:val="0"/>
                    </w:numPr>
                    <w:ind w:left="0" w:leftChars="0" w:firstLine="0" w:firstLineChars="0"/>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2"/>
                      <w:position w:val="0"/>
                      <w:sz w:val="21"/>
                      <w:szCs w:val="21"/>
                      <w:highlight w:val="none"/>
                      <w:vertAlign w:val="baseline"/>
                      <w:lang w:val="en-US" w:eastAsia="zh-CN" w:bidi="ar-SA"/>
                    </w:rPr>
                    <w:t>4.</w:t>
                  </w:r>
                  <w:r>
                    <w:rPr>
                      <w:rFonts w:hint="eastAsia" w:ascii="Times New Roman" w:hAnsi="Times New Roman" w:eastAsia="宋体" w:cs="Times New Roman"/>
                      <w:color w:val="auto"/>
                      <w:spacing w:val="0"/>
                      <w:position w:val="0"/>
                      <w:sz w:val="21"/>
                      <w:szCs w:val="21"/>
                      <w:highlight w:val="none"/>
                      <w:vertAlign w:val="baseline"/>
                      <w:lang w:val="en-US" w:eastAsia="zh-CN"/>
                    </w:rPr>
                    <w:t>氟化工产业应集中布局在《关于促进我省氟化工产业绿色高效发展的若干意见》中确定的园区，在上述园区之外不再新建氟化工项目，园区之外现有氟化工项目不再扩大规模。</w:t>
                  </w:r>
                </w:p>
                <w:p w14:paraId="183E7AB3">
                  <w:pPr>
                    <w:numPr>
                      <w:ilvl w:val="0"/>
                      <w:numId w:val="0"/>
                    </w:numPr>
                    <w:ind w:leftChars="0"/>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position w:val="0"/>
                      <w:sz w:val="21"/>
                      <w:szCs w:val="21"/>
                      <w:highlight w:val="none"/>
                      <w:vertAlign w:val="baseline"/>
                      <w:lang w:val="en-US" w:eastAsia="zh-CN"/>
                    </w:rPr>
                    <w:t>5.禁止在水环境质量不能稳定达标的区域内，建设新增相应不达标污染物指标排放量的工业项目。</w:t>
                  </w:r>
                </w:p>
                <w:p w14:paraId="21B92A87">
                  <w:pPr>
                    <w:numPr>
                      <w:ilvl w:val="0"/>
                      <w:numId w:val="0"/>
                    </w:numPr>
                    <w:ind w:leftChars="0"/>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position w:val="0"/>
                      <w:sz w:val="21"/>
                      <w:szCs w:val="21"/>
                      <w:highlight w:val="none"/>
                      <w:vertAlign w:val="baseline"/>
                      <w:lang w:val="en-US" w:eastAsia="zh-CN"/>
                    </w:rPr>
                    <w:t>6.禁止在通风廊道和主导风向的上风向布局大气重污染企业，推进建成区大气重污染企业搬迁或升级改造、环境风险企业搬迁或关闭退出。</w:t>
                  </w:r>
                </w:p>
                <w:p w14:paraId="68EB56D1">
                  <w:pPr>
                    <w:numPr>
                      <w:ilvl w:val="0"/>
                      <w:numId w:val="0"/>
                    </w:numPr>
                    <w:ind w:left="0" w:leftChars="0" w:firstLine="0" w:firstLineChars="0"/>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position w:val="0"/>
                      <w:sz w:val="21"/>
                      <w:szCs w:val="21"/>
                      <w:highlight w:val="none"/>
                      <w:vertAlign w:val="baseline"/>
                      <w:lang w:val="en-US" w:eastAsia="zh-CN"/>
                    </w:rPr>
                    <w:t>7.新建、扩建的涉及重点重金属污染物</w:t>
                  </w:r>
                  <w:r>
                    <w:rPr>
                      <w:rFonts w:hint="eastAsia" w:ascii="Times New Roman" w:hAnsi="Times New Roman" w:eastAsia="宋体" w:cs="Times New Roman"/>
                      <w:color w:val="auto"/>
                      <w:spacing w:val="0"/>
                      <w:position w:val="0"/>
                      <w:sz w:val="21"/>
                      <w:szCs w:val="21"/>
                      <w:highlight w:val="none"/>
                      <w:vertAlign w:val="superscript"/>
                      <w:lang w:val="en-US" w:eastAsia="zh-CN"/>
                    </w:rPr>
                    <w:t>［1］</w:t>
                  </w:r>
                  <w:r>
                    <w:rPr>
                      <w:rFonts w:hint="eastAsia" w:ascii="Times New Roman" w:hAnsi="Times New Roman" w:eastAsia="宋体" w:cs="Times New Roman"/>
                      <w:color w:val="auto"/>
                      <w:spacing w:val="0"/>
                      <w:position w:val="0"/>
                      <w:sz w:val="21"/>
                      <w:szCs w:val="21"/>
                      <w:highlight w:val="none"/>
                      <w:vertAlign w:val="baseline"/>
                      <w:lang w:val="en-US" w:eastAsia="zh-CN"/>
                    </w:rPr>
                    <w:t>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3957" w:type="dxa"/>
                  <w:tcBorders>
                    <w:tl2br w:val="nil"/>
                    <w:tr2bl w:val="nil"/>
                  </w:tcBorders>
                  <w:noWrap w:val="0"/>
                  <w:vAlign w:val="center"/>
                </w:tcPr>
                <w:p w14:paraId="785A8023">
                  <w:pPr>
                    <w:widowControl/>
                    <w:snapToGrid w:val="0"/>
                    <w:spacing w:line="240" w:lineRule="auto"/>
                    <w:ind w:firstLine="0" w:firstLineChars="0"/>
                    <w:jc w:val="both"/>
                    <w:rPr>
                      <w:rFonts w:hint="eastAsia" w:ascii="Times New Roman" w:hAnsi="Times New Roman" w:eastAsia="宋体" w:cs="Times New Roman"/>
                      <w:color w:val="auto"/>
                      <w:spacing w:val="6"/>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eastAsia="zh-CN"/>
                    </w:rPr>
                    <w:t>本</w:t>
                  </w:r>
                  <w:r>
                    <w:rPr>
                      <w:rFonts w:hint="eastAsia"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pacing w:val="0"/>
                      <w:sz w:val="21"/>
                      <w:szCs w:val="21"/>
                      <w:highlight w:val="none"/>
                      <w:lang w:val="en-US" w:eastAsia="zh-CN"/>
                    </w:rPr>
                    <w:t>选址于</w:t>
                  </w:r>
                  <w:r>
                    <w:rPr>
                      <w:rFonts w:hint="eastAsia" w:ascii="Times New Roman" w:hAnsi="Times New Roman" w:eastAsia="宋体" w:cs="Times New Roman"/>
                      <w:i w:val="0"/>
                      <w:iCs w:val="0"/>
                      <w:caps w:val="0"/>
                      <w:color w:val="auto"/>
                      <w:spacing w:val="0"/>
                      <w:sz w:val="21"/>
                      <w:szCs w:val="21"/>
                      <w:highlight w:val="none"/>
                      <w:lang w:eastAsia="zh-CN"/>
                    </w:rPr>
                    <w:t>福建省福州市闽侯县荆溪镇长龙三路23、25号（福建省奥德瑞电子科技有限公司5#厂房二层），</w:t>
                  </w:r>
                  <w:r>
                    <w:rPr>
                      <w:rFonts w:hint="eastAsia" w:ascii="Times New Roman" w:hAnsi="Times New Roman" w:eastAsia="宋体" w:cs="Times New Roman"/>
                      <w:i w:val="0"/>
                      <w:iCs w:val="0"/>
                      <w:caps w:val="0"/>
                      <w:color w:val="auto"/>
                      <w:spacing w:val="0"/>
                      <w:sz w:val="21"/>
                      <w:szCs w:val="21"/>
                      <w:highlight w:val="none"/>
                      <w:lang w:val="en-US" w:eastAsia="zh-CN"/>
                    </w:rPr>
                    <w:t>位于</w:t>
                  </w:r>
                  <w:r>
                    <w:rPr>
                      <w:rFonts w:hint="eastAsia" w:ascii="Times New Roman" w:hAnsi="Times New Roman" w:eastAsia="宋体" w:cs="Times New Roman"/>
                      <w:b w:val="0"/>
                      <w:bCs w:val="0"/>
                      <w:color w:val="auto"/>
                      <w:sz w:val="21"/>
                      <w:szCs w:val="21"/>
                      <w:highlight w:val="none"/>
                      <w:lang w:val="en-US" w:eastAsia="zh-CN"/>
                    </w:rPr>
                    <w:t>闽侯县经济技术开发区一期延伸区</w:t>
                  </w:r>
                  <w:r>
                    <w:rPr>
                      <w:rFonts w:hint="eastAsia" w:ascii="Times New Roman" w:hAnsi="Times New Roman" w:eastAsia="宋体" w:cs="Times New Roman"/>
                      <w:color w:val="auto"/>
                      <w:kern w:val="0"/>
                      <w:sz w:val="21"/>
                      <w:szCs w:val="21"/>
                      <w:highlight w:val="none"/>
                      <w:lang w:val="en-US" w:eastAsia="zh-CN"/>
                    </w:rPr>
                    <w:t>，主要从事木质屏风加工生产</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属于轻工制造类工业项目</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pacing w:val="6"/>
                      <w:sz w:val="21"/>
                      <w:szCs w:val="21"/>
                      <w:highlight w:val="none"/>
                    </w:rPr>
                    <w:t>不属于石化、汽车、船舶、冶金、水泥、制浆造纸、印染等重点产业；</w:t>
                  </w:r>
                </w:p>
                <w:p w14:paraId="3B8FED42">
                  <w:pPr>
                    <w:widowControl/>
                    <w:snapToGrid w:val="0"/>
                    <w:spacing w:line="240" w:lineRule="auto"/>
                    <w:ind w:firstLine="0" w:firstLineChars="0"/>
                    <w:jc w:val="both"/>
                    <w:rPr>
                      <w:rFonts w:hint="eastAsia" w:ascii="Times New Roman" w:hAnsi="Times New Roman" w:eastAsia="宋体" w:cs="Times New Roman"/>
                      <w:color w:val="auto"/>
                      <w:spacing w:val="6"/>
                      <w:sz w:val="21"/>
                      <w:szCs w:val="21"/>
                      <w:highlight w:val="none"/>
                    </w:rPr>
                  </w:pPr>
                  <w:r>
                    <w:rPr>
                      <w:rFonts w:hint="eastAsia" w:ascii="Times New Roman" w:hAnsi="Times New Roman" w:eastAsia="宋体" w:cs="Times New Roman"/>
                      <w:color w:val="auto"/>
                      <w:spacing w:val="6"/>
                      <w:sz w:val="21"/>
                      <w:szCs w:val="21"/>
                      <w:highlight w:val="none"/>
                    </w:rPr>
                    <w:t>2.不属于钢铁、水泥、平板玻璃等行业；3.不属于煤电项目；</w:t>
                  </w:r>
                </w:p>
                <w:p w14:paraId="567366A6">
                  <w:pPr>
                    <w:pStyle w:val="37"/>
                    <w:spacing w:after="0" w:line="240" w:lineRule="auto"/>
                    <w:ind w:left="0" w:leftChars="0" w:firstLine="0" w:firstLineChars="0"/>
                    <w:jc w:val="both"/>
                    <w:rPr>
                      <w:rFonts w:hint="eastAsia" w:ascii="Times New Roman" w:hAnsi="Times New Roman" w:eastAsia="宋体" w:cs="Times New Roman"/>
                      <w:color w:val="auto"/>
                      <w:spacing w:val="6"/>
                      <w:sz w:val="21"/>
                      <w:szCs w:val="21"/>
                      <w:highlight w:val="none"/>
                    </w:rPr>
                  </w:pPr>
                  <w:r>
                    <w:rPr>
                      <w:rFonts w:hint="eastAsia" w:ascii="Times New Roman" w:hAnsi="Times New Roman" w:eastAsia="宋体" w:cs="Times New Roman"/>
                      <w:color w:val="auto"/>
                      <w:spacing w:val="6"/>
                      <w:sz w:val="21"/>
                      <w:szCs w:val="21"/>
                      <w:highlight w:val="none"/>
                    </w:rPr>
                    <w:t>4.不属于氟化工项目；</w:t>
                  </w:r>
                </w:p>
                <w:p w14:paraId="367921FA">
                  <w:pPr>
                    <w:pStyle w:val="37"/>
                    <w:spacing w:after="0" w:line="240" w:lineRule="auto"/>
                    <w:ind w:left="0" w:leftChars="0" w:firstLine="0" w:firstLineChars="0"/>
                    <w:jc w:val="both"/>
                    <w:rPr>
                      <w:rFonts w:hint="eastAsia" w:ascii="Times New Roman" w:hAnsi="Times New Roman" w:eastAsia="宋体" w:cs="Times New Roman"/>
                      <w:color w:val="auto"/>
                      <w:spacing w:val="6"/>
                      <w:kern w:val="2"/>
                      <w:sz w:val="21"/>
                      <w:szCs w:val="21"/>
                      <w:highlight w:val="none"/>
                    </w:rPr>
                  </w:pPr>
                  <w:r>
                    <w:rPr>
                      <w:rFonts w:hint="eastAsia" w:ascii="Times New Roman" w:hAnsi="Times New Roman" w:eastAsia="宋体" w:cs="Times New Roman"/>
                      <w:color w:val="auto"/>
                      <w:spacing w:val="6"/>
                      <w:sz w:val="21"/>
                      <w:szCs w:val="21"/>
                      <w:highlight w:val="none"/>
                    </w:rPr>
                    <w:t>5.</w:t>
                  </w:r>
                  <w:r>
                    <w:rPr>
                      <w:rFonts w:hint="eastAsia" w:ascii="Times New Roman" w:hAnsi="Times New Roman" w:eastAsia="宋体" w:cs="Times New Roman"/>
                      <w:color w:val="auto"/>
                      <w:spacing w:val="6"/>
                      <w:kern w:val="2"/>
                      <w:sz w:val="21"/>
                      <w:szCs w:val="21"/>
                      <w:highlight w:val="none"/>
                    </w:rPr>
                    <w:t>项目所在区域水质达标；</w:t>
                  </w:r>
                </w:p>
                <w:p w14:paraId="157DB458">
                  <w:pPr>
                    <w:pStyle w:val="37"/>
                    <w:spacing w:after="0" w:line="240" w:lineRule="auto"/>
                    <w:ind w:left="0" w:leftChars="0" w:firstLine="0" w:firstLineChars="0"/>
                    <w:jc w:val="both"/>
                    <w:rPr>
                      <w:rFonts w:hint="eastAsia" w:ascii="Times New Roman" w:hAnsi="Times New Roman" w:eastAsia="宋体" w:cs="Times New Roman"/>
                      <w:color w:val="auto"/>
                      <w:spacing w:val="6"/>
                      <w:kern w:val="2"/>
                      <w:sz w:val="21"/>
                      <w:szCs w:val="21"/>
                      <w:highlight w:val="none"/>
                    </w:rPr>
                  </w:pPr>
                  <w:r>
                    <w:rPr>
                      <w:rFonts w:hint="eastAsia" w:ascii="Times New Roman" w:hAnsi="Times New Roman" w:eastAsia="宋体" w:cs="Times New Roman"/>
                      <w:color w:val="auto"/>
                      <w:spacing w:val="6"/>
                      <w:kern w:val="2"/>
                      <w:sz w:val="21"/>
                      <w:szCs w:val="21"/>
                      <w:highlight w:val="none"/>
                    </w:rPr>
                    <w:t>6.不属于大气重污染企业；</w:t>
                  </w:r>
                </w:p>
                <w:p w14:paraId="1E39FBB9">
                  <w:pPr>
                    <w:pStyle w:val="37"/>
                    <w:spacing w:after="0" w:line="240" w:lineRule="auto"/>
                    <w:ind w:left="0" w:leftChars="0" w:firstLine="0" w:firstLineChars="0"/>
                    <w:jc w:val="both"/>
                    <w:rPr>
                      <w:rFonts w:hint="eastAsia"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6"/>
                      <w:kern w:val="2"/>
                      <w:sz w:val="21"/>
                      <w:szCs w:val="21"/>
                      <w:highlight w:val="none"/>
                    </w:rPr>
                    <w:t>7.不属于重点重金属污染物</w:t>
                  </w:r>
                  <w:r>
                    <w:rPr>
                      <w:rFonts w:hint="eastAsia" w:ascii="Times New Roman" w:hAnsi="Times New Roman" w:eastAsia="宋体" w:cs="Times New Roman"/>
                      <w:color w:val="auto"/>
                      <w:spacing w:val="6"/>
                      <w:kern w:val="2"/>
                      <w:sz w:val="21"/>
                      <w:szCs w:val="21"/>
                      <w:highlight w:val="none"/>
                      <w:vertAlign w:val="superscript"/>
                    </w:rPr>
                    <w:t>［1］</w:t>
                  </w:r>
                  <w:r>
                    <w:rPr>
                      <w:rFonts w:hint="eastAsia" w:ascii="Times New Roman" w:hAnsi="Times New Roman" w:eastAsia="宋体" w:cs="Times New Roman"/>
                      <w:color w:val="auto"/>
                      <w:spacing w:val="6"/>
                      <w:kern w:val="2"/>
                      <w:sz w:val="21"/>
                      <w:szCs w:val="21"/>
                      <w:highlight w:val="none"/>
                    </w:rPr>
                    <w:t>的有色金属冶炼、电镀、制革、铅蓄电池制造企业，不属于用汞的电石法（聚）氯乙烯生产工艺</w:t>
                  </w:r>
                  <w:r>
                    <w:rPr>
                      <w:rFonts w:hint="eastAsia" w:ascii="Times New Roman" w:hAnsi="Times New Roman" w:eastAsia="宋体" w:cs="Times New Roman"/>
                      <w:color w:val="auto"/>
                      <w:spacing w:val="6"/>
                      <w:kern w:val="2"/>
                      <w:sz w:val="21"/>
                      <w:szCs w:val="21"/>
                      <w:highlight w:val="none"/>
                      <w:lang w:eastAsia="zh-CN"/>
                    </w:rPr>
                    <w:t>；</w:t>
                  </w:r>
                </w:p>
                <w:p w14:paraId="0556BB94">
                  <w:pPr>
                    <w:widowControl/>
                    <w:snapToGrid w:val="0"/>
                    <w:jc w:val="both"/>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6"/>
                      <w:sz w:val="21"/>
                      <w:szCs w:val="21"/>
                      <w:highlight w:val="none"/>
                    </w:rPr>
                    <w:t>综上所述，</w:t>
                  </w:r>
                  <w:r>
                    <w:rPr>
                      <w:rFonts w:hint="eastAsia" w:ascii="Times New Roman" w:hAnsi="Times New Roman" w:eastAsia="宋体" w:cs="Times New Roman"/>
                      <w:color w:val="auto"/>
                      <w:sz w:val="21"/>
                      <w:szCs w:val="21"/>
                      <w:highlight w:val="none"/>
                    </w:rPr>
                    <w:t>项目建设与空间布局约束要求不相冲突。</w:t>
                  </w:r>
                </w:p>
              </w:tc>
              <w:tc>
                <w:tcPr>
                  <w:tcW w:w="647" w:type="dxa"/>
                  <w:tcBorders>
                    <w:tl2br w:val="nil"/>
                    <w:tr2bl w:val="nil"/>
                  </w:tcBorders>
                  <w:noWrap w:val="0"/>
                  <w:vAlign w:val="center"/>
                </w:tcPr>
                <w:p w14:paraId="625B1AB9">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符合</w:t>
                  </w:r>
                </w:p>
              </w:tc>
            </w:tr>
            <w:tr w14:paraId="5C51FD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continue"/>
                  <w:tcBorders>
                    <w:tl2br w:val="nil"/>
                    <w:tr2bl w:val="nil"/>
                  </w:tcBorders>
                  <w:noWrap w:val="0"/>
                  <w:vAlign w:val="center"/>
                </w:tcPr>
                <w:p w14:paraId="4B3880E1">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auto"/>
                      <w:spacing w:val="0"/>
                      <w:sz w:val="21"/>
                      <w:szCs w:val="21"/>
                      <w:highlight w:val="none"/>
                    </w:rPr>
                  </w:pPr>
                </w:p>
              </w:tc>
              <w:tc>
                <w:tcPr>
                  <w:tcW w:w="1092" w:type="dxa"/>
                  <w:tcBorders>
                    <w:tl2br w:val="nil"/>
                    <w:tr2bl w:val="nil"/>
                  </w:tcBorders>
                  <w:noWrap w:val="0"/>
                  <w:vAlign w:val="center"/>
                </w:tcPr>
                <w:p w14:paraId="3D791F04">
                  <w:pPr>
                    <w:pStyle w:val="9"/>
                    <w:keepNext w:val="0"/>
                    <w:keepLines w:val="0"/>
                    <w:pageBreakBefore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污染物排放管控</w:t>
                  </w:r>
                </w:p>
              </w:tc>
              <w:tc>
                <w:tcPr>
                  <w:tcW w:w="7030" w:type="dxa"/>
                  <w:tcBorders>
                    <w:tl2br w:val="nil"/>
                    <w:tr2bl w:val="nil"/>
                  </w:tcBorders>
                  <w:noWrap w:val="0"/>
                  <w:vAlign w:val="center"/>
                </w:tcPr>
                <w:p w14:paraId="054EC9D7">
                  <w:pPr>
                    <w:numPr>
                      <w:ilvl w:val="0"/>
                      <w:numId w:val="0"/>
                    </w:numPr>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2"/>
                      <w:position w:val="0"/>
                      <w:sz w:val="21"/>
                      <w:szCs w:val="21"/>
                      <w:highlight w:val="none"/>
                      <w:vertAlign w:val="baseline"/>
                      <w:lang w:val="en-US" w:eastAsia="zh-CN" w:bidi="ar-SA"/>
                    </w:rPr>
                    <w:t>1.</w:t>
                  </w:r>
                  <w:r>
                    <w:rPr>
                      <w:rFonts w:hint="eastAsia" w:ascii="Times New Roman" w:hAnsi="Times New Roman" w:eastAsia="宋体" w:cs="Times New Roman"/>
                      <w:color w:val="auto"/>
                      <w:spacing w:val="0"/>
                      <w:position w:val="0"/>
                      <w:sz w:val="21"/>
                      <w:szCs w:val="21"/>
                      <w:highlight w:val="none"/>
                      <w:vertAlign w:val="baseline"/>
                      <w:lang w:val="en-US" w:eastAsia="zh-CN"/>
                    </w:rPr>
                    <w:t>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w:t>
                  </w:r>
                  <w:r>
                    <w:rPr>
                      <w:rFonts w:hint="eastAsia" w:ascii="Times New Roman" w:hAnsi="Times New Roman" w:eastAsia="宋体" w:cs="Times New Roman"/>
                      <w:color w:val="auto"/>
                      <w:spacing w:val="0"/>
                      <w:position w:val="0"/>
                      <w:sz w:val="21"/>
                      <w:szCs w:val="21"/>
                      <w:highlight w:val="none"/>
                      <w:vertAlign w:val="superscript"/>
                      <w:lang w:val="en-US" w:eastAsia="zh-CN"/>
                    </w:rPr>
                    <w:t>［2］</w:t>
                  </w:r>
                  <w:r>
                    <w:rPr>
                      <w:rFonts w:hint="eastAsia" w:ascii="Times New Roman" w:hAnsi="Times New Roman" w:eastAsia="宋体" w:cs="Times New Roman"/>
                      <w:color w:val="auto"/>
                      <w:spacing w:val="0"/>
                      <w:position w:val="0"/>
                      <w:sz w:val="21"/>
                      <w:szCs w:val="21"/>
                      <w:highlight w:val="none"/>
                      <w:vertAlign w:val="baseline"/>
                      <w:lang w:val="en-US" w:eastAsia="zh-CN"/>
                    </w:rPr>
                    <w:t>建设项目要符合“闽环保固体〔2022〕17号”文件要求</w:t>
                  </w:r>
                </w:p>
                <w:p w14:paraId="722A8AA3">
                  <w:pPr>
                    <w:numPr>
                      <w:ilvl w:val="0"/>
                      <w:numId w:val="0"/>
                    </w:numPr>
                    <w:ind w:left="0" w:leftChars="0" w:firstLine="0" w:firstLineChars="0"/>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2"/>
                      <w:position w:val="0"/>
                      <w:sz w:val="21"/>
                      <w:szCs w:val="21"/>
                      <w:highlight w:val="none"/>
                      <w:vertAlign w:val="baseline"/>
                      <w:lang w:val="en-US" w:eastAsia="zh-CN" w:bidi="ar-SA"/>
                    </w:rPr>
                    <w:t>2.</w:t>
                  </w:r>
                  <w:r>
                    <w:rPr>
                      <w:rFonts w:hint="eastAsia" w:ascii="Times New Roman" w:hAnsi="Times New Roman" w:eastAsia="宋体" w:cs="Times New Roman"/>
                      <w:color w:val="auto"/>
                      <w:spacing w:val="0"/>
                      <w:position w:val="0"/>
                      <w:sz w:val="21"/>
                      <w:szCs w:val="21"/>
                      <w:highlight w:val="none"/>
                      <w:vertAlign w:val="baseline"/>
                      <w:lang w:val="en-US" w:eastAsia="zh-CN"/>
                    </w:rPr>
                    <w:t>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w:t>
                  </w:r>
                  <w:r>
                    <w:rPr>
                      <w:rFonts w:hint="eastAsia" w:ascii="Times New Roman" w:hAnsi="Times New Roman" w:eastAsia="宋体" w:cs="Times New Roman"/>
                      <w:color w:val="auto"/>
                      <w:spacing w:val="0"/>
                      <w:position w:val="0"/>
                      <w:sz w:val="21"/>
                      <w:szCs w:val="21"/>
                      <w:highlight w:val="none"/>
                      <w:vertAlign w:val="superscript"/>
                      <w:lang w:val="en-US" w:eastAsia="zh-CN"/>
                    </w:rPr>
                    <w:t>［2］［4］</w:t>
                  </w:r>
                  <w:r>
                    <w:rPr>
                      <w:rFonts w:hint="eastAsia" w:ascii="Times New Roman" w:hAnsi="Times New Roman" w:eastAsia="宋体" w:cs="Times New Roman"/>
                      <w:color w:val="auto"/>
                      <w:spacing w:val="0"/>
                      <w:position w:val="0"/>
                      <w:sz w:val="21"/>
                      <w:szCs w:val="21"/>
                      <w:highlight w:val="none"/>
                      <w:vertAlign w:val="baseline"/>
                      <w:lang w:val="en-US" w:eastAsia="zh-CN"/>
                    </w:rPr>
                    <w:t>。</w:t>
                  </w:r>
                </w:p>
                <w:p w14:paraId="330EF093">
                  <w:pPr>
                    <w:numPr>
                      <w:ilvl w:val="0"/>
                      <w:numId w:val="0"/>
                    </w:numPr>
                    <w:ind w:left="0" w:leftChars="0" w:firstLine="0" w:firstLineChars="0"/>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2"/>
                      <w:position w:val="0"/>
                      <w:sz w:val="21"/>
                      <w:szCs w:val="21"/>
                      <w:highlight w:val="none"/>
                      <w:vertAlign w:val="baseline"/>
                      <w:lang w:val="en-US" w:eastAsia="zh-CN" w:bidi="ar-SA"/>
                    </w:rPr>
                    <w:t>3.</w:t>
                  </w:r>
                  <w:r>
                    <w:rPr>
                      <w:rFonts w:hint="eastAsia" w:ascii="Times New Roman" w:hAnsi="Times New Roman" w:eastAsia="宋体" w:cs="Times New Roman"/>
                      <w:color w:val="auto"/>
                      <w:spacing w:val="0"/>
                      <w:position w:val="0"/>
                      <w:sz w:val="21"/>
                      <w:szCs w:val="21"/>
                      <w:highlight w:val="none"/>
                      <w:vertAlign w:val="baseline"/>
                      <w:lang w:val="en-US" w:eastAsia="zh-CN"/>
                    </w:rPr>
                    <w:t>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p w14:paraId="144369FE">
                  <w:pPr>
                    <w:numPr>
                      <w:ilvl w:val="0"/>
                      <w:numId w:val="0"/>
                    </w:numPr>
                    <w:ind w:left="0" w:leftChars="0" w:firstLine="0" w:firstLineChars="0"/>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2"/>
                      <w:position w:val="0"/>
                      <w:sz w:val="21"/>
                      <w:szCs w:val="21"/>
                      <w:highlight w:val="none"/>
                      <w:vertAlign w:val="baseline"/>
                      <w:lang w:val="en-US" w:eastAsia="zh-CN" w:bidi="ar-SA"/>
                    </w:rPr>
                    <w:t>4.</w:t>
                  </w:r>
                  <w:r>
                    <w:rPr>
                      <w:rFonts w:hint="eastAsia" w:ascii="Times New Roman" w:hAnsi="Times New Roman" w:eastAsia="宋体" w:cs="Times New Roman"/>
                      <w:color w:val="auto"/>
                      <w:spacing w:val="0"/>
                      <w:position w:val="0"/>
                      <w:sz w:val="21"/>
                      <w:szCs w:val="21"/>
                      <w:highlight w:val="none"/>
                      <w:vertAlign w:val="baseline"/>
                      <w:lang w:val="en-US" w:eastAsia="zh-CN"/>
                    </w:rPr>
                    <w:t>优化调整货物运输方式，提升铁路货运比例，推进钢铁、电力、电解铝、焦化等重点工业企业和工业园区货物由公路运输转向铁路运输。</w:t>
                  </w:r>
                </w:p>
                <w:p w14:paraId="560FA92F">
                  <w:pPr>
                    <w:numPr>
                      <w:ilvl w:val="0"/>
                      <w:numId w:val="0"/>
                    </w:numPr>
                    <w:ind w:left="0" w:leftChars="0" w:firstLine="0" w:firstLineChars="0"/>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position w:val="0"/>
                      <w:sz w:val="21"/>
                      <w:szCs w:val="21"/>
                      <w:highlight w:val="none"/>
                      <w:vertAlign w:val="baseline"/>
                      <w:lang w:val="en-US" w:eastAsia="zh-CN"/>
                    </w:rPr>
                    <w:t>5.加强石化、涂料、纺织印染、橡胶、医药等行业新污染物环境风险管控。</w:t>
                  </w:r>
                </w:p>
              </w:tc>
              <w:tc>
                <w:tcPr>
                  <w:tcW w:w="3957" w:type="dxa"/>
                  <w:tcBorders>
                    <w:tl2br w:val="nil"/>
                    <w:tr2bl w:val="nil"/>
                  </w:tcBorders>
                  <w:noWrap w:val="0"/>
                  <w:vAlign w:val="center"/>
                </w:tcPr>
                <w:p w14:paraId="2322C1FD">
                  <w:pPr>
                    <w:keepNext w:val="0"/>
                    <w:keepLines w:val="0"/>
                    <w:pageBreakBefore w:val="0"/>
                    <w:widowControl/>
                    <w:tabs>
                      <w:tab w:val="left" w:pos="1470"/>
                    </w:tabs>
                    <w:kinsoku/>
                    <w:wordWrap/>
                    <w:overflowPunct w:val="0"/>
                    <w:topLinePunct w:val="0"/>
                    <w:autoSpaceDE/>
                    <w:autoSpaceDN/>
                    <w:bidi w:val="0"/>
                    <w:adjustRightInd/>
                    <w:snapToGrid w:val="0"/>
                    <w:jc w:val="both"/>
                    <w:textAlignment w:val="auto"/>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w:t>
                  </w:r>
                  <w:r>
                    <w:rPr>
                      <w:rFonts w:hint="eastAsia" w:ascii="Times New Roman" w:hAnsi="Times New Roman" w:eastAsia="宋体" w:cs="Times New Roman"/>
                      <w:color w:val="auto"/>
                      <w:kern w:val="0"/>
                      <w:sz w:val="21"/>
                      <w:szCs w:val="21"/>
                      <w:highlight w:val="none"/>
                    </w:rPr>
                    <w:t>项目新增废气污染物指标为VOCs，</w:t>
                  </w:r>
                  <w:r>
                    <w:rPr>
                      <w:rFonts w:hint="eastAsia" w:ascii="Times New Roman" w:hAnsi="Times New Roman" w:eastAsia="宋体" w:cs="Times New Roman"/>
                      <w:color w:val="auto"/>
                      <w:kern w:val="0"/>
                      <w:sz w:val="21"/>
                      <w:szCs w:val="21"/>
                      <w:highlight w:val="none"/>
                      <w:lang w:val="en-US" w:eastAsia="zh-CN"/>
                    </w:rPr>
                    <w:t>根据</w:t>
                  </w:r>
                  <w:r>
                    <w:rPr>
                      <w:rFonts w:hint="default" w:ascii="Times New Roman" w:hAnsi="Times New Roman" w:eastAsia="宋体" w:cs="Times New Roman"/>
                      <w:b w:val="0"/>
                      <w:bCs w:val="0"/>
                      <w:color w:val="auto"/>
                      <w:sz w:val="21"/>
                      <w:szCs w:val="21"/>
                      <w:highlight w:val="none"/>
                    </w:rPr>
                    <w:t>《福州市生态环境局关于落实</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奋勇争先</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行动进一步服务和促进民营经济高质量发展的通知》（榕环保综〔2025〕47号）</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0"/>
                      <w:sz w:val="21"/>
                      <w:szCs w:val="21"/>
                      <w:highlight w:val="none"/>
                    </w:rPr>
                    <w:t>本项目</w:t>
                  </w:r>
                  <w:r>
                    <w:rPr>
                      <w:rFonts w:hint="eastAsia" w:ascii="Times New Roman" w:hAnsi="Times New Roman" w:eastAsia="宋体" w:cs="Times New Roman"/>
                      <w:color w:val="auto"/>
                      <w:kern w:val="0"/>
                      <w:sz w:val="21"/>
                      <w:szCs w:val="21"/>
                      <w:highlight w:val="none"/>
                      <w:lang w:val="en-US" w:eastAsia="zh-CN"/>
                    </w:rPr>
                    <w:t>新增</w:t>
                  </w:r>
                  <w:r>
                    <w:rPr>
                      <w:rFonts w:hint="eastAsia" w:ascii="Times New Roman" w:hAnsi="Times New Roman" w:eastAsia="宋体" w:cs="Times New Roman"/>
                      <w:color w:val="auto"/>
                      <w:kern w:val="0"/>
                      <w:sz w:val="21"/>
                      <w:szCs w:val="21"/>
                      <w:highlight w:val="none"/>
                    </w:rPr>
                    <w:t>VOCs年排放量小于0.1吨，无需提交总量来源说明，由市级生态环境部门统筹总量指标替代来源</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sz w:val="21"/>
                      <w:szCs w:val="21"/>
                      <w:highlight w:val="none"/>
                    </w:rPr>
                    <w:t>不属于总磷排放项目</w:t>
                  </w:r>
                  <w:r>
                    <w:rPr>
                      <w:rFonts w:hint="eastAsia" w:ascii="Times New Roman" w:hAnsi="Times New Roman" w:eastAsia="宋体" w:cs="Times New Roman"/>
                      <w:color w:val="auto"/>
                      <w:kern w:val="0"/>
                      <w:sz w:val="21"/>
                      <w:szCs w:val="21"/>
                      <w:highlight w:val="none"/>
                      <w:lang w:eastAsia="zh-CN" w:bidi="ar"/>
                    </w:rPr>
                    <w:t>；</w:t>
                  </w:r>
                </w:p>
                <w:p w14:paraId="0DD57942">
                  <w:pPr>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b w:val="0"/>
                      <w:bCs w:val="0"/>
                      <w:color w:val="auto"/>
                      <w:spacing w:val="0"/>
                      <w:sz w:val="21"/>
                      <w:szCs w:val="21"/>
                      <w:highlight w:val="none"/>
                      <w:vertAlign w:val="baseline"/>
                      <w:lang w:val="en-US" w:eastAsia="zh-CN"/>
                    </w:rPr>
                    <w:t>项目从事</w:t>
                  </w:r>
                  <w:r>
                    <w:rPr>
                      <w:rFonts w:hint="eastAsia" w:ascii="Times New Roman" w:hAnsi="Times New Roman" w:eastAsia="宋体" w:cs="Times New Roman"/>
                      <w:color w:val="auto"/>
                      <w:kern w:val="0"/>
                      <w:sz w:val="21"/>
                      <w:szCs w:val="21"/>
                      <w:highlight w:val="none"/>
                      <w:lang w:val="en-US" w:eastAsia="zh-CN"/>
                    </w:rPr>
                    <w:t>木质屏风加工生产</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不属于钢铁、火电、有色项目及水泥行业；</w:t>
                  </w:r>
                </w:p>
                <w:p w14:paraId="1A1917DB">
                  <w:pPr>
                    <w:spacing w:line="240" w:lineRule="auto"/>
                    <w:ind w:firstLine="0" w:firstLineChars="0"/>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pacing w:val="6"/>
                      <w:kern w:val="0"/>
                      <w:sz w:val="21"/>
                      <w:szCs w:val="21"/>
                      <w:highlight w:val="none"/>
                    </w:rPr>
                    <w:t>3.</w:t>
                  </w:r>
                  <w:r>
                    <w:rPr>
                      <w:rFonts w:hint="eastAsia"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val="en-US" w:eastAsia="zh-CN"/>
                    </w:rPr>
                    <w:t>生产废水不外排，外排废水仅为</w:t>
                  </w:r>
                  <w:r>
                    <w:rPr>
                      <w:rFonts w:hint="eastAsia" w:ascii="Times New Roman" w:hAnsi="Times New Roman" w:eastAsia="宋体" w:cs="Times New Roman"/>
                      <w:color w:val="auto"/>
                      <w:sz w:val="21"/>
                      <w:szCs w:val="21"/>
                      <w:highlight w:val="none"/>
                      <w:lang w:eastAsia="zh-CN"/>
                    </w:rPr>
                    <w:t>生活污水，</w:t>
                  </w:r>
                  <w:r>
                    <w:rPr>
                      <w:rFonts w:hint="eastAsia" w:ascii="Times New Roman" w:hAnsi="Times New Roman" w:eastAsia="宋体" w:cs="Times New Roman"/>
                      <w:color w:val="auto"/>
                      <w:spacing w:val="0"/>
                      <w:position w:val="0"/>
                      <w:sz w:val="21"/>
                      <w:szCs w:val="21"/>
                      <w:highlight w:val="none"/>
                      <w:lang w:eastAsia="zh-CN"/>
                    </w:rPr>
                    <w:t>生活污水经化粪池处理</w:t>
                  </w:r>
                  <w:r>
                    <w:rPr>
                      <w:rFonts w:hint="eastAsia" w:ascii="Times New Roman" w:hAnsi="Times New Roman" w:eastAsia="宋体" w:cs="Times New Roman"/>
                      <w:color w:val="auto"/>
                      <w:spacing w:val="0"/>
                      <w:position w:val="0"/>
                      <w:sz w:val="21"/>
                      <w:szCs w:val="21"/>
                      <w:highlight w:val="none"/>
                    </w:rPr>
                    <w:t>后通过市政污水管网纳入</w:t>
                  </w:r>
                  <w:r>
                    <w:rPr>
                      <w:rFonts w:hint="eastAsia" w:ascii="Times New Roman" w:hAnsi="Times New Roman" w:eastAsia="宋体" w:cs="Times New Roman"/>
                      <w:color w:val="auto"/>
                      <w:spacing w:val="0"/>
                      <w:position w:val="0"/>
                      <w:sz w:val="21"/>
                      <w:szCs w:val="21"/>
                      <w:highlight w:val="none"/>
                      <w:lang w:val="en-US" w:eastAsia="zh-CN"/>
                    </w:rPr>
                    <w:t>闽侯县城关</w:t>
                  </w:r>
                  <w:r>
                    <w:rPr>
                      <w:rFonts w:hint="eastAsia" w:ascii="Times New Roman" w:hAnsi="Times New Roman" w:eastAsia="宋体" w:cs="Times New Roman"/>
                      <w:color w:val="auto"/>
                      <w:spacing w:val="0"/>
                      <w:position w:val="0"/>
                      <w:sz w:val="21"/>
                      <w:szCs w:val="21"/>
                      <w:highlight w:val="none"/>
                    </w:rPr>
                    <w:t>污水处理厂</w:t>
                  </w:r>
                  <w:r>
                    <w:rPr>
                      <w:rFonts w:hint="eastAsia" w:ascii="Times New Roman" w:hAnsi="Times New Roman" w:eastAsia="宋体" w:cs="Times New Roman"/>
                      <w:color w:val="auto"/>
                      <w:sz w:val="21"/>
                      <w:szCs w:val="21"/>
                      <w:highlight w:val="none"/>
                      <w:lang w:val="en-US" w:eastAsia="zh-CN"/>
                    </w:rPr>
                    <w:t>集中处理达</w:t>
                  </w:r>
                  <w:r>
                    <w:rPr>
                      <w:rFonts w:hint="eastAsia" w:ascii="Times New Roman" w:hAnsi="Times New Roman" w:eastAsia="宋体" w:cs="Times New Roman"/>
                      <w:color w:val="auto"/>
                      <w:spacing w:val="0"/>
                      <w:kern w:val="0"/>
                      <w:position w:val="0"/>
                      <w:sz w:val="21"/>
                      <w:szCs w:val="21"/>
                      <w:highlight w:val="none"/>
                      <w:lang w:val="en-US" w:eastAsia="zh-CN" w:bidi="ar"/>
                    </w:rPr>
                    <w:t>《城镇污水处理厂污染物排放标准》 （GB18918-2002）表1中“基本控制项目最高允许排放浓度（日均值）”一级A标准及其修改单表4中“基本控制项目最高允许排放浓度（瞬时值）”一级A标准</w:t>
                  </w:r>
                  <w:r>
                    <w:rPr>
                      <w:rFonts w:hint="eastAsia" w:ascii="Times New Roman" w:hAnsi="Times New Roman" w:eastAsia="宋体" w:cs="Times New Roman"/>
                      <w:color w:val="auto"/>
                      <w:sz w:val="21"/>
                      <w:szCs w:val="21"/>
                      <w:highlight w:val="none"/>
                      <w:lang w:eastAsia="zh-CN"/>
                    </w:rPr>
                    <w:t>；</w:t>
                  </w:r>
                </w:p>
                <w:p w14:paraId="4DFFA4CC">
                  <w:pPr>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4.不属于钢铁、电力、电解铝、焦化等重点工业企业；</w:t>
                  </w:r>
                </w:p>
                <w:p w14:paraId="36F33B35">
                  <w:pPr>
                    <w:pStyle w:val="37"/>
                    <w:spacing w:after="0" w:line="240" w:lineRule="auto"/>
                    <w:ind w:left="0" w:leftChars="0" w:firstLine="0" w:firstLineChars="0"/>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5.项目主要</w:t>
                  </w:r>
                  <w:r>
                    <w:rPr>
                      <w:rFonts w:hint="eastAsia" w:ascii="Times New Roman" w:hAnsi="Times New Roman" w:eastAsia="宋体" w:cs="Times New Roman"/>
                      <w:color w:val="auto"/>
                      <w:sz w:val="21"/>
                      <w:szCs w:val="21"/>
                      <w:highlight w:val="none"/>
                      <w:lang w:eastAsia="zh-CN"/>
                    </w:rPr>
                    <w:t>从事</w:t>
                  </w:r>
                  <w:r>
                    <w:rPr>
                      <w:rFonts w:hint="eastAsia" w:ascii="Times New Roman" w:hAnsi="Times New Roman" w:eastAsia="宋体" w:cs="Times New Roman"/>
                      <w:color w:val="auto"/>
                      <w:kern w:val="0"/>
                      <w:sz w:val="21"/>
                      <w:szCs w:val="21"/>
                      <w:highlight w:val="none"/>
                      <w:lang w:val="en-US" w:eastAsia="zh-CN"/>
                    </w:rPr>
                    <w:t>木质屏风加工生产</w:t>
                  </w:r>
                  <w:r>
                    <w:rPr>
                      <w:rFonts w:hint="eastAsia" w:ascii="Times New Roman" w:hAnsi="Times New Roman" w:eastAsia="宋体" w:cs="Times New Roman"/>
                      <w:color w:val="auto"/>
                      <w:sz w:val="21"/>
                      <w:szCs w:val="21"/>
                      <w:highlight w:val="none"/>
                    </w:rPr>
                    <w:t>，不属于石化、涂料、纺织印染、橡胶、医药等行业</w:t>
                  </w:r>
                  <w:r>
                    <w:rPr>
                      <w:rFonts w:hint="eastAsia" w:ascii="Times New Roman" w:hAnsi="Times New Roman" w:eastAsia="宋体" w:cs="Times New Roman"/>
                      <w:color w:val="auto"/>
                      <w:sz w:val="21"/>
                      <w:szCs w:val="21"/>
                      <w:highlight w:val="none"/>
                      <w:lang w:eastAsia="zh-CN"/>
                    </w:rPr>
                    <w:t>；</w:t>
                  </w:r>
                </w:p>
                <w:p w14:paraId="38BBB50B">
                  <w:pPr>
                    <w:widowControl/>
                    <w:snapToGrid w:val="0"/>
                    <w:jc w:val="both"/>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6"/>
                      <w:sz w:val="21"/>
                      <w:szCs w:val="21"/>
                      <w:highlight w:val="none"/>
                    </w:rPr>
                    <w:t>综上所述，项目不属于</w:t>
                  </w:r>
                  <w:r>
                    <w:rPr>
                      <w:rFonts w:hint="eastAsia" w:ascii="Times New Roman" w:hAnsi="Times New Roman" w:eastAsia="宋体" w:cs="Times New Roman"/>
                      <w:color w:val="auto"/>
                      <w:sz w:val="21"/>
                      <w:szCs w:val="21"/>
                      <w:highlight w:val="none"/>
                      <w:lang w:bidi="ar"/>
                    </w:rPr>
                    <w:t>污染物排放管控范围中涉及的项目及行业</w:t>
                  </w:r>
                  <w:r>
                    <w:rPr>
                      <w:rFonts w:hint="eastAsia" w:ascii="Times New Roman" w:hAnsi="Times New Roman" w:eastAsia="宋体" w:cs="Times New Roman"/>
                      <w:color w:val="auto"/>
                      <w:spacing w:val="6"/>
                      <w:sz w:val="21"/>
                      <w:szCs w:val="21"/>
                      <w:highlight w:val="none"/>
                    </w:rPr>
                    <w:t>。</w:t>
                  </w:r>
                </w:p>
              </w:tc>
              <w:tc>
                <w:tcPr>
                  <w:tcW w:w="647" w:type="dxa"/>
                  <w:tcBorders>
                    <w:tl2br w:val="nil"/>
                    <w:tr2bl w:val="nil"/>
                  </w:tcBorders>
                  <w:noWrap w:val="0"/>
                  <w:vAlign w:val="center"/>
                </w:tcPr>
                <w:p w14:paraId="6BF9DF24">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符合</w:t>
                  </w:r>
                </w:p>
              </w:tc>
            </w:tr>
            <w:tr w14:paraId="676A75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continue"/>
                  <w:tcBorders>
                    <w:tl2br w:val="nil"/>
                    <w:tr2bl w:val="nil"/>
                  </w:tcBorders>
                  <w:noWrap w:val="0"/>
                  <w:vAlign w:val="center"/>
                </w:tcPr>
                <w:p w14:paraId="35750DB8">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auto"/>
                      <w:spacing w:val="0"/>
                      <w:sz w:val="21"/>
                      <w:szCs w:val="21"/>
                      <w:highlight w:val="none"/>
                    </w:rPr>
                  </w:pPr>
                </w:p>
              </w:tc>
              <w:tc>
                <w:tcPr>
                  <w:tcW w:w="1092" w:type="dxa"/>
                  <w:tcBorders>
                    <w:tl2br w:val="nil"/>
                    <w:tr2bl w:val="nil"/>
                  </w:tcBorders>
                  <w:noWrap w:val="0"/>
                  <w:vAlign w:val="center"/>
                </w:tcPr>
                <w:p w14:paraId="5DECB7D7">
                  <w:pPr>
                    <w:pStyle w:val="9"/>
                    <w:keepNext w:val="0"/>
                    <w:keepLines w:val="0"/>
                    <w:pageBreakBefore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b/>
                      <w:bCs/>
                      <w:color w:val="auto"/>
                      <w:spacing w:val="0"/>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lang w:val="en-US" w:eastAsia="zh-CN"/>
                    </w:rPr>
                    <w:t>资源开发效率要求</w:t>
                  </w:r>
                </w:p>
              </w:tc>
              <w:tc>
                <w:tcPr>
                  <w:tcW w:w="7030" w:type="dxa"/>
                  <w:tcBorders>
                    <w:tl2br w:val="nil"/>
                    <w:tr2bl w:val="nil"/>
                  </w:tcBorders>
                  <w:noWrap w:val="0"/>
                  <w:vAlign w:val="center"/>
                </w:tcPr>
                <w:p w14:paraId="38446253">
                  <w:pPr>
                    <w:numPr>
                      <w:ilvl w:val="0"/>
                      <w:numId w:val="0"/>
                    </w:numPr>
                    <w:ind w:left="0" w:leftChars="0"/>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2"/>
                      <w:position w:val="0"/>
                      <w:sz w:val="21"/>
                      <w:szCs w:val="21"/>
                      <w:highlight w:val="none"/>
                      <w:vertAlign w:val="baseline"/>
                      <w:lang w:val="en-US" w:eastAsia="zh-CN" w:bidi="ar-SA"/>
                    </w:rPr>
                    <w:t>1.</w:t>
                  </w:r>
                  <w:r>
                    <w:rPr>
                      <w:rFonts w:hint="eastAsia" w:ascii="Times New Roman" w:hAnsi="Times New Roman" w:eastAsia="宋体" w:cs="Times New Roman"/>
                      <w:color w:val="auto"/>
                      <w:spacing w:val="0"/>
                      <w:position w:val="0"/>
                      <w:sz w:val="21"/>
                      <w:szCs w:val="21"/>
                      <w:highlight w:val="none"/>
                      <w:vertAlign w:val="baseline"/>
                      <w:lang w:val="en-US" w:eastAsia="zh-CN"/>
                    </w:rPr>
                    <w:t>实施能源消耗总量和强度双控。</w:t>
                  </w:r>
                </w:p>
                <w:p w14:paraId="772834D0">
                  <w:pPr>
                    <w:numPr>
                      <w:ilvl w:val="0"/>
                      <w:numId w:val="0"/>
                    </w:numPr>
                    <w:ind w:left="0" w:leftChars="0" w:firstLine="0" w:firstLineChars="0"/>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2"/>
                      <w:position w:val="0"/>
                      <w:sz w:val="21"/>
                      <w:szCs w:val="21"/>
                      <w:highlight w:val="none"/>
                      <w:vertAlign w:val="baseline"/>
                      <w:lang w:val="en-US" w:eastAsia="zh-CN" w:bidi="ar-SA"/>
                    </w:rPr>
                    <w:t>2.</w:t>
                  </w:r>
                  <w:r>
                    <w:rPr>
                      <w:rFonts w:hint="eastAsia" w:ascii="Times New Roman" w:hAnsi="Times New Roman" w:eastAsia="宋体" w:cs="Times New Roman"/>
                      <w:color w:val="auto"/>
                      <w:spacing w:val="0"/>
                      <w:position w:val="0"/>
                      <w:sz w:val="21"/>
                      <w:szCs w:val="21"/>
                      <w:highlight w:val="none"/>
                      <w:vertAlign w:val="baseline"/>
                      <w:lang w:val="en-US" w:eastAsia="zh-CN"/>
                    </w:rPr>
                    <w:t>强化产业园区单位土地面积投资强度和效用指标的刚性约束，提高土地利用效率。</w:t>
                  </w:r>
                </w:p>
                <w:p w14:paraId="4A767DDF">
                  <w:pPr>
                    <w:numPr>
                      <w:ilvl w:val="0"/>
                      <w:numId w:val="0"/>
                    </w:numPr>
                    <w:ind w:leftChars="0"/>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position w:val="0"/>
                      <w:sz w:val="21"/>
                      <w:szCs w:val="21"/>
                      <w:highlight w:val="none"/>
                      <w:vertAlign w:val="baseline"/>
                      <w:lang w:val="en-US" w:eastAsia="zh-CN"/>
                    </w:rPr>
                    <w:t>3.具备使用再生水条件但未充分利用的钢铁、火电、化工、制浆造纸、印染等项目，不得批准其新增取水许可。在沿海地区电力、化工、石化等行业，推行直接利用海水作为循环冷却等工业用水。</w:t>
                  </w:r>
                </w:p>
                <w:p w14:paraId="19074140">
                  <w:pPr>
                    <w:numPr>
                      <w:ilvl w:val="0"/>
                      <w:numId w:val="0"/>
                    </w:numPr>
                    <w:ind w:left="0" w:leftChars="0" w:firstLine="0" w:firstLineChars="0"/>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2"/>
                      <w:position w:val="0"/>
                      <w:sz w:val="21"/>
                      <w:szCs w:val="21"/>
                      <w:highlight w:val="none"/>
                      <w:vertAlign w:val="baseline"/>
                      <w:lang w:val="en-US" w:eastAsia="zh-CN" w:bidi="ar-SA"/>
                    </w:rPr>
                    <w:t>4.</w:t>
                  </w:r>
                  <w:r>
                    <w:rPr>
                      <w:rFonts w:hint="eastAsia" w:ascii="Times New Roman" w:hAnsi="Times New Roman" w:eastAsia="宋体" w:cs="Times New Roman"/>
                      <w:color w:val="auto"/>
                      <w:spacing w:val="0"/>
                      <w:position w:val="0"/>
                      <w:sz w:val="21"/>
                      <w:szCs w:val="21"/>
                      <w:highlight w:val="none"/>
                      <w:vertAlign w:val="baseline"/>
                      <w:lang w:val="en-US" w:eastAsia="zh-CN"/>
                    </w:rPr>
                    <w:t>落实“闽环规〔2023〕1号”文件要求，不再新建每小时35蒸吨以下燃煤锅炉，以及每小时10蒸吨及以下燃生物质和其他使用高污染燃料的锅炉。集中供热管网覆盖范围内禁止新建、扩建分散燃煤、燃油等供热锅炉。</w:t>
                  </w:r>
                </w:p>
                <w:p w14:paraId="09273741">
                  <w:pPr>
                    <w:numPr>
                      <w:ilvl w:val="0"/>
                      <w:numId w:val="0"/>
                    </w:numPr>
                    <w:ind w:left="0" w:leftChars="0" w:firstLine="0" w:firstLineChars="0"/>
                    <w:rPr>
                      <w:rFonts w:hint="eastAsia" w:ascii="Times New Roman" w:hAnsi="Times New Roman" w:eastAsia="宋体" w:cs="Times New Roman"/>
                      <w:color w:val="auto"/>
                      <w:spacing w:val="0"/>
                      <w:sz w:val="21"/>
                      <w:szCs w:val="21"/>
                      <w:highlight w:val="none"/>
                      <w:vertAlign w:val="baseline"/>
                      <w:lang w:val="en-US" w:eastAsia="zh-CN"/>
                    </w:rPr>
                  </w:pPr>
                  <w:r>
                    <w:rPr>
                      <w:rFonts w:hint="eastAsia" w:ascii="Times New Roman" w:hAnsi="Times New Roman" w:eastAsia="宋体" w:cs="Times New Roman"/>
                      <w:color w:val="auto"/>
                      <w:spacing w:val="0"/>
                      <w:position w:val="0"/>
                      <w:sz w:val="21"/>
                      <w:szCs w:val="21"/>
                      <w:highlight w:val="none"/>
                      <w:vertAlign w:val="baseline"/>
                      <w:lang w:val="en-US" w:eastAsia="zh-CN"/>
                    </w:rPr>
                    <w:t>5.落实“闽环保大气〔2023〕5号”文件要求，按照“提气、转电、控煤”的发展思路，推动陶瓷行业进一步优化用能结构，实现能源消费清洁低碳化。</w:t>
                  </w:r>
                </w:p>
              </w:tc>
              <w:tc>
                <w:tcPr>
                  <w:tcW w:w="3957" w:type="dxa"/>
                  <w:tcBorders>
                    <w:tl2br w:val="nil"/>
                    <w:tr2bl w:val="nil"/>
                  </w:tcBorders>
                  <w:noWrap w:val="0"/>
                  <w:vAlign w:val="center"/>
                </w:tcPr>
                <w:p w14:paraId="68C3AE53">
                  <w:pPr>
                    <w:pStyle w:val="11"/>
                    <w:tabs>
                      <w:tab w:val="left" w:pos="2004"/>
                    </w:tabs>
                    <w:spacing w:line="240" w:lineRule="auto"/>
                    <w:ind w:firstLine="0" w:firstLineChars="0"/>
                    <w:jc w:val="both"/>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1.项目使用的能源主要为电力、水资源，均属于清洁能源，不涉及煤等能源使用；</w:t>
                  </w:r>
                </w:p>
                <w:p w14:paraId="53567DB6">
                  <w:pPr>
                    <w:pStyle w:val="11"/>
                    <w:tabs>
                      <w:tab w:val="left" w:pos="2004"/>
                    </w:tabs>
                    <w:spacing w:line="240" w:lineRule="auto"/>
                    <w:ind w:firstLine="0" w:firstLineChars="0"/>
                    <w:jc w:val="both"/>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2.本项目租赁</w:t>
                  </w:r>
                  <w:r>
                    <w:rPr>
                      <w:rFonts w:hint="eastAsia" w:ascii="Times New Roman" w:hAnsi="Times New Roman" w:eastAsia="宋体" w:cs="Times New Roman"/>
                      <w:color w:val="auto"/>
                      <w:sz w:val="21"/>
                      <w:szCs w:val="21"/>
                      <w:highlight w:val="none"/>
                      <w:lang w:eastAsia="zh-CN"/>
                    </w:rPr>
                    <w:t>福建省奥德瑞电子科技有限公司</w:t>
                  </w:r>
                  <w:r>
                    <w:rPr>
                      <w:rFonts w:hint="eastAsia" w:ascii="Times New Roman" w:hAnsi="Times New Roman" w:eastAsia="宋体" w:cs="Times New Roman"/>
                      <w:color w:val="auto"/>
                      <w:sz w:val="21"/>
                      <w:szCs w:val="21"/>
                      <w:highlight w:val="none"/>
                      <w:lang w:val="en-US" w:eastAsia="zh-CN"/>
                    </w:rPr>
                    <w:t>闲置</w:t>
                  </w:r>
                  <w:r>
                    <w:rPr>
                      <w:rFonts w:hint="eastAsia" w:ascii="Times New Roman" w:hAnsi="Times New Roman" w:eastAsia="宋体" w:cs="Times New Roman"/>
                      <w:color w:val="auto"/>
                      <w:sz w:val="21"/>
                      <w:szCs w:val="21"/>
                      <w:highlight w:val="none"/>
                    </w:rPr>
                    <w:t>厂房作为生产用地；</w:t>
                  </w:r>
                </w:p>
                <w:p w14:paraId="1E0564B1">
                  <w:pPr>
                    <w:pStyle w:val="11"/>
                    <w:tabs>
                      <w:tab w:val="left" w:pos="2004"/>
                    </w:tabs>
                    <w:spacing w:line="240" w:lineRule="auto"/>
                    <w:ind w:firstLine="0" w:firstLineChars="0"/>
                    <w:jc w:val="both"/>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3.不属于钢铁、火电、化工、制浆造纸、印染等项目，不属于电力、化工、石化等行业；</w:t>
                  </w:r>
                </w:p>
                <w:p w14:paraId="7B1D687B">
                  <w:pPr>
                    <w:pStyle w:val="11"/>
                    <w:tabs>
                      <w:tab w:val="left" w:pos="2004"/>
                    </w:tabs>
                    <w:spacing w:line="240" w:lineRule="auto"/>
                    <w:ind w:firstLine="0" w:firstLineChars="0"/>
                    <w:jc w:val="both"/>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4.不涉及燃煤锅炉、燃烧生物质以及其他高污染燃料锅炉的使用；</w:t>
                  </w:r>
                </w:p>
                <w:p w14:paraId="35D5E9C8">
                  <w:pPr>
                    <w:pStyle w:val="11"/>
                    <w:tabs>
                      <w:tab w:val="left" w:pos="2004"/>
                    </w:tabs>
                    <w:spacing w:line="240" w:lineRule="auto"/>
                    <w:ind w:firstLine="0" w:firstLineChars="0"/>
                    <w:jc w:val="both"/>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5.不属于陶瓷行业</w:t>
                  </w:r>
                  <w:r>
                    <w:rPr>
                      <w:rFonts w:hint="eastAsia" w:ascii="Times New Roman" w:hAnsi="Times New Roman" w:eastAsia="宋体" w:cs="Times New Roman"/>
                      <w:color w:val="auto"/>
                      <w:sz w:val="21"/>
                      <w:szCs w:val="21"/>
                      <w:highlight w:val="none"/>
                      <w:lang w:eastAsia="zh-CN"/>
                    </w:rPr>
                    <w:t>；</w:t>
                  </w:r>
                </w:p>
                <w:p w14:paraId="29FEC42B">
                  <w:pPr>
                    <w:widowControl/>
                    <w:snapToGrid w:val="0"/>
                    <w:jc w:val="both"/>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z w:val="21"/>
                      <w:szCs w:val="21"/>
                      <w:highlight w:val="none"/>
                    </w:rPr>
                    <w:t>综上所述，项目不属于资源开发效率要求涉及的项目及行业</w:t>
                  </w:r>
                  <w:r>
                    <w:rPr>
                      <w:rFonts w:hint="eastAsia" w:ascii="Times New Roman" w:hAnsi="Times New Roman" w:eastAsia="宋体" w:cs="Times New Roman"/>
                      <w:b w:val="0"/>
                      <w:bCs w:val="0"/>
                      <w:color w:val="auto"/>
                      <w:spacing w:val="0"/>
                      <w:sz w:val="21"/>
                      <w:szCs w:val="21"/>
                      <w:highlight w:val="none"/>
                      <w:lang w:val="en-US" w:eastAsia="zh-CN"/>
                    </w:rPr>
                    <w:t>。</w:t>
                  </w:r>
                </w:p>
              </w:tc>
              <w:tc>
                <w:tcPr>
                  <w:tcW w:w="647" w:type="dxa"/>
                  <w:tcBorders>
                    <w:tl2br w:val="nil"/>
                    <w:tr2bl w:val="nil"/>
                  </w:tcBorders>
                  <w:noWrap w:val="0"/>
                  <w:vAlign w:val="center"/>
                </w:tcPr>
                <w:p w14:paraId="62FD9875">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符合</w:t>
                  </w:r>
                </w:p>
              </w:tc>
            </w:tr>
            <w:tr w14:paraId="6670F0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restart"/>
                  <w:tcBorders>
                    <w:tl2br w:val="nil"/>
                    <w:tr2bl w:val="nil"/>
                  </w:tcBorders>
                  <w:noWrap w:val="0"/>
                  <w:vAlign w:val="center"/>
                </w:tcPr>
                <w:p w14:paraId="6144155B">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福</w:t>
                  </w:r>
                  <w:r>
                    <w:rPr>
                      <w:rFonts w:hint="eastAsia" w:ascii="Times New Roman" w:hAnsi="Times New Roman" w:eastAsia="宋体" w:cs="Times New Roman"/>
                      <w:color w:val="auto"/>
                      <w:spacing w:val="0"/>
                      <w:sz w:val="21"/>
                      <w:szCs w:val="21"/>
                      <w:highlight w:val="none"/>
                    </w:rPr>
                    <w:t>州</w:t>
                  </w:r>
                  <w:r>
                    <w:rPr>
                      <w:rFonts w:hint="eastAsia" w:ascii="Times New Roman" w:hAnsi="Times New Roman" w:eastAsia="宋体" w:cs="Times New Roman"/>
                      <w:color w:val="auto"/>
                      <w:spacing w:val="0"/>
                      <w:sz w:val="21"/>
                      <w:szCs w:val="21"/>
                      <w:highlight w:val="none"/>
                      <w:lang w:val="en-US" w:eastAsia="zh-CN"/>
                    </w:rPr>
                    <w:t>市</w:t>
                  </w:r>
                </w:p>
                <w:p w14:paraId="1FA74549">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陆域</w:t>
                  </w:r>
                </w:p>
              </w:tc>
              <w:tc>
                <w:tcPr>
                  <w:tcW w:w="1092" w:type="dxa"/>
                  <w:vMerge w:val="restart"/>
                  <w:tcBorders>
                    <w:tl2br w:val="nil"/>
                    <w:tr2bl w:val="nil"/>
                  </w:tcBorders>
                  <w:noWrap w:val="0"/>
                  <w:vAlign w:val="center"/>
                </w:tcPr>
                <w:p w14:paraId="47A1942E">
                  <w:pPr>
                    <w:pStyle w:val="9"/>
                    <w:keepNext w:val="0"/>
                    <w:keepLines w:val="0"/>
                    <w:pageBreakBefore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空间布局约束</w:t>
                  </w:r>
                </w:p>
              </w:tc>
              <w:tc>
                <w:tcPr>
                  <w:tcW w:w="7030" w:type="dxa"/>
                  <w:tcBorders>
                    <w:tl2br w:val="nil"/>
                    <w:tr2bl w:val="nil"/>
                  </w:tcBorders>
                  <w:noWrap w:val="0"/>
                  <w:vAlign w:val="center"/>
                </w:tcPr>
                <w:p w14:paraId="31D89FFB">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一、优先保护单元中的生态保护红线</w:t>
                  </w:r>
                </w:p>
                <w:p w14:paraId="5B5B2860">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lang w:eastAsia="zh-CN"/>
                    </w:rPr>
                  </w:pPr>
                  <w:r>
                    <w:rPr>
                      <w:rFonts w:hint="eastAsia" w:ascii="Times New Roman" w:hAnsi="Times New Roman" w:eastAsia="宋体" w:cs="Times New Roman"/>
                      <w:color w:val="auto"/>
                      <w:spacing w:val="0"/>
                      <w:sz w:val="21"/>
                      <w:szCs w:val="21"/>
                      <w:highlight w:val="none"/>
                    </w:rPr>
                    <w:t>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等区域，依照法律法规执行。（1）管护巡护、保护执法、科学研究、调查监测、测绘导航、防灾减灾救灾、军事国防、疫情防控等活动及相关的必要设施修筑。（2）原住居民和其他合法权益主体，允许在不扩大现有建设用地、用海用岛、耕地、水产养殖规模和放牧强度（符合草畜平衡管理规定）的前提下，开展种植、放牧、捕捞、养殖（不包括投礁型海洋牧场、围海养殖）等活动，修筑生产生活设施。（3）经依法批准的考古调查发掘、古生物化石调查发掘、标本采集和文物保护活动。（4）按规定对人工商品林进行抚育采伐，或以提升森林质量、优化栖息地、建设生物防火隔离带等为目的的树种更新，依法开展的竹林采伐经营。（5）不破坏生态功能的适度参观旅游、科普宣教及符合相关规划的配套性服务设施和相关的必要公共设施建设及维护。（6）必须且无法避让、符合县级以上国土空间规划的线性基础设施、通讯和防洪、供水设施建设和船舶航行、航道疏浚清淤等活动；已有的合法水利、交通运输等设施运行维护改造。（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8）依据县级以上国土空间规划和生态保护修复专项规划开展的生态修复。（9）法律法规规定允许的其他人为活动。2.依据《福建省自然资源厅福建省生态环境厅福建省林业局关于进一步加强生态保护红线监管的通知（试行）》（闽自然资发〔2023〕56号），允许占用生态保护红线的重大项目范围：（1）党中央、国务院发布文件或批准规划中明确具体名称的项目和国务院批准的项目。（2）中央军委及其有关部门批准的军事国防项目。（3）国家级规划（指国务院及其有关部门正式颁布）明确的交通、水利项目。（4）国家级规划明确的电网项目，国家级规划明确的且符合国家产业政策的能源矿产勘查开采、油气管线、水电、核电项目。（5）为贯彻落实党中央、国务院重大决策部署，国务院投资主管部门或国务院投资主管部门会同有关部门确认的交通、能源、水利等基础设施项目。（6）按照国家重大项目用地保障工作机制要求，国家发展改革委会同有关部门确认的需中央加大建设用地保障力度，确实难以避让的国家重大项目。</w:t>
                  </w:r>
                </w:p>
              </w:tc>
              <w:tc>
                <w:tcPr>
                  <w:tcW w:w="3957" w:type="dxa"/>
                  <w:tcBorders>
                    <w:tl2br w:val="nil"/>
                    <w:tr2bl w:val="nil"/>
                  </w:tcBorders>
                  <w:noWrap w:val="0"/>
                  <w:vAlign w:val="center"/>
                </w:tcPr>
                <w:p w14:paraId="566F9167">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项目选址于</w:t>
                  </w:r>
                  <w:r>
                    <w:rPr>
                      <w:rFonts w:hint="eastAsia" w:ascii="Times New Roman" w:hAnsi="Times New Roman" w:eastAsia="宋体" w:cs="Times New Roman"/>
                      <w:i w:val="0"/>
                      <w:iCs w:val="0"/>
                      <w:caps w:val="0"/>
                      <w:color w:val="auto"/>
                      <w:spacing w:val="0"/>
                      <w:sz w:val="21"/>
                      <w:szCs w:val="21"/>
                      <w:highlight w:val="none"/>
                      <w:lang w:eastAsia="zh-CN"/>
                    </w:rPr>
                    <w:t>福建省福州市闽侯县荆溪镇长龙三路23、25号（福建省奥德瑞电子科技有限公司5#厂房二层），</w:t>
                  </w:r>
                  <w:r>
                    <w:rPr>
                      <w:rFonts w:hint="eastAsia" w:ascii="Times New Roman" w:hAnsi="Times New Roman" w:eastAsia="宋体" w:cs="Times New Roman"/>
                      <w:i w:val="0"/>
                      <w:iCs w:val="0"/>
                      <w:caps w:val="0"/>
                      <w:color w:val="auto"/>
                      <w:spacing w:val="0"/>
                      <w:sz w:val="21"/>
                      <w:szCs w:val="21"/>
                      <w:highlight w:val="none"/>
                      <w:lang w:val="en-US" w:eastAsia="zh-CN"/>
                    </w:rPr>
                    <w:t>位于</w:t>
                  </w:r>
                  <w:r>
                    <w:rPr>
                      <w:rFonts w:hint="eastAsia" w:ascii="Times New Roman" w:hAnsi="Times New Roman" w:eastAsia="宋体" w:cs="Times New Roman"/>
                      <w:b w:val="0"/>
                      <w:bCs w:val="0"/>
                      <w:color w:val="auto"/>
                      <w:sz w:val="21"/>
                      <w:szCs w:val="21"/>
                      <w:highlight w:val="none"/>
                      <w:lang w:val="en-US" w:eastAsia="zh-CN"/>
                    </w:rPr>
                    <w:t>闽侯县经济技术开发区一期延伸区</w:t>
                  </w:r>
                  <w:r>
                    <w:rPr>
                      <w:rFonts w:hint="eastAsia" w:ascii="Times New Roman" w:hAnsi="Times New Roman" w:eastAsia="宋体" w:cs="Times New Roman"/>
                      <w:color w:val="auto"/>
                      <w:kern w:val="0"/>
                      <w:sz w:val="21"/>
                      <w:szCs w:val="21"/>
                      <w:highlight w:val="none"/>
                      <w:lang w:val="en-US" w:eastAsia="zh-CN"/>
                    </w:rPr>
                    <w:t>，主要从事木质屏风加工生产</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属于轻工制造类工业项目，与《关于在国土空间规划中统筹划定落实三条控制线的指导意见》《自然资源部 生态环境部 国家林业和草原局关于加强生态保护红线管理的通知（试行）》等要求不冲突。</w:t>
                  </w:r>
                </w:p>
              </w:tc>
              <w:tc>
                <w:tcPr>
                  <w:tcW w:w="647" w:type="dxa"/>
                  <w:tcBorders>
                    <w:tl2br w:val="nil"/>
                    <w:tr2bl w:val="nil"/>
                  </w:tcBorders>
                  <w:noWrap w:val="0"/>
                  <w:vAlign w:val="center"/>
                </w:tcPr>
                <w:p w14:paraId="7B0D2972">
                  <w:pPr>
                    <w:keepNext w:val="0"/>
                    <w:keepLines w:val="0"/>
                    <w:pageBreakBefore w:val="0"/>
                    <w:widowControl/>
                    <w:kinsoku/>
                    <w:wordWrap/>
                    <w:overflowPunct/>
                    <w:topLinePunct w:val="0"/>
                    <w:autoSpaceDE/>
                    <w:autoSpaceDN/>
                    <w:bidi w:val="0"/>
                    <w:adjustRightInd/>
                    <w:snapToGrid w:val="0"/>
                    <w:jc w:val="both"/>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符合</w:t>
                  </w:r>
                </w:p>
              </w:tc>
            </w:tr>
            <w:tr w14:paraId="630930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continue"/>
                  <w:tcBorders>
                    <w:tl2br w:val="nil"/>
                    <w:tr2bl w:val="nil"/>
                  </w:tcBorders>
                  <w:noWrap w:val="0"/>
                  <w:vAlign w:val="center"/>
                </w:tcPr>
                <w:p w14:paraId="4A0846FA">
                  <w:pPr>
                    <w:pStyle w:val="9"/>
                    <w:keepNext w:val="0"/>
                    <w:keepLines w:val="0"/>
                    <w:pageBreakBefore w:val="0"/>
                    <w:kinsoku/>
                    <w:wordWrap/>
                    <w:overflowPunct/>
                    <w:topLinePunct w:val="0"/>
                    <w:autoSpaceDE/>
                    <w:autoSpaceDN/>
                    <w:bidi w:val="0"/>
                    <w:adjustRightInd/>
                    <w:ind w:firstLine="0" w:firstLineChars="0"/>
                    <w:textAlignment w:val="auto"/>
                    <w:rPr>
                      <w:rFonts w:ascii="Times New Roman" w:hAnsi="Times New Roman" w:eastAsia="宋体" w:cs="Times New Roman"/>
                      <w:color w:val="auto"/>
                      <w:spacing w:val="0"/>
                      <w:sz w:val="21"/>
                      <w:szCs w:val="21"/>
                      <w:highlight w:val="none"/>
                    </w:rPr>
                  </w:pPr>
                </w:p>
              </w:tc>
              <w:tc>
                <w:tcPr>
                  <w:tcW w:w="1092" w:type="dxa"/>
                  <w:vMerge w:val="continue"/>
                  <w:tcBorders>
                    <w:tl2br w:val="nil"/>
                    <w:tr2bl w:val="nil"/>
                  </w:tcBorders>
                  <w:noWrap w:val="0"/>
                  <w:vAlign w:val="center"/>
                </w:tcPr>
                <w:p w14:paraId="1FFF02EF">
                  <w:pPr>
                    <w:pStyle w:val="9"/>
                    <w:keepNext w:val="0"/>
                    <w:keepLines w:val="0"/>
                    <w:pageBreakBefore w:val="0"/>
                    <w:kinsoku/>
                    <w:wordWrap/>
                    <w:overflowPunct/>
                    <w:topLinePunct w:val="0"/>
                    <w:autoSpaceDE/>
                    <w:autoSpaceDN/>
                    <w:bidi w:val="0"/>
                    <w:adjustRightInd/>
                    <w:ind w:firstLine="0" w:firstLineChars="0"/>
                    <w:textAlignment w:val="auto"/>
                    <w:rPr>
                      <w:rFonts w:ascii="Times New Roman" w:hAnsi="Times New Roman" w:eastAsia="宋体" w:cs="Times New Roman"/>
                      <w:color w:val="auto"/>
                      <w:spacing w:val="0"/>
                      <w:sz w:val="21"/>
                      <w:szCs w:val="21"/>
                      <w:highlight w:val="none"/>
                    </w:rPr>
                  </w:pPr>
                </w:p>
              </w:tc>
              <w:tc>
                <w:tcPr>
                  <w:tcW w:w="7030" w:type="dxa"/>
                  <w:tcBorders>
                    <w:tl2br w:val="nil"/>
                    <w:tr2bl w:val="nil"/>
                  </w:tcBorders>
                  <w:noWrap w:val="0"/>
                  <w:vAlign w:val="center"/>
                </w:tcPr>
                <w:p w14:paraId="16A462F3">
                  <w:pPr>
                    <w:pStyle w:val="9"/>
                    <w:keepNext w:val="0"/>
                    <w:keepLines w:val="0"/>
                    <w:pageBreakBefore w:val="0"/>
                    <w:numPr>
                      <w:ilvl w:val="0"/>
                      <w:numId w:val="0"/>
                    </w:numPr>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二、优先保护单元中的一般生态空间</w:t>
                  </w:r>
                </w:p>
                <w:p w14:paraId="48C4224C">
                  <w:pPr>
                    <w:pStyle w:val="9"/>
                    <w:keepNext w:val="0"/>
                    <w:keepLines w:val="0"/>
                    <w:pageBreakBefore w:val="0"/>
                    <w:numPr>
                      <w:ilvl w:val="0"/>
                      <w:numId w:val="0"/>
                    </w:numPr>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1.一般生态空间以保护和修复生态环境、提供生态产品和服务为首要任务，因地制宜地发展不影响主体功能定位的适宜产业。</w:t>
                  </w:r>
                </w:p>
                <w:p w14:paraId="1D21EBB4">
                  <w:pPr>
                    <w:pStyle w:val="9"/>
                    <w:keepNext w:val="0"/>
                    <w:keepLines w:val="0"/>
                    <w:pageBreakBefore w:val="0"/>
                    <w:numPr>
                      <w:ilvl w:val="0"/>
                      <w:numId w:val="0"/>
                    </w:numPr>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2.一般生态空间内未纳入生态保护红线的等各类法定保护地，其管控要求依照相关法律法规执行。</w:t>
                  </w:r>
                </w:p>
                <w:p w14:paraId="12850211">
                  <w:pPr>
                    <w:pStyle w:val="9"/>
                    <w:keepNext w:val="0"/>
                    <w:keepLines w:val="0"/>
                    <w:pageBreakBefore w:val="0"/>
                    <w:numPr>
                      <w:ilvl w:val="0"/>
                      <w:numId w:val="0"/>
                    </w:numPr>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kern w:val="2"/>
                      <w:sz w:val="21"/>
                      <w:szCs w:val="21"/>
                      <w:highlight w:val="none"/>
                      <w:lang w:val="en-US" w:eastAsia="zh-CN" w:bidi="ar-SA"/>
                    </w:rPr>
                    <w:t>3.一般生态空间内现有合法的水泥厂、矿山开发等生产性设施及生活垃圾处置等民生工程予以保留，应按照法律法规要求落实污染防治和生态保护措施，避免对生态功能造成破坏。</w:t>
                  </w:r>
                </w:p>
              </w:tc>
              <w:tc>
                <w:tcPr>
                  <w:tcW w:w="3957" w:type="dxa"/>
                  <w:tcBorders>
                    <w:tl2br w:val="nil"/>
                    <w:tr2bl w:val="nil"/>
                  </w:tcBorders>
                  <w:noWrap w:val="0"/>
                  <w:vAlign w:val="center"/>
                </w:tcPr>
                <w:p w14:paraId="3A9BAD92">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本项目选址于福建省福州市闽侯县荆溪镇长龙三路23、25号（福建省奥德瑞电子科技有限公司5#厂房二层），属于重点管控单元，不属于优先保护单元。</w:t>
                  </w:r>
                </w:p>
              </w:tc>
              <w:tc>
                <w:tcPr>
                  <w:tcW w:w="647" w:type="dxa"/>
                  <w:tcBorders>
                    <w:tl2br w:val="nil"/>
                    <w:tr2bl w:val="nil"/>
                  </w:tcBorders>
                  <w:noWrap w:val="0"/>
                  <w:vAlign w:val="center"/>
                </w:tcPr>
                <w:p w14:paraId="5F08BBBE">
                  <w:pPr>
                    <w:pStyle w:val="9"/>
                    <w:keepNext w:val="0"/>
                    <w:keepLines w:val="0"/>
                    <w:pageBreakBefore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符合</w:t>
                  </w:r>
                </w:p>
              </w:tc>
            </w:tr>
            <w:tr w14:paraId="798FEF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continue"/>
                  <w:tcBorders>
                    <w:tl2br w:val="nil"/>
                    <w:tr2bl w:val="nil"/>
                  </w:tcBorders>
                  <w:noWrap w:val="0"/>
                  <w:vAlign w:val="center"/>
                </w:tcPr>
                <w:p w14:paraId="51B3901F">
                  <w:pPr>
                    <w:pStyle w:val="9"/>
                    <w:keepNext w:val="0"/>
                    <w:keepLines w:val="0"/>
                    <w:pageBreakBefore w:val="0"/>
                    <w:kinsoku/>
                    <w:wordWrap/>
                    <w:overflowPunct/>
                    <w:topLinePunct w:val="0"/>
                    <w:autoSpaceDE/>
                    <w:autoSpaceDN/>
                    <w:bidi w:val="0"/>
                    <w:adjustRightInd/>
                    <w:ind w:firstLine="0" w:firstLineChars="0"/>
                    <w:textAlignment w:val="auto"/>
                    <w:rPr>
                      <w:rFonts w:ascii="Times New Roman" w:hAnsi="Times New Roman" w:eastAsia="宋体" w:cs="Times New Roman"/>
                      <w:color w:val="auto"/>
                      <w:spacing w:val="0"/>
                      <w:sz w:val="21"/>
                      <w:szCs w:val="21"/>
                      <w:highlight w:val="none"/>
                    </w:rPr>
                  </w:pPr>
                </w:p>
              </w:tc>
              <w:tc>
                <w:tcPr>
                  <w:tcW w:w="1092" w:type="dxa"/>
                  <w:vMerge w:val="continue"/>
                  <w:tcBorders>
                    <w:tl2br w:val="nil"/>
                    <w:tr2bl w:val="nil"/>
                  </w:tcBorders>
                  <w:noWrap w:val="0"/>
                  <w:vAlign w:val="center"/>
                </w:tcPr>
                <w:p w14:paraId="74FAC506">
                  <w:pPr>
                    <w:pStyle w:val="9"/>
                    <w:keepNext w:val="0"/>
                    <w:keepLines w:val="0"/>
                    <w:pageBreakBefore w:val="0"/>
                    <w:kinsoku/>
                    <w:wordWrap/>
                    <w:overflowPunct/>
                    <w:topLinePunct w:val="0"/>
                    <w:autoSpaceDE/>
                    <w:autoSpaceDN/>
                    <w:bidi w:val="0"/>
                    <w:adjustRightInd/>
                    <w:ind w:firstLine="0" w:firstLineChars="0"/>
                    <w:textAlignment w:val="auto"/>
                    <w:rPr>
                      <w:rFonts w:ascii="Times New Roman" w:hAnsi="Times New Roman" w:eastAsia="宋体" w:cs="Times New Roman"/>
                      <w:color w:val="auto"/>
                      <w:spacing w:val="0"/>
                      <w:sz w:val="21"/>
                      <w:szCs w:val="21"/>
                      <w:highlight w:val="none"/>
                    </w:rPr>
                  </w:pPr>
                </w:p>
              </w:tc>
              <w:tc>
                <w:tcPr>
                  <w:tcW w:w="7030" w:type="dxa"/>
                  <w:tcBorders>
                    <w:tl2br w:val="nil"/>
                    <w:tr2bl w:val="nil"/>
                  </w:tcBorders>
                  <w:noWrap w:val="0"/>
                  <w:vAlign w:val="center"/>
                </w:tcPr>
                <w:p w14:paraId="4B892DCE">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kern w:val="2"/>
                      <w:sz w:val="21"/>
                      <w:szCs w:val="21"/>
                      <w:highlight w:val="none"/>
                      <w:lang w:val="en-US" w:eastAsia="zh-CN" w:bidi="ar-SA"/>
                    </w:rPr>
                    <w:t>三、</w:t>
                  </w:r>
                  <w:r>
                    <w:rPr>
                      <w:rFonts w:hint="eastAsia" w:ascii="Times New Roman" w:hAnsi="Times New Roman" w:eastAsia="宋体" w:cs="Times New Roman"/>
                      <w:color w:val="auto"/>
                      <w:spacing w:val="0"/>
                      <w:sz w:val="21"/>
                      <w:szCs w:val="21"/>
                      <w:highlight w:val="none"/>
                    </w:rPr>
                    <w:t>其它要求</w:t>
                  </w:r>
                </w:p>
                <w:p w14:paraId="57625088">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1.福州市石化中上游项目重点在福州江阴港城经济区、可门港经济区化工新材料产业园布局。</w:t>
                  </w:r>
                </w:p>
                <w:p w14:paraId="402DBF39">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2.禁止在闽江马尾罗星塔以上流域范围新、扩建制革项目，严控新（扩）建植物制浆、印染、合成革及人造革、电镀项目。</w:t>
                  </w:r>
                </w:p>
                <w:p w14:paraId="0E9A7A08">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3.禁止在通风廊道和主导风向的上风向布局大气重污染企业，推进建成区大气重污染企业搬迁或升级改造、环境风险企业搬迁或关闭退出。</w:t>
                  </w:r>
                </w:p>
                <w:p w14:paraId="0ED1DCCA">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4.禁止新、改、扩建生产高VOCs含量有机溶剂型涂料、油墨和胶黏剂的项目。</w:t>
                  </w:r>
                </w:p>
                <w:p w14:paraId="7A031F6F">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5.持续加强闽清等地建陶产业的环境综合治理，充分衔接国土空间规划和生态环境分区管控，并对照产业政策、城市总体发展规划等要求，进一步明确发展定位，优化产业布局和规模。</w:t>
                  </w:r>
                </w:p>
                <w:p w14:paraId="1AC74495">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11F286EB">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7.禁止在流域上游新建、扩建重污染企业和项目。</w:t>
                  </w:r>
                </w:p>
                <w:p w14:paraId="029AF7AF">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8.重要敏感水体及富营养化湖库生态缓冲带除相关政府部门批准的科学研究活动外，禁止其它可能对保护区构成危害或不良影响的大规模生产、建设活动。</w:t>
                  </w:r>
                </w:p>
                <w:p w14:paraId="6398D15F">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9.新、改、扩建煤电、钢铁、建材、石化、化工等“两高”项目，严格落实国家、省、市产业规划、产业政策、“三线一单”、规划环评，以及产能置换、煤炭消费减量替代、区域污染削减等相关要求。</w:t>
                  </w:r>
                </w:p>
                <w:p w14:paraId="53D6DAB9">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10.单元内涉及永久基本农田的，应按照《福建省基本农田保护条例》（2010年修正本）、《国土资源部关于全面实行永久基本农田特殊保护的通知》（国土资规〔2018〕1号）、《中共中央国务院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3957" w:type="dxa"/>
                  <w:tcBorders>
                    <w:tl2br w:val="nil"/>
                    <w:tr2bl w:val="nil"/>
                  </w:tcBorders>
                  <w:noWrap w:val="0"/>
                  <w:vAlign w:val="center"/>
                </w:tcPr>
                <w:p w14:paraId="5C36591D">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1.项目</w:t>
                  </w:r>
                  <w:r>
                    <w:rPr>
                      <w:rFonts w:hint="eastAsia" w:ascii="Times New Roman" w:hAnsi="Times New Roman" w:eastAsia="宋体" w:cs="Times New Roman"/>
                      <w:color w:val="auto"/>
                      <w:spacing w:val="0"/>
                      <w:kern w:val="0"/>
                      <w:sz w:val="21"/>
                      <w:szCs w:val="21"/>
                      <w:highlight w:val="none"/>
                      <w:lang w:eastAsia="zh-CN"/>
                    </w:rPr>
                    <w:t>选址于福建省福州市闽侯县荆溪镇长龙三路23、25号（福建省奥德瑞电子科技有限公司5#厂房二层）</w:t>
                  </w:r>
                  <w:r>
                    <w:rPr>
                      <w:rFonts w:hint="default" w:ascii="Times New Roman" w:hAnsi="Times New Roman" w:eastAsia="宋体" w:cs="Times New Roman"/>
                      <w:color w:val="auto"/>
                      <w:spacing w:val="0"/>
                      <w:kern w:val="0"/>
                      <w:sz w:val="21"/>
                      <w:szCs w:val="21"/>
                      <w:highlight w:val="none"/>
                    </w:rPr>
                    <w:t>，</w:t>
                  </w:r>
                  <w:r>
                    <w:rPr>
                      <w:rFonts w:hint="eastAsia" w:ascii="Times New Roman" w:hAnsi="Times New Roman" w:eastAsia="宋体" w:cs="Times New Roman"/>
                      <w:color w:val="auto"/>
                      <w:spacing w:val="0"/>
                      <w:kern w:val="0"/>
                      <w:sz w:val="21"/>
                      <w:szCs w:val="21"/>
                      <w:highlight w:val="none"/>
                      <w:lang w:eastAsia="zh-CN"/>
                    </w:rPr>
                    <w:t>位于</w:t>
                  </w:r>
                  <w:r>
                    <w:rPr>
                      <w:rFonts w:hint="default" w:ascii="Times New Roman" w:hAnsi="Times New Roman" w:eastAsia="宋体" w:cs="Times New Roman"/>
                      <w:color w:val="auto"/>
                      <w:spacing w:val="0"/>
                      <w:kern w:val="0"/>
                      <w:sz w:val="21"/>
                      <w:szCs w:val="21"/>
                      <w:highlight w:val="none"/>
                    </w:rPr>
                    <w:t>闽侯县经济技术开发区一期延伸区，主要从事木质屏风加工生产，属于轻工制造类工业项目，不属于禁止引入项目；</w:t>
                  </w:r>
                </w:p>
                <w:p w14:paraId="1F833713">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2.不属于</w:t>
                  </w:r>
                  <w:r>
                    <w:rPr>
                      <w:rFonts w:hint="eastAsia" w:ascii="Times New Roman" w:hAnsi="Times New Roman" w:eastAsia="宋体" w:cs="Times New Roman"/>
                      <w:color w:val="auto"/>
                      <w:spacing w:val="0"/>
                      <w:sz w:val="21"/>
                      <w:szCs w:val="21"/>
                      <w:highlight w:val="none"/>
                    </w:rPr>
                    <w:t>闽江马尾罗星塔以上流域范围新、扩建制革</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植物制浆、印染、合成革及人造革、电镀项目；</w:t>
                  </w:r>
                </w:p>
                <w:p w14:paraId="0C7A4293">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w:t>
                  </w:r>
                  <w:r>
                    <w:rPr>
                      <w:rFonts w:hint="eastAsia" w:ascii="Times New Roman" w:hAnsi="Times New Roman" w:eastAsia="宋体" w:cs="Times New Roman"/>
                      <w:b w:val="0"/>
                      <w:bCs w:val="0"/>
                      <w:color w:val="auto"/>
                      <w:sz w:val="21"/>
                      <w:szCs w:val="21"/>
                      <w:highlight w:val="none"/>
                      <w:lang w:val="en-US" w:eastAsia="zh-CN"/>
                    </w:rPr>
                    <w:t>项目不属于</w:t>
                  </w:r>
                  <w:r>
                    <w:rPr>
                      <w:rFonts w:hint="default" w:ascii="Times New Roman" w:hAnsi="Times New Roman" w:eastAsia="宋体" w:cs="Times New Roman"/>
                      <w:b w:val="0"/>
                      <w:bCs w:val="0"/>
                      <w:color w:val="auto"/>
                      <w:sz w:val="21"/>
                      <w:szCs w:val="21"/>
                      <w:highlight w:val="none"/>
                    </w:rPr>
                    <w:t>大气重污染企业</w:t>
                  </w:r>
                  <w:r>
                    <w:rPr>
                      <w:rFonts w:hint="default" w:ascii="Times New Roman" w:hAnsi="Times New Roman" w:eastAsia="宋体" w:cs="Times New Roman"/>
                      <w:color w:val="auto"/>
                      <w:spacing w:val="0"/>
                      <w:kern w:val="0"/>
                      <w:sz w:val="21"/>
                      <w:szCs w:val="21"/>
                      <w:highlight w:val="none"/>
                    </w:rPr>
                    <w:t>；</w:t>
                  </w:r>
                </w:p>
                <w:p w14:paraId="620AD83A">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4.根据第二章节</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主要原辅材料及能源消耗 主要原辅材料理化性质</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分析，项目使用的</w:t>
                  </w:r>
                  <w:r>
                    <w:rPr>
                      <w:rFonts w:hint="eastAsia" w:ascii="Times New Roman" w:hAnsi="Times New Roman" w:eastAsia="宋体" w:cs="Times New Roman"/>
                      <w:color w:val="auto"/>
                      <w:spacing w:val="0"/>
                      <w:kern w:val="0"/>
                      <w:sz w:val="21"/>
                      <w:szCs w:val="21"/>
                      <w:highlight w:val="none"/>
                      <w:lang w:val="en-US" w:eastAsia="zh-CN"/>
                    </w:rPr>
                    <w:t>油性</w:t>
                  </w:r>
                  <w:r>
                    <w:rPr>
                      <w:rFonts w:hint="default" w:ascii="Times New Roman" w:hAnsi="Times New Roman" w:eastAsia="宋体" w:cs="Times New Roman"/>
                      <w:color w:val="auto"/>
                      <w:spacing w:val="0"/>
                      <w:kern w:val="0"/>
                      <w:sz w:val="21"/>
                      <w:szCs w:val="21"/>
                      <w:highlight w:val="none"/>
                    </w:rPr>
                    <w:t>漆、稀释剂、固化剂在施工状态下属于低VOCs含量原辅材料，不属于高VOCs排放范畴；项目使用的水性</w:t>
                  </w:r>
                  <w:r>
                    <w:rPr>
                      <w:rFonts w:hint="eastAsia" w:ascii="Times New Roman" w:hAnsi="Times New Roman" w:eastAsia="宋体" w:cs="Times New Roman"/>
                      <w:color w:val="auto"/>
                      <w:spacing w:val="0"/>
                      <w:kern w:val="0"/>
                      <w:sz w:val="21"/>
                      <w:szCs w:val="21"/>
                      <w:highlight w:val="none"/>
                      <w:lang w:val="en-US" w:eastAsia="zh-CN"/>
                    </w:rPr>
                    <w:t>漆</w:t>
                  </w:r>
                  <w:r>
                    <w:rPr>
                      <w:rFonts w:hint="default" w:ascii="Times New Roman" w:hAnsi="Times New Roman" w:eastAsia="宋体" w:cs="Times New Roman"/>
                      <w:color w:val="auto"/>
                      <w:spacing w:val="0"/>
                      <w:kern w:val="0"/>
                      <w:sz w:val="21"/>
                      <w:szCs w:val="21"/>
                      <w:highlight w:val="none"/>
                    </w:rPr>
                    <w:t>符合《低挥发性有机化合物含量涂料产品技术要求》（GB/T 38597-2020）中的VOCs含量要求规定；项目不使用油墨和胶黏剂等；</w:t>
                  </w:r>
                </w:p>
                <w:p w14:paraId="4AD719E3">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5.项目不属于建陶产业。</w:t>
                  </w:r>
                </w:p>
                <w:p w14:paraId="5DF0158F">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6.项目不涉及重点重金属污染物排放；不属于低端落后产能项目；不涉及用汞的电石法（聚）氯乙烯生产工艺，不属于电镀行业。</w:t>
                  </w:r>
                </w:p>
                <w:p w14:paraId="006A8DF1">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7.项目不属于重污染企业和项目。</w:t>
                  </w:r>
                </w:p>
                <w:p w14:paraId="3B41038C">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8.项目不位于重要敏感水体及富营养化湖库生态缓冲带。</w:t>
                  </w:r>
                </w:p>
                <w:p w14:paraId="4BFB3831">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9.不属于煤电、钢铁、建材、石化、化工等</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两高</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项目。</w:t>
                  </w:r>
                </w:p>
                <w:p w14:paraId="789271AA">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10.项目选址不涉及永久基本农田。</w:t>
                  </w:r>
                </w:p>
                <w:p w14:paraId="5F08AE60">
                  <w:pPr>
                    <w:pStyle w:val="9"/>
                    <w:keepNext w:val="0"/>
                    <w:keepLines w:val="0"/>
                    <w:pageBreakBefore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pacing w:val="0"/>
                      <w:kern w:val="0"/>
                      <w:sz w:val="21"/>
                      <w:szCs w:val="21"/>
                      <w:highlight w:val="none"/>
                    </w:rPr>
                    <w:t>综上所述，项目不属于</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空间布局约束</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 xml:space="preserve"> 三、</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其它要求</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中相关项目。</w:t>
                  </w:r>
                </w:p>
              </w:tc>
              <w:tc>
                <w:tcPr>
                  <w:tcW w:w="647" w:type="dxa"/>
                  <w:tcBorders>
                    <w:tl2br w:val="nil"/>
                    <w:tr2bl w:val="nil"/>
                  </w:tcBorders>
                  <w:noWrap w:val="0"/>
                  <w:vAlign w:val="center"/>
                </w:tcPr>
                <w:p w14:paraId="0E15161B">
                  <w:pPr>
                    <w:pStyle w:val="9"/>
                    <w:keepNext w:val="0"/>
                    <w:keepLines w:val="0"/>
                    <w:pageBreakBefore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符合</w:t>
                  </w:r>
                </w:p>
              </w:tc>
            </w:tr>
            <w:tr w14:paraId="11CCB7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continue"/>
                  <w:tcBorders>
                    <w:tl2br w:val="nil"/>
                    <w:tr2bl w:val="nil"/>
                  </w:tcBorders>
                  <w:noWrap w:val="0"/>
                  <w:vAlign w:val="center"/>
                </w:tcPr>
                <w:p w14:paraId="29441314">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auto"/>
                      <w:spacing w:val="0"/>
                      <w:sz w:val="21"/>
                      <w:szCs w:val="21"/>
                      <w:highlight w:val="none"/>
                    </w:rPr>
                  </w:pPr>
                </w:p>
              </w:tc>
              <w:tc>
                <w:tcPr>
                  <w:tcW w:w="1092" w:type="dxa"/>
                  <w:tcBorders>
                    <w:tl2br w:val="nil"/>
                    <w:tr2bl w:val="nil"/>
                  </w:tcBorders>
                  <w:noWrap w:val="0"/>
                  <w:vAlign w:val="center"/>
                </w:tcPr>
                <w:p w14:paraId="6480EB43">
                  <w:pPr>
                    <w:pStyle w:val="9"/>
                    <w:keepNext w:val="0"/>
                    <w:keepLines w:val="0"/>
                    <w:pageBreakBefore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污染物排放管控</w:t>
                  </w:r>
                </w:p>
              </w:tc>
              <w:tc>
                <w:tcPr>
                  <w:tcW w:w="7030" w:type="dxa"/>
                  <w:tcBorders>
                    <w:tl2br w:val="nil"/>
                    <w:tr2bl w:val="nil"/>
                  </w:tcBorders>
                  <w:noWrap w:val="0"/>
                  <w:vAlign w:val="center"/>
                </w:tcPr>
                <w:p w14:paraId="6BFAF578">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kern w:val="2"/>
                      <w:sz w:val="21"/>
                      <w:szCs w:val="21"/>
                      <w:highlight w:val="none"/>
                      <w:lang w:val="en-US" w:eastAsia="zh-CN" w:bidi="ar-SA"/>
                    </w:rPr>
                    <w:t>1.</w:t>
                  </w:r>
                  <w:r>
                    <w:rPr>
                      <w:rFonts w:hint="eastAsia" w:ascii="Times New Roman" w:hAnsi="Times New Roman" w:eastAsia="宋体" w:cs="Times New Roman"/>
                      <w:color w:val="auto"/>
                      <w:spacing w:val="0"/>
                      <w:sz w:val="21"/>
                      <w:szCs w:val="21"/>
                      <w:highlight w:val="none"/>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33E8A3D3">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2.新、改、扩建涉VOCs排放项目，应从源头加强控制，使用低（无）VOCs含量的原辅材料，实施新建项目VOCs排放区域内1.2及以上倍量替代。</w:t>
                  </w:r>
                </w:p>
                <w:p w14:paraId="4C47E89B">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3056F3E0">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4.氟化工、印染、电镀等行业企业实行水污染物特别排放限值。</w:t>
                  </w:r>
                </w:p>
                <w:p w14:paraId="3DC2DD63">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5.新、改、扩建重点行业［2］建设项目要遵循重点重金属污染物排放“等量替代”原则，总量来源原则上应是同一重点行业内的削减量，当同一重点行业无法满足时可从其他重点行业调剂。</w:t>
                  </w:r>
                </w:p>
                <w:p w14:paraId="4EB7FAC7">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6.每小时35（含）—65蒸吨燃煤锅炉和位于县级及以上城市建成区内保留的燃煤、燃油、燃生物质锅炉，原则上2024年底前必须全面实现超低排放。7.水泥行业新改扩建项目严格对照超低排放、能效标杆水平建设实施；现有项目超低排放改造应按文件（闽环规〔2023〕2号）的时限要求分步推进，2025年底前全面完成［3］［4］。</w:t>
                  </w:r>
                </w:p>
                <w:p w14:paraId="17AA14D7">
                  <w:pPr>
                    <w:pStyle w:val="9"/>
                    <w:keepNext w:val="0"/>
                    <w:keepLines w:val="0"/>
                    <w:pageBreakBefore w:val="0"/>
                    <w:numPr>
                      <w:ilvl w:val="0"/>
                      <w:numId w:val="0"/>
                    </w:numPr>
                    <w:kinsoku/>
                    <w:wordWrap/>
                    <w:overflowPunct/>
                    <w:topLinePunct w:val="0"/>
                    <w:autoSpaceDE/>
                    <w:autoSpaceDN/>
                    <w:bidi w:val="0"/>
                    <w:adjustRightInd/>
                    <w:snapToGrid/>
                    <w:ind w:firstLine="0" w:firstLineChars="0"/>
                    <w:jc w:val="both"/>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3957" w:type="dxa"/>
                  <w:tcBorders>
                    <w:tl2br w:val="nil"/>
                    <w:tr2bl w:val="nil"/>
                  </w:tcBorders>
                  <w:noWrap w:val="0"/>
                  <w:vAlign w:val="center"/>
                </w:tcPr>
                <w:p w14:paraId="658B3475">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1.项目生产废水不排放，也不涉及二氧化硫、氮氧化物排放。</w:t>
                  </w:r>
                </w:p>
                <w:p w14:paraId="07DEC590">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2.</w:t>
                  </w:r>
                  <w:r>
                    <w:rPr>
                      <w:rFonts w:hint="eastAsia" w:ascii="Times New Roman" w:hAnsi="Times New Roman" w:eastAsia="宋体" w:cs="Times New Roman"/>
                      <w:color w:val="auto"/>
                      <w:kern w:val="0"/>
                      <w:sz w:val="21"/>
                      <w:szCs w:val="21"/>
                      <w:highlight w:val="none"/>
                    </w:rPr>
                    <w:t>根据《福州市生态环境局关于落实“奋勇争先”行动进一步服务和促进民营经济高质量发展的通知》（榕环保综〔2025〕47号）》</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项目</w:t>
                  </w:r>
                  <w:r>
                    <w:rPr>
                      <w:rFonts w:hint="eastAsia" w:ascii="Times New Roman" w:hAnsi="Times New Roman" w:eastAsia="宋体" w:cs="Times New Roman"/>
                      <w:color w:val="auto"/>
                      <w:kern w:val="0"/>
                      <w:sz w:val="21"/>
                      <w:szCs w:val="21"/>
                      <w:highlight w:val="none"/>
                      <w:lang w:val="en-US" w:eastAsia="zh-CN"/>
                    </w:rPr>
                    <w:t>新增</w:t>
                  </w:r>
                  <w:r>
                    <w:rPr>
                      <w:rFonts w:hint="eastAsia" w:ascii="Times New Roman" w:hAnsi="Times New Roman" w:eastAsia="宋体" w:cs="Times New Roman"/>
                      <w:color w:val="auto"/>
                      <w:kern w:val="0"/>
                      <w:sz w:val="21"/>
                      <w:szCs w:val="21"/>
                      <w:highlight w:val="none"/>
                    </w:rPr>
                    <w:t>VOCs年排放量小于0.1吨</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spacing w:val="-6"/>
                      <w:sz w:val="21"/>
                      <w:szCs w:val="21"/>
                      <w:highlight w:val="none"/>
                      <w:lang w:val="en-US" w:eastAsia="zh-CN"/>
                    </w:rPr>
                    <w:t>无需提交总量来源说明，由市级生态环境部门统筹总量指标替代来源。</w:t>
                  </w:r>
                </w:p>
                <w:p w14:paraId="7A8D0009">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3.项目不属于钢铁、水泥、平板玻璃、有色金属冶炼、化工、石化等工业项目。</w:t>
                  </w:r>
                </w:p>
                <w:p w14:paraId="68846630">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4.项目不属于氟化工、印染、电镀等行业。</w:t>
                  </w:r>
                </w:p>
                <w:p w14:paraId="042E93D8">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5.项目不属于重点行业建设项目。</w:t>
                  </w:r>
                </w:p>
                <w:p w14:paraId="67BF09A9">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6.项目不涉及燃煤锅炉。</w:t>
                  </w:r>
                </w:p>
                <w:p w14:paraId="1377EE91">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7.项目不属于水泥行业。</w:t>
                  </w:r>
                </w:p>
                <w:p w14:paraId="249A85F7">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8.项目不位于化工园区，不属于印染、皮革、农药、医药、涂料等行业。不涉及废药品、废农药以及抗生素生产过程中产生的废母液、废反应基和废培养基等废物</w:t>
                  </w:r>
                  <w:r>
                    <w:rPr>
                      <w:rFonts w:hint="eastAsia" w:ascii="Times New Roman" w:hAnsi="Times New Roman" w:eastAsia="宋体" w:cs="Times New Roman"/>
                      <w:color w:val="auto"/>
                      <w:spacing w:val="0"/>
                      <w:sz w:val="21"/>
                      <w:szCs w:val="21"/>
                      <w:highlight w:val="none"/>
                      <w:lang w:val="en-US" w:eastAsia="zh-CN"/>
                    </w:rPr>
                    <w:t>。</w:t>
                  </w:r>
                </w:p>
                <w:p w14:paraId="741A2317">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rPr>
                    <w:t>综上所述，项目不属于</w:t>
                  </w:r>
                  <w:r>
                    <w:rPr>
                      <w:rFonts w:hint="eastAsia" w:ascii="Times New Roman" w:hAnsi="Times New Roman" w:eastAsia="宋体"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sz w:val="21"/>
                      <w:szCs w:val="21"/>
                      <w:highlight w:val="none"/>
                    </w:rPr>
                    <w:t>污染物排放管控</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 xml:space="preserve"> 中相关项目。</w:t>
                  </w:r>
                </w:p>
              </w:tc>
              <w:tc>
                <w:tcPr>
                  <w:tcW w:w="647" w:type="dxa"/>
                  <w:tcBorders>
                    <w:tl2br w:val="nil"/>
                    <w:tr2bl w:val="nil"/>
                  </w:tcBorders>
                  <w:noWrap w:val="0"/>
                  <w:vAlign w:val="center"/>
                </w:tcPr>
                <w:p w14:paraId="29E574A5">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符合</w:t>
                  </w:r>
                </w:p>
              </w:tc>
            </w:tr>
            <w:tr w14:paraId="54B19D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continue"/>
                  <w:tcBorders>
                    <w:tl2br w:val="nil"/>
                    <w:tr2bl w:val="nil"/>
                  </w:tcBorders>
                  <w:noWrap w:val="0"/>
                  <w:vAlign w:val="center"/>
                </w:tcPr>
                <w:p w14:paraId="2BE3B745">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auto"/>
                      <w:spacing w:val="0"/>
                      <w:sz w:val="21"/>
                      <w:szCs w:val="21"/>
                      <w:highlight w:val="none"/>
                    </w:rPr>
                  </w:pPr>
                </w:p>
              </w:tc>
              <w:tc>
                <w:tcPr>
                  <w:tcW w:w="1092" w:type="dxa"/>
                  <w:tcBorders>
                    <w:tl2br w:val="nil"/>
                    <w:tr2bl w:val="nil"/>
                  </w:tcBorders>
                  <w:noWrap w:val="0"/>
                  <w:vAlign w:val="center"/>
                </w:tcPr>
                <w:p w14:paraId="01C36056">
                  <w:pPr>
                    <w:pStyle w:val="9"/>
                    <w:keepNext w:val="0"/>
                    <w:keepLines w:val="0"/>
                    <w:pageBreakBefore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资源开发效率要求</w:t>
                  </w:r>
                </w:p>
              </w:tc>
              <w:tc>
                <w:tcPr>
                  <w:tcW w:w="7030" w:type="dxa"/>
                  <w:tcBorders>
                    <w:tl2br w:val="nil"/>
                    <w:tr2bl w:val="nil"/>
                  </w:tcBorders>
                  <w:noWrap w:val="0"/>
                  <w:vAlign w:val="center"/>
                </w:tcPr>
                <w:p w14:paraId="2669AF8E">
                  <w:pPr>
                    <w:pStyle w:val="9"/>
                    <w:keepNext w:val="0"/>
                    <w:keepLines w:val="0"/>
                    <w:pageBreakBefore w:val="0"/>
                    <w:numPr>
                      <w:ilvl w:val="0"/>
                      <w:numId w:val="0"/>
                    </w:numPr>
                    <w:kinsoku/>
                    <w:wordWrap/>
                    <w:overflowPunct/>
                    <w:topLinePunct w:val="0"/>
                    <w:autoSpaceDE/>
                    <w:autoSpaceDN/>
                    <w:bidi w:val="0"/>
                    <w:adjustRightInd/>
                    <w:ind w:firstLine="0" w:firstLineChars="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kern w:val="2"/>
                      <w:sz w:val="21"/>
                      <w:szCs w:val="21"/>
                      <w:highlight w:val="none"/>
                      <w:lang w:val="en-US" w:eastAsia="zh-CN" w:bidi="ar-SA"/>
                    </w:rPr>
                    <w:t>1.</w:t>
                  </w:r>
                  <w:r>
                    <w:rPr>
                      <w:rFonts w:hint="eastAsia" w:ascii="Times New Roman" w:hAnsi="Times New Roman" w:eastAsia="宋体" w:cs="Times New Roman"/>
                      <w:color w:val="auto"/>
                      <w:spacing w:val="0"/>
                      <w:sz w:val="21"/>
                      <w:szCs w:val="21"/>
                      <w:highlight w:val="none"/>
                      <w:lang w:val="en-US" w:eastAsia="zh-CN"/>
                    </w:rPr>
                    <w:t>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161FD694">
                  <w:pPr>
                    <w:pStyle w:val="9"/>
                    <w:keepNext w:val="0"/>
                    <w:keepLines w:val="0"/>
                    <w:pageBreakBefore w:val="0"/>
                    <w:numPr>
                      <w:ilvl w:val="0"/>
                      <w:numId w:val="0"/>
                    </w:numPr>
                    <w:kinsoku/>
                    <w:wordWrap/>
                    <w:overflowPunct/>
                    <w:topLinePunct w:val="0"/>
                    <w:autoSpaceDE/>
                    <w:autoSpaceDN/>
                    <w:bidi w:val="0"/>
                    <w:adjustRightInd/>
                    <w:ind w:firstLine="0" w:firstLineChars="0"/>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2.按照“提气、转电、控煤”的发展思路，推动陶瓷行业进一步优化用能结构，实现能源消费清洁低碳化。</w:t>
                  </w:r>
                </w:p>
              </w:tc>
              <w:tc>
                <w:tcPr>
                  <w:tcW w:w="3957" w:type="dxa"/>
                  <w:tcBorders>
                    <w:tl2br w:val="nil"/>
                    <w:tr2bl w:val="nil"/>
                  </w:tcBorders>
                  <w:noWrap w:val="0"/>
                  <w:vAlign w:val="center"/>
                </w:tcPr>
                <w:p w14:paraId="22BC6FE2">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1.项目不涉及锅炉建设；</w:t>
                  </w:r>
                </w:p>
                <w:p w14:paraId="0498B85D">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2.项目不属于陶瓷行业。</w:t>
                  </w:r>
                </w:p>
              </w:tc>
              <w:tc>
                <w:tcPr>
                  <w:tcW w:w="647" w:type="dxa"/>
                  <w:tcBorders>
                    <w:tl2br w:val="nil"/>
                    <w:tr2bl w:val="nil"/>
                  </w:tcBorders>
                  <w:noWrap w:val="0"/>
                  <w:vAlign w:val="center"/>
                </w:tcPr>
                <w:p w14:paraId="22F8759A">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符合</w:t>
                  </w:r>
                </w:p>
              </w:tc>
            </w:tr>
            <w:tr w14:paraId="6F2ECC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restart"/>
                  <w:tcBorders>
                    <w:tl2br w:val="nil"/>
                    <w:tr2bl w:val="nil"/>
                  </w:tcBorders>
                  <w:noWrap w:val="0"/>
                  <w:vAlign w:val="center"/>
                </w:tcPr>
                <w:p w14:paraId="55F190FF">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highlight w:val="none"/>
                      <w:vertAlign w:val="baseline"/>
                      <w:lang w:val="en-US" w:eastAsia="zh-CN"/>
                    </w:rPr>
                    <w:t>重点管控单元</w:t>
                  </w:r>
                </w:p>
              </w:tc>
              <w:tc>
                <w:tcPr>
                  <w:tcW w:w="1092" w:type="dxa"/>
                  <w:tcBorders>
                    <w:tl2br w:val="nil"/>
                    <w:tr2bl w:val="nil"/>
                  </w:tcBorders>
                  <w:noWrap w:val="0"/>
                  <w:vAlign w:val="center"/>
                </w:tcPr>
                <w:p w14:paraId="591C111B">
                  <w:pPr>
                    <w:pStyle w:val="9"/>
                    <w:keepNext w:val="0"/>
                    <w:keepLines w:val="0"/>
                    <w:pageBreakBefore w:val="0"/>
                    <w:kinsoku/>
                    <w:wordWrap/>
                    <w:overflowPunct/>
                    <w:topLinePunct w:val="0"/>
                    <w:autoSpaceDE/>
                    <w:autoSpaceDN/>
                    <w:bidi w:val="0"/>
                    <w:adjustRightInd/>
                    <w:ind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空间布局约束</w:t>
                  </w:r>
                </w:p>
              </w:tc>
              <w:tc>
                <w:tcPr>
                  <w:tcW w:w="7030" w:type="dxa"/>
                  <w:tcBorders>
                    <w:tl2br w:val="nil"/>
                    <w:tr2bl w:val="nil"/>
                  </w:tcBorders>
                  <w:noWrap w:val="0"/>
                  <w:vAlign w:val="center"/>
                </w:tcPr>
                <w:p w14:paraId="0B360369">
                  <w:pPr>
                    <w:pStyle w:val="9"/>
                    <w:keepNext w:val="0"/>
                    <w:keepLines w:val="0"/>
                    <w:pageBreakBefore w:val="0"/>
                    <w:numPr>
                      <w:ilvl w:val="0"/>
                      <w:numId w:val="0"/>
                    </w:numPr>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sz w:val="21"/>
                      <w:szCs w:val="21"/>
                      <w:highlight w:val="none"/>
                      <w:vertAlign w:val="baseline"/>
                      <w:lang w:val="en-US" w:eastAsia="zh-CN"/>
                    </w:rPr>
                  </w:pPr>
                  <w:r>
                    <w:rPr>
                      <w:rFonts w:hint="eastAsia" w:ascii="Times New Roman" w:hAnsi="Times New Roman" w:eastAsia="宋体" w:cs="Times New Roman"/>
                      <w:color w:val="auto"/>
                      <w:spacing w:val="0"/>
                      <w:kern w:val="2"/>
                      <w:sz w:val="21"/>
                      <w:szCs w:val="21"/>
                      <w:highlight w:val="none"/>
                      <w:vertAlign w:val="baseline"/>
                      <w:lang w:val="en-US" w:eastAsia="zh-CN" w:bidi="ar-SA"/>
                    </w:rPr>
                    <w:t>1.</w:t>
                  </w:r>
                  <w:r>
                    <w:rPr>
                      <w:rFonts w:hint="eastAsia" w:ascii="Times New Roman" w:hAnsi="Times New Roman" w:eastAsia="宋体" w:cs="Times New Roman"/>
                      <w:color w:val="auto"/>
                      <w:spacing w:val="0"/>
                      <w:sz w:val="21"/>
                      <w:szCs w:val="21"/>
                      <w:highlight w:val="none"/>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城市建成区内现有化工等污染较重的企业应有序搬迁改造或依法关闭。</w:t>
                  </w:r>
                </w:p>
                <w:p w14:paraId="7F444C4C">
                  <w:pPr>
                    <w:pStyle w:val="9"/>
                    <w:keepNext w:val="0"/>
                    <w:keepLines w:val="0"/>
                    <w:pageBreakBefore w:val="0"/>
                    <w:numPr>
                      <w:ilvl w:val="0"/>
                      <w:numId w:val="0"/>
                    </w:numPr>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vertAlign w:val="baseline"/>
                      <w:lang w:val="en-US" w:eastAsia="zh-CN"/>
                    </w:rPr>
                    <w:t>2.禁止在通风廊道和主导风向的上风向布局大气重污染企业。严格控制包装印刷、工业涂装、制鞋等高VOCs排放的项目建设，相关新建项目必须进入工业园区。</w:t>
                  </w:r>
                </w:p>
                <w:p w14:paraId="0C2D556D">
                  <w:pPr>
                    <w:pStyle w:val="9"/>
                    <w:keepNext w:val="0"/>
                    <w:keepLines w:val="0"/>
                    <w:pageBreakBefore w:val="0"/>
                    <w:numPr>
                      <w:ilvl w:val="0"/>
                      <w:numId w:val="0"/>
                    </w:numPr>
                    <w:kinsoku/>
                    <w:wordWrap/>
                    <w:overflowPunct/>
                    <w:topLinePunct w:val="0"/>
                    <w:autoSpaceDE/>
                    <w:autoSpaceDN/>
                    <w:bidi w:val="0"/>
                    <w:adjustRightInd/>
                    <w:snapToGrid/>
                    <w:jc w:val="both"/>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vertAlign w:val="baseline"/>
                      <w:lang w:val="en-US" w:eastAsia="zh-CN"/>
                    </w:rPr>
                    <w:t>3.禁止开发利用未经评估和无害化处理的列入建设用地污染地块名录及开发利用负面清单的土地。</w:t>
                  </w:r>
                </w:p>
              </w:tc>
              <w:tc>
                <w:tcPr>
                  <w:tcW w:w="3957" w:type="dxa"/>
                  <w:tcBorders>
                    <w:tl2br w:val="nil"/>
                    <w:tr2bl w:val="nil"/>
                  </w:tcBorders>
                  <w:noWrap w:val="0"/>
                  <w:vAlign w:val="center"/>
                </w:tcPr>
                <w:p w14:paraId="2ADC6D4E">
                  <w:pPr>
                    <w:keepNext w:val="0"/>
                    <w:keepLines w:val="0"/>
                    <w:pageBreakBefore w:val="0"/>
                    <w:widowControl/>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1.项目不属于危险化学品生产企业，不属于化工等污染较重的企业。</w:t>
                  </w:r>
                </w:p>
                <w:p w14:paraId="57693E09">
                  <w:pPr>
                    <w:keepNext w:val="0"/>
                    <w:keepLines w:val="0"/>
                    <w:pageBreakBefore w:val="0"/>
                    <w:widowControl/>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2.项目不属于大气重污染企业。</w:t>
                  </w:r>
                  <w:r>
                    <w:rPr>
                      <w:rFonts w:hint="eastAsia" w:cs="Times New Roman"/>
                      <w:color w:val="auto"/>
                      <w:spacing w:val="0"/>
                      <w:kern w:val="0"/>
                      <w:sz w:val="21"/>
                      <w:szCs w:val="21"/>
                      <w:highlight w:val="none"/>
                      <w:lang w:val="en-US" w:eastAsia="zh-CN"/>
                    </w:rPr>
                    <w:t>项目</w:t>
                  </w:r>
                  <w:r>
                    <w:rPr>
                      <w:rFonts w:hint="eastAsia" w:cs="Times New Roman"/>
                      <w:color w:val="auto"/>
                      <w:sz w:val="21"/>
                      <w:szCs w:val="21"/>
                      <w:highlight w:val="none"/>
                      <w:lang w:eastAsia="zh-CN"/>
                    </w:rPr>
                    <w:t>喷漆晾干房</w:t>
                  </w:r>
                  <w:r>
                    <w:rPr>
                      <w:rFonts w:hint="eastAsia" w:cs="Times New Roman"/>
                      <w:color w:val="auto"/>
                      <w:sz w:val="21"/>
                      <w:szCs w:val="21"/>
                      <w:highlight w:val="none"/>
                      <w:lang w:val="en-US" w:eastAsia="zh-CN"/>
                    </w:rPr>
                    <w:t>负压</w:t>
                  </w:r>
                  <w:r>
                    <w:rPr>
                      <w:rFonts w:hint="eastAsia" w:ascii="Times New Roman" w:hAnsi="Times New Roman" w:eastAsia="宋体" w:cs="Times New Roman"/>
                      <w:color w:val="auto"/>
                      <w:sz w:val="21"/>
                      <w:szCs w:val="21"/>
                      <w:highlight w:val="none"/>
                    </w:rPr>
                    <w:t>密闭，在运营期间，</w:t>
                  </w:r>
                  <w:r>
                    <w:rPr>
                      <w:rFonts w:hint="eastAsia" w:cs="Times New Roman"/>
                      <w:color w:val="auto"/>
                      <w:sz w:val="21"/>
                      <w:szCs w:val="21"/>
                      <w:highlight w:val="none"/>
                      <w:lang w:eastAsia="zh-CN"/>
                    </w:rPr>
                    <w:t>喷漆晾干房</w:t>
                  </w:r>
                  <w:r>
                    <w:rPr>
                      <w:rFonts w:hint="eastAsia" w:ascii="Times New Roman" w:hAnsi="Times New Roman" w:eastAsia="宋体" w:cs="Times New Roman"/>
                      <w:color w:val="auto"/>
                      <w:sz w:val="21"/>
                      <w:szCs w:val="21"/>
                      <w:highlight w:val="none"/>
                    </w:rPr>
                    <w:t>门窗紧闭</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且</w:t>
                  </w:r>
                  <w:r>
                    <w:rPr>
                      <w:rFonts w:hint="eastAsia" w:cs="Times New Roman"/>
                      <w:color w:val="auto"/>
                      <w:spacing w:val="0"/>
                      <w:position w:val="0"/>
                      <w:sz w:val="21"/>
                      <w:szCs w:val="21"/>
                      <w:highlight w:val="none"/>
                      <w:lang w:eastAsia="zh-CN"/>
                    </w:rPr>
                    <w:t>调漆、喷漆废气经水帘柜处理后，与晾干废气一同经集气装置负压收集后再引入“气旋塔+过滤棉+二级活性炭吸附装置”</w:t>
                  </w:r>
                  <w:r>
                    <w:rPr>
                      <w:rFonts w:hint="eastAsia" w:ascii="Times New Roman" w:hAnsi="Times New Roman" w:eastAsia="宋体" w:cs="Times New Roman"/>
                      <w:color w:val="auto"/>
                      <w:spacing w:val="0"/>
                      <w:position w:val="0"/>
                      <w:sz w:val="21"/>
                      <w:szCs w:val="21"/>
                      <w:highlight w:val="none"/>
                      <w:lang w:eastAsia="zh-CN"/>
                    </w:rPr>
                    <w:t>处理后</w:t>
                  </w:r>
                  <w:r>
                    <w:rPr>
                      <w:rFonts w:hint="eastAsia" w:ascii="Times New Roman" w:hAnsi="Times New Roman" w:eastAsia="宋体" w:cs="Times New Roman"/>
                      <w:color w:val="auto"/>
                      <w:spacing w:val="0"/>
                      <w:kern w:val="0"/>
                      <w:position w:val="0"/>
                      <w:sz w:val="21"/>
                      <w:szCs w:val="21"/>
                      <w:highlight w:val="none"/>
                      <w:lang w:val="en-US" w:eastAsia="zh-CN"/>
                    </w:rPr>
                    <w:t>通过1根</w:t>
                  </w:r>
                  <w:r>
                    <w:rPr>
                      <w:rFonts w:hint="eastAsia" w:cs="Times New Roman"/>
                      <w:color w:val="auto"/>
                      <w:spacing w:val="0"/>
                      <w:kern w:val="0"/>
                      <w:position w:val="0"/>
                      <w:sz w:val="21"/>
                      <w:szCs w:val="21"/>
                      <w:highlight w:val="none"/>
                      <w:lang w:val="en-US" w:eastAsia="zh-CN"/>
                    </w:rPr>
                    <w:t>25m</w:t>
                  </w:r>
                  <w:r>
                    <w:rPr>
                      <w:rFonts w:hint="eastAsia" w:ascii="Times New Roman" w:hAnsi="Times New Roman" w:eastAsia="宋体" w:cs="Times New Roman"/>
                      <w:color w:val="auto"/>
                      <w:spacing w:val="0"/>
                      <w:kern w:val="0"/>
                      <w:position w:val="0"/>
                      <w:sz w:val="21"/>
                      <w:szCs w:val="21"/>
                      <w:highlight w:val="none"/>
                      <w:lang w:val="en-US" w:eastAsia="zh-CN"/>
                    </w:rPr>
                    <w:t>排气筒达标排放</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且</w:t>
                  </w:r>
                  <w:r>
                    <w:rPr>
                      <w:rFonts w:hint="default" w:ascii="Times New Roman" w:hAnsi="Times New Roman" w:eastAsia="宋体" w:cs="Times New Roman"/>
                      <w:color w:val="auto"/>
                      <w:spacing w:val="0"/>
                      <w:kern w:val="0"/>
                      <w:sz w:val="21"/>
                      <w:szCs w:val="21"/>
                      <w:highlight w:val="none"/>
                    </w:rPr>
                    <w:t>根据第二章节</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主要原辅材料及能源消耗 主要原辅材料理化性质</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分析，项目使用的</w:t>
                  </w:r>
                  <w:r>
                    <w:rPr>
                      <w:rFonts w:hint="eastAsia" w:ascii="Times New Roman" w:hAnsi="Times New Roman" w:eastAsia="宋体" w:cs="Times New Roman"/>
                      <w:color w:val="auto"/>
                      <w:spacing w:val="0"/>
                      <w:kern w:val="0"/>
                      <w:sz w:val="21"/>
                      <w:szCs w:val="21"/>
                      <w:highlight w:val="none"/>
                      <w:lang w:val="en-US" w:eastAsia="zh-CN"/>
                    </w:rPr>
                    <w:t>油性</w:t>
                  </w:r>
                  <w:r>
                    <w:rPr>
                      <w:rFonts w:hint="default" w:ascii="Times New Roman" w:hAnsi="Times New Roman" w:eastAsia="宋体" w:cs="Times New Roman"/>
                      <w:color w:val="auto"/>
                      <w:spacing w:val="0"/>
                      <w:kern w:val="0"/>
                      <w:sz w:val="21"/>
                      <w:szCs w:val="21"/>
                      <w:highlight w:val="none"/>
                    </w:rPr>
                    <w:t>漆、稀释剂、固化剂在施工状态下属于低VOCs含量原辅材料，不属于高VOCs排放范畴；项目使用的水性</w:t>
                  </w:r>
                  <w:r>
                    <w:rPr>
                      <w:rFonts w:hint="eastAsia" w:ascii="Times New Roman" w:hAnsi="Times New Roman" w:eastAsia="宋体" w:cs="Times New Roman"/>
                      <w:color w:val="auto"/>
                      <w:spacing w:val="0"/>
                      <w:kern w:val="0"/>
                      <w:sz w:val="21"/>
                      <w:szCs w:val="21"/>
                      <w:highlight w:val="none"/>
                      <w:lang w:val="en-US" w:eastAsia="zh-CN"/>
                    </w:rPr>
                    <w:t>漆</w:t>
                  </w:r>
                  <w:r>
                    <w:rPr>
                      <w:rFonts w:hint="default" w:ascii="Times New Roman" w:hAnsi="Times New Roman" w:eastAsia="宋体" w:cs="Times New Roman"/>
                      <w:color w:val="auto"/>
                      <w:spacing w:val="0"/>
                      <w:kern w:val="0"/>
                      <w:sz w:val="21"/>
                      <w:szCs w:val="21"/>
                      <w:highlight w:val="none"/>
                    </w:rPr>
                    <w:t>符合《低挥发性有机化合物含量涂料产品技术要求》（GB/T 38597-2020）中的VOCs含量要求规定</w:t>
                  </w:r>
                  <w:r>
                    <w:rPr>
                      <w:rFonts w:hint="eastAsia" w:ascii="Times New Roman" w:hAnsi="Times New Roman" w:eastAsia="宋体"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lang w:val="en-US" w:eastAsia="zh-CN"/>
                    </w:rPr>
                    <w:t>不属于高VOCs排放的项目，项目位于闽侯县经济技术开发区一期延伸区内。</w:t>
                  </w:r>
                </w:p>
                <w:p w14:paraId="26BCD081">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3.项目租赁已建工业厂房作为生产经营场所，出租方已办理不动产权证。</w:t>
                  </w:r>
                </w:p>
              </w:tc>
              <w:tc>
                <w:tcPr>
                  <w:tcW w:w="647" w:type="dxa"/>
                  <w:tcBorders>
                    <w:tl2br w:val="nil"/>
                    <w:tr2bl w:val="nil"/>
                  </w:tcBorders>
                  <w:noWrap w:val="0"/>
                  <w:vAlign w:val="center"/>
                </w:tcPr>
                <w:p w14:paraId="45F96689">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符合</w:t>
                  </w:r>
                </w:p>
              </w:tc>
            </w:tr>
            <w:tr w14:paraId="41A843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continue"/>
                  <w:tcBorders>
                    <w:tl2br w:val="nil"/>
                    <w:tr2bl w:val="nil"/>
                  </w:tcBorders>
                  <w:noWrap w:val="0"/>
                  <w:vAlign w:val="center"/>
                </w:tcPr>
                <w:p w14:paraId="6B4946C4">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1092" w:type="dxa"/>
                  <w:tcBorders>
                    <w:tl2br w:val="nil"/>
                    <w:tr2bl w:val="nil"/>
                  </w:tcBorders>
                  <w:noWrap w:val="0"/>
                  <w:vAlign w:val="center"/>
                </w:tcPr>
                <w:p w14:paraId="19A8B0E3">
                  <w:pPr>
                    <w:pStyle w:val="9"/>
                    <w:keepNext w:val="0"/>
                    <w:keepLines w:val="0"/>
                    <w:pageBreakBefore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b w:val="0"/>
                      <w:bCs w:val="0"/>
                      <w:color w:val="auto"/>
                      <w:spacing w:val="0"/>
                      <w:sz w:val="21"/>
                      <w:szCs w:val="21"/>
                      <w:highlight w:val="none"/>
                      <w:vertAlign w:val="baseline"/>
                      <w:lang w:val="en-US" w:eastAsia="zh-CN"/>
                    </w:rPr>
                    <w:t>污染物排放管控</w:t>
                  </w:r>
                </w:p>
              </w:tc>
              <w:tc>
                <w:tcPr>
                  <w:tcW w:w="7030" w:type="dxa"/>
                  <w:tcBorders>
                    <w:tl2br w:val="nil"/>
                    <w:tr2bl w:val="nil"/>
                  </w:tcBorders>
                  <w:noWrap w:val="0"/>
                  <w:vAlign w:val="center"/>
                </w:tcPr>
                <w:p w14:paraId="0B3E557E">
                  <w:pPr>
                    <w:keepNext w:val="0"/>
                    <w:keepLines w:val="0"/>
                    <w:pageBreakBefore w:val="0"/>
                    <w:numPr>
                      <w:ilvl w:val="0"/>
                      <w:numId w:val="0"/>
                    </w:numPr>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kern w:val="2"/>
                      <w:sz w:val="21"/>
                      <w:szCs w:val="24"/>
                      <w:highlight w:val="none"/>
                      <w:vertAlign w:val="baseline"/>
                      <w:lang w:val="en-US" w:eastAsia="zh-CN" w:bidi="ar-SA"/>
                    </w:rPr>
                    <w:t>1.</w:t>
                  </w:r>
                  <w:r>
                    <w:rPr>
                      <w:rFonts w:hint="eastAsia" w:ascii="Times New Roman" w:hAnsi="Times New Roman" w:eastAsia="宋体" w:cs="Times New Roman"/>
                      <w:color w:val="auto"/>
                      <w:highlight w:val="none"/>
                      <w:vertAlign w:val="baseline"/>
                      <w:lang w:val="en-US" w:eastAsia="zh-CN"/>
                    </w:rPr>
                    <w:t>禁止向农田灌溉渠道排放工业废水或者医疗污水。向农田灌溉渠道排放城镇污水以及未综合利用的畜禽养殖废水、农产品加工废水的，应当保证其下游最近的灌溉取水点的水质符合农田灌溉水质标准。</w:t>
                  </w:r>
                </w:p>
                <w:p w14:paraId="7FE22448">
                  <w:pPr>
                    <w:keepNext w:val="0"/>
                    <w:keepLines w:val="0"/>
                    <w:pageBreakBefore w:val="0"/>
                    <w:numPr>
                      <w:ilvl w:val="0"/>
                      <w:numId w:val="0"/>
                    </w:numPr>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sz w:val="21"/>
                      <w:szCs w:val="21"/>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2.落实新增二氧化硫、氮氧化物和VOCs排放总量控制要求</w:t>
                  </w:r>
                  <w:r>
                    <w:rPr>
                      <w:rFonts w:hint="eastAsia" w:ascii="Times New Roman" w:hAnsi="Times New Roman" w:eastAsia="宋体" w:cs="Times New Roman"/>
                      <w:color w:val="auto"/>
                      <w:spacing w:val="0"/>
                      <w:sz w:val="21"/>
                      <w:szCs w:val="21"/>
                      <w:highlight w:val="none"/>
                      <w:vertAlign w:val="baseline"/>
                      <w:lang w:val="en-US" w:eastAsia="zh-CN"/>
                    </w:rPr>
                    <w:t>。</w:t>
                  </w:r>
                </w:p>
              </w:tc>
              <w:tc>
                <w:tcPr>
                  <w:tcW w:w="3957" w:type="dxa"/>
                  <w:tcBorders>
                    <w:tl2br w:val="nil"/>
                    <w:tr2bl w:val="nil"/>
                  </w:tcBorders>
                  <w:noWrap w:val="0"/>
                  <w:vAlign w:val="center"/>
                </w:tcPr>
                <w:p w14:paraId="0147FD79">
                  <w:pPr>
                    <w:keepNext w:val="0"/>
                    <w:keepLines w:val="0"/>
                    <w:pageBreakBefore w:val="0"/>
                    <w:widowControl/>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1.项目生产废水不排放，生活污水依托厂内现有的化粪池预处理后排入市政污水管网，送往闽侯县城关污水处理厂集中处理，不涉及向农田灌溉渠道排放工业废水；</w:t>
                  </w:r>
                </w:p>
                <w:p w14:paraId="17BD17EF">
                  <w:pPr>
                    <w:keepNext w:val="0"/>
                    <w:keepLines w:val="0"/>
                    <w:pageBreakBefore w:val="0"/>
                    <w:widowControl/>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kern w:val="0"/>
                      <w:sz w:val="21"/>
                      <w:szCs w:val="21"/>
                      <w:highlight w:val="none"/>
                      <w:lang w:val="en-US" w:eastAsia="zh-CN"/>
                    </w:rPr>
                    <w:t>2.项目不涉及二氧化硫、氮氧化物排放，</w:t>
                  </w:r>
                  <w:r>
                    <w:rPr>
                      <w:rFonts w:hint="eastAsia" w:ascii="Times New Roman" w:hAnsi="Times New Roman" w:eastAsia="宋体" w:cs="Times New Roman"/>
                      <w:color w:val="auto"/>
                      <w:kern w:val="0"/>
                      <w:sz w:val="21"/>
                      <w:szCs w:val="21"/>
                      <w:highlight w:val="none"/>
                      <w:lang w:val="en-US" w:eastAsia="zh-CN"/>
                    </w:rPr>
                    <w:t>根据</w:t>
                  </w:r>
                  <w:r>
                    <w:rPr>
                      <w:rFonts w:hint="default" w:ascii="Times New Roman" w:hAnsi="Times New Roman" w:eastAsia="宋体" w:cs="Times New Roman"/>
                      <w:b w:val="0"/>
                      <w:bCs w:val="0"/>
                      <w:color w:val="auto"/>
                      <w:sz w:val="21"/>
                      <w:szCs w:val="21"/>
                      <w:highlight w:val="none"/>
                    </w:rPr>
                    <w:t>《福州市生态环境局关于落实</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奋勇争先</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行动进一步服务和促进民营经济高质量发展的通知》（榕环保综〔2025〕47号）</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0"/>
                      <w:sz w:val="21"/>
                      <w:szCs w:val="21"/>
                      <w:highlight w:val="none"/>
                    </w:rPr>
                    <w:t>项目</w:t>
                  </w:r>
                  <w:r>
                    <w:rPr>
                      <w:rFonts w:hint="eastAsia" w:ascii="Times New Roman" w:hAnsi="Times New Roman" w:eastAsia="宋体" w:cs="Times New Roman"/>
                      <w:color w:val="auto"/>
                      <w:kern w:val="0"/>
                      <w:sz w:val="21"/>
                      <w:szCs w:val="21"/>
                      <w:highlight w:val="none"/>
                      <w:lang w:val="en-US" w:eastAsia="zh-CN"/>
                    </w:rPr>
                    <w:t>新增</w:t>
                  </w:r>
                  <w:r>
                    <w:rPr>
                      <w:rFonts w:hint="eastAsia" w:ascii="Times New Roman" w:hAnsi="Times New Roman" w:eastAsia="宋体" w:cs="Times New Roman"/>
                      <w:color w:val="auto"/>
                      <w:kern w:val="0"/>
                      <w:sz w:val="21"/>
                      <w:szCs w:val="21"/>
                      <w:highlight w:val="none"/>
                    </w:rPr>
                    <w:t>VOCs年排放量小于0.1吨</w:t>
                  </w:r>
                  <w:r>
                    <w:rPr>
                      <w:rFonts w:hint="eastAsia" w:ascii="Times New Roman" w:hAnsi="Times New Roman" w:eastAsia="宋体" w:cs="Times New Roman"/>
                      <w:color w:val="auto"/>
                      <w:spacing w:val="0"/>
                      <w:kern w:val="0"/>
                      <w:sz w:val="21"/>
                      <w:szCs w:val="21"/>
                      <w:highlight w:val="none"/>
                      <w:lang w:val="en-US" w:eastAsia="zh-CN"/>
                    </w:rPr>
                    <w:t>，无需提交总量来源说明，由市级生态环境部门统筹总量指标替代来源</w:t>
                  </w:r>
                  <w:r>
                    <w:rPr>
                      <w:rFonts w:hint="eastAsia" w:ascii="Times New Roman" w:hAnsi="Times New Roman" w:eastAsia="宋体" w:cs="Times New Roman"/>
                      <w:color w:val="auto"/>
                      <w:spacing w:val="0"/>
                      <w:sz w:val="21"/>
                      <w:szCs w:val="21"/>
                      <w:highlight w:val="none"/>
                      <w:lang w:val="en-US" w:eastAsia="zh-CN"/>
                    </w:rPr>
                    <w:t>。</w:t>
                  </w:r>
                </w:p>
              </w:tc>
              <w:tc>
                <w:tcPr>
                  <w:tcW w:w="647" w:type="dxa"/>
                  <w:tcBorders>
                    <w:tl2br w:val="nil"/>
                    <w:tr2bl w:val="nil"/>
                  </w:tcBorders>
                  <w:noWrap w:val="0"/>
                  <w:vAlign w:val="center"/>
                </w:tcPr>
                <w:p w14:paraId="01E7C704">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符合</w:t>
                  </w:r>
                </w:p>
              </w:tc>
            </w:tr>
            <w:tr w14:paraId="04B7B8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continue"/>
                  <w:tcBorders>
                    <w:tl2br w:val="nil"/>
                    <w:tr2bl w:val="nil"/>
                  </w:tcBorders>
                  <w:noWrap w:val="0"/>
                  <w:vAlign w:val="center"/>
                </w:tcPr>
                <w:p w14:paraId="5E12FEF9">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1092" w:type="dxa"/>
                  <w:tcBorders>
                    <w:tl2br w:val="nil"/>
                    <w:tr2bl w:val="nil"/>
                  </w:tcBorders>
                  <w:noWrap w:val="0"/>
                  <w:vAlign w:val="center"/>
                </w:tcPr>
                <w:p w14:paraId="4BBC89E7">
                  <w:pPr>
                    <w:pStyle w:val="9"/>
                    <w:keepNext w:val="0"/>
                    <w:keepLines w:val="0"/>
                    <w:pageBreakBefore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b w:val="0"/>
                      <w:bCs w:val="0"/>
                      <w:color w:val="auto"/>
                      <w:spacing w:val="0"/>
                      <w:sz w:val="21"/>
                      <w:szCs w:val="21"/>
                      <w:highlight w:val="none"/>
                      <w:vertAlign w:val="baseline"/>
                      <w:lang w:val="en-US" w:eastAsia="zh-CN"/>
                    </w:rPr>
                  </w:pPr>
                  <w:r>
                    <w:rPr>
                      <w:rFonts w:hint="eastAsia" w:ascii="Times New Roman" w:hAnsi="Times New Roman" w:eastAsia="宋体" w:cs="Times New Roman"/>
                      <w:b w:val="0"/>
                      <w:bCs w:val="0"/>
                      <w:color w:val="auto"/>
                      <w:spacing w:val="0"/>
                      <w:sz w:val="21"/>
                      <w:szCs w:val="21"/>
                      <w:highlight w:val="none"/>
                      <w:vertAlign w:val="baseline"/>
                      <w:lang w:val="en-US" w:eastAsia="zh-CN"/>
                    </w:rPr>
                    <w:t>环境风险防控</w:t>
                  </w:r>
                </w:p>
              </w:tc>
              <w:tc>
                <w:tcPr>
                  <w:tcW w:w="7030" w:type="dxa"/>
                  <w:tcBorders>
                    <w:tl2br w:val="nil"/>
                    <w:tr2bl w:val="nil"/>
                  </w:tcBorders>
                  <w:noWrap w:val="0"/>
                  <w:vAlign w:val="center"/>
                </w:tcPr>
                <w:p w14:paraId="5A2EE42B">
                  <w:pPr>
                    <w:pStyle w:val="9"/>
                    <w:keepNext w:val="0"/>
                    <w:keepLines w:val="0"/>
                    <w:pageBreakBefore w:val="0"/>
                    <w:numPr>
                      <w:ilvl w:val="0"/>
                      <w:numId w:val="0"/>
                    </w:numPr>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vertAlign w:val="baseline"/>
                      <w:lang w:val="en-US" w:eastAsia="zh-CN"/>
                    </w:rPr>
                    <w:t>单元内现有化学原料和化学制品制造业等具有潜在土壤污染环境风险的企业退役后，应开展土壤环境状况评估，经评估认为污染地块可能损害人体健康和环境，应当进行修复的，由造成污染的单位和个人负责被污染土壤的修复。</w:t>
                  </w:r>
                </w:p>
              </w:tc>
              <w:tc>
                <w:tcPr>
                  <w:tcW w:w="3957" w:type="dxa"/>
                  <w:tcBorders>
                    <w:tl2br w:val="nil"/>
                    <w:tr2bl w:val="nil"/>
                  </w:tcBorders>
                  <w:noWrap w:val="0"/>
                  <w:vAlign w:val="center"/>
                </w:tcPr>
                <w:p w14:paraId="36345B7E">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pacing w:val="0"/>
                      <w:sz w:val="21"/>
                      <w:szCs w:val="21"/>
                      <w:highlight w:val="none"/>
                      <w:lang w:val="en-US"/>
                    </w:rPr>
                  </w:pPr>
                  <w:r>
                    <w:rPr>
                      <w:rFonts w:hint="eastAsia" w:ascii="Times New Roman" w:hAnsi="Times New Roman" w:eastAsia="宋体" w:cs="Times New Roman"/>
                      <w:b w:val="0"/>
                      <w:bCs w:val="0"/>
                      <w:color w:val="auto"/>
                      <w:spacing w:val="0"/>
                      <w:sz w:val="21"/>
                      <w:szCs w:val="21"/>
                      <w:highlight w:val="none"/>
                      <w:vertAlign w:val="baseline"/>
                      <w:lang w:val="en-US" w:eastAsia="zh-CN"/>
                    </w:rPr>
                    <w:t>项目不属于化学原料和化学制品制造业行业，项目采取分区防渗等有效防渗措施后，项目基本不存在土壤、地下水环境污染途径，对地下水、土壤环境影响很小，若发现污染痕迹，将按照要求进行调整修复。</w:t>
                  </w:r>
                </w:p>
              </w:tc>
              <w:tc>
                <w:tcPr>
                  <w:tcW w:w="647" w:type="dxa"/>
                  <w:tcBorders>
                    <w:tl2br w:val="nil"/>
                    <w:tr2bl w:val="nil"/>
                  </w:tcBorders>
                  <w:noWrap w:val="0"/>
                  <w:vAlign w:val="center"/>
                </w:tcPr>
                <w:p w14:paraId="434D18F8">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符合</w:t>
                  </w:r>
                </w:p>
              </w:tc>
            </w:tr>
            <w:tr w14:paraId="2AF3B4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continue"/>
                  <w:tcBorders>
                    <w:tl2br w:val="nil"/>
                    <w:tr2bl w:val="nil"/>
                  </w:tcBorders>
                  <w:noWrap w:val="0"/>
                  <w:vAlign w:val="center"/>
                </w:tcPr>
                <w:p w14:paraId="27ABBA09">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1092" w:type="dxa"/>
                  <w:tcBorders>
                    <w:tl2br w:val="nil"/>
                    <w:tr2bl w:val="nil"/>
                  </w:tcBorders>
                  <w:noWrap w:val="0"/>
                  <w:vAlign w:val="center"/>
                </w:tcPr>
                <w:p w14:paraId="7D5F2D9F">
                  <w:pPr>
                    <w:keepNext w:val="0"/>
                    <w:keepLines w:val="0"/>
                    <w:pageBreakBefore w:val="0"/>
                    <w:numPr>
                      <w:ilvl w:val="0"/>
                      <w:numId w:val="0"/>
                    </w:numPr>
                    <w:kinsoku/>
                    <w:wordWrap/>
                    <w:overflowPunct/>
                    <w:topLinePunct w:val="0"/>
                    <w:autoSpaceDE/>
                    <w:autoSpaceDN/>
                    <w:bidi w:val="0"/>
                    <w:adjustRightInd/>
                    <w:ind w:left="0" w:leftChars="0" w:firstLine="0" w:firstLineChars="0"/>
                    <w:jc w:val="center"/>
                    <w:textAlignment w:val="auto"/>
                    <w:rPr>
                      <w:rFonts w:hint="eastAsia" w:ascii="Times New Roman" w:hAnsi="Times New Roman" w:eastAsia="宋体" w:cs="Times New Roman"/>
                      <w:b w:val="0"/>
                      <w:bCs w:val="0"/>
                      <w:color w:val="auto"/>
                      <w:spacing w:val="0"/>
                      <w:sz w:val="21"/>
                      <w:szCs w:val="21"/>
                      <w:highlight w:val="none"/>
                      <w:vertAlign w:val="baseline"/>
                      <w:lang w:val="en-US" w:eastAsia="zh-CN"/>
                    </w:rPr>
                  </w:pPr>
                  <w:r>
                    <w:rPr>
                      <w:rFonts w:hint="eastAsia" w:ascii="Times New Roman" w:hAnsi="Times New Roman" w:eastAsia="宋体" w:cs="Times New Roman"/>
                      <w:b w:val="0"/>
                      <w:bCs w:val="0"/>
                      <w:color w:val="auto"/>
                      <w:spacing w:val="0"/>
                      <w:sz w:val="21"/>
                      <w:szCs w:val="21"/>
                      <w:highlight w:val="none"/>
                      <w:vertAlign w:val="baseline"/>
                      <w:lang w:val="en-US" w:eastAsia="zh-CN"/>
                    </w:rPr>
                    <w:t>资源开发效率要求</w:t>
                  </w:r>
                </w:p>
              </w:tc>
              <w:tc>
                <w:tcPr>
                  <w:tcW w:w="7030" w:type="dxa"/>
                  <w:tcBorders>
                    <w:tl2br w:val="nil"/>
                    <w:tr2bl w:val="nil"/>
                  </w:tcBorders>
                  <w:noWrap w:val="0"/>
                  <w:vAlign w:val="center"/>
                </w:tcPr>
                <w:p w14:paraId="02491B7D">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0"/>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vertAlign w:val="baseline"/>
                      <w:lang w:val="en-US" w:eastAsia="zh-CN"/>
                    </w:rPr>
                    <w:t>/</w:t>
                  </w:r>
                </w:p>
              </w:tc>
              <w:tc>
                <w:tcPr>
                  <w:tcW w:w="3957" w:type="dxa"/>
                  <w:tcBorders>
                    <w:tl2br w:val="nil"/>
                    <w:tr2bl w:val="nil"/>
                  </w:tcBorders>
                  <w:noWrap w:val="0"/>
                  <w:vAlign w:val="center"/>
                </w:tcPr>
                <w:p w14:paraId="60C59F23">
                  <w:pPr>
                    <w:keepNext w:val="0"/>
                    <w:keepLines w:val="0"/>
                    <w:pageBreakBefore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color w:val="auto"/>
                      <w:spacing w:val="0"/>
                      <w:sz w:val="21"/>
                      <w:szCs w:val="21"/>
                      <w:highlight w:val="none"/>
                      <w:vertAlign w:val="baseline"/>
                      <w:lang w:val="en-US" w:eastAsia="zh-CN"/>
                    </w:rPr>
                  </w:pPr>
                  <w:r>
                    <w:rPr>
                      <w:rFonts w:hint="eastAsia" w:ascii="Times New Roman" w:hAnsi="Times New Roman" w:eastAsia="宋体" w:cs="Times New Roman"/>
                      <w:b w:val="0"/>
                      <w:bCs w:val="0"/>
                      <w:color w:val="auto"/>
                      <w:spacing w:val="0"/>
                      <w:sz w:val="21"/>
                      <w:szCs w:val="21"/>
                      <w:highlight w:val="none"/>
                      <w:vertAlign w:val="baseline"/>
                      <w:lang w:val="en-US" w:eastAsia="zh-CN"/>
                    </w:rPr>
                    <w:t>/</w:t>
                  </w:r>
                </w:p>
              </w:tc>
              <w:tc>
                <w:tcPr>
                  <w:tcW w:w="647" w:type="dxa"/>
                  <w:tcBorders>
                    <w:tl2br w:val="nil"/>
                    <w:tr2bl w:val="nil"/>
                  </w:tcBorders>
                  <w:noWrap w:val="0"/>
                  <w:vAlign w:val="center"/>
                </w:tcPr>
                <w:p w14:paraId="69F1569B">
                  <w:pPr>
                    <w:keepNext w:val="0"/>
                    <w:keepLines w:val="0"/>
                    <w:pageBreakBefore w:val="0"/>
                    <w:numPr>
                      <w:ilvl w:val="0"/>
                      <w:numId w:val="0"/>
                    </w:numPr>
                    <w:kinsoku/>
                    <w:wordWrap/>
                    <w:overflowPunct/>
                    <w:topLinePunct w:val="0"/>
                    <w:autoSpaceDE/>
                    <w:autoSpaceDN/>
                    <w:bidi w:val="0"/>
                    <w:adjustRightInd/>
                    <w:ind w:left="0" w:leftChars="0" w:firstLine="0" w:firstLineChars="0"/>
                    <w:jc w:val="center"/>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w:t>
                  </w:r>
                </w:p>
              </w:tc>
            </w:tr>
            <w:tr w14:paraId="3D9C5B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restart"/>
                  <w:tcBorders>
                    <w:tl2br w:val="nil"/>
                    <w:tr2bl w:val="nil"/>
                  </w:tcBorders>
                  <w:noWrap w:val="0"/>
                  <w:vAlign w:val="center"/>
                </w:tcPr>
                <w:p w14:paraId="208971BF">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pacing w:val="0"/>
                      <w:kern w:val="2"/>
                      <w:sz w:val="21"/>
                      <w:szCs w:val="21"/>
                      <w:highlight w:val="none"/>
                      <w:vertAlign w:val="baseline"/>
                      <w:lang w:val="en-US" w:eastAsia="zh-CN" w:bidi="ar-SA"/>
                    </w:rPr>
                  </w:pPr>
                  <w:r>
                    <w:rPr>
                      <w:rFonts w:hint="eastAsia" w:ascii="Times New Roman" w:hAnsi="Times New Roman" w:eastAsia="宋体" w:cs="Times New Roman"/>
                      <w:color w:val="auto"/>
                      <w:spacing w:val="0"/>
                      <w:kern w:val="2"/>
                      <w:sz w:val="21"/>
                      <w:szCs w:val="21"/>
                      <w:highlight w:val="none"/>
                      <w:vertAlign w:val="baseline"/>
                      <w:lang w:val="en-US" w:eastAsia="zh-CN" w:bidi="ar-SA"/>
                    </w:rPr>
                    <w:t>区域总体管控（</w:t>
                  </w:r>
                  <w:r>
                    <w:rPr>
                      <w:rFonts w:hint="eastAsia" w:ascii="Times New Roman" w:hAnsi="Times New Roman" w:eastAsia="宋体" w:cs="Times New Roman"/>
                      <w:color w:val="auto"/>
                      <w:spacing w:val="0"/>
                      <w:sz w:val="21"/>
                      <w:szCs w:val="21"/>
                      <w:highlight w:val="none"/>
                      <w:vertAlign w:val="baseline"/>
                      <w:lang w:val="en-US" w:eastAsia="zh-CN"/>
                    </w:rPr>
                    <w:t>城镇生活类重点管控单元</w:t>
                  </w:r>
                  <w:r>
                    <w:rPr>
                      <w:rFonts w:hint="eastAsia" w:ascii="Times New Roman" w:hAnsi="Times New Roman" w:eastAsia="宋体" w:cs="Times New Roman"/>
                      <w:color w:val="auto"/>
                      <w:spacing w:val="0"/>
                      <w:kern w:val="2"/>
                      <w:sz w:val="21"/>
                      <w:szCs w:val="21"/>
                      <w:highlight w:val="none"/>
                      <w:vertAlign w:val="baseline"/>
                      <w:lang w:val="en-US" w:eastAsia="zh-CN" w:bidi="ar-SA"/>
                    </w:rPr>
                    <w:t>）</w:t>
                  </w:r>
                </w:p>
              </w:tc>
              <w:tc>
                <w:tcPr>
                  <w:tcW w:w="1092" w:type="dxa"/>
                  <w:tcBorders>
                    <w:tl2br w:val="nil"/>
                    <w:tr2bl w:val="nil"/>
                  </w:tcBorders>
                  <w:noWrap w:val="0"/>
                  <w:vAlign w:val="center"/>
                </w:tcPr>
                <w:p w14:paraId="5A2DCBB6">
                  <w:pPr>
                    <w:keepNext w:val="0"/>
                    <w:keepLines w:val="0"/>
                    <w:pageBreakBefore w:val="0"/>
                    <w:numPr>
                      <w:ilvl w:val="0"/>
                      <w:numId w:val="0"/>
                    </w:numPr>
                    <w:kinsoku/>
                    <w:wordWrap/>
                    <w:overflowPunct/>
                    <w:topLinePunct w:val="0"/>
                    <w:autoSpaceDE/>
                    <w:autoSpaceDN/>
                    <w:bidi w:val="0"/>
                    <w:adjustRightInd/>
                    <w:jc w:val="center"/>
                    <w:textAlignment w:val="auto"/>
                    <w:rPr>
                      <w:rFonts w:hint="eastAsia" w:ascii="Times New Roman" w:hAnsi="Times New Roman" w:eastAsia="宋体" w:cs="Times New Roman"/>
                      <w:color w:val="auto"/>
                      <w:spacing w:val="0"/>
                      <w:kern w:val="2"/>
                      <w:sz w:val="21"/>
                      <w:szCs w:val="21"/>
                      <w:highlight w:val="none"/>
                      <w:vertAlign w:val="baseline"/>
                      <w:lang w:val="en-US" w:eastAsia="zh-CN" w:bidi="ar-SA"/>
                    </w:rPr>
                  </w:pPr>
                  <w:r>
                    <w:rPr>
                      <w:rFonts w:hint="eastAsia" w:ascii="Times New Roman" w:hAnsi="Times New Roman" w:eastAsia="宋体" w:cs="Times New Roman"/>
                      <w:color w:val="auto"/>
                      <w:spacing w:val="0"/>
                      <w:kern w:val="2"/>
                      <w:sz w:val="21"/>
                      <w:szCs w:val="21"/>
                      <w:highlight w:val="none"/>
                      <w:vertAlign w:val="baseline"/>
                      <w:lang w:val="en-US" w:eastAsia="zh-CN" w:bidi="ar-SA"/>
                    </w:rPr>
                    <w:t>空间布局约束</w:t>
                  </w:r>
                </w:p>
              </w:tc>
              <w:tc>
                <w:tcPr>
                  <w:tcW w:w="7030" w:type="dxa"/>
                  <w:tcBorders>
                    <w:tl2br w:val="nil"/>
                    <w:tr2bl w:val="nil"/>
                  </w:tcBorders>
                  <w:noWrap w:val="0"/>
                  <w:vAlign w:val="center"/>
                </w:tcPr>
                <w:p w14:paraId="46650D27">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kern w:val="2"/>
                      <w:sz w:val="21"/>
                      <w:szCs w:val="21"/>
                      <w:highlight w:val="none"/>
                      <w:vertAlign w:val="baseline"/>
                      <w:lang w:val="en-US" w:eastAsia="zh-CN" w:bidi="ar-SA"/>
                    </w:rPr>
                  </w:pPr>
                  <w:r>
                    <w:rPr>
                      <w:rFonts w:hint="eastAsia" w:ascii="Times New Roman" w:hAnsi="Times New Roman" w:eastAsia="宋体" w:cs="Times New Roman"/>
                      <w:color w:val="auto"/>
                      <w:spacing w:val="0"/>
                      <w:sz w:val="21"/>
                      <w:szCs w:val="21"/>
                      <w:highlight w:val="none"/>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w:t>
                  </w:r>
                </w:p>
              </w:tc>
              <w:tc>
                <w:tcPr>
                  <w:tcW w:w="3957" w:type="dxa"/>
                  <w:tcBorders>
                    <w:tl2br w:val="nil"/>
                    <w:tr2bl w:val="nil"/>
                  </w:tcBorders>
                  <w:noWrap w:val="0"/>
                  <w:vAlign w:val="center"/>
                </w:tcPr>
                <w:p w14:paraId="1F8DCFBE">
                  <w:pPr>
                    <w:keepNext w:val="0"/>
                    <w:keepLines w:val="0"/>
                    <w:pageBreakBefore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pacing w:val="0"/>
                      <w:sz w:val="21"/>
                      <w:szCs w:val="21"/>
                      <w:highlight w:val="none"/>
                      <w:vertAlign w:val="baseline"/>
                      <w:lang w:val="en-US" w:eastAsia="zh-CN"/>
                    </w:rPr>
                  </w:pPr>
                  <w:r>
                    <w:rPr>
                      <w:rFonts w:hint="eastAsia" w:ascii="Times New Roman" w:hAnsi="Times New Roman" w:eastAsia="宋体" w:cs="Times New Roman"/>
                      <w:b w:val="0"/>
                      <w:bCs w:val="0"/>
                      <w:color w:val="auto"/>
                      <w:spacing w:val="0"/>
                      <w:sz w:val="21"/>
                      <w:szCs w:val="21"/>
                      <w:highlight w:val="none"/>
                      <w:vertAlign w:val="baseline"/>
                      <w:lang w:val="en-US" w:eastAsia="zh-CN"/>
                    </w:rPr>
                    <w:t>项目不属于危险化学品生产企业</w:t>
                  </w:r>
                </w:p>
              </w:tc>
              <w:tc>
                <w:tcPr>
                  <w:tcW w:w="647" w:type="dxa"/>
                  <w:tcBorders>
                    <w:tl2br w:val="nil"/>
                    <w:tr2bl w:val="nil"/>
                  </w:tcBorders>
                  <w:noWrap w:val="0"/>
                  <w:vAlign w:val="center"/>
                </w:tcPr>
                <w:p w14:paraId="32EF56C7">
                  <w:pPr>
                    <w:keepNext w:val="0"/>
                    <w:keepLines w:val="0"/>
                    <w:pageBreakBefore w:val="0"/>
                    <w:numPr>
                      <w:ilvl w:val="0"/>
                      <w:numId w:val="0"/>
                    </w:numPr>
                    <w:kinsoku/>
                    <w:wordWrap/>
                    <w:overflowPunct/>
                    <w:topLinePunct w:val="0"/>
                    <w:autoSpaceDE/>
                    <w:autoSpaceDN/>
                    <w:bidi w:val="0"/>
                    <w:adjustRightInd/>
                    <w:jc w:val="center"/>
                    <w:textAlignment w:val="auto"/>
                    <w:rPr>
                      <w:rFonts w:hint="eastAsia" w:ascii="Times New Roman" w:hAnsi="Times New Roman" w:eastAsia="宋体" w:cs="Times New Roman"/>
                      <w:b/>
                      <w:bCs/>
                      <w:color w:val="auto"/>
                      <w:spacing w:val="0"/>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rPr>
                    <w:t>符合</w:t>
                  </w:r>
                </w:p>
              </w:tc>
            </w:tr>
            <w:tr w14:paraId="105055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continue"/>
                  <w:tcBorders>
                    <w:tl2br w:val="nil"/>
                    <w:tr2bl w:val="nil"/>
                  </w:tcBorders>
                  <w:noWrap w:val="0"/>
                  <w:vAlign w:val="center"/>
                </w:tcPr>
                <w:p w14:paraId="6C6190F8">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pacing w:val="0"/>
                      <w:kern w:val="2"/>
                      <w:sz w:val="21"/>
                      <w:szCs w:val="21"/>
                      <w:highlight w:val="none"/>
                      <w:vertAlign w:val="baseline"/>
                      <w:lang w:val="en-US" w:eastAsia="zh-CN" w:bidi="ar-SA"/>
                    </w:rPr>
                  </w:pPr>
                </w:p>
              </w:tc>
              <w:tc>
                <w:tcPr>
                  <w:tcW w:w="1092" w:type="dxa"/>
                  <w:tcBorders>
                    <w:tl2br w:val="nil"/>
                    <w:tr2bl w:val="nil"/>
                  </w:tcBorders>
                  <w:noWrap w:val="0"/>
                  <w:vAlign w:val="center"/>
                </w:tcPr>
                <w:p w14:paraId="7E2D3385">
                  <w:pPr>
                    <w:keepNext w:val="0"/>
                    <w:keepLines w:val="0"/>
                    <w:pageBreakBefore w:val="0"/>
                    <w:numPr>
                      <w:ilvl w:val="0"/>
                      <w:numId w:val="0"/>
                    </w:numPr>
                    <w:kinsoku/>
                    <w:wordWrap/>
                    <w:overflowPunct/>
                    <w:topLinePunct w:val="0"/>
                    <w:autoSpaceDE/>
                    <w:autoSpaceDN/>
                    <w:bidi w:val="0"/>
                    <w:adjustRightInd/>
                    <w:jc w:val="center"/>
                    <w:textAlignment w:val="auto"/>
                    <w:rPr>
                      <w:rFonts w:hint="eastAsia" w:ascii="Times New Roman" w:hAnsi="Times New Roman" w:eastAsia="宋体" w:cs="Times New Roman"/>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highlight w:val="none"/>
                      <w:vertAlign w:val="baseline"/>
                      <w:lang w:val="en-US" w:eastAsia="zh-CN"/>
                    </w:rPr>
                    <w:t>污染物排放管控</w:t>
                  </w:r>
                </w:p>
              </w:tc>
              <w:tc>
                <w:tcPr>
                  <w:tcW w:w="7030" w:type="dxa"/>
                  <w:tcBorders>
                    <w:tl2br w:val="nil"/>
                    <w:tr2bl w:val="nil"/>
                  </w:tcBorders>
                  <w:noWrap w:val="0"/>
                  <w:vAlign w:val="center"/>
                </w:tcPr>
                <w:p w14:paraId="4916189E">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pacing w:val="0"/>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vertAlign w:val="baseline"/>
                      <w:lang w:val="en-US" w:eastAsia="zh-CN"/>
                    </w:rPr>
                    <w:t>在城市建成区新建大气污染型项目，二氧化硫、氮氧化物排放量应实行倍量削减替代。</w:t>
                  </w:r>
                </w:p>
              </w:tc>
              <w:tc>
                <w:tcPr>
                  <w:tcW w:w="3957" w:type="dxa"/>
                  <w:tcBorders>
                    <w:tl2br w:val="nil"/>
                    <w:tr2bl w:val="nil"/>
                  </w:tcBorders>
                  <w:noWrap w:val="0"/>
                  <w:vAlign w:val="center"/>
                </w:tcPr>
                <w:p w14:paraId="1447B323">
                  <w:pPr>
                    <w:keepNext w:val="0"/>
                    <w:keepLines w:val="0"/>
                    <w:pageBreakBefore w:val="0"/>
                    <w:numPr>
                      <w:ilvl w:val="0"/>
                      <w:numId w:val="0"/>
                    </w:numPr>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pacing w:val="0"/>
                      <w:sz w:val="21"/>
                      <w:szCs w:val="21"/>
                      <w:highlight w:val="none"/>
                      <w:vertAlign w:val="baseline"/>
                      <w:lang w:val="en-US" w:eastAsia="zh-CN"/>
                    </w:rPr>
                  </w:pPr>
                  <w:r>
                    <w:rPr>
                      <w:rFonts w:hint="eastAsia" w:ascii="Times New Roman" w:hAnsi="Times New Roman" w:eastAsia="宋体" w:cs="Times New Roman"/>
                      <w:b w:val="0"/>
                      <w:bCs w:val="0"/>
                      <w:color w:val="auto"/>
                      <w:spacing w:val="0"/>
                      <w:sz w:val="21"/>
                      <w:szCs w:val="21"/>
                      <w:highlight w:val="none"/>
                      <w:vertAlign w:val="baseline"/>
                      <w:lang w:val="en-US" w:eastAsia="zh-CN"/>
                    </w:rPr>
                    <w:t>项目不涉及二氧化硫、氮氧化物排放</w:t>
                  </w:r>
                </w:p>
              </w:tc>
              <w:tc>
                <w:tcPr>
                  <w:tcW w:w="647" w:type="dxa"/>
                  <w:tcBorders>
                    <w:tl2br w:val="nil"/>
                    <w:tr2bl w:val="nil"/>
                  </w:tcBorders>
                  <w:noWrap w:val="0"/>
                  <w:vAlign w:val="center"/>
                </w:tcPr>
                <w:p w14:paraId="1DFC19B6">
                  <w:pPr>
                    <w:keepNext w:val="0"/>
                    <w:keepLines w:val="0"/>
                    <w:pageBreakBefore w:val="0"/>
                    <w:numPr>
                      <w:ilvl w:val="0"/>
                      <w:numId w:val="0"/>
                    </w:numPr>
                    <w:kinsoku/>
                    <w:wordWrap/>
                    <w:overflowPunct/>
                    <w:topLinePunct w:val="0"/>
                    <w:autoSpaceDE/>
                    <w:autoSpaceDN/>
                    <w:bidi w:val="0"/>
                    <w:adjustRightInd/>
                    <w:jc w:val="center"/>
                    <w:textAlignment w:val="auto"/>
                    <w:rPr>
                      <w:rFonts w:hint="eastAsia" w:ascii="Times New Roman" w:hAnsi="Times New Roman" w:eastAsia="宋体" w:cs="Times New Roman"/>
                      <w:b/>
                      <w:bCs/>
                      <w:color w:val="auto"/>
                      <w:spacing w:val="0"/>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rPr>
                    <w:t>符合</w:t>
                  </w:r>
                </w:p>
              </w:tc>
            </w:tr>
            <w:tr w14:paraId="73944F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continue"/>
                  <w:tcBorders>
                    <w:tl2br w:val="nil"/>
                    <w:tr2bl w:val="nil"/>
                  </w:tcBorders>
                  <w:noWrap w:val="0"/>
                  <w:vAlign w:val="center"/>
                </w:tcPr>
                <w:p w14:paraId="146FA9CB">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pacing w:val="0"/>
                      <w:kern w:val="2"/>
                      <w:sz w:val="21"/>
                      <w:szCs w:val="21"/>
                      <w:highlight w:val="none"/>
                      <w:vertAlign w:val="baseline"/>
                      <w:lang w:val="en-US" w:eastAsia="zh-CN" w:bidi="ar-SA"/>
                    </w:rPr>
                  </w:pPr>
                </w:p>
              </w:tc>
              <w:tc>
                <w:tcPr>
                  <w:tcW w:w="1092" w:type="dxa"/>
                  <w:tcBorders>
                    <w:tl2br w:val="nil"/>
                    <w:tr2bl w:val="nil"/>
                  </w:tcBorders>
                  <w:noWrap w:val="0"/>
                  <w:vAlign w:val="center"/>
                </w:tcPr>
                <w:p w14:paraId="0CEFBD61">
                  <w:pPr>
                    <w:keepNext w:val="0"/>
                    <w:keepLines w:val="0"/>
                    <w:pageBreakBefore w:val="0"/>
                    <w:numPr>
                      <w:ilvl w:val="0"/>
                      <w:numId w:val="0"/>
                    </w:numPr>
                    <w:kinsoku/>
                    <w:wordWrap/>
                    <w:overflowPunct/>
                    <w:topLinePunct w:val="0"/>
                    <w:autoSpaceDE/>
                    <w:autoSpaceDN/>
                    <w:bidi w:val="0"/>
                    <w:adjustRightInd/>
                    <w:jc w:val="center"/>
                    <w:textAlignment w:val="auto"/>
                    <w:rPr>
                      <w:rFonts w:hint="eastAsia" w:ascii="Times New Roman" w:hAnsi="Times New Roman" w:eastAsia="宋体" w:cs="Times New Roman"/>
                      <w:b w:val="0"/>
                      <w:bCs w:val="0"/>
                      <w:color w:val="auto"/>
                      <w:spacing w:val="0"/>
                      <w:sz w:val="21"/>
                      <w:szCs w:val="21"/>
                      <w:highlight w:val="none"/>
                      <w:vertAlign w:val="baseline"/>
                      <w:lang w:val="en-US" w:eastAsia="zh-CN"/>
                    </w:rPr>
                  </w:pPr>
                  <w:r>
                    <w:rPr>
                      <w:rFonts w:hint="eastAsia" w:ascii="Times New Roman" w:hAnsi="Times New Roman" w:eastAsia="宋体" w:cs="Times New Roman"/>
                      <w:b w:val="0"/>
                      <w:bCs w:val="0"/>
                      <w:color w:val="auto"/>
                      <w:spacing w:val="0"/>
                      <w:sz w:val="21"/>
                      <w:szCs w:val="21"/>
                      <w:highlight w:val="none"/>
                      <w:vertAlign w:val="baseline"/>
                      <w:lang w:val="en-US" w:eastAsia="zh-CN"/>
                    </w:rPr>
                    <w:t>环境风险防控</w:t>
                  </w:r>
                </w:p>
              </w:tc>
              <w:tc>
                <w:tcPr>
                  <w:tcW w:w="7030" w:type="dxa"/>
                  <w:tcBorders>
                    <w:tl2br w:val="nil"/>
                    <w:tr2bl w:val="nil"/>
                  </w:tcBorders>
                  <w:noWrap w:val="0"/>
                  <w:vAlign w:val="center"/>
                </w:tcPr>
                <w:p w14:paraId="09C6DCF7">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vertAlign w:val="baseline"/>
                      <w:lang w:val="en-US" w:eastAsia="zh-CN"/>
                    </w:rPr>
                    <w:t>/</w:t>
                  </w:r>
                </w:p>
              </w:tc>
              <w:tc>
                <w:tcPr>
                  <w:tcW w:w="3957" w:type="dxa"/>
                  <w:tcBorders>
                    <w:tl2br w:val="nil"/>
                    <w:tr2bl w:val="nil"/>
                  </w:tcBorders>
                  <w:noWrap w:val="0"/>
                  <w:vAlign w:val="center"/>
                </w:tcPr>
                <w:p w14:paraId="35223143">
                  <w:pPr>
                    <w:keepNext w:val="0"/>
                    <w:keepLines w:val="0"/>
                    <w:pageBreakBefore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sz w:val="21"/>
                      <w:szCs w:val="21"/>
                      <w:highlight w:val="none"/>
                      <w:vertAlign w:val="baseline"/>
                      <w:lang w:val="en-US" w:eastAsia="zh-CN"/>
                    </w:rPr>
                  </w:pPr>
                  <w:r>
                    <w:rPr>
                      <w:rFonts w:hint="eastAsia" w:ascii="Times New Roman" w:hAnsi="Times New Roman" w:eastAsia="宋体" w:cs="Times New Roman"/>
                      <w:b w:val="0"/>
                      <w:bCs w:val="0"/>
                      <w:color w:val="auto"/>
                      <w:spacing w:val="0"/>
                      <w:sz w:val="21"/>
                      <w:szCs w:val="21"/>
                      <w:highlight w:val="none"/>
                      <w:vertAlign w:val="baseline"/>
                      <w:lang w:val="en-US" w:eastAsia="zh-CN"/>
                    </w:rPr>
                    <w:t>/</w:t>
                  </w:r>
                </w:p>
              </w:tc>
              <w:tc>
                <w:tcPr>
                  <w:tcW w:w="647" w:type="dxa"/>
                  <w:tcBorders>
                    <w:tl2br w:val="nil"/>
                    <w:tr2bl w:val="nil"/>
                  </w:tcBorders>
                  <w:noWrap w:val="0"/>
                  <w:vAlign w:val="center"/>
                </w:tcPr>
                <w:p w14:paraId="1BABA1CD">
                  <w:pPr>
                    <w:keepNext w:val="0"/>
                    <w:keepLines w:val="0"/>
                    <w:pageBreakBefore w:val="0"/>
                    <w:numPr>
                      <w:ilvl w:val="0"/>
                      <w:numId w:val="0"/>
                    </w:numPr>
                    <w:kinsoku/>
                    <w:wordWrap/>
                    <w:overflowPunct/>
                    <w:topLinePunct w:val="0"/>
                    <w:autoSpaceDE/>
                    <w:autoSpaceDN/>
                    <w:bidi w:val="0"/>
                    <w:adjustRightInd/>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702CF9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dxa"/>
                  <w:vMerge w:val="continue"/>
                  <w:tcBorders>
                    <w:tl2br w:val="nil"/>
                    <w:tr2bl w:val="nil"/>
                  </w:tcBorders>
                  <w:noWrap w:val="0"/>
                  <w:vAlign w:val="center"/>
                </w:tcPr>
                <w:p w14:paraId="619B2700">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pacing w:val="0"/>
                      <w:kern w:val="2"/>
                      <w:sz w:val="21"/>
                      <w:szCs w:val="21"/>
                      <w:highlight w:val="none"/>
                      <w:vertAlign w:val="baseline"/>
                      <w:lang w:val="en-US" w:eastAsia="zh-CN" w:bidi="ar-SA"/>
                    </w:rPr>
                  </w:pPr>
                </w:p>
              </w:tc>
              <w:tc>
                <w:tcPr>
                  <w:tcW w:w="1092" w:type="dxa"/>
                  <w:tcBorders>
                    <w:tl2br w:val="nil"/>
                    <w:tr2bl w:val="nil"/>
                  </w:tcBorders>
                  <w:noWrap w:val="0"/>
                  <w:vAlign w:val="center"/>
                </w:tcPr>
                <w:p w14:paraId="34EEBF1C">
                  <w:pPr>
                    <w:keepNext w:val="0"/>
                    <w:keepLines w:val="0"/>
                    <w:pageBreakBefore w:val="0"/>
                    <w:numPr>
                      <w:ilvl w:val="0"/>
                      <w:numId w:val="0"/>
                    </w:numPr>
                    <w:kinsoku/>
                    <w:wordWrap/>
                    <w:overflowPunct/>
                    <w:topLinePunct w:val="0"/>
                    <w:autoSpaceDE/>
                    <w:autoSpaceDN/>
                    <w:bidi w:val="0"/>
                    <w:adjustRightInd/>
                    <w:jc w:val="center"/>
                    <w:textAlignment w:val="auto"/>
                    <w:rPr>
                      <w:rFonts w:hint="default" w:ascii="Times New Roman" w:hAnsi="Times New Roman" w:eastAsia="宋体" w:cs="Times New Roman"/>
                      <w:b w:val="0"/>
                      <w:bCs w:val="0"/>
                      <w:color w:val="auto"/>
                      <w:spacing w:val="0"/>
                      <w:sz w:val="21"/>
                      <w:szCs w:val="21"/>
                      <w:highlight w:val="none"/>
                      <w:vertAlign w:val="baseline"/>
                      <w:lang w:val="en-US" w:eastAsia="zh-CN"/>
                    </w:rPr>
                  </w:pPr>
                  <w:r>
                    <w:rPr>
                      <w:rFonts w:hint="eastAsia" w:ascii="Times New Roman" w:hAnsi="Times New Roman" w:eastAsia="宋体" w:cs="Times New Roman"/>
                      <w:b w:val="0"/>
                      <w:bCs w:val="0"/>
                      <w:color w:val="auto"/>
                      <w:spacing w:val="0"/>
                      <w:sz w:val="21"/>
                      <w:szCs w:val="21"/>
                      <w:highlight w:val="none"/>
                      <w:vertAlign w:val="baseline"/>
                      <w:lang w:val="en-US" w:eastAsia="zh-CN"/>
                    </w:rPr>
                    <w:t>资源开发效率要求</w:t>
                  </w:r>
                </w:p>
              </w:tc>
              <w:tc>
                <w:tcPr>
                  <w:tcW w:w="7030" w:type="dxa"/>
                  <w:tcBorders>
                    <w:tl2br w:val="nil"/>
                    <w:tr2bl w:val="nil"/>
                  </w:tcBorders>
                  <w:noWrap w:val="0"/>
                  <w:vAlign w:val="center"/>
                </w:tcPr>
                <w:p w14:paraId="1D3F1E6A">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vertAlign w:val="baseline"/>
                      <w:lang w:val="en-US" w:eastAsia="zh-CN"/>
                    </w:rPr>
                    <w:t>/</w:t>
                  </w:r>
                </w:p>
              </w:tc>
              <w:tc>
                <w:tcPr>
                  <w:tcW w:w="3957" w:type="dxa"/>
                  <w:tcBorders>
                    <w:tl2br w:val="nil"/>
                    <w:tr2bl w:val="nil"/>
                  </w:tcBorders>
                  <w:noWrap w:val="0"/>
                  <w:vAlign w:val="center"/>
                </w:tcPr>
                <w:p w14:paraId="51417EEB">
                  <w:pPr>
                    <w:keepNext w:val="0"/>
                    <w:keepLines w:val="0"/>
                    <w:pageBreakBefore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pacing w:val="0"/>
                      <w:sz w:val="21"/>
                      <w:szCs w:val="21"/>
                      <w:highlight w:val="none"/>
                      <w:vertAlign w:val="baseline"/>
                      <w:lang w:val="en-US" w:eastAsia="zh-CN"/>
                    </w:rPr>
                  </w:pPr>
                  <w:r>
                    <w:rPr>
                      <w:rFonts w:hint="eastAsia" w:ascii="Times New Roman" w:hAnsi="Times New Roman" w:eastAsia="宋体" w:cs="Times New Roman"/>
                      <w:b w:val="0"/>
                      <w:bCs w:val="0"/>
                      <w:color w:val="auto"/>
                      <w:spacing w:val="0"/>
                      <w:sz w:val="21"/>
                      <w:szCs w:val="21"/>
                      <w:highlight w:val="none"/>
                      <w:vertAlign w:val="baseline"/>
                      <w:lang w:val="en-US" w:eastAsia="zh-CN"/>
                    </w:rPr>
                    <w:t>/</w:t>
                  </w:r>
                </w:p>
              </w:tc>
              <w:tc>
                <w:tcPr>
                  <w:tcW w:w="647" w:type="dxa"/>
                  <w:tcBorders>
                    <w:tl2br w:val="nil"/>
                    <w:tr2bl w:val="nil"/>
                  </w:tcBorders>
                  <w:noWrap w:val="0"/>
                  <w:vAlign w:val="center"/>
                </w:tcPr>
                <w:p w14:paraId="738713EE">
                  <w:pPr>
                    <w:keepNext w:val="0"/>
                    <w:keepLines w:val="0"/>
                    <w:pageBreakBefore w:val="0"/>
                    <w:numPr>
                      <w:ilvl w:val="0"/>
                      <w:numId w:val="0"/>
                    </w:numPr>
                    <w:kinsoku/>
                    <w:wordWrap/>
                    <w:overflowPunct/>
                    <w:topLinePunct w:val="0"/>
                    <w:autoSpaceDE/>
                    <w:autoSpaceDN/>
                    <w:bidi w:val="0"/>
                    <w:adjustRightInd/>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bl>
          <w:p w14:paraId="1D0E59CF">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ascii="Times New Roman" w:hAnsi="Times New Roman" w:eastAsia="宋体" w:cs="Times New Roman"/>
                <w:color w:val="auto"/>
                <w:spacing w:val="0"/>
                <w:kern w:val="0"/>
                <w:sz w:val="24"/>
                <w:highlight w:val="none"/>
                <w:lang w:bidi="ar"/>
              </w:rPr>
            </w:pPr>
            <w:r>
              <w:rPr>
                <w:rFonts w:hint="eastAsia" w:ascii="Times New Roman" w:hAnsi="Times New Roman" w:eastAsia="宋体" w:cs="Times New Roman"/>
                <w:color w:val="auto"/>
                <w:spacing w:val="0"/>
                <w:kern w:val="0"/>
                <w:sz w:val="24"/>
                <w:highlight w:val="none"/>
                <w:lang w:bidi="ar"/>
              </w:rPr>
              <w:t>综上所述，本项目建设符合</w:t>
            </w:r>
            <w:r>
              <w:rPr>
                <w:rFonts w:hint="eastAsia" w:ascii="Times New Roman" w:hAnsi="Times New Roman" w:eastAsia="宋体" w:cs="Times New Roman"/>
                <w:color w:val="auto"/>
                <w:spacing w:val="0"/>
                <w:kern w:val="0"/>
                <w:sz w:val="24"/>
                <w:highlight w:val="none"/>
                <w:lang w:eastAsia="zh-CN" w:bidi="ar"/>
              </w:rPr>
              <w:t>“</w:t>
            </w:r>
            <w:r>
              <w:rPr>
                <w:rFonts w:hint="eastAsia" w:ascii="Times New Roman" w:hAnsi="Times New Roman" w:eastAsia="宋体" w:cs="Times New Roman"/>
                <w:color w:val="auto"/>
                <w:spacing w:val="0"/>
                <w:kern w:val="0"/>
                <w:sz w:val="24"/>
                <w:highlight w:val="none"/>
                <w:lang w:bidi="ar"/>
              </w:rPr>
              <w:t>三线一单</w:t>
            </w:r>
            <w:r>
              <w:rPr>
                <w:rFonts w:hint="eastAsia" w:ascii="Times New Roman" w:hAnsi="Times New Roman" w:eastAsia="宋体" w:cs="Times New Roman"/>
                <w:color w:val="auto"/>
                <w:spacing w:val="0"/>
                <w:kern w:val="0"/>
                <w:sz w:val="24"/>
                <w:highlight w:val="none"/>
                <w:lang w:eastAsia="zh-CN" w:bidi="ar"/>
              </w:rPr>
              <w:t>”</w:t>
            </w:r>
            <w:r>
              <w:rPr>
                <w:rFonts w:hint="eastAsia" w:ascii="Times New Roman" w:hAnsi="Times New Roman" w:eastAsia="宋体" w:cs="Times New Roman"/>
                <w:color w:val="auto"/>
                <w:spacing w:val="0"/>
                <w:kern w:val="0"/>
                <w:sz w:val="24"/>
                <w:highlight w:val="none"/>
                <w:lang w:bidi="ar"/>
              </w:rPr>
              <w:t>控制要求。</w:t>
            </w:r>
          </w:p>
          <w:p w14:paraId="209750F2">
            <w:pPr>
              <w:pStyle w:val="150"/>
              <w:keepNext w:val="0"/>
              <w:keepLines w:val="0"/>
              <w:pageBreakBefore w:val="0"/>
              <w:widowControl w:val="0"/>
              <w:kinsoku/>
              <w:wordWrap/>
              <w:overflowPunct/>
              <w:topLinePunct w:val="0"/>
              <w:autoSpaceDE/>
              <w:autoSpaceDN w:val="0"/>
              <w:bidi w:val="0"/>
              <w:adjustRightInd/>
              <w:snapToGrid/>
              <w:spacing w:line="360" w:lineRule="auto"/>
              <w:ind w:firstLine="0" w:firstLineChars="0"/>
              <w:jc w:val="both"/>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与挥发性有机物污染防治相关政策符合性分析</w:t>
            </w:r>
          </w:p>
          <w:p w14:paraId="59BB663C">
            <w:pPr>
              <w:keepNext w:val="0"/>
              <w:keepLines w:val="0"/>
              <w:pageBreakBefore w:val="0"/>
              <w:widowControl w:val="0"/>
              <w:kinsoku/>
              <w:wordWrap/>
              <w:overflowPunct/>
              <w:topLinePunct w:val="0"/>
              <w:autoSpaceDE/>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本项目与挥发性有机物污染防治相关政策符合性分析详见表</w:t>
            </w:r>
            <w:r>
              <w:rPr>
                <w:rFonts w:hint="eastAsia"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w:t>
            </w:r>
          </w:p>
          <w:p w14:paraId="48AB4AF2">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表</w:t>
            </w:r>
            <w:r>
              <w:rPr>
                <w:rFonts w:hint="eastAsia" w:ascii="Times New Roman" w:hAnsi="Times New Roman" w:eastAsia="宋体" w:cs="Times New Roman"/>
                <w:b/>
                <w:bCs/>
                <w:color w:val="auto"/>
                <w:sz w:val="24"/>
                <w:szCs w:val="24"/>
                <w:highlight w:val="none"/>
                <w:lang w:val="en-US" w:eastAsia="zh-CN"/>
              </w:rPr>
              <w:t>1-4</w:t>
            </w:r>
            <w:r>
              <w:rPr>
                <w:rFonts w:hint="default" w:ascii="Times New Roman" w:hAnsi="Times New Roman" w:eastAsia="宋体" w:cs="Times New Roman"/>
                <w:b/>
                <w:bCs/>
                <w:color w:val="auto"/>
                <w:sz w:val="24"/>
                <w:szCs w:val="24"/>
                <w:highlight w:val="none"/>
                <w:lang w:eastAsia="zh-CN"/>
              </w:rPr>
              <w:t xml:space="preserve"> </w:t>
            </w:r>
            <w:r>
              <w:rPr>
                <w:rFonts w:hint="eastAsia" w:ascii="Times New Roman" w:hAnsi="Times New Roman" w:eastAsia="宋体" w:cs="Times New Roman"/>
                <w:b/>
                <w:bCs/>
                <w:color w:val="auto"/>
                <w:sz w:val="24"/>
                <w:szCs w:val="24"/>
                <w:highlight w:val="none"/>
                <w:lang w:val="en-US" w:eastAsia="zh-CN"/>
              </w:rPr>
              <w:t>项目与</w:t>
            </w:r>
            <w:r>
              <w:rPr>
                <w:rFonts w:hint="default" w:ascii="Times New Roman" w:hAnsi="Times New Roman" w:eastAsia="宋体" w:cs="Times New Roman"/>
                <w:b/>
                <w:bCs/>
                <w:color w:val="auto"/>
                <w:sz w:val="24"/>
                <w:szCs w:val="24"/>
                <w:highlight w:val="none"/>
                <w:lang w:eastAsia="zh-CN"/>
              </w:rPr>
              <w:t>挥发性有机物污染防治相关政策符合性分析</w:t>
            </w:r>
            <w:r>
              <w:rPr>
                <w:rFonts w:hint="eastAsia" w:ascii="Times New Roman" w:hAnsi="Times New Roman" w:eastAsia="宋体" w:cs="Times New Roman"/>
                <w:b/>
                <w:bCs/>
                <w:color w:val="auto"/>
                <w:sz w:val="24"/>
                <w:szCs w:val="24"/>
                <w:highlight w:val="none"/>
                <w:lang w:val="en-US" w:eastAsia="zh-CN"/>
              </w:rPr>
              <w:t>一览表</w:t>
            </w:r>
          </w:p>
          <w:tbl>
            <w:tblPr>
              <w:tblStyle w:val="2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9"/>
              <w:gridCol w:w="1614"/>
              <w:gridCol w:w="5926"/>
              <w:gridCol w:w="4830"/>
              <w:gridCol w:w="788"/>
            </w:tblGrid>
            <w:tr w14:paraId="7F64C9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tcBorders>
                    <w:tl2br w:val="nil"/>
                    <w:tr2bl w:val="nil"/>
                  </w:tcBorders>
                  <w:noWrap w:val="0"/>
                  <w:vAlign w:val="center"/>
                </w:tcPr>
                <w:p w14:paraId="6398DD92">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586" w:type="pct"/>
                  <w:tcBorders>
                    <w:tl2br w:val="nil"/>
                    <w:tr2bl w:val="nil"/>
                  </w:tcBorders>
                  <w:noWrap w:val="0"/>
                  <w:vAlign w:val="center"/>
                </w:tcPr>
                <w:p w14:paraId="19B6E723">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相关文件名称</w:t>
                  </w:r>
                </w:p>
              </w:tc>
              <w:tc>
                <w:tcPr>
                  <w:tcW w:w="2152" w:type="pct"/>
                  <w:tcBorders>
                    <w:tl2br w:val="nil"/>
                    <w:tr2bl w:val="nil"/>
                  </w:tcBorders>
                  <w:noWrap w:val="0"/>
                  <w:vAlign w:val="center"/>
                </w:tcPr>
                <w:p w14:paraId="4C9E018D">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相关内容</w:t>
                  </w:r>
                  <w:r>
                    <w:rPr>
                      <w:rFonts w:hint="eastAsia" w:ascii="Times New Roman" w:hAnsi="Times New Roman" w:eastAsia="宋体" w:cs="Times New Roman"/>
                      <w:b/>
                      <w:bCs/>
                      <w:color w:val="auto"/>
                      <w:sz w:val="21"/>
                      <w:szCs w:val="21"/>
                      <w:highlight w:val="none"/>
                      <w:lang w:val="en-US" w:eastAsia="zh-CN"/>
                    </w:rPr>
                    <w:t>（摘录）</w:t>
                  </w:r>
                </w:p>
              </w:tc>
              <w:tc>
                <w:tcPr>
                  <w:tcW w:w="1754" w:type="pct"/>
                  <w:tcBorders>
                    <w:tl2br w:val="nil"/>
                    <w:tr2bl w:val="nil"/>
                  </w:tcBorders>
                  <w:noWrap w:val="0"/>
                  <w:vAlign w:val="center"/>
                </w:tcPr>
                <w:p w14:paraId="20978E74">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项目情况</w:t>
                  </w:r>
                </w:p>
              </w:tc>
              <w:tc>
                <w:tcPr>
                  <w:tcW w:w="286" w:type="pct"/>
                  <w:tcBorders>
                    <w:tl2br w:val="nil"/>
                    <w:tr2bl w:val="nil"/>
                  </w:tcBorders>
                  <w:noWrap w:val="0"/>
                  <w:vAlign w:val="center"/>
                </w:tcPr>
                <w:p w14:paraId="4730DCAE">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74AF2F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restart"/>
                  <w:tcBorders>
                    <w:tl2br w:val="nil"/>
                    <w:tr2bl w:val="nil"/>
                  </w:tcBorders>
                  <w:noWrap w:val="0"/>
                  <w:vAlign w:val="center"/>
                </w:tcPr>
                <w:p w14:paraId="053DF842">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586" w:type="pct"/>
                  <w:vMerge w:val="restart"/>
                  <w:tcBorders>
                    <w:tl2br w:val="nil"/>
                    <w:tr2bl w:val="nil"/>
                  </w:tcBorders>
                  <w:noWrap w:val="0"/>
                  <w:vAlign w:val="center"/>
                </w:tcPr>
                <w:p w14:paraId="03B5D16A">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《空气质量持续改善行动计划》(国发〔2023〕24号)</w:t>
                  </w:r>
                </w:p>
              </w:tc>
              <w:tc>
                <w:tcPr>
                  <w:tcW w:w="2152" w:type="pct"/>
                  <w:tcBorders>
                    <w:tl2br w:val="nil"/>
                    <w:tr2bl w:val="nil"/>
                  </w:tcBorders>
                  <w:noWrap w:val="0"/>
                  <w:vAlign w:val="center"/>
                </w:tcPr>
                <w:p w14:paraId="7B98A916">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（七）优化含VOCs原辅材料和产品结构</w:t>
                  </w:r>
                </w:p>
                <w:p w14:paraId="0EFC4A47">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1754" w:type="pct"/>
                  <w:tcBorders>
                    <w:tl2br w:val="nil"/>
                    <w:tr2bl w:val="nil"/>
                  </w:tcBorders>
                  <w:noWrap w:val="0"/>
                  <w:vAlign w:val="center"/>
                </w:tcPr>
                <w:p w14:paraId="249517C7">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项目不涉及油墨、胶粘剂、清洗剂等原辅材料，根</w:t>
                  </w:r>
                  <w:r>
                    <w:rPr>
                      <w:rFonts w:hint="default" w:ascii="Times New Roman" w:hAnsi="Times New Roman" w:eastAsia="宋体" w:cs="Times New Roman"/>
                      <w:color w:val="auto"/>
                      <w:spacing w:val="0"/>
                      <w:kern w:val="0"/>
                      <w:sz w:val="21"/>
                      <w:szCs w:val="21"/>
                      <w:highlight w:val="none"/>
                    </w:rPr>
                    <w:t>据第二章节</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主要原辅材料及能源消耗 主要原辅材料理化性质</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分析，项目使用的</w:t>
                  </w:r>
                  <w:r>
                    <w:rPr>
                      <w:rFonts w:hint="eastAsia" w:ascii="Times New Roman" w:hAnsi="Times New Roman" w:eastAsia="宋体" w:cs="Times New Roman"/>
                      <w:color w:val="auto"/>
                      <w:spacing w:val="0"/>
                      <w:kern w:val="0"/>
                      <w:sz w:val="21"/>
                      <w:szCs w:val="21"/>
                      <w:highlight w:val="none"/>
                      <w:lang w:val="en-US" w:eastAsia="zh-CN"/>
                    </w:rPr>
                    <w:t>油性</w:t>
                  </w:r>
                  <w:r>
                    <w:rPr>
                      <w:rFonts w:hint="default" w:ascii="Times New Roman" w:hAnsi="Times New Roman" w:eastAsia="宋体" w:cs="Times New Roman"/>
                      <w:color w:val="auto"/>
                      <w:spacing w:val="0"/>
                      <w:kern w:val="0"/>
                      <w:sz w:val="21"/>
                      <w:szCs w:val="21"/>
                      <w:highlight w:val="none"/>
                    </w:rPr>
                    <w:t>漆、稀释剂、固化剂在施工状态下属于低VOCs含量原辅材料，不属于高VOCs排放范畴；项目使用的水性</w:t>
                  </w:r>
                  <w:r>
                    <w:rPr>
                      <w:rFonts w:hint="eastAsia" w:ascii="Times New Roman" w:hAnsi="Times New Roman" w:eastAsia="宋体" w:cs="Times New Roman"/>
                      <w:color w:val="auto"/>
                      <w:spacing w:val="0"/>
                      <w:kern w:val="0"/>
                      <w:sz w:val="21"/>
                      <w:szCs w:val="21"/>
                      <w:highlight w:val="none"/>
                      <w:lang w:val="en-US" w:eastAsia="zh-CN"/>
                    </w:rPr>
                    <w:t>漆</w:t>
                  </w:r>
                  <w:r>
                    <w:rPr>
                      <w:rFonts w:hint="default" w:ascii="Times New Roman" w:hAnsi="Times New Roman" w:eastAsia="宋体" w:cs="Times New Roman"/>
                      <w:color w:val="auto"/>
                      <w:spacing w:val="0"/>
                      <w:kern w:val="0"/>
                      <w:sz w:val="21"/>
                      <w:szCs w:val="21"/>
                      <w:highlight w:val="none"/>
                    </w:rPr>
                    <w:t>符合《低挥发性有机化合物含量涂料产品技术要求》（GB/T 38597-2020）中的VOCs含量要求规定</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lang w:val="en-US" w:eastAsia="zh-CN"/>
                    </w:rPr>
                    <w:t>使用的油性漆、水性漆、稀释剂、固化剂等原辅材料严格执行VOCs含量限值标准。</w:t>
                  </w:r>
                </w:p>
              </w:tc>
              <w:tc>
                <w:tcPr>
                  <w:tcW w:w="286" w:type="pct"/>
                  <w:tcBorders>
                    <w:tl2br w:val="nil"/>
                    <w:tr2bl w:val="nil"/>
                  </w:tcBorders>
                  <w:noWrap w:val="0"/>
                  <w:vAlign w:val="center"/>
                </w:tcPr>
                <w:p w14:paraId="16C59897">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14:paraId="0D1C70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continue"/>
                  <w:tcBorders>
                    <w:tl2br w:val="nil"/>
                    <w:tr2bl w:val="nil"/>
                  </w:tcBorders>
                  <w:noWrap w:val="0"/>
                  <w:vAlign w:val="center"/>
                </w:tcPr>
                <w:p w14:paraId="6D8F2061">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586" w:type="pct"/>
                  <w:vMerge w:val="continue"/>
                  <w:tcBorders>
                    <w:tl2br w:val="nil"/>
                    <w:tr2bl w:val="nil"/>
                  </w:tcBorders>
                  <w:noWrap w:val="0"/>
                  <w:vAlign w:val="center"/>
                </w:tcPr>
                <w:p w14:paraId="4F687DA5">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2152" w:type="pct"/>
                  <w:tcBorders>
                    <w:tl2br w:val="nil"/>
                    <w:tr2bl w:val="nil"/>
                  </w:tcBorders>
                  <w:noWrap w:val="0"/>
                  <w:vAlign w:val="center"/>
                </w:tcPr>
                <w:p w14:paraId="400CB9D6">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（二十一）强化VOCs全流程、全环节综合治理</w:t>
                  </w:r>
                </w:p>
                <w:p w14:paraId="1BEC6719">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........企业开停工、检维修期间，及时收集处理退料、清洗、吹扫等作业产生的VOCs废气。企业不得将火炬燃烧装置作为日常大气污染处理设施。</w:t>
                  </w:r>
                </w:p>
              </w:tc>
              <w:tc>
                <w:tcPr>
                  <w:tcW w:w="1754" w:type="pct"/>
                  <w:tcBorders>
                    <w:tl2br w:val="nil"/>
                    <w:tr2bl w:val="nil"/>
                  </w:tcBorders>
                  <w:noWrap w:val="0"/>
                  <w:vAlign w:val="center"/>
                </w:tcPr>
                <w:p w14:paraId="64D19CDB">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项目开停工、检维修期间，将产生废气设备先停止，所有的废气处理装置继续运转，待车间内的废气净化完全后关闭，然后再进行开停工、检维作业。</w:t>
                  </w:r>
                </w:p>
              </w:tc>
              <w:tc>
                <w:tcPr>
                  <w:tcW w:w="286" w:type="pct"/>
                  <w:tcBorders>
                    <w:tl2br w:val="nil"/>
                    <w:tr2bl w:val="nil"/>
                  </w:tcBorders>
                  <w:noWrap w:val="0"/>
                  <w:vAlign w:val="center"/>
                </w:tcPr>
                <w:p w14:paraId="475ABD0B">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14:paraId="54AA28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tcBorders>
                    <w:tl2br w:val="nil"/>
                    <w:tr2bl w:val="nil"/>
                  </w:tcBorders>
                  <w:noWrap w:val="0"/>
                  <w:vAlign w:val="center"/>
                </w:tcPr>
                <w:p w14:paraId="7A6D9ADD">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586" w:type="pct"/>
                  <w:tcBorders>
                    <w:tl2br w:val="nil"/>
                    <w:tr2bl w:val="nil"/>
                  </w:tcBorders>
                  <w:noWrap w:val="0"/>
                  <w:vAlign w:val="center"/>
                </w:tcPr>
                <w:p w14:paraId="2F3CE970">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《挥发性有机物（VOCs）污染防治技术政策》(公告2013年 第31号)</w:t>
                  </w:r>
                </w:p>
              </w:tc>
              <w:tc>
                <w:tcPr>
                  <w:tcW w:w="2152" w:type="pct"/>
                  <w:tcBorders>
                    <w:tl2br w:val="nil"/>
                    <w:tr2bl w:val="nil"/>
                  </w:tcBorders>
                  <w:noWrap w:val="0"/>
                  <w:vAlign w:val="center"/>
                </w:tcPr>
                <w:p w14:paraId="49514C29">
                  <w:pPr>
                    <w:pStyle w:val="151"/>
                    <w:keepNext w:val="0"/>
                    <w:keepLines w:val="0"/>
                    <w:pageBreakBefore w:val="0"/>
                    <w:kinsoku/>
                    <w:wordWrap/>
                    <w:overflowPunct/>
                    <w:topLinePunct w:val="0"/>
                    <w:autoSpaceDE/>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p w14:paraId="09ABCA0B">
                  <w:pPr>
                    <w:pStyle w:val="151"/>
                    <w:keepNext w:val="0"/>
                    <w:keepLines w:val="0"/>
                    <w:pageBreakBefore w:val="0"/>
                    <w:numPr>
                      <w:ilvl w:val="0"/>
                      <w:numId w:val="0"/>
                    </w:numPr>
                    <w:kinsoku/>
                    <w:wordWrap/>
                    <w:overflowPunct/>
                    <w:topLinePunct w:val="0"/>
                    <w:autoSpaceDE/>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1.含VOCs产品的使用过程中，应采取废气收集措施，提高废气收集效率，减少废气的无组织排放与逸散，并对收集后的废气进行回收或处理后达标排放。</w:t>
                  </w:r>
                </w:p>
                <w:p w14:paraId="5C4529E4">
                  <w:pPr>
                    <w:pStyle w:val="151"/>
                    <w:keepNext w:val="0"/>
                    <w:keepLines w:val="0"/>
                    <w:pageBreakBefore w:val="0"/>
                    <w:numPr>
                      <w:ilvl w:val="0"/>
                      <w:numId w:val="0"/>
                    </w:numPr>
                    <w:kinsoku/>
                    <w:wordWrap/>
                    <w:overflowPunct/>
                    <w:topLinePunct w:val="0"/>
                    <w:autoSpaceDE/>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对于含低浓度VOCs的废气，有回收价值时可采用吸附技术、吸收技术对有机溶剂回收后达标排放；不宜回收时，可采用吸附浓缩燃烧技术、生物技术、吸收技术、等离子体技术或紫外光高级氧化技术等净化后达标排放。</w:t>
                  </w:r>
                </w:p>
                <w:p w14:paraId="3E02909D">
                  <w:pPr>
                    <w:pStyle w:val="151"/>
                    <w:keepNext w:val="0"/>
                    <w:keepLines w:val="0"/>
                    <w:pageBreakBefore w:val="0"/>
                    <w:numPr>
                      <w:ilvl w:val="0"/>
                      <w:numId w:val="0"/>
                    </w:numPr>
                    <w:kinsoku/>
                    <w:wordWrap/>
                    <w:overflowPunct/>
                    <w:topLinePunct w:val="0"/>
                    <w:autoSpaceDE/>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3.对于不能再生的过滤材料、吸附剂及催化剂等净化材料，应按照国家固体废物管理的相关规定处理处置。</w:t>
                  </w:r>
                </w:p>
                <w:p w14:paraId="621DF4F7">
                  <w:pPr>
                    <w:pStyle w:val="151"/>
                    <w:keepNext w:val="0"/>
                    <w:keepLines w:val="0"/>
                    <w:pageBreakBefore w:val="0"/>
                    <w:numPr>
                      <w:ilvl w:val="0"/>
                      <w:numId w:val="0"/>
                    </w:numPr>
                    <w:kinsoku/>
                    <w:wordWrap/>
                    <w:overflowPunct/>
                    <w:topLinePunct w:val="0"/>
                    <w:autoSpaceDE/>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4.企业应建立健全VOCs治理设施的运行维护规程和台账等日常管理制度，并根据工艺要求定期对各类设备、电气、自控仪表等进行检修维护，确保设施的稳定运行。</w:t>
                  </w:r>
                </w:p>
              </w:tc>
              <w:tc>
                <w:tcPr>
                  <w:tcW w:w="1754" w:type="pct"/>
                  <w:tcBorders>
                    <w:tl2br w:val="nil"/>
                    <w:tr2bl w:val="nil"/>
                  </w:tcBorders>
                  <w:noWrap w:val="0"/>
                  <w:vAlign w:val="center"/>
                </w:tcPr>
                <w:p w14:paraId="273AF9AD">
                  <w:pPr>
                    <w:pStyle w:val="151"/>
                    <w:keepNext w:val="0"/>
                    <w:keepLines w:val="0"/>
                    <w:pageBreakBefore w:val="0"/>
                    <w:kinsoku/>
                    <w:wordWrap/>
                    <w:overflowPunct/>
                    <w:topLinePunct w:val="0"/>
                    <w:autoSpaceDE/>
                    <w:bidi w:val="0"/>
                    <w:adjustRightInd w:val="0"/>
                    <w:snapToGrid w:val="0"/>
                    <w:spacing w:line="240" w:lineRule="auto"/>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w:t>
                  </w:r>
                  <w:r>
                    <w:rPr>
                      <w:rFonts w:hint="eastAsia" w:ascii="Times New Roman" w:hAnsi="Times New Roman" w:eastAsia="宋体" w:cs="Times New Roman"/>
                      <w:color w:val="auto"/>
                      <w:sz w:val="21"/>
                      <w:szCs w:val="21"/>
                      <w:highlight w:val="none"/>
                      <w:lang w:val="en-US" w:eastAsia="zh-CN"/>
                    </w:rPr>
                    <w:t>项目在标准的厂房内进行生产</w:t>
                  </w:r>
                  <w:r>
                    <w:rPr>
                      <w:rFonts w:hint="eastAsia" w:ascii="Times New Roman" w:hAnsi="Times New Roman" w:eastAsia="宋体" w:cs="Times New Roman"/>
                      <w:color w:val="auto"/>
                      <w:sz w:val="21"/>
                      <w:szCs w:val="21"/>
                      <w:highlight w:val="none"/>
                    </w:rPr>
                    <w:t>，并设有</w:t>
                  </w:r>
                  <w:r>
                    <w:rPr>
                      <w:rFonts w:hint="eastAsia" w:cs="Times New Roman"/>
                      <w:color w:val="auto"/>
                      <w:sz w:val="21"/>
                      <w:szCs w:val="21"/>
                      <w:highlight w:val="none"/>
                      <w:lang w:val="en-US" w:eastAsia="zh-CN"/>
                    </w:rPr>
                    <w:t>负压</w:t>
                  </w:r>
                  <w:r>
                    <w:rPr>
                      <w:rFonts w:hint="eastAsia" w:ascii="Times New Roman" w:hAnsi="Times New Roman" w:eastAsia="宋体" w:cs="Times New Roman"/>
                      <w:color w:val="auto"/>
                      <w:sz w:val="21"/>
                      <w:szCs w:val="21"/>
                      <w:highlight w:val="none"/>
                    </w:rPr>
                    <w:t>密闭的</w:t>
                  </w:r>
                  <w:r>
                    <w:rPr>
                      <w:rFonts w:hint="eastAsia" w:cs="Times New Roman"/>
                      <w:color w:val="auto"/>
                      <w:sz w:val="21"/>
                      <w:szCs w:val="21"/>
                      <w:highlight w:val="none"/>
                      <w:lang w:eastAsia="zh-CN"/>
                    </w:rPr>
                    <w:t>喷漆晾干房</w:t>
                  </w:r>
                  <w:r>
                    <w:rPr>
                      <w:rFonts w:hint="eastAsia" w:ascii="Times New Roman" w:hAnsi="Times New Roman" w:eastAsia="宋体" w:cs="Times New Roman"/>
                      <w:color w:val="auto"/>
                      <w:sz w:val="21"/>
                      <w:szCs w:val="21"/>
                      <w:highlight w:val="none"/>
                    </w:rPr>
                    <w:t>，在运营期间，</w:t>
                  </w:r>
                  <w:r>
                    <w:rPr>
                      <w:rFonts w:hint="eastAsia" w:cs="Times New Roman"/>
                      <w:color w:val="auto"/>
                      <w:sz w:val="21"/>
                      <w:szCs w:val="21"/>
                      <w:highlight w:val="none"/>
                      <w:lang w:eastAsia="zh-CN"/>
                    </w:rPr>
                    <w:t>喷漆晾干房</w:t>
                  </w:r>
                  <w:r>
                    <w:rPr>
                      <w:rFonts w:hint="eastAsia" w:ascii="Times New Roman" w:hAnsi="Times New Roman" w:eastAsia="宋体" w:cs="Times New Roman"/>
                      <w:color w:val="auto"/>
                      <w:sz w:val="21"/>
                      <w:szCs w:val="21"/>
                      <w:highlight w:val="none"/>
                    </w:rPr>
                    <w:t>门窗紧闭</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且</w:t>
                  </w:r>
                  <w:r>
                    <w:rPr>
                      <w:rFonts w:hint="eastAsia" w:cs="Times New Roman"/>
                      <w:color w:val="auto"/>
                      <w:spacing w:val="0"/>
                      <w:position w:val="0"/>
                      <w:sz w:val="21"/>
                      <w:szCs w:val="21"/>
                      <w:highlight w:val="none"/>
                      <w:lang w:eastAsia="zh-CN"/>
                    </w:rPr>
                    <w:t>调漆、喷漆废气经水帘柜处理后，与晾干废气一同经集气装置负压收集后再引入“气旋塔+过滤棉+二级活性炭吸附装置”</w:t>
                  </w:r>
                  <w:r>
                    <w:rPr>
                      <w:rFonts w:hint="eastAsia" w:ascii="Times New Roman" w:hAnsi="Times New Roman" w:eastAsia="宋体" w:cs="Times New Roman"/>
                      <w:color w:val="auto"/>
                      <w:spacing w:val="0"/>
                      <w:position w:val="0"/>
                      <w:sz w:val="21"/>
                      <w:szCs w:val="21"/>
                      <w:highlight w:val="none"/>
                      <w:lang w:eastAsia="zh-CN"/>
                    </w:rPr>
                    <w:t>处理后</w:t>
                  </w:r>
                  <w:r>
                    <w:rPr>
                      <w:rFonts w:hint="eastAsia" w:ascii="Times New Roman" w:hAnsi="Times New Roman" w:eastAsia="宋体" w:cs="Times New Roman"/>
                      <w:color w:val="auto"/>
                      <w:spacing w:val="0"/>
                      <w:kern w:val="0"/>
                      <w:position w:val="0"/>
                      <w:sz w:val="21"/>
                      <w:szCs w:val="21"/>
                      <w:highlight w:val="none"/>
                      <w:lang w:val="en-US" w:eastAsia="zh-CN"/>
                    </w:rPr>
                    <w:t>通过1根</w:t>
                  </w:r>
                  <w:r>
                    <w:rPr>
                      <w:rFonts w:hint="eastAsia" w:cs="Times New Roman"/>
                      <w:color w:val="auto"/>
                      <w:spacing w:val="0"/>
                      <w:kern w:val="0"/>
                      <w:position w:val="0"/>
                      <w:sz w:val="21"/>
                      <w:szCs w:val="21"/>
                      <w:highlight w:val="none"/>
                      <w:lang w:val="en-US" w:eastAsia="zh-CN"/>
                    </w:rPr>
                    <w:t>25m</w:t>
                  </w:r>
                  <w:r>
                    <w:rPr>
                      <w:rFonts w:hint="eastAsia" w:ascii="Times New Roman" w:hAnsi="Times New Roman" w:eastAsia="宋体" w:cs="Times New Roman"/>
                      <w:color w:val="auto"/>
                      <w:spacing w:val="0"/>
                      <w:kern w:val="0"/>
                      <w:position w:val="0"/>
                      <w:sz w:val="21"/>
                      <w:szCs w:val="21"/>
                      <w:highlight w:val="none"/>
                      <w:lang w:val="en-US" w:eastAsia="zh-CN"/>
                    </w:rPr>
                    <w:t>排气筒达标排放</w:t>
                  </w:r>
                  <w:r>
                    <w:rPr>
                      <w:rFonts w:hint="default" w:ascii="Times New Roman" w:hAnsi="Times New Roman" w:eastAsia="宋体" w:cs="Times New Roman"/>
                      <w:color w:val="auto"/>
                      <w:sz w:val="21"/>
                      <w:szCs w:val="21"/>
                      <w:highlight w:val="none"/>
                      <w:lang w:val="en-US" w:eastAsia="zh-CN"/>
                    </w:rPr>
                    <w:t>，设计</w:t>
                  </w:r>
                  <w:r>
                    <w:rPr>
                      <w:rFonts w:hint="default" w:ascii="Times New Roman" w:hAnsi="Times New Roman" w:eastAsia="宋体" w:cs="Times New Roman"/>
                      <w:color w:val="auto"/>
                      <w:sz w:val="21"/>
                      <w:szCs w:val="21"/>
                      <w:highlight w:val="none"/>
                    </w:rPr>
                    <w:t>净化效率</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eastAsia="zh-CN"/>
                    </w:rPr>
                    <w:t>；</w:t>
                  </w:r>
                </w:p>
                <w:p w14:paraId="2D1ECB99">
                  <w:pPr>
                    <w:pStyle w:val="151"/>
                    <w:keepNext w:val="0"/>
                    <w:keepLines w:val="0"/>
                    <w:pageBreakBefore w:val="0"/>
                    <w:kinsoku/>
                    <w:wordWrap/>
                    <w:overflowPunct/>
                    <w:topLinePunct w:val="0"/>
                    <w:autoSpaceDE/>
                    <w:bidi w:val="0"/>
                    <w:adjustRightInd w:val="0"/>
                    <w:snapToGrid w:val="0"/>
                    <w:spacing w:line="240" w:lineRule="auto"/>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2.本项目废气排放量较少，属于低浓度VOCs的废气，项目</w:t>
                  </w:r>
                  <w:r>
                    <w:rPr>
                      <w:rFonts w:hint="eastAsia" w:cs="Times New Roman"/>
                      <w:color w:val="auto"/>
                      <w:spacing w:val="0"/>
                      <w:kern w:val="0"/>
                      <w:position w:val="0"/>
                      <w:sz w:val="21"/>
                      <w:szCs w:val="21"/>
                      <w:highlight w:val="none"/>
                      <w:lang w:val="en-US" w:eastAsia="zh-CN"/>
                    </w:rPr>
                    <w:t>调漆、</w:t>
                  </w:r>
                  <w:r>
                    <w:rPr>
                      <w:rFonts w:hint="eastAsia" w:ascii="Times New Roman" w:hAnsi="Times New Roman" w:eastAsia="宋体" w:cs="Times New Roman"/>
                      <w:color w:val="auto"/>
                      <w:spacing w:val="0"/>
                      <w:kern w:val="0"/>
                      <w:position w:val="0"/>
                      <w:sz w:val="21"/>
                      <w:szCs w:val="21"/>
                      <w:highlight w:val="none"/>
                      <w:lang w:val="en-US" w:eastAsia="zh-CN"/>
                    </w:rPr>
                    <w:t>喷漆废气经水帘柜处理后</w:t>
                  </w:r>
                  <w:r>
                    <w:rPr>
                      <w:rFonts w:hint="eastAsia" w:cs="Times New Roman"/>
                      <w:color w:val="auto"/>
                      <w:spacing w:val="0"/>
                      <w:kern w:val="0"/>
                      <w:position w:val="0"/>
                      <w:sz w:val="21"/>
                      <w:szCs w:val="21"/>
                      <w:highlight w:val="none"/>
                      <w:lang w:val="en-US" w:eastAsia="zh-CN"/>
                    </w:rPr>
                    <w:t>，与</w:t>
                  </w:r>
                  <w:r>
                    <w:rPr>
                      <w:rFonts w:hint="eastAsia" w:ascii="Times New Roman" w:hAnsi="Times New Roman" w:eastAsia="宋体" w:cs="Times New Roman"/>
                      <w:color w:val="auto"/>
                      <w:spacing w:val="0"/>
                      <w:kern w:val="0"/>
                      <w:position w:val="0"/>
                      <w:sz w:val="21"/>
                      <w:szCs w:val="21"/>
                      <w:highlight w:val="none"/>
                      <w:lang w:val="en-US" w:eastAsia="zh-CN"/>
                    </w:rPr>
                    <w:t>晾干废气一并经1套“</w:t>
                  </w:r>
                  <w:r>
                    <w:rPr>
                      <w:rFonts w:hint="eastAsia" w:cs="Times New Roman"/>
                      <w:color w:val="auto"/>
                      <w:spacing w:val="0"/>
                      <w:kern w:val="0"/>
                      <w:position w:val="0"/>
                      <w:sz w:val="21"/>
                      <w:szCs w:val="21"/>
                      <w:highlight w:val="none"/>
                      <w:lang w:val="en-US" w:eastAsia="zh-CN"/>
                    </w:rPr>
                    <w:t>气旋塔+过滤棉+二级活性炭吸附装置</w:t>
                  </w:r>
                  <w:r>
                    <w:rPr>
                      <w:rFonts w:hint="eastAsia" w:ascii="Times New Roman" w:hAnsi="Times New Roman" w:eastAsia="宋体" w:cs="Times New Roman"/>
                      <w:color w:val="auto"/>
                      <w:spacing w:val="0"/>
                      <w:kern w:val="0"/>
                      <w:position w:val="0"/>
                      <w:sz w:val="21"/>
                      <w:szCs w:val="21"/>
                      <w:highlight w:val="none"/>
                      <w:lang w:val="en-US" w:eastAsia="zh-CN"/>
                    </w:rPr>
                    <w:t>”</w:t>
                  </w:r>
                  <w:r>
                    <w:rPr>
                      <w:rFonts w:hint="eastAsia" w:ascii="Times New Roman" w:hAnsi="Times New Roman" w:eastAsia="宋体" w:cs="Times New Roman"/>
                      <w:color w:val="auto"/>
                      <w:kern w:val="2"/>
                      <w:sz w:val="21"/>
                      <w:szCs w:val="21"/>
                      <w:highlight w:val="none"/>
                      <w:lang w:val="en-US" w:eastAsia="zh-CN" w:bidi="ar-SA"/>
                    </w:rPr>
                    <w:t>后达标排放；</w:t>
                  </w:r>
                </w:p>
                <w:p w14:paraId="563E41F0">
                  <w:pPr>
                    <w:pStyle w:val="151"/>
                    <w:keepNext w:val="0"/>
                    <w:keepLines w:val="0"/>
                    <w:pageBreakBefore w:val="0"/>
                    <w:kinsoku/>
                    <w:wordWrap/>
                    <w:overflowPunct/>
                    <w:topLinePunct w:val="0"/>
                    <w:autoSpaceDE/>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3.项目将更换的废活性炭</w:t>
                  </w:r>
                  <w:r>
                    <w:rPr>
                      <w:rFonts w:hint="eastAsia" w:cs="Times New Roman"/>
                      <w:color w:val="auto"/>
                      <w:kern w:val="2"/>
                      <w:sz w:val="21"/>
                      <w:szCs w:val="21"/>
                      <w:highlight w:val="none"/>
                      <w:lang w:val="en-US" w:eastAsia="zh-CN" w:bidi="ar-SA"/>
                    </w:rPr>
                    <w:t>、废过滤棉</w:t>
                  </w:r>
                  <w:r>
                    <w:rPr>
                      <w:rFonts w:hint="eastAsia" w:ascii="Times New Roman" w:hAnsi="Times New Roman" w:eastAsia="宋体" w:cs="Times New Roman"/>
                      <w:color w:val="auto"/>
                      <w:kern w:val="2"/>
                      <w:sz w:val="21"/>
                      <w:szCs w:val="21"/>
                      <w:highlight w:val="none"/>
                      <w:lang w:val="en-US" w:eastAsia="zh-CN" w:bidi="ar-SA"/>
                    </w:rPr>
                    <w:t>等当作危险废物</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密闭暂存于</w:t>
                  </w:r>
                  <w:r>
                    <w:rPr>
                      <w:rFonts w:hint="eastAsia" w:ascii="Times New Roman" w:hAnsi="Times New Roman" w:eastAsia="宋体" w:cs="Times New Roman"/>
                      <w:color w:val="auto"/>
                      <w:sz w:val="21"/>
                      <w:szCs w:val="21"/>
                      <w:highlight w:val="none"/>
                      <w:lang w:val="en-US" w:eastAsia="zh-CN"/>
                    </w:rPr>
                    <w:t>危废暂存间</w:t>
                  </w:r>
                  <w:r>
                    <w:rPr>
                      <w:rFonts w:hint="default" w:ascii="Times New Roman" w:hAnsi="Times New Roman" w:eastAsia="宋体" w:cs="Times New Roman"/>
                      <w:color w:val="auto"/>
                      <w:sz w:val="21"/>
                      <w:szCs w:val="21"/>
                      <w:highlight w:val="none"/>
                    </w:rPr>
                    <w:t>内</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定期委托有资质单位统一处置</w:t>
                  </w:r>
                  <w:r>
                    <w:rPr>
                      <w:rFonts w:hint="eastAsia" w:ascii="Times New Roman" w:hAnsi="Times New Roman" w:eastAsia="宋体" w:cs="Times New Roman"/>
                      <w:color w:val="auto"/>
                      <w:kern w:val="2"/>
                      <w:sz w:val="21"/>
                      <w:szCs w:val="21"/>
                      <w:highlight w:val="none"/>
                      <w:lang w:val="en-US" w:eastAsia="zh-CN" w:bidi="ar-SA"/>
                    </w:rPr>
                    <w:t>；</w:t>
                  </w:r>
                </w:p>
                <w:p w14:paraId="066FA49D">
                  <w:pPr>
                    <w:pStyle w:val="151"/>
                    <w:keepNext w:val="0"/>
                    <w:keepLines w:val="0"/>
                    <w:pageBreakBefore w:val="0"/>
                    <w:kinsoku/>
                    <w:wordWrap/>
                    <w:overflowPunct/>
                    <w:topLinePunct w:val="0"/>
                    <w:autoSpaceDE/>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4.项目将建立</w:t>
                  </w:r>
                  <w:r>
                    <w:rPr>
                      <w:rFonts w:hint="eastAsia" w:ascii="Times New Roman" w:hAnsi="Times New Roman" w:eastAsia="宋体" w:cs="Times New Roman"/>
                      <w:color w:val="auto"/>
                      <w:sz w:val="21"/>
                      <w:szCs w:val="21"/>
                      <w:highlight w:val="none"/>
                      <w:lang w:val="en-US" w:eastAsia="zh-CN"/>
                    </w:rPr>
                    <w:t>健全VOCs治理设施的运行维护规程和台账等日常管理制度，定期更换活性炭、定期委托检测，确保废气设施正常稳定运行。</w:t>
                  </w:r>
                </w:p>
              </w:tc>
              <w:tc>
                <w:tcPr>
                  <w:tcW w:w="286" w:type="pct"/>
                  <w:tcBorders>
                    <w:tl2br w:val="nil"/>
                    <w:tr2bl w:val="nil"/>
                  </w:tcBorders>
                  <w:noWrap w:val="0"/>
                  <w:vAlign w:val="center"/>
                </w:tcPr>
                <w:p w14:paraId="4B80312D">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14:paraId="23E25B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restart"/>
                  <w:tcBorders>
                    <w:tl2br w:val="nil"/>
                    <w:tr2bl w:val="nil"/>
                  </w:tcBorders>
                  <w:noWrap w:val="0"/>
                  <w:vAlign w:val="center"/>
                </w:tcPr>
                <w:p w14:paraId="27BCD708">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586" w:type="pct"/>
                  <w:vMerge w:val="restart"/>
                  <w:tcBorders>
                    <w:tl2br w:val="nil"/>
                    <w:tr2bl w:val="nil"/>
                  </w:tcBorders>
                  <w:noWrap w:val="0"/>
                  <w:vAlign w:val="center"/>
                </w:tcPr>
                <w:p w14:paraId="5B9B9F10">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《挥发性有机物无组织排放控制标准》(GB37822-2019)</w:t>
                  </w:r>
                </w:p>
              </w:tc>
              <w:tc>
                <w:tcPr>
                  <w:tcW w:w="2152" w:type="pct"/>
                  <w:tcBorders>
                    <w:tl2br w:val="nil"/>
                    <w:tr2bl w:val="nil"/>
                  </w:tcBorders>
                  <w:noWrap w:val="0"/>
                  <w:vAlign w:val="center"/>
                </w:tcPr>
                <w:p w14:paraId="2AA547A2">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 VOCs</w:t>
                  </w:r>
                  <w:r>
                    <w:rPr>
                      <w:rFonts w:hint="default" w:ascii="Times New Roman" w:hAnsi="Times New Roman" w:eastAsia="宋体" w:cs="Times New Roman"/>
                      <w:color w:val="auto"/>
                      <w:sz w:val="21"/>
                      <w:szCs w:val="21"/>
                      <w:highlight w:val="none"/>
                      <w:lang w:val="en-US" w:eastAsia="zh-CN"/>
                    </w:rPr>
                    <w:t>物料应储存于密闭的容器、包装袋、储罐、储库、料仓中。</w:t>
                  </w:r>
                </w:p>
                <w:p w14:paraId="251298C4">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xml:space="preserve"> 盛装</w:t>
                  </w:r>
                  <w:r>
                    <w:rPr>
                      <w:rFonts w:hint="eastAsia" w:ascii="Times New Roman" w:hAnsi="Times New Roman" w:eastAsia="宋体"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物料的容器或包装袋应存放于室内，或存放于设置有雨棚、遮阳和防渗设施的专用场地。盛装</w:t>
                  </w:r>
                  <w:r>
                    <w:rPr>
                      <w:rFonts w:hint="eastAsia" w:ascii="Times New Roman" w:hAnsi="Times New Roman" w:eastAsia="宋体"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物料的容器或包装袋在非取用状态时应加盖、封口，保持密闭。</w:t>
                  </w:r>
                </w:p>
              </w:tc>
              <w:tc>
                <w:tcPr>
                  <w:tcW w:w="1754" w:type="pct"/>
                  <w:tcBorders>
                    <w:tl2br w:val="nil"/>
                    <w:tr2bl w:val="nil"/>
                  </w:tcBorders>
                  <w:noWrap w:val="0"/>
                  <w:vAlign w:val="center"/>
                </w:tcPr>
                <w:p w14:paraId="23337CDD">
                  <w:pPr>
                    <w:pStyle w:val="151"/>
                    <w:keepNext w:val="0"/>
                    <w:keepLines w:val="0"/>
                    <w:pageBreakBefore w:val="0"/>
                    <w:widowControl w:val="0"/>
                    <w:numPr>
                      <w:ilvl w:val="0"/>
                      <w:numId w:val="0"/>
                    </w:numPr>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项目涉及VOCs的原辅料为油性漆、水性漆、固化剂、稀释剂，项目设置有化学品仓库，统一存放化学品；油性漆、水性漆、固化剂、稀释剂在非取用状态时加盖、封口，保持密闭。</w:t>
                  </w:r>
                </w:p>
              </w:tc>
              <w:tc>
                <w:tcPr>
                  <w:tcW w:w="286" w:type="pct"/>
                  <w:tcBorders>
                    <w:tl2br w:val="nil"/>
                    <w:tr2bl w:val="nil"/>
                  </w:tcBorders>
                  <w:noWrap w:val="0"/>
                  <w:vAlign w:val="center"/>
                </w:tcPr>
                <w:p w14:paraId="0125124D">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14:paraId="2A069B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continue"/>
                  <w:tcBorders>
                    <w:tl2br w:val="nil"/>
                    <w:tr2bl w:val="nil"/>
                  </w:tcBorders>
                  <w:noWrap w:val="0"/>
                  <w:vAlign w:val="center"/>
                </w:tcPr>
                <w:p w14:paraId="5CAACA8D">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586" w:type="pct"/>
                  <w:vMerge w:val="continue"/>
                  <w:tcBorders>
                    <w:tl2br w:val="nil"/>
                    <w:tr2bl w:val="nil"/>
                  </w:tcBorders>
                  <w:noWrap w:val="0"/>
                  <w:vAlign w:val="center"/>
                </w:tcPr>
                <w:p w14:paraId="29D9D56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2152" w:type="pct"/>
                  <w:tcBorders>
                    <w:tl2br w:val="nil"/>
                    <w:tr2bl w:val="nil"/>
                  </w:tcBorders>
                  <w:noWrap w:val="0"/>
                  <w:vAlign w:val="center"/>
                </w:tcPr>
                <w:p w14:paraId="30A3F94F">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液态VOC</w:t>
                  </w:r>
                  <w:r>
                    <w:rPr>
                      <w:rFonts w:hint="eastAsia" w:ascii="Times New Roman" w:hAnsi="Times New Roman" w:eastAsia="宋体" w:cs="Times New Roman"/>
                      <w:b w:val="0"/>
                      <w:bCs w:val="0"/>
                      <w:color w:val="auto"/>
                      <w:sz w:val="21"/>
                      <w:szCs w:val="21"/>
                      <w:highlight w:val="none"/>
                      <w:lang w:val="en-US" w:eastAsia="zh-CN"/>
                    </w:rPr>
                    <w:t>s</w:t>
                  </w:r>
                  <w:r>
                    <w:rPr>
                      <w:rFonts w:hint="default" w:ascii="Times New Roman" w:hAnsi="Times New Roman" w:eastAsia="宋体" w:cs="Times New Roman"/>
                      <w:b w:val="0"/>
                      <w:bCs w:val="0"/>
                      <w:color w:val="auto"/>
                      <w:sz w:val="21"/>
                      <w:szCs w:val="21"/>
                      <w:highlight w:val="none"/>
                      <w:lang w:val="en-US" w:eastAsia="zh-CN"/>
                    </w:rPr>
                    <w:t>物料应采用密闭管道输送。采用非管道输送方式转移液态VOC</w:t>
                  </w:r>
                  <w:r>
                    <w:rPr>
                      <w:rFonts w:hint="eastAsia" w:ascii="Times New Roman" w:hAnsi="Times New Roman" w:eastAsia="宋体" w:cs="Times New Roman"/>
                      <w:b w:val="0"/>
                      <w:bCs w:val="0"/>
                      <w:color w:val="auto"/>
                      <w:sz w:val="21"/>
                      <w:szCs w:val="21"/>
                      <w:highlight w:val="none"/>
                      <w:lang w:val="en-US" w:eastAsia="zh-CN"/>
                    </w:rPr>
                    <w:t>s</w:t>
                  </w:r>
                  <w:r>
                    <w:rPr>
                      <w:rFonts w:hint="default" w:ascii="Times New Roman" w:hAnsi="Times New Roman" w:eastAsia="宋体" w:cs="Times New Roman"/>
                      <w:b w:val="0"/>
                      <w:bCs w:val="0"/>
                      <w:color w:val="auto"/>
                      <w:sz w:val="21"/>
                      <w:szCs w:val="21"/>
                      <w:highlight w:val="none"/>
                      <w:lang w:val="en-US" w:eastAsia="zh-CN"/>
                    </w:rPr>
                    <w:t>物料时，应采用密闭容器、罐车。</w:t>
                  </w:r>
                </w:p>
                <w:p w14:paraId="1147BF2B">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粉状、粒状</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物料应采用气力输送设备、管状带式输送机、螺旋输送机等密闭输送方式或者采用密闭的包装袋、容器或罐车进行物料转移。</w:t>
                  </w:r>
                </w:p>
              </w:tc>
              <w:tc>
                <w:tcPr>
                  <w:tcW w:w="1754" w:type="pct"/>
                  <w:tcBorders>
                    <w:tl2br w:val="nil"/>
                    <w:tr2bl w:val="nil"/>
                  </w:tcBorders>
                  <w:noWrap w:val="0"/>
                  <w:vAlign w:val="center"/>
                </w:tcPr>
                <w:p w14:paraId="2C5A62B9">
                  <w:pPr>
                    <w:pStyle w:val="151"/>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eastAsia" w:ascii="Times New Roman" w:hAnsi="Times New Roman" w:eastAsia="宋体" w:cs="Times New Roman"/>
                      <w:color w:val="auto"/>
                      <w:sz w:val="21"/>
                      <w:szCs w:val="21"/>
                      <w:highlight w:val="none"/>
                      <w:lang w:val="en-US" w:eastAsia="zh-CN"/>
                    </w:rPr>
                    <w:t>项目</w:t>
                  </w:r>
                  <w:r>
                    <w:rPr>
                      <w:rFonts w:hint="eastAsia" w:ascii="Times New Roman" w:hAnsi="Times New Roman" w:eastAsia="宋体" w:cs="Times New Roman"/>
                      <w:color w:val="auto"/>
                      <w:kern w:val="2"/>
                      <w:sz w:val="21"/>
                      <w:szCs w:val="21"/>
                      <w:highlight w:val="none"/>
                      <w:lang w:val="en-US" w:eastAsia="zh-CN" w:bidi="ar-SA"/>
                    </w:rPr>
                    <w:t>油性漆、水性漆、固化剂、稀释剂</w:t>
                  </w:r>
                  <w:r>
                    <w:rPr>
                      <w:rFonts w:hint="eastAsia" w:ascii="Times New Roman" w:hAnsi="Times New Roman" w:eastAsia="宋体" w:cs="Times New Roman"/>
                      <w:color w:val="auto"/>
                      <w:sz w:val="21"/>
                      <w:szCs w:val="21"/>
                      <w:highlight w:val="none"/>
                      <w:lang w:val="en-US" w:eastAsia="zh-CN"/>
                    </w:rPr>
                    <w:t>等采用密闭桶装暂存在化学品仓库。VOCs</w:t>
                  </w:r>
                  <w:r>
                    <w:rPr>
                      <w:rFonts w:hint="default" w:ascii="Times New Roman" w:hAnsi="Times New Roman" w:eastAsia="宋体" w:cs="Times New Roman"/>
                      <w:color w:val="auto"/>
                      <w:sz w:val="21"/>
                      <w:szCs w:val="21"/>
                      <w:highlight w:val="none"/>
                      <w:lang w:val="en-US" w:eastAsia="zh-CN"/>
                    </w:rPr>
                    <w:t>物料的容器在非取用状态时加盖、封口，保持密闭</w:t>
                  </w:r>
                  <w:r>
                    <w:rPr>
                      <w:rFonts w:hint="eastAsia" w:cs="Times New Roman"/>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项目不涉及粉状VOCs物料。</w:t>
                  </w:r>
                </w:p>
              </w:tc>
              <w:tc>
                <w:tcPr>
                  <w:tcW w:w="286" w:type="pct"/>
                  <w:tcBorders>
                    <w:tl2br w:val="nil"/>
                    <w:tr2bl w:val="nil"/>
                  </w:tcBorders>
                  <w:noWrap w:val="0"/>
                  <w:vAlign w:val="center"/>
                </w:tcPr>
                <w:p w14:paraId="323FBA0C">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14:paraId="5F9295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continue"/>
                  <w:tcBorders>
                    <w:tl2br w:val="nil"/>
                    <w:tr2bl w:val="nil"/>
                  </w:tcBorders>
                  <w:noWrap w:val="0"/>
                  <w:vAlign w:val="center"/>
                </w:tcPr>
                <w:p w14:paraId="088EAD2A">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586" w:type="pct"/>
                  <w:vMerge w:val="continue"/>
                  <w:tcBorders>
                    <w:tl2br w:val="nil"/>
                    <w:tr2bl w:val="nil"/>
                  </w:tcBorders>
                  <w:noWrap w:val="0"/>
                  <w:vAlign w:val="center"/>
                </w:tcPr>
                <w:p w14:paraId="5C0C222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2152" w:type="pct"/>
                  <w:tcBorders>
                    <w:tl2br w:val="nil"/>
                    <w:tr2bl w:val="nil"/>
                  </w:tcBorders>
                  <w:noWrap w:val="0"/>
                  <w:vAlign w:val="center"/>
                </w:tcPr>
                <w:p w14:paraId="5053A477">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 xml:space="preserve">企业应建立台账，记录含 </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 xml:space="preserve"> 原辅材料和含</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产品的名称、使用量、回收量、废弃量、去向以及</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含量等信息。台账保存期限不少于3年。</w:t>
                  </w:r>
                </w:p>
              </w:tc>
              <w:tc>
                <w:tcPr>
                  <w:tcW w:w="1754" w:type="pct"/>
                  <w:tcBorders>
                    <w:tl2br w:val="nil"/>
                    <w:tr2bl w:val="nil"/>
                  </w:tcBorders>
                  <w:noWrap w:val="0"/>
                  <w:vAlign w:val="center"/>
                </w:tcPr>
                <w:p w14:paraId="192F4165">
                  <w:pPr>
                    <w:pStyle w:val="151"/>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1.项目将严格按照要求制定</w:t>
                  </w:r>
                  <w:r>
                    <w:rPr>
                      <w:rFonts w:hint="default" w:ascii="Times New Roman" w:hAnsi="Times New Roman" w:eastAsia="宋体" w:cs="Times New Roman"/>
                      <w:b w:val="0"/>
                      <w:bCs w:val="0"/>
                      <w:color w:val="auto"/>
                      <w:sz w:val="21"/>
                      <w:szCs w:val="21"/>
                      <w:highlight w:val="none"/>
                      <w:lang w:val="en-US" w:eastAsia="zh-CN"/>
                    </w:rPr>
                    <w:t>含</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原辅材料</w:t>
                  </w:r>
                  <w:r>
                    <w:rPr>
                      <w:rFonts w:hint="eastAsia" w:ascii="Times New Roman" w:hAnsi="Times New Roman" w:eastAsia="宋体" w:cs="Times New Roman"/>
                      <w:b w:val="0"/>
                      <w:bCs w:val="0"/>
                      <w:color w:val="auto"/>
                      <w:sz w:val="21"/>
                      <w:szCs w:val="21"/>
                      <w:highlight w:val="none"/>
                      <w:lang w:val="en-US" w:eastAsia="zh-CN"/>
                    </w:rPr>
                    <w:t>购买台账，</w:t>
                  </w:r>
                  <w:r>
                    <w:rPr>
                      <w:rFonts w:hint="default" w:ascii="Times New Roman" w:hAnsi="Times New Roman" w:eastAsia="宋体" w:cs="Times New Roman"/>
                      <w:b w:val="0"/>
                      <w:bCs w:val="0"/>
                      <w:color w:val="auto"/>
                      <w:sz w:val="21"/>
                      <w:szCs w:val="21"/>
                      <w:highlight w:val="none"/>
                      <w:lang w:val="en-US" w:eastAsia="zh-CN"/>
                    </w:rPr>
                    <w:t>台账保存期限不少于3年</w:t>
                  </w:r>
                  <w:r>
                    <w:rPr>
                      <w:rFonts w:hint="eastAsia" w:ascii="Times New Roman" w:hAnsi="Times New Roman" w:eastAsia="宋体" w:cs="Times New Roman"/>
                      <w:b w:val="0"/>
                      <w:bCs w:val="0"/>
                      <w:color w:val="auto"/>
                      <w:sz w:val="21"/>
                      <w:szCs w:val="21"/>
                      <w:highlight w:val="none"/>
                      <w:lang w:val="en-US" w:eastAsia="zh-CN"/>
                    </w:rPr>
                    <w:t>。</w:t>
                  </w:r>
                </w:p>
              </w:tc>
              <w:tc>
                <w:tcPr>
                  <w:tcW w:w="286" w:type="pct"/>
                  <w:tcBorders>
                    <w:tl2br w:val="nil"/>
                    <w:tr2bl w:val="nil"/>
                  </w:tcBorders>
                  <w:noWrap w:val="0"/>
                  <w:vAlign w:val="center"/>
                </w:tcPr>
                <w:p w14:paraId="65F0A82C">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14:paraId="764CFB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continue"/>
                  <w:tcBorders>
                    <w:tl2br w:val="nil"/>
                    <w:tr2bl w:val="nil"/>
                  </w:tcBorders>
                  <w:noWrap w:val="0"/>
                  <w:vAlign w:val="center"/>
                </w:tcPr>
                <w:p w14:paraId="63935327">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586" w:type="pct"/>
                  <w:vMerge w:val="continue"/>
                  <w:tcBorders>
                    <w:tl2br w:val="nil"/>
                    <w:tr2bl w:val="nil"/>
                  </w:tcBorders>
                  <w:noWrap w:val="0"/>
                  <w:vAlign w:val="center"/>
                </w:tcPr>
                <w:p w14:paraId="7D1A52E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2152" w:type="pct"/>
                  <w:tcBorders>
                    <w:tl2br w:val="nil"/>
                    <w:tr2bl w:val="nil"/>
                  </w:tcBorders>
                  <w:noWrap w:val="0"/>
                  <w:vAlign w:val="center"/>
                </w:tcPr>
                <w:p w14:paraId="75C26406">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 xml:space="preserve"> </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废气收集处理系统应与生产工艺设备同步运行。</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 xml:space="preserve"> 废气收集处理系统发生故障或检修时，对应的生产工艺设备应停止运行，待检修完毕后同步投入使用</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生产工艺设备不能停止运行或不能及时停止运行的，应设置废气应急处理设施或采取其他替代措施。</w:t>
                  </w:r>
                </w:p>
                <w:p w14:paraId="733DDF05">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企业应考虑生产工艺、操作方式、废气性质、处理方法等因素，对</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废气进行分类收集。</w:t>
                  </w:r>
                </w:p>
                <w:p w14:paraId="60BF4E37">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记录要求</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企业应建立台账，记录废气收集系统、</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处理设施的主要运行和维护信息，如运行时间、废气处理量、操作温度、停留时间、吸附剂再生/更换周期和更换量、催化剂更换周期和更换量、吸收液pH值等关键运行参数。台账保存期限不少于3年。</w:t>
                  </w:r>
                </w:p>
              </w:tc>
              <w:tc>
                <w:tcPr>
                  <w:tcW w:w="1754" w:type="pct"/>
                  <w:tcBorders>
                    <w:tl2br w:val="nil"/>
                    <w:tr2bl w:val="nil"/>
                  </w:tcBorders>
                  <w:noWrap w:val="0"/>
                  <w:vAlign w:val="center"/>
                </w:tcPr>
                <w:p w14:paraId="539662B6">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1.项目</w:t>
                  </w:r>
                  <w:r>
                    <w:rPr>
                      <w:rFonts w:hint="default" w:ascii="Times New Roman" w:hAnsi="Times New Roman" w:eastAsia="宋体" w:cs="Times New Roman"/>
                      <w:b w:val="0"/>
                      <w:bCs w:val="0"/>
                      <w:color w:val="auto"/>
                      <w:sz w:val="21"/>
                      <w:szCs w:val="21"/>
                      <w:highlight w:val="none"/>
                      <w:lang w:val="en-US" w:eastAsia="zh-CN"/>
                    </w:rPr>
                    <w:t>废气收集处理系统</w:t>
                  </w:r>
                  <w:r>
                    <w:rPr>
                      <w:rFonts w:hint="eastAsia" w:ascii="Times New Roman" w:hAnsi="Times New Roman" w:eastAsia="宋体" w:cs="Times New Roman"/>
                      <w:b w:val="0"/>
                      <w:bCs w:val="0"/>
                      <w:color w:val="auto"/>
                      <w:sz w:val="21"/>
                      <w:szCs w:val="21"/>
                      <w:highlight w:val="none"/>
                      <w:lang w:val="en-US" w:eastAsia="zh-CN"/>
                    </w:rPr>
                    <w:t>将</w:t>
                  </w:r>
                  <w:r>
                    <w:rPr>
                      <w:rFonts w:hint="default" w:ascii="Times New Roman" w:hAnsi="Times New Roman" w:eastAsia="宋体" w:cs="Times New Roman"/>
                      <w:b w:val="0"/>
                      <w:bCs w:val="0"/>
                      <w:color w:val="auto"/>
                      <w:sz w:val="21"/>
                      <w:szCs w:val="21"/>
                      <w:highlight w:val="none"/>
                      <w:lang w:val="en-US" w:eastAsia="zh-CN"/>
                    </w:rPr>
                    <w:t>与生产工艺设备同步运行。</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废气收集处理系统发生故障或检修时，对应的生产工艺设备应停止运行，待检修完毕后同步投入使用</w:t>
                  </w:r>
                  <w:r>
                    <w:rPr>
                      <w:rFonts w:hint="eastAsia" w:ascii="Times New Roman" w:hAnsi="Times New Roman" w:eastAsia="宋体" w:cs="Times New Roman"/>
                      <w:b w:val="0"/>
                      <w:bCs w:val="0"/>
                      <w:color w:val="auto"/>
                      <w:sz w:val="21"/>
                      <w:szCs w:val="21"/>
                      <w:highlight w:val="none"/>
                      <w:lang w:val="en-US" w:eastAsia="zh-CN"/>
                    </w:rPr>
                    <w:t>。</w:t>
                  </w:r>
                </w:p>
                <w:p w14:paraId="022BE25D">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项目在标准的厂房内进行生产</w:t>
                  </w:r>
                  <w:r>
                    <w:rPr>
                      <w:rFonts w:hint="eastAsia" w:ascii="Times New Roman" w:hAnsi="Times New Roman" w:eastAsia="宋体" w:cs="Times New Roman"/>
                      <w:color w:val="auto"/>
                      <w:sz w:val="21"/>
                      <w:szCs w:val="21"/>
                      <w:highlight w:val="none"/>
                    </w:rPr>
                    <w:t>，并设有</w:t>
                  </w:r>
                  <w:r>
                    <w:rPr>
                      <w:rFonts w:hint="eastAsia" w:cs="Times New Roman"/>
                      <w:color w:val="auto"/>
                      <w:sz w:val="21"/>
                      <w:szCs w:val="21"/>
                      <w:highlight w:val="none"/>
                      <w:lang w:val="en-US" w:eastAsia="zh-CN"/>
                    </w:rPr>
                    <w:t>负压</w:t>
                  </w:r>
                  <w:r>
                    <w:rPr>
                      <w:rFonts w:hint="eastAsia" w:ascii="Times New Roman" w:hAnsi="Times New Roman" w:eastAsia="宋体" w:cs="Times New Roman"/>
                      <w:color w:val="auto"/>
                      <w:sz w:val="21"/>
                      <w:szCs w:val="21"/>
                      <w:highlight w:val="none"/>
                    </w:rPr>
                    <w:t>密闭的</w:t>
                  </w:r>
                  <w:r>
                    <w:rPr>
                      <w:rFonts w:hint="eastAsia" w:cs="Times New Roman"/>
                      <w:color w:val="auto"/>
                      <w:sz w:val="21"/>
                      <w:szCs w:val="21"/>
                      <w:highlight w:val="none"/>
                      <w:lang w:eastAsia="zh-CN"/>
                    </w:rPr>
                    <w:t>喷漆晾干房</w:t>
                  </w:r>
                  <w:r>
                    <w:rPr>
                      <w:rFonts w:hint="eastAsia" w:ascii="Times New Roman" w:hAnsi="Times New Roman" w:eastAsia="宋体" w:cs="Times New Roman"/>
                      <w:color w:val="auto"/>
                      <w:sz w:val="21"/>
                      <w:szCs w:val="21"/>
                      <w:highlight w:val="none"/>
                    </w:rPr>
                    <w:t>，在运营期间，</w:t>
                  </w:r>
                  <w:r>
                    <w:rPr>
                      <w:rFonts w:hint="eastAsia" w:cs="Times New Roman"/>
                      <w:color w:val="auto"/>
                      <w:sz w:val="21"/>
                      <w:szCs w:val="21"/>
                      <w:highlight w:val="none"/>
                      <w:lang w:eastAsia="zh-CN"/>
                    </w:rPr>
                    <w:t>喷漆晾干房</w:t>
                  </w:r>
                  <w:r>
                    <w:rPr>
                      <w:rFonts w:hint="eastAsia" w:ascii="Times New Roman" w:hAnsi="Times New Roman" w:eastAsia="宋体" w:cs="Times New Roman"/>
                      <w:color w:val="auto"/>
                      <w:sz w:val="21"/>
                      <w:szCs w:val="21"/>
                      <w:highlight w:val="none"/>
                    </w:rPr>
                    <w:t>门窗紧闭</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且</w:t>
                  </w:r>
                  <w:r>
                    <w:rPr>
                      <w:rFonts w:hint="eastAsia" w:cs="Times New Roman"/>
                      <w:color w:val="auto"/>
                      <w:spacing w:val="0"/>
                      <w:position w:val="0"/>
                      <w:sz w:val="21"/>
                      <w:szCs w:val="21"/>
                      <w:highlight w:val="none"/>
                      <w:lang w:eastAsia="zh-CN"/>
                    </w:rPr>
                    <w:t>调漆、喷漆废气经水帘柜处理后，与晾干废气一同经集气装置负压收集后再引入“气旋塔+过滤棉+二级活性炭吸附装置”</w:t>
                  </w:r>
                  <w:r>
                    <w:rPr>
                      <w:rFonts w:hint="eastAsia" w:ascii="Times New Roman" w:hAnsi="Times New Roman" w:eastAsia="宋体" w:cs="Times New Roman"/>
                      <w:color w:val="auto"/>
                      <w:spacing w:val="0"/>
                      <w:position w:val="0"/>
                      <w:sz w:val="21"/>
                      <w:szCs w:val="21"/>
                      <w:highlight w:val="none"/>
                      <w:lang w:eastAsia="zh-CN"/>
                    </w:rPr>
                    <w:t>处理后</w:t>
                  </w:r>
                  <w:r>
                    <w:rPr>
                      <w:rFonts w:hint="eastAsia" w:ascii="Times New Roman" w:hAnsi="Times New Roman" w:eastAsia="宋体" w:cs="Times New Roman"/>
                      <w:color w:val="auto"/>
                      <w:spacing w:val="0"/>
                      <w:kern w:val="0"/>
                      <w:position w:val="0"/>
                      <w:sz w:val="21"/>
                      <w:szCs w:val="21"/>
                      <w:highlight w:val="none"/>
                      <w:lang w:val="en-US" w:eastAsia="zh-CN"/>
                    </w:rPr>
                    <w:t>通过1根</w:t>
                  </w:r>
                  <w:r>
                    <w:rPr>
                      <w:rFonts w:hint="eastAsia" w:cs="Times New Roman"/>
                      <w:color w:val="auto"/>
                      <w:spacing w:val="0"/>
                      <w:kern w:val="0"/>
                      <w:position w:val="0"/>
                      <w:sz w:val="21"/>
                      <w:szCs w:val="21"/>
                      <w:highlight w:val="none"/>
                      <w:lang w:val="en-US" w:eastAsia="zh-CN"/>
                    </w:rPr>
                    <w:t>25m</w:t>
                  </w:r>
                  <w:r>
                    <w:rPr>
                      <w:rFonts w:hint="eastAsia" w:ascii="Times New Roman" w:hAnsi="Times New Roman" w:eastAsia="宋体" w:cs="Times New Roman"/>
                      <w:color w:val="auto"/>
                      <w:spacing w:val="0"/>
                      <w:kern w:val="0"/>
                      <w:position w:val="0"/>
                      <w:sz w:val="21"/>
                      <w:szCs w:val="21"/>
                      <w:highlight w:val="none"/>
                      <w:lang w:val="en-US" w:eastAsia="zh-CN"/>
                    </w:rPr>
                    <w:t>排气筒排放</w:t>
                  </w:r>
                  <w:r>
                    <w:rPr>
                      <w:rFonts w:hint="eastAsia" w:ascii="Times New Roman" w:hAnsi="Times New Roman" w:eastAsia="宋体" w:cs="Times New Roman"/>
                      <w:b w:val="0"/>
                      <w:bCs w:val="0"/>
                      <w:color w:val="auto"/>
                      <w:sz w:val="21"/>
                      <w:szCs w:val="21"/>
                      <w:highlight w:val="none"/>
                      <w:lang w:val="en-US" w:eastAsia="zh-CN"/>
                    </w:rPr>
                    <w:t>；</w:t>
                  </w:r>
                </w:p>
                <w:p w14:paraId="597A75C3">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3.项目</w:t>
                  </w:r>
                  <w:r>
                    <w:rPr>
                      <w:rFonts w:hint="eastAsia" w:ascii="Times New Roman" w:hAnsi="Times New Roman" w:eastAsia="宋体" w:cs="Times New Roman"/>
                      <w:color w:val="auto"/>
                      <w:kern w:val="2"/>
                      <w:sz w:val="21"/>
                      <w:szCs w:val="21"/>
                      <w:highlight w:val="none"/>
                      <w:lang w:val="en-US" w:eastAsia="zh-CN" w:bidi="ar-SA"/>
                    </w:rPr>
                    <w:t>将严格按照要求制定</w:t>
                  </w:r>
                  <w:r>
                    <w:rPr>
                      <w:rFonts w:hint="default" w:ascii="Times New Roman" w:hAnsi="Times New Roman" w:eastAsia="宋体" w:cs="Times New Roman"/>
                      <w:b w:val="0"/>
                      <w:bCs w:val="0"/>
                      <w:color w:val="auto"/>
                      <w:sz w:val="21"/>
                      <w:szCs w:val="21"/>
                      <w:highlight w:val="none"/>
                      <w:lang w:val="en-US" w:eastAsia="zh-CN"/>
                    </w:rPr>
                    <w:t>废气收集系统、</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处理设施</w:t>
                  </w:r>
                  <w:r>
                    <w:rPr>
                      <w:rFonts w:hint="eastAsia" w:ascii="Times New Roman" w:hAnsi="Times New Roman" w:eastAsia="宋体" w:cs="Times New Roman"/>
                      <w:b w:val="0"/>
                      <w:bCs w:val="0"/>
                      <w:color w:val="auto"/>
                      <w:sz w:val="21"/>
                      <w:szCs w:val="21"/>
                      <w:highlight w:val="none"/>
                      <w:lang w:val="en-US" w:eastAsia="zh-CN"/>
                    </w:rPr>
                    <w:t>运行台账，</w:t>
                  </w:r>
                  <w:r>
                    <w:rPr>
                      <w:rFonts w:hint="default" w:ascii="Times New Roman" w:hAnsi="Times New Roman" w:eastAsia="宋体" w:cs="Times New Roman"/>
                      <w:b w:val="0"/>
                      <w:bCs w:val="0"/>
                      <w:color w:val="auto"/>
                      <w:sz w:val="21"/>
                      <w:szCs w:val="21"/>
                      <w:highlight w:val="none"/>
                      <w:lang w:val="en-US" w:eastAsia="zh-CN"/>
                    </w:rPr>
                    <w:t>台账保存期限不少于3年</w:t>
                  </w:r>
                  <w:r>
                    <w:rPr>
                      <w:rFonts w:hint="eastAsia" w:ascii="Times New Roman" w:hAnsi="Times New Roman" w:eastAsia="宋体" w:cs="Times New Roman"/>
                      <w:b w:val="0"/>
                      <w:bCs w:val="0"/>
                      <w:color w:val="auto"/>
                      <w:sz w:val="21"/>
                      <w:szCs w:val="21"/>
                      <w:highlight w:val="none"/>
                      <w:lang w:val="en-US" w:eastAsia="zh-CN"/>
                    </w:rPr>
                    <w:t>。</w:t>
                  </w:r>
                </w:p>
              </w:tc>
              <w:tc>
                <w:tcPr>
                  <w:tcW w:w="286" w:type="pct"/>
                  <w:tcBorders>
                    <w:tl2br w:val="nil"/>
                    <w:tr2bl w:val="nil"/>
                  </w:tcBorders>
                  <w:noWrap w:val="0"/>
                  <w:vAlign w:val="center"/>
                </w:tcPr>
                <w:p w14:paraId="7DABD976">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14:paraId="0EC1B4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tcBorders>
                    <w:tl2br w:val="nil"/>
                    <w:tr2bl w:val="nil"/>
                  </w:tcBorders>
                  <w:noWrap w:val="0"/>
                  <w:vAlign w:val="center"/>
                </w:tcPr>
                <w:p w14:paraId="66A54B09">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4</w:t>
                  </w:r>
                </w:p>
              </w:tc>
              <w:tc>
                <w:tcPr>
                  <w:tcW w:w="586" w:type="pct"/>
                  <w:tcBorders>
                    <w:tl2br w:val="nil"/>
                    <w:tr2bl w:val="nil"/>
                  </w:tcBorders>
                  <w:noWrap w:val="0"/>
                  <w:vAlign w:val="center"/>
                </w:tcPr>
                <w:p w14:paraId="04075C11">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福建省“十四五”空气质量改善规划</w:t>
                  </w:r>
                  <w:r>
                    <w:rPr>
                      <w:rFonts w:hint="eastAsia" w:ascii="Times New Roman" w:hAnsi="Times New Roman" w:eastAsia="宋体" w:cs="Times New Roman"/>
                      <w:color w:val="auto"/>
                      <w:sz w:val="21"/>
                      <w:szCs w:val="21"/>
                      <w:highlight w:val="none"/>
                      <w:lang w:eastAsia="zh-CN"/>
                    </w:rPr>
                    <w:t>》</w:t>
                  </w:r>
                </w:p>
                <w:p w14:paraId="4078C6CB">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(2022年)</w:t>
                  </w:r>
                </w:p>
              </w:tc>
              <w:tc>
                <w:tcPr>
                  <w:tcW w:w="2152" w:type="pct"/>
                  <w:tcBorders>
                    <w:tl2br w:val="nil"/>
                    <w:tr2bl w:val="nil"/>
                  </w:tcBorders>
                  <w:noWrap w:val="0"/>
                  <w:vAlign w:val="center"/>
                </w:tcPr>
                <w:p w14:paraId="3EEB0D77">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推广使用水性、高固体分、无溶剂、粉末等低</w:t>
                  </w:r>
                  <w:r>
                    <w:rPr>
                      <w:rFonts w:hint="eastAsia" w:ascii="Times New Roman" w:hAnsi="Times New Roman" w:eastAsia="宋体" w:cs="Times New Roman"/>
                      <w:color w:val="auto"/>
                      <w:sz w:val="21"/>
                      <w:szCs w:val="21"/>
                      <w:highlight w:val="none"/>
                      <w:lang w:eastAsia="zh-CN"/>
                    </w:rPr>
                    <w:t>VOCs</w:t>
                  </w:r>
                  <w:r>
                    <w:rPr>
                      <w:rFonts w:hint="eastAsia" w:ascii="Times New Roman" w:hAnsi="Times New Roman" w:eastAsia="宋体" w:cs="Times New Roman"/>
                      <w:color w:val="auto"/>
                      <w:sz w:val="21"/>
                      <w:szCs w:val="21"/>
                      <w:highlight w:val="none"/>
                    </w:rPr>
                    <w:t>含量涂料，</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电缆桥架</w:t>
                  </w:r>
                  <w:r>
                    <w:rPr>
                      <w:rFonts w:hint="eastAsia" w:ascii="Times New Roman" w:hAnsi="Times New Roman" w:eastAsia="宋体" w:cs="Times New Roman"/>
                      <w:color w:val="auto"/>
                      <w:sz w:val="21"/>
                      <w:szCs w:val="21"/>
                      <w:highlight w:val="none"/>
                    </w:rPr>
                    <w:t>制造、汽车零部件、工程机械使用比例达到50%以上；</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严格执行涂料、油墨、胶粘剂、清洗剂</w:t>
                  </w:r>
                  <w:r>
                    <w:rPr>
                      <w:rFonts w:hint="eastAsia" w:ascii="Times New Roman" w:hAnsi="Times New Roman" w:eastAsia="宋体" w:cs="Times New Roman"/>
                      <w:color w:val="auto"/>
                      <w:sz w:val="21"/>
                      <w:szCs w:val="21"/>
                      <w:highlight w:val="none"/>
                      <w:lang w:eastAsia="zh-CN"/>
                    </w:rPr>
                    <w:t>VOCs</w:t>
                  </w:r>
                  <w:r>
                    <w:rPr>
                      <w:rFonts w:hint="eastAsia" w:ascii="Times New Roman" w:hAnsi="Times New Roman" w:eastAsia="宋体" w:cs="Times New Roman"/>
                      <w:color w:val="auto"/>
                      <w:sz w:val="21"/>
                      <w:szCs w:val="21"/>
                      <w:highlight w:val="none"/>
                    </w:rPr>
                    <w:t>含量限值标准，加大抽检力度，确保生产、销售、进口、使用符合标准的产品。严格涉</w:t>
                  </w:r>
                  <w:r>
                    <w:rPr>
                      <w:rFonts w:hint="eastAsia" w:ascii="Times New Roman" w:hAnsi="Times New Roman" w:eastAsia="宋体" w:cs="Times New Roman"/>
                      <w:color w:val="auto"/>
                      <w:sz w:val="21"/>
                      <w:szCs w:val="21"/>
                      <w:highlight w:val="none"/>
                      <w:lang w:eastAsia="zh-CN"/>
                    </w:rPr>
                    <w:t>VOCs</w:t>
                  </w:r>
                  <w:r>
                    <w:rPr>
                      <w:rFonts w:hint="eastAsia" w:ascii="Times New Roman" w:hAnsi="Times New Roman" w:eastAsia="宋体" w:cs="Times New Roman"/>
                      <w:color w:val="auto"/>
                      <w:sz w:val="21"/>
                      <w:szCs w:val="21"/>
                      <w:highlight w:val="none"/>
                    </w:rPr>
                    <w:t>建设项目环境影响评价，</w:t>
                  </w:r>
                  <w:r>
                    <w:rPr>
                      <w:rFonts w:hint="eastAsia" w:ascii="Times New Roman" w:hAnsi="Times New Roman" w:eastAsia="宋体" w:cs="Times New Roman"/>
                      <w:color w:val="auto"/>
                      <w:sz w:val="21"/>
                      <w:szCs w:val="21"/>
                      <w:highlight w:val="none"/>
                      <w:lang w:eastAsia="zh-CN"/>
                    </w:rPr>
                    <w:t>VOCs</w:t>
                  </w:r>
                  <w:r>
                    <w:rPr>
                      <w:rFonts w:hint="eastAsia" w:ascii="Times New Roman" w:hAnsi="Times New Roman" w:eastAsia="宋体" w:cs="Times New Roman"/>
                      <w:color w:val="auto"/>
                      <w:sz w:val="21"/>
                      <w:szCs w:val="21"/>
                      <w:highlight w:val="none"/>
                    </w:rPr>
                    <w:t>排放实行区域内等量替代，福州、厦门、漳州、泉州、莆田、宁德实施</w:t>
                  </w:r>
                  <w:r>
                    <w:rPr>
                      <w:rFonts w:hint="eastAsia" w:ascii="Times New Roman" w:hAnsi="Times New Roman" w:eastAsia="宋体" w:cs="Times New Roman"/>
                      <w:color w:val="auto"/>
                      <w:sz w:val="21"/>
                      <w:szCs w:val="21"/>
                      <w:highlight w:val="none"/>
                      <w:lang w:eastAsia="zh-CN"/>
                    </w:rPr>
                    <w:t>VOCs</w:t>
                  </w:r>
                  <w:r>
                    <w:rPr>
                      <w:rFonts w:hint="eastAsia" w:ascii="Times New Roman" w:hAnsi="Times New Roman" w:eastAsia="宋体" w:cs="Times New Roman"/>
                      <w:color w:val="auto"/>
                      <w:sz w:val="21"/>
                      <w:szCs w:val="21"/>
                      <w:highlight w:val="none"/>
                    </w:rPr>
                    <w:t>倍量替代。</w:t>
                  </w:r>
                </w:p>
              </w:tc>
              <w:tc>
                <w:tcPr>
                  <w:tcW w:w="1754" w:type="pct"/>
                  <w:tcBorders>
                    <w:tl2br w:val="nil"/>
                    <w:tr2bl w:val="nil"/>
                  </w:tcBorders>
                  <w:noWrap w:val="0"/>
                  <w:vAlign w:val="center"/>
                </w:tcPr>
                <w:p w14:paraId="4D770BFC">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项目不涉及油墨、胶粘剂等原辅材料，根</w:t>
                  </w:r>
                  <w:r>
                    <w:rPr>
                      <w:rFonts w:hint="default" w:ascii="Times New Roman" w:hAnsi="Times New Roman" w:eastAsia="宋体" w:cs="Times New Roman"/>
                      <w:color w:val="auto"/>
                      <w:spacing w:val="0"/>
                      <w:kern w:val="0"/>
                      <w:sz w:val="21"/>
                      <w:szCs w:val="21"/>
                      <w:highlight w:val="none"/>
                    </w:rPr>
                    <w:t>据第二章节</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主要原辅材料及能源消耗 主要原辅材料理化性质</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分析，项目使用的</w:t>
                  </w:r>
                  <w:r>
                    <w:rPr>
                      <w:rFonts w:hint="eastAsia" w:ascii="Times New Roman" w:hAnsi="Times New Roman" w:eastAsia="宋体" w:cs="Times New Roman"/>
                      <w:color w:val="auto"/>
                      <w:spacing w:val="0"/>
                      <w:kern w:val="0"/>
                      <w:sz w:val="21"/>
                      <w:szCs w:val="21"/>
                      <w:highlight w:val="none"/>
                      <w:lang w:val="en-US" w:eastAsia="zh-CN"/>
                    </w:rPr>
                    <w:t>油性</w:t>
                  </w:r>
                  <w:r>
                    <w:rPr>
                      <w:rFonts w:hint="default" w:ascii="Times New Roman" w:hAnsi="Times New Roman" w:eastAsia="宋体" w:cs="Times New Roman"/>
                      <w:color w:val="auto"/>
                      <w:spacing w:val="0"/>
                      <w:kern w:val="0"/>
                      <w:sz w:val="21"/>
                      <w:szCs w:val="21"/>
                      <w:highlight w:val="none"/>
                    </w:rPr>
                    <w:t>漆、稀释剂、固化剂在施工状态下属于低VOCs含量原辅材料，不属于高VOCs排放范畴；项目使用的水性</w:t>
                  </w:r>
                  <w:r>
                    <w:rPr>
                      <w:rFonts w:hint="eastAsia" w:ascii="Times New Roman" w:hAnsi="Times New Roman" w:eastAsia="宋体" w:cs="Times New Roman"/>
                      <w:color w:val="auto"/>
                      <w:spacing w:val="0"/>
                      <w:kern w:val="0"/>
                      <w:sz w:val="21"/>
                      <w:szCs w:val="21"/>
                      <w:highlight w:val="none"/>
                      <w:lang w:val="en-US" w:eastAsia="zh-CN"/>
                    </w:rPr>
                    <w:t>漆</w:t>
                  </w:r>
                  <w:r>
                    <w:rPr>
                      <w:rFonts w:hint="default" w:ascii="Times New Roman" w:hAnsi="Times New Roman" w:eastAsia="宋体" w:cs="Times New Roman"/>
                      <w:color w:val="auto"/>
                      <w:spacing w:val="0"/>
                      <w:kern w:val="0"/>
                      <w:sz w:val="21"/>
                      <w:szCs w:val="21"/>
                      <w:highlight w:val="none"/>
                    </w:rPr>
                    <w:t>符合《低挥发性有机化合物含量涂料产品技术要求》（GB/T 38597-2020）中的VOCs含量要求规定</w:t>
                  </w:r>
                  <w:r>
                    <w:rPr>
                      <w:rFonts w:hint="eastAsia" w:ascii="Times New Roman" w:hAnsi="Times New Roman" w:eastAsia="宋体" w:cs="Times New Roman"/>
                      <w:color w:val="auto"/>
                      <w:sz w:val="21"/>
                      <w:szCs w:val="21"/>
                      <w:highlight w:val="none"/>
                      <w:lang w:val="en-US" w:eastAsia="zh-CN"/>
                    </w:rPr>
                    <w:t>，不属于高VOCs排放项目；</w:t>
                  </w:r>
                  <w:r>
                    <w:rPr>
                      <w:rFonts w:hint="eastAsia" w:ascii="Times New Roman" w:hAnsi="Times New Roman" w:eastAsia="宋体" w:cs="Times New Roman"/>
                      <w:color w:val="auto"/>
                      <w:kern w:val="0"/>
                      <w:sz w:val="21"/>
                      <w:szCs w:val="21"/>
                      <w:highlight w:val="none"/>
                      <w:lang w:val="en-US" w:eastAsia="zh-CN"/>
                    </w:rPr>
                    <w:t>根据</w:t>
                  </w:r>
                  <w:r>
                    <w:rPr>
                      <w:rFonts w:hint="default" w:ascii="Times New Roman" w:hAnsi="Times New Roman" w:eastAsia="宋体" w:cs="Times New Roman"/>
                      <w:b w:val="0"/>
                      <w:bCs w:val="0"/>
                      <w:color w:val="auto"/>
                      <w:sz w:val="21"/>
                      <w:szCs w:val="21"/>
                      <w:highlight w:val="none"/>
                    </w:rPr>
                    <w:t>《福州市生态环境局关于落实</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奋勇争先</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行动进一步服务和促进民营经济高质量发展的通知》（榕环保综〔2025〕47号）</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0"/>
                      <w:sz w:val="21"/>
                      <w:szCs w:val="21"/>
                      <w:highlight w:val="none"/>
                    </w:rPr>
                    <w:t>本项目</w:t>
                  </w:r>
                  <w:r>
                    <w:rPr>
                      <w:rFonts w:hint="eastAsia" w:ascii="Times New Roman" w:hAnsi="Times New Roman" w:eastAsia="宋体" w:cs="Times New Roman"/>
                      <w:color w:val="auto"/>
                      <w:kern w:val="0"/>
                      <w:sz w:val="21"/>
                      <w:szCs w:val="21"/>
                      <w:highlight w:val="none"/>
                      <w:lang w:val="en-US" w:eastAsia="zh-CN"/>
                    </w:rPr>
                    <w:t>新增</w:t>
                  </w:r>
                  <w:r>
                    <w:rPr>
                      <w:rFonts w:hint="eastAsia" w:ascii="Times New Roman" w:hAnsi="Times New Roman" w:eastAsia="宋体" w:cs="Times New Roman"/>
                      <w:color w:val="auto"/>
                      <w:kern w:val="0"/>
                      <w:sz w:val="21"/>
                      <w:szCs w:val="21"/>
                      <w:highlight w:val="none"/>
                    </w:rPr>
                    <w:t>VOCs年排放量小于0.1吨，无需提交总量来源说明，由市级生态环境部门统筹总量指标替代来源</w:t>
                  </w:r>
                  <w:r>
                    <w:rPr>
                      <w:rFonts w:hint="eastAsia" w:ascii="Times New Roman" w:hAnsi="Times New Roman" w:eastAsia="宋体" w:cs="Times New Roman"/>
                      <w:color w:val="auto"/>
                      <w:sz w:val="21"/>
                      <w:szCs w:val="21"/>
                      <w:highlight w:val="none"/>
                      <w:lang w:val="en-US" w:eastAsia="zh-CN"/>
                    </w:rPr>
                    <w:t>。</w:t>
                  </w:r>
                </w:p>
              </w:tc>
              <w:tc>
                <w:tcPr>
                  <w:tcW w:w="286" w:type="pct"/>
                  <w:tcBorders>
                    <w:tl2br w:val="nil"/>
                    <w:tr2bl w:val="nil"/>
                  </w:tcBorders>
                  <w:noWrap w:val="0"/>
                  <w:vAlign w:val="center"/>
                </w:tcPr>
                <w:p w14:paraId="38A7080D">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31014E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tcBorders>
                    <w:tl2br w:val="nil"/>
                    <w:tr2bl w:val="nil"/>
                  </w:tcBorders>
                  <w:noWrap w:val="0"/>
                  <w:vAlign w:val="center"/>
                </w:tcPr>
                <w:p w14:paraId="2CCFD643">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586" w:type="pct"/>
                  <w:tcBorders>
                    <w:tl2br w:val="nil"/>
                    <w:tr2bl w:val="nil"/>
                  </w:tcBorders>
                  <w:noWrap w:val="0"/>
                  <w:vAlign w:val="center"/>
                </w:tcPr>
                <w:p w14:paraId="62C13130">
                  <w:pPr>
                    <w:pStyle w:val="151"/>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福建省重点行业挥发性有机物污染防治工作方案(闽环保大气〔2017〕6号)</w:t>
                  </w:r>
                </w:p>
              </w:tc>
              <w:tc>
                <w:tcPr>
                  <w:tcW w:w="2152" w:type="pct"/>
                  <w:tcBorders>
                    <w:tl2br w:val="nil"/>
                    <w:tr2bl w:val="nil"/>
                  </w:tcBorders>
                  <w:noWrap w:val="0"/>
                  <w:vAlign w:val="top"/>
                </w:tcPr>
                <w:p w14:paraId="4A582F3A">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二、主要任务</w:t>
                  </w:r>
                </w:p>
                <w:p w14:paraId="38799003">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（三）加快推进重点行业</w:t>
                  </w:r>
                  <w:r>
                    <w:rPr>
                      <w:rFonts w:hint="eastAsia"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专项整治</w:t>
                  </w:r>
                </w:p>
                <w:p w14:paraId="42E665C4">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（2）加强化工企业污染综合整治</w:t>
                  </w:r>
                </w:p>
                <w:p w14:paraId="61ED69D7">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提升有机化工</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含有机化学原料、合成材料、日用化工、涂料、油墨、胶粘剂、染料、化学溶剂、试剂生产等</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、医药化工、塑料制品企业装备水平，严格控制跑冒滴漏。</w:t>
                  </w:r>
                </w:p>
              </w:tc>
              <w:tc>
                <w:tcPr>
                  <w:tcW w:w="1754" w:type="pct"/>
                  <w:tcBorders>
                    <w:tl2br w:val="nil"/>
                    <w:tr2bl w:val="nil"/>
                  </w:tcBorders>
                  <w:noWrap w:val="0"/>
                  <w:vAlign w:val="center"/>
                </w:tcPr>
                <w:p w14:paraId="4DAB39CD">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项目在标准的厂房内进行生产</w:t>
                  </w:r>
                  <w:r>
                    <w:rPr>
                      <w:rFonts w:hint="eastAsia" w:ascii="Times New Roman" w:hAnsi="Times New Roman" w:eastAsia="宋体" w:cs="Times New Roman"/>
                      <w:color w:val="auto"/>
                      <w:sz w:val="21"/>
                      <w:szCs w:val="21"/>
                      <w:highlight w:val="none"/>
                    </w:rPr>
                    <w:t>，并设有</w:t>
                  </w:r>
                  <w:r>
                    <w:rPr>
                      <w:rFonts w:hint="eastAsia" w:cs="Times New Roman"/>
                      <w:color w:val="auto"/>
                      <w:sz w:val="21"/>
                      <w:szCs w:val="21"/>
                      <w:highlight w:val="none"/>
                      <w:lang w:val="en-US" w:eastAsia="zh-CN"/>
                    </w:rPr>
                    <w:t>负压</w:t>
                  </w:r>
                  <w:r>
                    <w:rPr>
                      <w:rFonts w:hint="eastAsia" w:ascii="Times New Roman" w:hAnsi="Times New Roman" w:eastAsia="宋体" w:cs="Times New Roman"/>
                      <w:color w:val="auto"/>
                      <w:sz w:val="21"/>
                      <w:szCs w:val="21"/>
                      <w:highlight w:val="none"/>
                    </w:rPr>
                    <w:t>密闭的</w:t>
                  </w:r>
                  <w:r>
                    <w:rPr>
                      <w:rFonts w:hint="eastAsia" w:cs="Times New Roman"/>
                      <w:color w:val="auto"/>
                      <w:sz w:val="21"/>
                      <w:szCs w:val="21"/>
                      <w:highlight w:val="none"/>
                      <w:lang w:eastAsia="zh-CN"/>
                    </w:rPr>
                    <w:t>喷漆晾干房</w:t>
                  </w:r>
                  <w:r>
                    <w:rPr>
                      <w:rFonts w:hint="eastAsia" w:ascii="Times New Roman" w:hAnsi="Times New Roman" w:eastAsia="宋体" w:cs="Times New Roman"/>
                      <w:color w:val="auto"/>
                      <w:sz w:val="21"/>
                      <w:szCs w:val="21"/>
                      <w:highlight w:val="none"/>
                    </w:rPr>
                    <w:t>，在运营期间，</w:t>
                  </w:r>
                  <w:r>
                    <w:rPr>
                      <w:rFonts w:hint="eastAsia" w:cs="Times New Roman"/>
                      <w:color w:val="auto"/>
                      <w:sz w:val="21"/>
                      <w:szCs w:val="21"/>
                      <w:highlight w:val="none"/>
                      <w:lang w:eastAsia="zh-CN"/>
                    </w:rPr>
                    <w:t>喷漆晾干房</w:t>
                  </w:r>
                  <w:r>
                    <w:rPr>
                      <w:rFonts w:hint="eastAsia" w:ascii="Times New Roman" w:hAnsi="Times New Roman" w:eastAsia="宋体" w:cs="Times New Roman"/>
                      <w:color w:val="auto"/>
                      <w:sz w:val="21"/>
                      <w:szCs w:val="21"/>
                      <w:highlight w:val="none"/>
                    </w:rPr>
                    <w:t>门窗紧闭</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且</w:t>
                  </w:r>
                  <w:r>
                    <w:rPr>
                      <w:rFonts w:hint="eastAsia" w:cs="Times New Roman"/>
                      <w:color w:val="auto"/>
                      <w:spacing w:val="0"/>
                      <w:position w:val="0"/>
                      <w:sz w:val="21"/>
                      <w:szCs w:val="21"/>
                      <w:highlight w:val="none"/>
                      <w:lang w:eastAsia="zh-CN"/>
                    </w:rPr>
                    <w:t>调漆、喷漆废气经水帘柜处理后，与晾干废气一同经集气装置负压收集后再引入“气旋塔+过滤棉+二级活性炭吸附装置”</w:t>
                  </w:r>
                  <w:r>
                    <w:rPr>
                      <w:rFonts w:hint="eastAsia" w:ascii="Times New Roman" w:hAnsi="Times New Roman" w:eastAsia="宋体" w:cs="Times New Roman"/>
                      <w:color w:val="auto"/>
                      <w:spacing w:val="0"/>
                      <w:position w:val="0"/>
                      <w:sz w:val="21"/>
                      <w:szCs w:val="21"/>
                      <w:highlight w:val="none"/>
                      <w:lang w:eastAsia="zh-CN"/>
                    </w:rPr>
                    <w:t>处理后</w:t>
                  </w:r>
                  <w:r>
                    <w:rPr>
                      <w:rFonts w:hint="eastAsia" w:ascii="Times New Roman" w:hAnsi="Times New Roman" w:eastAsia="宋体" w:cs="Times New Roman"/>
                      <w:color w:val="auto"/>
                      <w:spacing w:val="0"/>
                      <w:kern w:val="0"/>
                      <w:position w:val="0"/>
                      <w:sz w:val="21"/>
                      <w:szCs w:val="21"/>
                      <w:highlight w:val="none"/>
                      <w:lang w:val="en-US" w:eastAsia="zh-CN"/>
                    </w:rPr>
                    <w:t>通过1根</w:t>
                  </w:r>
                  <w:r>
                    <w:rPr>
                      <w:rFonts w:hint="eastAsia" w:cs="Times New Roman"/>
                      <w:color w:val="auto"/>
                      <w:spacing w:val="0"/>
                      <w:kern w:val="0"/>
                      <w:position w:val="0"/>
                      <w:sz w:val="21"/>
                      <w:szCs w:val="21"/>
                      <w:highlight w:val="none"/>
                      <w:lang w:val="en-US" w:eastAsia="zh-CN"/>
                    </w:rPr>
                    <w:t>25m</w:t>
                  </w:r>
                  <w:r>
                    <w:rPr>
                      <w:rFonts w:hint="eastAsia" w:ascii="Times New Roman" w:hAnsi="Times New Roman" w:eastAsia="宋体" w:cs="Times New Roman"/>
                      <w:color w:val="auto"/>
                      <w:spacing w:val="0"/>
                      <w:kern w:val="0"/>
                      <w:position w:val="0"/>
                      <w:sz w:val="21"/>
                      <w:szCs w:val="21"/>
                      <w:highlight w:val="none"/>
                      <w:lang w:val="en-US" w:eastAsia="zh-CN"/>
                    </w:rPr>
                    <w:t>排气筒达标排放</w:t>
                  </w:r>
                  <w:r>
                    <w:rPr>
                      <w:rFonts w:hint="eastAsia" w:cs="Times New Roman"/>
                      <w:color w:val="auto"/>
                      <w:spacing w:val="0"/>
                      <w:kern w:val="0"/>
                      <w:position w:val="0"/>
                      <w:sz w:val="21"/>
                      <w:szCs w:val="21"/>
                      <w:highlight w:val="none"/>
                      <w:lang w:val="en-US" w:eastAsia="zh-CN"/>
                    </w:rPr>
                    <w:t>。</w:t>
                  </w:r>
                </w:p>
              </w:tc>
              <w:tc>
                <w:tcPr>
                  <w:tcW w:w="286" w:type="pct"/>
                  <w:tcBorders>
                    <w:tl2br w:val="nil"/>
                    <w:tr2bl w:val="nil"/>
                  </w:tcBorders>
                  <w:noWrap w:val="0"/>
                  <w:vAlign w:val="center"/>
                </w:tcPr>
                <w:p w14:paraId="4154C6F8">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0ACD9F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02" w:hRule="atLeast"/>
              </w:trPr>
              <w:tc>
                <w:tcPr>
                  <w:tcW w:w="221" w:type="pct"/>
                  <w:tcBorders>
                    <w:tl2br w:val="nil"/>
                    <w:tr2bl w:val="nil"/>
                  </w:tcBorders>
                  <w:noWrap w:val="0"/>
                  <w:vAlign w:val="center"/>
                </w:tcPr>
                <w:p w14:paraId="7613201A">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586" w:type="pct"/>
                  <w:tcBorders>
                    <w:tl2br w:val="nil"/>
                    <w:tr2bl w:val="nil"/>
                  </w:tcBorders>
                  <w:noWrap w:val="0"/>
                  <w:vAlign w:val="center"/>
                </w:tcPr>
                <w:p w14:paraId="7148E3C6">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《福建省重点行业挥发性有机物排放控制要求(试行)的通知》</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闽环保大气〔2017〕9号</w:t>
                  </w:r>
                  <w:r>
                    <w:rPr>
                      <w:rFonts w:hint="eastAsia" w:cs="Times New Roman"/>
                      <w:color w:val="auto"/>
                      <w:sz w:val="21"/>
                      <w:szCs w:val="21"/>
                      <w:highlight w:val="none"/>
                      <w:lang w:val="en-US" w:eastAsia="zh-CN"/>
                    </w:rPr>
                    <w:t>）</w:t>
                  </w:r>
                </w:p>
              </w:tc>
              <w:tc>
                <w:tcPr>
                  <w:tcW w:w="2152" w:type="pct"/>
                  <w:tcBorders>
                    <w:tl2br w:val="nil"/>
                    <w:tr2bl w:val="nil"/>
                  </w:tcBorders>
                  <w:noWrap w:val="0"/>
                  <w:vAlign w:val="top"/>
                </w:tcPr>
                <w:p w14:paraId="3BBF2A0E">
                  <w:pPr>
                    <w:pStyle w:val="152"/>
                    <w:keepNext w:val="0"/>
                    <w:keepLines w:val="0"/>
                    <w:pageBreakBefore w:val="0"/>
                    <w:widowControl w:val="0"/>
                    <w:tabs>
                      <w:tab w:val="left" w:pos="4347"/>
                    </w:tabs>
                    <w:kinsoku/>
                    <w:wordWrap/>
                    <w:overflowPunct/>
                    <w:topLinePunct w:val="0"/>
                    <w:autoSpaceDE/>
                    <w:autoSpaceDN w:val="0"/>
                    <w:bidi w:val="0"/>
                    <w:adjustRightInd w:val="0"/>
                    <w:snapToGrid w:val="0"/>
                    <w:spacing w:line="240" w:lineRule="auto"/>
                    <w:jc w:val="left"/>
                    <w:textAlignment w:val="auto"/>
                    <w:outlineLvl w:val="2"/>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(1)工艺过程控制要求</w:t>
                  </w:r>
                </w:p>
                <w:p w14:paraId="74E66910">
                  <w:pPr>
                    <w:pStyle w:val="152"/>
                    <w:keepNext w:val="0"/>
                    <w:keepLines w:val="0"/>
                    <w:pageBreakBefore w:val="0"/>
                    <w:widowControl w:val="0"/>
                    <w:tabs>
                      <w:tab w:val="left" w:pos="4347"/>
                    </w:tabs>
                    <w:kinsoku/>
                    <w:wordWrap/>
                    <w:overflowPunct/>
                    <w:topLinePunct w:val="0"/>
                    <w:autoSpaceDE/>
                    <w:autoSpaceDN w:val="0"/>
                    <w:bidi w:val="0"/>
                    <w:adjustRightInd w:val="0"/>
                    <w:snapToGrid w:val="0"/>
                    <w:spacing w:line="240" w:lineRule="auto"/>
                    <w:jc w:val="left"/>
                    <w:textAlignment w:val="auto"/>
                    <w:outlineLvl w:val="2"/>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含</w:t>
                  </w:r>
                  <w:r>
                    <w:rPr>
                      <w:rFonts w:hint="eastAsia" w:ascii="Times New Roman" w:hAnsi="Times New Roman" w:eastAsia="宋体" w:cs="Times New Roman"/>
                      <w:b w:val="0"/>
                      <w:bCs w:val="0"/>
                      <w:color w:val="auto"/>
                      <w:kern w:val="2"/>
                      <w:sz w:val="21"/>
                      <w:szCs w:val="21"/>
                      <w:highlight w:val="none"/>
                      <w:lang w:val="en-US" w:eastAsia="zh-CN" w:bidi="ar-SA"/>
                    </w:rPr>
                    <w:t>VOCs</w:t>
                  </w:r>
                  <w:r>
                    <w:rPr>
                      <w:rFonts w:hint="default" w:ascii="Times New Roman" w:hAnsi="Times New Roman" w:eastAsia="宋体" w:cs="Times New Roman"/>
                      <w:b w:val="0"/>
                      <w:bCs w:val="0"/>
                      <w:color w:val="auto"/>
                      <w:kern w:val="2"/>
                      <w:sz w:val="21"/>
                      <w:szCs w:val="21"/>
                      <w:highlight w:val="none"/>
                      <w:lang w:val="en-US" w:eastAsia="zh-CN" w:bidi="ar-SA"/>
                    </w:rPr>
                    <w:t>物料应储存于密闭容器中。盛装含</w:t>
                  </w:r>
                  <w:r>
                    <w:rPr>
                      <w:rFonts w:hint="eastAsia" w:ascii="Times New Roman" w:hAnsi="Times New Roman" w:eastAsia="宋体" w:cs="Times New Roman"/>
                      <w:b w:val="0"/>
                      <w:bCs w:val="0"/>
                      <w:color w:val="auto"/>
                      <w:kern w:val="2"/>
                      <w:sz w:val="21"/>
                      <w:szCs w:val="21"/>
                      <w:highlight w:val="none"/>
                      <w:lang w:val="en-US" w:eastAsia="zh-CN" w:bidi="ar-SA"/>
                    </w:rPr>
                    <w:t>VOCs</w:t>
                  </w:r>
                  <w:r>
                    <w:rPr>
                      <w:rFonts w:hint="default" w:ascii="Times New Roman" w:hAnsi="Times New Roman" w:eastAsia="宋体" w:cs="Times New Roman"/>
                      <w:b w:val="0"/>
                      <w:bCs w:val="0"/>
                      <w:color w:val="auto"/>
                      <w:kern w:val="2"/>
                      <w:sz w:val="21"/>
                      <w:szCs w:val="21"/>
                      <w:highlight w:val="none"/>
                      <w:lang w:val="en-US" w:eastAsia="zh-CN" w:bidi="ar-SA"/>
                    </w:rPr>
                    <w:t>物料的容器应存放于储存室内，或至少设置遮阳挡雨等设施；</w:t>
                  </w:r>
                </w:p>
                <w:p w14:paraId="57302752">
                  <w:pPr>
                    <w:pStyle w:val="152"/>
                    <w:keepNext w:val="0"/>
                    <w:keepLines w:val="0"/>
                    <w:pageBreakBefore w:val="0"/>
                    <w:widowControl w:val="0"/>
                    <w:tabs>
                      <w:tab w:val="left" w:pos="4347"/>
                    </w:tabs>
                    <w:kinsoku/>
                    <w:wordWrap/>
                    <w:overflowPunct/>
                    <w:topLinePunct w:val="0"/>
                    <w:autoSpaceDE/>
                    <w:autoSpaceDN w:val="0"/>
                    <w:bidi w:val="0"/>
                    <w:adjustRightInd w:val="0"/>
                    <w:snapToGrid w:val="0"/>
                    <w:spacing w:line="240" w:lineRule="auto"/>
                    <w:jc w:val="left"/>
                    <w:textAlignment w:val="auto"/>
                    <w:outlineLvl w:val="2"/>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(2)其他控制要求</w:t>
                  </w:r>
                </w:p>
                <w:p w14:paraId="7AC99C2D">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color w:val="auto"/>
                      <w:highlight w:val="none"/>
                    </w:rPr>
                  </w:pPr>
                  <w:r>
                    <w:rPr>
                      <w:rFonts w:hint="default" w:ascii="Times New Roman" w:hAnsi="Times New Roman" w:eastAsia="宋体" w:cs="Times New Roman"/>
                      <w:b w:val="0"/>
                      <w:bCs w:val="0"/>
                      <w:color w:val="auto"/>
                      <w:sz w:val="21"/>
                      <w:szCs w:val="21"/>
                      <w:highlight w:val="none"/>
                      <w:lang w:val="en-US" w:eastAsia="zh-CN"/>
                    </w:rPr>
                    <w:t>产生有废气</w:t>
                  </w:r>
                  <w:r>
                    <w:rPr>
                      <w:rFonts w:hint="eastAsia" w:ascii="Times New Roman" w:hAnsi="Times New Roman" w:eastAsia="宋体" w:cs="Times New Roman"/>
                      <w:b w:val="0"/>
                      <w:bCs w:val="0"/>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生产工艺和装置均设有收集系统和净化处理装置；所有产生</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的生产车间(或生产设施)均进行密闭，无露天和敞开式涂装、流平、干燥作业；不能完全密闭的部位设置软帘阻隔设施，减少废气排放；更换的</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吸附剂的废弃物等，产生后马上密闭，存放在不透气的容器内，贮存、转移期间保持密闭；密闭式局部收集的逸散的</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废气收集率达到80%以上</w:t>
                  </w:r>
                  <w:r>
                    <w:rPr>
                      <w:rFonts w:hint="eastAsia" w:ascii="Times New Roman" w:hAnsi="Times New Roman" w:eastAsia="宋体" w:cs="Times New Roman"/>
                      <w:b w:val="0"/>
                      <w:bCs w:val="0"/>
                      <w:color w:val="auto"/>
                      <w:sz w:val="21"/>
                      <w:szCs w:val="21"/>
                      <w:highlight w:val="none"/>
                      <w:lang w:val="en-US" w:eastAsia="zh-CN"/>
                    </w:rPr>
                    <w:t>。</w:t>
                  </w:r>
                </w:p>
              </w:tc>
              <w:tc>
                <w:tcPr>
                  <w:tcW w:w="1754" w:type="pct"/>
                  <w:tcBorders>
                    <w:tl2br w:val="nil"/>
                    <w:tr2bl w:val="nil"/>
                  </w:tcBorders>
                  <w:noWrap w:val="0"/>
                  <w:vAlign w:val="center"/>
                </w:tcPr>
                <w:p w14:paraId="67526A48">
                  <w:pPr>
                    <w:pStyle w:val="151"/>
                    <w:keepNext w:val="0"/>
                    <w:keepLines w:val="0"/>
                    <w:pageBreakBefore w:val="0"/>
                    <w:widowControl w:val="0"/>
                    <w:numPr>
                      <w:ilvl w:val="0"/>
                      <w:numId w:val="0"/>
                    </w:numPr>
                    <w:kinsoku/>
                    <w:wordWrap/>
                    <w:overflowPunct/>
                    <w:topLinePunct w:val="0"/>
                    <w:autoSpaceDE/>
                    <w:autoSpaceDN w:val="0"/>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(1)项目</w:t>
                  </w:r>
                  <w:r>
                    <w:rPr>
                      <w:rFonts w:hint="eastAsia" w:ascii="Times New Roman" w:hAnsi="Times New Roman" w:eastAsia="宋体" w:cs="Times New Roman"/>
                      <w:color w:val="auto"/>
                      <w:kern w:val="2"/>
                      <w:sz w:val="21"/>
                      <w:szCs w:val="21"/>
                      <w:highlight w:val="none"/>
                      <w:lang w:val="en-US" w:eastAsia="zh-CN" w:bidi="ar-SA"/>
                    </w:rPr>
                    <w:t>油性漆、水性漆、固化剂、稀释剂</w:t>
                  </w:r>
                  <w:r>
                    <w:rPr>
                      <w:rFonts w:hint="eastAsia" w:ascii="Times New Roman" w:hAnsi="Times New Roman" w:eastAsia="宋体" w:cs="Times New Roman"/>
                      <w:color w:val="auto"/>
                      <w:sz w:val="21"/>
                      <w:szCs w:val="21"/>
                      <w:highlight w:val="none"/>
                      <w:lang w:val="en-US" w:eastAsia="zh-CN"/>
                    </w:rPr>
                    <w:t>等采用密闭桶装暂存在化学品仓库</w:t>
                  </w:r>
                  <w:r>
                    <w:rPr>
                      <w:rFonts w:hint="default" w:ascii="Times New Roman" w:hAnsi="Times New Roman" w:eastAsia="宋体" w:cs="Times New Roman"/>
                      <w:color w:val="auto"/>
                      <w:sz w:val="21"/>
                      <w:szCs w:val="21"/>
                      <w:highlight w:val="none"/>
                      <w:lang w:val="en-US" w:eastAsia="zh-CN"/>
                    </w:rPr>
                    <w:t>；</w:t>
                  </w:r>
                </w:p>
                <w:p w14:paraId="03A847D5">
                  <w:pPr>
                    <w:pStyle w:val="151"/>
                    <w:keepNext w:val="0"/>
                    <w:keepLines w:val="0"/>
                    <w:pageBreakBefore w:val="0"/>
                    <w:widowControl w:val="0"/>
                    <w:numPr>
                      <w:ilvl w:val="0"/>
                      <w:numId w:val="0"/>
                    </w:numPr>
                    <w:kinsoku/>
                    <w:wordWrap/>
                    <w:overflowPunct/>
                    <w:topLinePunct w:val="0"/>
                    <w:autoSpaceDE/>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(2)项目在标准的厂房内进行生产</w:t>
                  </w:r>
                  <w:r>
                    <w:rPr>
                      <w:rFonts w:hint="eastAsia" w:ascii="Times New Roman" w:hAnsi="Times New Roman" w:eastAsia="宋体" w:cs="Times New Roman"/>
                      <w:color w:val="auto"/>
                      <w:sz w:val="21"/>
                      <w:szCs w:val="21"/>
                      <w:highlight w:val="none"/>
                    </w:rPr>
                    <w:t>，并设有</w:t>
                  </w:r>
                  <w:r>
                    <w:rPr>
                      <w:rFonts w:hint="eastAsia" w:cs="Times New Roman"/>
                      <w:color w:val="auto"/>
                      <w:sz w:val="21"/>
                      <w:szCs w:val="21"/>
                      <w:highlight w:val="none"/>
                      <w:lang w:val="en-US" w:eastAsia="zh-CN"/>
                    </w:rPr>
                    <w:t>负压</w:t>
                  </w:r>
                  <w:r>
                    <w:rPr>
                      <w:rFonts w:hint="eastAsia" w:ascii="Times New Roman" w:hAnsi="Times New Roman" w:eastAsia="宋体" w:cs="Times New Roman"/>
                      <w:color w:val="auto"/>
                      <w:sz w:val="21"/>
                      <w:szCs w:val="21"/>
                      <w:highlight w:val="none"/>
                    </w:rPr>
                    <w:t>密闭的</w:t>
                  </w:r>
                  <w:r>
                    <w:rPr>
                      <w:rFonts w:hint="eastAsia" w:cs="Times New Roman"/>
                      <w:color w:val="auto"/>
                      <w:sz w:val="21"/>
                      <w:szCs w:val="21"/>
                      <w:highlight w:val="none"/>
                      <w:lang w:eastAsia="zh-CN"/>
                    </w:rPr>
                    <w:t>喷漆晾干房</w:t>
                  </w:r>
                  <w:r>
                    <w:rPr>
                      <w:rFonts w:hint="eastAsia" w:ascii="Times New Roman" w:hAnsi="Times New Roman" w:eastAsia="宋体" w:cs="Times New Roman"/>
                      <w:color w:val="auto"/>
                      <w:sz w:val="21"/>
                      <w:szCs w:val="21"/>
                      <w:highlight w:val="none"/>
                    </w:rPr>
                    <w:t>，在运营期间，</w:t>
                  </w:r>
                  <w:r>
                    <w:rPr>
                      <w:rFonts w:hint="eastAsia" w:cs="Times New Roman"/>
                      <w:color w:val="auto"/>
                      <w:sz w:val="21"/>
                      <w:szCs w:val="21"/>
                      <w:highlight w:val="none"/>
                      <w:lang w:eastAsia="zh-CN"/>
                    </w:rPr>
                    <w:t>喷漆晾干房</w:t>
                  </w:r>
                  <w:r>
                    <w:rPr>
                      <w:rFonts w:hint="eastAsia" w:ascii="Times New Roman" w:hAnsi="Times New Roman" w:eastAsia="宋体" w:cs="Times New Roman"/>
                      <w:color w:val="auto"/>
                      <w:sz w:val="21"/>
                      <w:szCs w:val="21"/>
                      <w:highlight w:val="none"/>
                    </w:rPr>
                    <w:t>门窗紧闭</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且</w:t>
                  </w:r>
                  <w:r>
                    <w:rPr>
                      <w:rFonts w:hint="eastAsia" w:cs="Times New Roman"/>
                      <w:color w:val="auto"/>
                      <w:spacing w:val="0"/>
                      <w:position w:val="0"/>
                      <w:sz w:val="21"/>
                      <w:szCs w:val="21"/>
                      <w:highlight w:val="none"/>
                      <w:lang w:eastAsia="zh-CN"/>
                    </w:rPr>
                    <w:t>调漆、喷漆废气经水帘柜处理后，与晾干废气一同经集气装置负压收集后再引入“气旋塔+过滤棉+二级活性炭吸附装置”</w:t>
                  </w:r>
                  <w:r>
                    <w:rPr>
                      <w:rFonts w:hint="eastAsia" w:ascii="Times New Roman" w:hAnsi="Times New Roman" w:eastAsia="宋体" w:cs="Times New Roman"/>
                      <w:color w:val="auto"/>
                      <w:spacing w:val="0"/>
                      <w:position w:val="0"/>
                      <w:sz w:val="21"/>
                      <w:szCs w:val="21"/>
                      <w:highlight w:val="none"/>
                      <w:lang w:eastAsia="zh-CN"/>
                    </w:rPr>
                    <w:t>处理后</w:t>
                  </w:r>
                  <w:r>
                    <w:rPr>
                      <w:rFonts w:hint="eastAsia" w:ascii="Times New Roman" w:hAnsi="Times New Roman" w:eastAsia="宋体" w:cs="Times New Roman"/>
                      <w:color w:val="auto"/>
                      <w:spacing w:val="0"/>
                      <w:kern w:val="0"/>
                      <w:position w:val="0"/>
                      <w:sz w:val="21"/>
                      <w:szCs w:val="21"/>
                      <w:highlight w:val="none"/>
                      <w:lang w:val="en-US" w:eastAsia="zh-CN"/>
                    </w:rPr>
                    <w:t>通过1根</w:t>
                  </w:r>
                  <w:r>
                    <w:rPr>
                      <w:rFonts w:hint="eastAsia" w:cs="Times New Roman"/>
                      <w:color w:val="auto"/>
                      <w:spacing w:val="0"/>
                      <w:kern w:val="0"/>
                      <w:position w:val="0"/>
                      <w:sz w:val="21"/>
                      <w:szCs w:val="21"/>
                      <w:highlight w:val="none"/>
                      <w:lang w:val="en-US" w:eastAsia="zh-CN"/>
                    </w:rPr>
                    <w:t>25m</w:t>
                  </w:r>
                  <w:r>
                    <w:rPr>
                      <w:rFonts w:hint="eastAsia" w:ascii="Times New Roman" w:hAnsi="Times New Roman" w:eastAsia="宋体" w:cs="Times New Roman"/>
                      <w:color w:val="auto"/>
                      <w:spacing w:val="0"/>
                      <w:kern w:val="0"/>
                      <w:position w:val="0"/>
                      <w:sz w:val="21"/>
                      <w:szCs w:val="21"/>
                      <w:highlight w:val="none"/>
                      <w:lang w:val="en-US" w:eastAsia="zh-CN"/>
                    </w:rPr>
                    <w:t>排气筒达标排放，</w:t>
                  </w:r>
                  <w:r>
                    <w:rPr>
                      <w:rFonts w:hint="eastAsia" w:ascii="Times New Roman" w:hAnsi="Times New Roman" w:cs="Times New Roman"/>
                      <w:color w:val="auto"/>
                      <w:sz w:val="21"/>
                      <w:szCs w:val="21"/>
                      <w:highlight w:val="none"/>
                      <w:lang w:val="en-US" w:eastAsia="zh-CN"/>
                    </w:rPr>
                    <w:t>VOCs</w:t>
                  </w:r>
                  <w:r>
                    <w:rPr>
                      <w:rFonts w:hint="default" w:ascii="Times New Roman" w:hAnsi="Times New Roman" w:cs="Times New Roman"/>
                      <w:color w:val="auto"/>
                      <w:sz w:val="21"/>
                      <w:szCs w:val="21"/>
                      <w:highlight w:val="none"/>
                      <w:lang w:val="en-US" w:eastAsia="zh-CN"/>
                    </w:rPr>
                    <w:t>设计收集效率</w:t>
                  </w:r>
                  <w:r>
                    <w:rPr>
                      <w:rFonts w:hint="default" w:ascii="Arial" w:hAnsi="Arial" w:eastAsia="微软雅黑" w:cs="Arial"/>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拟将更换的废活性炭</w:t>
                  </w:r>
                  <w:r>
                    <w:rPr>
                      <w:rFonts w:hint="eastAsia" w:cs="Times New Roman"/>
                      <w:color w:val="auto"/>
                      <w:sz w:val="21"/>
                      <w:szCs w:val="21"/>
                      <w:highlight w:val="none"/>
                      <w:lang w:val="en-US" w:eastAsia="zh-CN"/>
                    </w:rPr>
                    <w:t>、废过滤棉</w:t>
                  </w:r>
                  <w:r>
                    <w:rPr>
                      <w:rFonts w:hint="eastAsia" w:ascii="Times New Roman" w:hAnsi="Times New Roman" w:eastAsia="宋体" w:cs="Times New Roman"/>
                      <w:color w:val="auto"/>
                      <w:sz w:val="21"/>
                      <w:szCs w:val="21"/>
                      <w:highlight w:val="none"/>
                      <w:lang w:val="en-US" w:eastAsia="zh-CN"/>
                    </w:rPr>
                    <w:t>等当作危险废物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袋装密闭暂存于</w:t>
                  </w:r>
                  <w:r>
                    <w:rPr>
                      <w:rFonts w:hint="eastAsia" w:ascii="Times New Roman" w:hAnsi="Times New Roman" w:eastAsia="宋体" w:cs="Times New Roman"/>
                      <w:color w:val="auto"/>
                      <w:sz w:val="21"/>
                      <w:szCs w:val="21"/>
                      <w:highlight w:val="none"/>
                      <w:lang w:val="en-US" w:eastAsia="zh-CN"/>
                    </w:rPr>
                    <w:t>危废暂存间</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sz w:val="21"/>
                      <w:szCs w:val="21"/>
                      <w:highlight w:val="none"/>
                      <w:lang w:eastAsia="zh-CN"/>
                    </w:rPr>
                    <w:t>。</w:t>
                  </w:r>
                </w:p>
              </w:tc>
              <w:tc>
                <w:tcPr>
                  <w:tcW w:w="286" w:type="pct"/>
                  <w:tcBorders>
                    <w:tl2br w:val="nil"/>
                    <w:tr2bl w:val="nil"/>
                  </w:tcBorders>
                  <w:noWrap w:val="0"/>
                  <w:vAlign w:val="center"/>
                </w:tcPr>
                <w:p w14:paraId="69E8B790">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2C222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tcBorders>
                    <w:tl2br w:val="nil"/>
                    <w:tr2bl w:val="nil"/>
                  </w:tcBorders>
                  <w:noWrap w:val="0"/>
                  <w:vAlign w:val="center"/>
                </w:tcPr>
                <w:p w14:paraId="78B262DF">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7</w:t>
                  </w:r>
                </w:p>
              </w:tc>
              <w:tc>
                <w:tcPr>
                  <w:tcW w:w="586" w:type="pct"/>
                  <w:tcBorders>
                    <w:tl2br w:val="nil"/>
                    <w:tr2bl w:val="nil"/>
                  </w:tcBorders>
                  <w:noWrap w:val="0"/>
                  <w:vAlign w:val="center"/>
                </w:tcPr>
                <w:p w14:paraId="012D6B69">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《福建省2020年挥发性有机物治理攻坚实施方案》的通知</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闽环保大气〔2020〕6号</w:t>
                  </w:r>
                  <w:r>
                    <w:rPr>
                      <w:rFonts w:hint="eastAsia" w:cs="Times New Roman"/>
                      <w:color w:val="auto"/>
                      <w:sz w:val="21"/>
                      <w:szCs w:val="21"/>
                      <w:highlight w:val="none"/>
                      <w:lang w:val="en-US" w:eastAsia="zh-CN"/>
                    </w:rPr>
                    <w:t>）</w:t>
                  </w:r>
                </w:p>
              </w:tc>
              <w:tc>
                <w:tcPr>
                  <w:tcW w:w="2152" w:type="pct"/>
                  <w:tcBorders>
                    <w:tl2br w:val="nil"/>
                    <w:tr2bl w:val="nil"/>
                  </w:tcBorders>
                  <w:noWrap w:val="0"/>
                  <w:vAlign w:val="center"/>
                </w:tcPr>
                <w:p w14:paraId="49880578">
                  <w:pPr>
                    <w:pStyle w:val="151"/>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(1)大力推进源头替代，有效减少VOCs产生；</w:t>
                  </w:r>
                </w:p>
                <w:p w14:paraId="07874F21">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286DCDA1">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聚焦治污设施“三率”，提升综合治理效率</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除恶臭异味治理外，一般不采用低温等离子、光催化、光氧化等技术。优先采用密闭设备、在密闭空间中操作或采用全密闭集气罩收集方式；</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采用活性炭吸附技术的，应选择碘值不低于800毫克/克的活性炭，并按设计要求足量添加、及时更换。</w:t>
                  </w:r>
                </w:p>
              </w:tc>
              <w:tc>
                <w:tcPr>
                  <w:tcW w:w="1754" w:type="pct"/>
                  <w:tcBorders>
                    <w:tl2br w:val="nil"/>
                    <w:tr2bl w:val="nil"/>
                  </w:tcBorders>
                  <w:noWrap w:val="0"/>
                  <w:vAlign w:val="center"/>
                </w:tcPr>
                <w:p w14:paraId="4D8C7784">
                  <w:pPr>
                    <w:pStyle w:val="151"/>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eastAsia" w:ascii="Times New Roman" w:hAnsi="Times New Roman" w:eastAsia="宋体" w:cs="Times New Roman"/>
                      <w:color w:val="auto"/>
                      <w:spacing w:val="0"/>
                      <w:position w:val="0"/>
                      <w:sz w:val="21"/>
                      <w:szCs w:val="21"/>
                      <w:highlight w:val="none"/>
                      <w:lang w:eastAsia="zh-CN"/>
                    </w:rPr>
                    <w:t>根据第二章节</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主要原辅材料及能源消耗 主要原辅材料理化性质</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分析，项目使用的</w:t>
                  </w:r>
                  <w:r>
                    <w:rPr>
                      <w:rFonts w:hint="eastAsia" w:ascii="Times New Roman" w:hAnsi="Times New Roman" w:eastAsia="宋体" w:cs="Times New Roman"/>
                      <w:color w:val="auto"/>
                      <w:spacing w:val="0"/>
                      <w:kern w:val="0"/>
                      <w:sz w:val="21"/>
                      <w:szCs w:val="21"/>
                      <w:highlight w:val="none"/>
                      <w:lang w:val="en-US" w:eastAsia="zh-CN"/>
                    </w:rPr>
                    <w:t>油性</w:t>
                  </w:r>
                  <w:r>
                    <w:rPr>
                      <w:rFonts w:hint="default" w:ascii="Times New Roman" w:hAnsi="Times New Roman" w:eastAsia="宋体" w:cs="Times New Roman"/>
                      <w:color w:val="auto"/>
                      <w:spacing w:val="0"/>
                      <w:kern w:val="0"/>
                      <w:sz w:val="21"/>
                      <w:szCs w:val="21"/>
                      <w:highlight w:val="none"/>
                    </w:rPr>
                    <w:t>漆、稀释剂、固化剂在施工状态下属于低VOCs含量原辅材料，不属于高VOCs排放范畴；项目使用的水性</w:t>
                  </w:r>
                  <w:r>
                    <w:rPr>
                      <w:rFonts w:hint="eastAsia" w:ascii="Times New Roman" w:hAnsi="Times New Roman" w:eastAsia="宋体" w:cs="Times New Roman"/>
                      <w:color w:val="auto"/>
                      <w:spacing w:val="0"/>
                      <w:kern w:val="0"/>
                      <w:sz w:val="21"/>
                      <w:szCs w:val="21"/>
                      <w:highlight w:val="none"/>
                      <w:lang w:val="en-US" w:eastAsia="zh-CN"/>
                    </w:rPr>
                    <w:t>漆</w:t>
                  </w:r>
                  <w:r>
                    <w:rPr>
                      <w:rFonts w:hint="default" w:ascii="Times New Roman" w:hAnsi="Times New Roman" w:eastAsia="宋体" w:cs="Times New Roman"/>
                      <w:color w:val="auto"/>
                      <w:spacing w:val="0"/>
                      <w:kern w:val="0"/>
                      <w:sz w:val="21"/>
                      <w:szCs w:val="21"/>
                      <w:highlight w:val="none"/>
                    </w:rPr>
                    <w:t>符合《低挥发性有机化合物含量涂料产品技术要求》（GB/T 38597-2020）中的VOCs含量要求规定</w:t>
                  </w:r>
                  <w:r>
                    <w:rPr>
                      <w:rFonts w:hint="eastAsia" w:ascii="Times New Roman" w:hAnsi="Times New Roman" w:eastAsia="宋体" w:cs="Times New Roman"/>
                      <w:color w:val="auto"/>
                      <w:sz w:val="21"/>
                      <w:szCs w:val="21"/>
                      <w:highlight w:val="none"/>
                      <w:lang w:val="en-US" w:eastAsia="zh-CN"/>
                    </w:rPr>
                    <w:t>，项目使用的</w:t>
                  </w:r>
                  <w:r>
                    <w:rPr>
                      <w:rFonts w:hint="eastAsia" w:ascii="Times New Roman" w:hAnsi="Times New Roman" w:eastAsia="宋体" w:cs="Times New Roman"/>
                      <w:color w:val="auto"/>
                      <w:kern w:val="2"/>
                      <w:sz w:val="21"/>
                      <w:szCs w:val="21"/>
                      <w:highlight w:val="none"/>
                      <w:lang w:val="en-US" w:eastAsia="zh-CN" w:bidi="ar-SA"/>
                    </w:rPr>
                    <w:t>油性漆、水性漆、固化剂、稀释剂</w:t>
                  </w:r>
                  <w:r>
                    <w:rPr>
                      <w:rFonts w:hint="eastAsia" w:ascii="Times New Roman" w:hAnsi="Times New Roman" w:eastAsia="宋体" w:cs="Times New Roman"/>
                      <w:color w:val="auto"/>
                      <w:sz w:val="21"/>
                      <w:szCs w:val="21"/>
                      <w:highlight w:val="none"/>
                      <w:lang w:val="en-US" w:eastAsia="zh-CN"/>
                    </w:rPr>
                    <w:t>等原辅材料严格执行VOCs含量限值标准；</w:t>
                  </w:r>
                </w:p>
                <w:p w14:paraId="0397D724">
                  <w:pPr>
                    <w:pStyle w:val="151"/>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(2)</w:t>
                  </w:r>
                  <w:r>
                    <w:rPr>
                      <w:rFonts w:hint="eastAsia" w:ascii="Times New Roman" w:hAnsi="Times New Roman" w:eastAsia="宋体" w:cs="Times New Roman"/>
                      <w:color w:val="auto"/>
                      <w:sz w:val="21"/>
                      <w:szCs w:val="21"/>
                      <w:highlight w:val="none"/>
                      <w:lang w:val="en-US" w:eastAsia="zh-CN"/>
                    </w:rPr>
                    <w:t>项目</w:t>
                  </w:r>
                  <w:r>
                    <w:rPr>
                      <w:rFonts w:hint="eastAsia" w:ascii="Times New Roman" w:hAnsi="Times New Roman" w:eastAsia="宋体" w:cs="Times New Roman"/>
                      <w:color w:val="auto"/>
                      <w:kern w:val="2"/>
                      <w:sz w:val="21"/>
                      <w:szCs w:val="21"/>
                      <w:highlight w:val="none"/>
                      <w:lang w:val="en-US" w:eastAsia="zh-CN" w:bidi="ar-SA"/>
                    </w:rPr>
                    <w:t>油性漆、水性漆、固化剂、稀释剂</w:t>
                  </w:r>
                  <w:r>
                    <w:rPr>
                      <w:rFonts w:hint="eastAsia" w:ascii="Times New Roman" w:hAnsi="Times New Roman" w:eastAsia="宋体" w:cs="Times New Roman"/>
                      <w:color w:val="auto"/>
                      <w:sz w:val="21"/>
                      <w:szCs w:val="21"/>
                      <w:highlight w:val="none"/>
                      <w:lang w:val="en-US" w:eastAsia="zh-CN"/>
                    </w:rPr>
                    <w:t>等采用密闭桶装暂存在化学品仓库</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本项目设置</w:t>
                  </w:r>
                  <w:r>
                    <w:rPr>
                      <w:rFonts w:hint="eastAsia" w:cs="Times New Roman"/>
                      <w:color w:val="auto"/>
                      <w:sz w:val="21"/>
                      <w:szCs w:val="21"/>
                      <w:highlight w:val="none"/>
                      <w:lang w:val="en-US" w:eastAsia="zh-CN"/>
                    </w:rPr>
                    <w:t>负压</w:t>
                  </w:r>
                  <w:r>
                    <w:rPr>
                      <w:rFonts w:hint="eastAsia" w:ascii="Times New Roman" w:hAnsi="Times New Roman" w:eastAsia="宋体" w:cs="Times New Roman"/>
                      <w:color w:val="auto"/>
                      <w:sz w:val="21"/>
                      <w:szCs w:val="21"/>
                      <w:highlight w:val="none"/>
                    </w:rPr>
                    <w:t>密闭的</w:t>
                  </w:r>
                  <w:r>
                    <w:rPr>
                      <w:rFonts w:hint="eastAsia" w:cs="Times New Roman"/>
                      <w:color w:val="auto"/>
                      <w:sz w:val="21"/>
                      <w:szCs w:val="21"/>
                      <w:highlight w:val="none"/>
                      <w:lang w:eastAsia="zh-CN"/>
                    </w:rPr>
                    <w:t>喷漆晾干房</w:t>
                  </w:r>
                  <w:r>
                    <w:rPr>
                      <w:rFonts w:hint="eastAsia" w:ascii="Times New Roman" w:hAnsi="Times New Roman" w:eastAsia="宋体" w:cs="Times New Roman"/>
                      <w:color w:val="auto"/>
                      <w:sz w:val="21"/>
                      <w:szCs w:val="21"/>
                      <w:highlight w:val="none"/>
                      <w:lang w:val="en-US" w:eastAsia="zh-CN"/>
                    </w:rPr>
                    <w:t>等；拟将更换的废活性炭、</w:t>
                  </w:r>
                  <w:r>
                    <w:rPr>
                      <w:rFonts w:hint="eastAsia" w:cs="Times New Roman"/>
                      <w:color w:val="auto"/>
                      <w:sz w:val="21"/>
                      <w:szCs w:val="21"/>
                      <w:highlight w:val="none"/>
                      <w:lang w:val="en-US" w:eastAsia="zh-CN"/>
                    </w:rPr>
                    <w:t>废过滤棉、</w:t>
                  </w:r>
                  <w:r>
                    <w:rPr>
                      <w:rFonts w:hint="eastAsia" w:ascii="Times New Roman" w:hAnsi="Times New Roman" w:eastAsia="宋体" w:cs="Times New Roman"/>
                      <w:color w:val="auto"/>
                      <w:sz w:val="21"/>
                      <w:szCs w:val="21"/>
                      <w:highlight w:val="none"/>
                      <w:lang w:val="en-US" w:eastAsia="zh-CN"/>
                    </w:rPr>
                    <w:t>废化学品包装物、漆渣等当作危险废物</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密闭暂存于</w:t>
                  </w:r>
                  <w:r>
                    <w:rPr>
                      <w:rFonts w:hint="eastAsia" w:ascii="Times New Roman" w:hAnsi="Times New Roman" w:eastAsia="宋体" w:cs="Times New Roman"/>
                      <w:color w:val="auto"/>
                      <w:sz w:val="21"/>
                      <w:szCs w:val="21"/>
                      <w:highlight w:val="none"/>
                      <w:lang w:val="en-US" w:eastAsia="zh-CN"/>
                    </w:rPr>
                    <w:t>危废暂存间</w:t>
                  </w:r>
                  <w:r>
                    <w:rPr>
                      <w:rFonts w:hint="default" w:ascii="Times New Roman" w:hAnsi="Times New Roman" w:eastAsia="宋体" w:cs="Times New Roman"/>
                      <w:color w:val="auto"/>
                      <w:sz w:val="21"/>
                      <w:szCs w:val="21"/>
                      <w:highlight w:val="none"/>
                    </w:rPr>
                    <w:t>内</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定期委托有资质单位统一处置；</w:t>
                  </w:r>
                </w:p>
                <w:p w14:paraId="3D0AC645">
                  <w:pPr>
                    <w:pStyle w:val="151"/>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(3)项目</w:t>
                  </w:r>
                  <w:r>
                    <w:rPr>
                      <w:rFonts w:hint="eastAsia" w:cs="Times New Roman"/>
                      <w:color w:val="auto"/>
                      <w:spacing w:val="0"/>
                      <w:position w:val="0"/>
                      <w:sz w:val="21"/>
                      <w:szCs w:val="21"/>
                      <w:highlight w:val="none"/>
                      <w:lang w:eastAsia="zh-CN"/>
                    </w:rPr>
                    <w:t>调漆、喷漆废气经水帘柜处理后，与晾干废气一同经集气装置负压收集后再引入“气旋塔+过滤棉+二级活性炭吸附装置”</w:t>
                  </w:r>
                  <w:r>
                    <w:rPr>
                      <w:rFonts w:hint="default" w:ascii="Times New Roman" w:hAnsi="Times New Roman" w:eastAsia="宋体" w:cs="Times New Roman"/>
                      <w:color w:val="auto"/>
                      <w:sz w:val="21"/>
                      <w:szCs w:val="21"/>
                      <w:highlight w:val="none"/>
                      <w:lang w:val="en-US" w:eastAsia="zh-CN"/>
                    </w:rPr>
                    <w:t>处理后排放</w:t>
                  </w:r>
                  <w:r>
                    <w:rPr>
                      <w:rFonts w:hint="eastAsia" w:ascii="Times New Roman" w:hAnsi="Times New Roman" w:eastAsia="宋体" w:cs="Times New Roman"/>
                      <w:color w:val="auto"/>
                      <w:sz w:val="21"/>
                      <w:szCs w:val="21"/>
                      <w:highlight w:val="none"/>
                      <w:lang w:val="en-US" w:eastAsia="zh-CN"/>
                    </w:rPr>
                    <w:t>，项目设置密闭的生产区域，采用</w:t>
                  </w:r>
                  <w:r>
                    <w:rPr>
                      <w:rFonts w:hint="eastAsia" w:ascii="Times New Roman" w:hAnsi="Times New Roman" w:eastAsia="宋体" w:cs="Times New Roman"/>
                      <w:color w:val="auto"/>
                      <w:sz w:val="21"/>
                      <w:szCs w:val="21"/>
                      <w:highlight w:val="none"/>
                    </w:rPr>
                    <w:t>碘值不低于800毫克/克的活性炭</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并定期更换。</w:t>
                  </w:r>
                </w:p>
              </w:tc>
              <w:tc>
                <w:tcPr>
                  <w:tcW w:w="286" w:type="pct"/>
                  <w:tcBorders>
                    <w:tl2br w:val="nil"/>
                    <w:tr2bl w:val="nil"/>
                  </w:tcBorders>
                  <w:noWrap w:val="0"/>
                  <w:vAlign w:val="center"/>
                </w:tcPr>
                <w:p w14:paraId="670705E4">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2743D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restart"/>
                  <w:tcBorders>
                    <w:tl2br w:val="nil"/>
                    <w:tr2bl w:val="nil"/>
                  </w:tcBorders>
                  <w:noWrap w:val="0"/>
                  <w:vAlign w:val="center"/>
                </w:tcPr>
                <w:p w14:paraId="1C115CD0">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586" w:type="pct"/>
                  <w:vMerge w:val="restart"/>
                  <w:tcBorders>
                    <w:tl2br w:val="nil"/>
                    <w:tr2bl w:val="nil"/>
                  </w:tcBorders>
                  <w:noWrap w:val="0"/>
                  <w:vAlign w:val="center"/>
                </w:tcPr>
                <w:p w14:paraId="7381C78A">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《重点行业挥发性有机物综合治理方案》（环大气[2019]53号）</w:t>
                  </w:r>
                </w:p>
              </w:tc>
              <w:tc>
                <w:tcPr>
                  <w:tcW w:w="2152" w:type="pct"/>
                  <w:tcBorders>
                    <w:tl2br w:val="nil"/>
                    <w:tr2bl w:val="nil"/>
                  </w:tcBorders>
                  <w:noWrap w:val="0"/>
                  <w:vAlign w:val="center"/>
                </w:tcPr>
                <w:p w14:paraId="733886FD">
                  <w:pPr>
                    <w:pStyle w:val="9"/>
                    <w:keepNext/>
                    <w:keepLines/>
                    <w:pageBreakBefore w:val="0"/>
                    <w:widowControl w:val="0"/>
                    <w:kinsoku/>
                    <w:wordWrap/>
                    <w:overflowPunct/>
                    <w:topLinePunct w:val="0"/>
                    <w:autoSpaceDE/>
                    <w:autoSpaceDN/>
                    <w:bidi w:val="0"/>
                    <w:adjustRightInd/>
                    <w:spacing w:beforeAutospacing="0" w:afterAutospacing="0" w:line="240" w:lineRule="auto"/>
                    <w:ind w:left="0" w:leftChars="0" w:right="0" w:righ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b w:val="0"/>
                      <w:bCs w:val="0"/>
                      <w:color w:val="auto"/>
                      <w:spacing w:val="0"/>
                      <w:position w:val="0"/>
                      <w:sz w:val="21"/>
                      <w:szCs w:val="21"/>
                      <w:highlight w:val="none"/>
                      <w:vertAlign w:val="baseline"/>
                      <w:lang w:val="en-US" w:eastAsia="zh-CN"/>
                    </w:rPr>
                    <w:t>1.</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rPr>
                    <w:t>企业采用符合国家有关低VOCs含量产品规定的涂料、油墨、胶粘剂等，排放浓度稳定达标且排放速率、排放绩效等满足相关规定的，相应生产工序可不要求建设末端治理设施。</w:t>
                  </w:r>
                </w:p>
              </w:tc>
              <w:tc>
                <w:tcPr>
                  <w:tcW w:w="1754" w:type="pct"/>
                  <w:tcBorders>
                    <w:tl2br w:val="nil"/>
                    <w:tr2bl w:val="nil"/>
                  </w:tcBorders>
                  <w:noWrap w:val="0"/>
                  <w:vAlign w:val="center"/>
                </w:tcPr>
                <w:p w14:paraId="7819C067">
                  <w:pPr>
                    <w:keepNext w:val="0"/>
                    <w:keepLines w:val="0"/>
                    <w:pageBreakBefore w:val="0"/>
                    <w:widowControl/>
                    <w:kinsoku/>
                    <w:wordWrap/>
                    <w:overflowPunct/>
                    <w:topLinePunct w:val="0"/>
                    <w:autoSpaceDE/>
                    <w:autoSpaceDN/>
                    <w:bidi w:val="0"/>
                    <w:adjustRightInd/>
                    <w:spacing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bidi="ar"/>
                    </w:rPr>
                    <w:t>项目主要</w:t>
                  </w:r>
                  <w:r>
                    <w:rPr>
                      <w:rFonts w:hint="eastAsia" w:cs="Times New Roman"/>
                      <w:color w:val="auto"/>
                      <w:spacing w:val="0"/>
                      <w:kern w:val="0"/>
                      <w:position w:val="0"/>
                      <w:sz w:val="21"/>
                      <w:szCs w:val="21"/>
                      <w:highlight w:val="none"/>
                      <w:lang w:val="en-US" w:eastAsia="zh-CN" w:bidi="ar"/>
                    </w:rPr>
                    <w:t>从事木质屏风加工生产</w:t>
                  </w:r>
                  <w:r>
                    <w:rPr>
                      <w:rFonts w:hint="eastAsia" w:ascii="Times New Roman" w:hAnsi="Times New Roman" w:eastAsia="宋体" w:cs="Times New Roman"/>
                      <w:color w:val="auto"/>
                      <w:spacing w:val="0"/>
                      <w:kern w:val="0"/>
                      <w:position w:val="0"/>
                      <w:sz w:val="21"/>
                      <w:szCs w:val="21"/>
                      <w:highlight w:val="none"/>
                      <w:lang w:val="en-US" w:eastAsia="zh-CN" w:bidi="ar"/>
                    </w:rPr>
                    <w:t>，主要使用的</w:t>
                  </w:r>
                  <w:r>
                    <w:rPr>
                      <w:rFonts w:hint="eastAsia" w:ascii="Times New Roman" w:hAnsi="Times New Roman" w:eastAsia="宋体" w:cs="Times New Roman"/>
                      <w:color w:val="auto"/>
                      <w:spacing w:val="0"/>
                      <w:position w:val="0"/>
                      <w:highlight w:val="none"/>
                      <w:lang w:val="en-US" w:eastAsia="zh-CN"/>
                    </w:rPr>
                    <w:t>原辅料为</w:t>
                  </w:r>
                  <w:r>
                    <w:rPr>
                      <w:rFonts w:hint="eastAsia" w:ascii="Times New Roman" w:hAnsi="Times New Roman" w:eastAsia="宋体" w:cs="Times New Roman"/>
                      <w:color w:val="auto"/>
                      <w:kern w:val="2"/>
                      <w:sz w:val="21"/>
                      <w:szCs w:val="21"/>
                      <w:highlight w:val="none"/>
                      <w:lang w:val="en-US" w:eastAsia="zh-CN" w:bidi="ar-SA"/>
                    </w:rPr>
                    <w:t>油性漆、水性漆、固化剂、稀释剂</w:t>
                  </w:r>
                  <w:r>
                    <w:rPr>
                      <w:rFonts w:hint="eastAsia" w:cs="Times New Roman"/>
                      <w:color w:val="auto"/>
                      <w:spacing w:val="0"/>
                      <w:position w:val="0"/>
                      <w:highlight w:val="none"/>
                      <w:lang w:val="en-US" w:eastAsia="zh-CN"/>
                    </w:rPr>
                    <w:t>，</w:t>
                  </w:r>
                  <w:r>
                    <w:rPr>
                      <w:rFonts w:hint="eastAsia" w:ascii="Times New Roman" w:hAnsi="Times New Roman" w:eastAsia="宋体" w:cs="Times New Roman"/>
                      <w:color w:val="auto"/>
                      <w:spacing w:val="0"/>
                      <w:kern w:val="0"/>
                      <w:position w:val="0"/>
                      <w:sz w:val="21"/>
                      <w:szCs w:val="21"/>
                      <w:highlight w:val="none"/>
                      <w:lang w:val="en-US" w:eastAsia="zh-CN" w:bidi="ar"/>
                    </w:rPr>
                    <w:t>项目采用高固体分油漆</w:t>
                  </w:r>
                  <w:r>
                    <w:rPr>
                      <w:rFonts w:hint="eastAsia" w:cs="Times New Roman"/>
                      <w:color w:val="auto"/>
                      <w:spacing w:val="0"/>
                      <w:kern w:val="0"/>
                      <w:position w:val="0"/>
                      <w:sz w:val="21"/>
                      <w:szCs w:val="21"/>
                      <w:highlight w:val="none"/>
                      <w:lang w:val="en-US" w:eastAsia="zh-CN" w:bidi="ar"/>
                    </w:rPr>
                    <w:t>；</w:t>
                  </w:r>
                  <w:r>
                    <w:rPr>
                      <w:rFonts w:hint="eastAsia" w:ascii="Times New Roman" w:hAnsi="Times New Roman" w:eastAsia="宋体" w:cs="Times New Roman"/>
                      <w:color w:val="auto"/>
                      <w:spacing w:val="0"/>
                      <w:position w:val="0"/>
                      <w:sz w:val="21"/>
                      <w:szCs w:val="21"/>
                      <w:highlight w:val="none"/>
                      <w:lang w:val="en-US" w:eastAsia="zh-CN"/>
                    </w:rPr>
                    <w:t>项目不涉及</w:t>
                  </w:r>
                  <w:r>
                    <w:rPr>
                      <w:rFonts w:hint="eastAsia" w:ascii="Times New Roman" w:hAnsi="Times New Roman" w:eastAsia="宋体" w:cs="Times New Roman"/>
                      <w:color w:val="auto"/>
                      <w:spacing w:val="0"/>
                      <w:kern w:val="0"/>
                      <w:position w:val="0"/>
                      <w:sz w:val="21"/>
                      <w:szCs w:val="21"/>
                      <w:highlight w:val="none"/>
                      <w:lang w:val="en-US" w:eastAsia="zh-CN" w:bidi="ar"/>
                    </w:rPr>
                    <w:t>油墨、清洗剂</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rPr>
                    <w:t>、胶粘剂</w:t>
                  </w:r>
                  <w:r>
                    <w:rPr>
                      <w:rFonts w:hint="eastAsia" w:cs="Times New Roman"/>
                      <w:color w:val="auto"/>
                      <w:spacing w:val="0"/>
                      <w:kern w:val="0"/>
                      <w:position w:val="0"/>
                      <w:sz w:val="21"/>
                      <w:szCs w:val="21"/>
                      <w:highlight w:val="none"/>
                      <w:lang w:val="en-US" w:eastAsia="zh-CN" w:bidi="ar"/>
                    </w:rPr>
                    <w:t>等；</w:t>
                  </w:r>
                  <w:r>
                    <w:rPr>
                      <w:rFonts w:hint="eastAsia" w:ascii="Times New Roman" w:hAnsi="Times New Roman" w:eastAsia="宋体" w:cs="Times New Roman"/>
                      <w:color w:val="auto"/>
                      <w:spacing w:val="0"/>
                      <w:position w:val="0"/>
                      <w:sz w:val="21"/>
                      <w:szCs w:val="21"/>
                      <w:highlight w:val="none"/>
                      <w:lang w:eastAsia="zh-CN"/>
                    </w:rPr>
                    <w:t>根据第二章节</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主要原辅材料及能源消耗 主要原辅材料理化性质</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分析，项目使用的</w:t>
                  </w:r>
                  <w:r>
                    <w:rPr>
                      <w:rFonts w:hint="eastAsia" w:ascii="Times New Roman" w:hAnsi="Times New Roman" w:eastAsia="宋体" w:cs="Times New Roman"/>
                      <w:color w:val="auto"/>
                      <w:spacing w:val="0"/>
                      <w:kern w:val="0"/>
                      <w:sz w:val="21"/>
                      <w:szCs w:val="21"/>
                      <w:highlight w:val="none"/>
                      <w:lang w:val="en-US" w:eastAsia="zh-CN"/>
                    </w:rPr>
                    <w:t>油性</w:t>
                  </w:r>
                  <w:r>
                    <w:rPr>
                      <w:rFonts w:hint="default" w:ascii="Times New Roman" w:hAnsi="Times New Roman" w:eastAsia="宋体" w:cs="Times New Roman"/>
                      <w:color w:val="auto"/>
                      <w:spacing w:val="0"/>
                      <w:kern w:val="0"/>
                      <w:sz w:val="21"/>
                      <w:szCs w:val="21"/>
                      <w:highlight w:val="none"/>
                    </w:rPr>
                    <w:t>漆、稀释剂、固化剂在施工状态下属于低VOCs含量原辅材料，不属于高VOCs排放范畴；项目使用的水性</w:t>
                  </w:r>
                  <w:r>
                    <w:rPr>
                      <w:rFonts w:hint="eastAsia" w:ascii="Times New Roman" w:hAnsi="Times New Roman" w:eastAsia="宋体" w:cs="Times New Roman"/>
                      <w:color w:val="auto"/>
                      <w:spacing w:val="0"/>
                      <w:kern w:val="0"/>
                      <w:sz w:val="21"/>
                      <w:szCs w:val="21"/>
                      <w:highlight w:val="none"/>
                      <w:lang w:val="en-US" w:eastAsia="zh-CN"/>
                    </w:rPr>
                    <w:t>漆</w:t>
                  </w:r>
                  <w:r>
                    <w:rPr>
                      <w:rFonts w:hint="default" w:ascii="Times New Roman" w:hAnsi="Times New Roman" w:eastAsia="宋体" w:cs="Times New Roman"/>
                      <w:color w:val="auto"/>
                      <w:spacing w:val="0"/>
                      <w:kern w:val="0"/>
                      <w:sz w:val="21"/>
                      <w:szCs w:val="21"/>
                      <w:highlight w:val="none"/>
                    </w:rPr>
                    <w:t>符合《低挥发性有机化合物含量涂料产品技术要求》（GB/T 38597-2020）中的VOCs含量要求规定</w:t>
                  </w:r>
                  <w:r>
                    <w:rPr>
                      <w:rFonts w:hint="eastAsia" w:ascii="Times New Roman" w:hAnsi="Times New Roman" w:eastAsia="宋体" w:cs="Times New Roman"/>
                      <w:color w:val="auto"/>
                      <w:sz w:val="21"/>
                      <w:szCs w:val="21"/>
                      <w:highlight w:val="none"/>
                      <w:lang w:val="en-US" w:eastAsia="zh-CN"/>
                    </w:rPr>
                    <w:t>，</w:t>
                  </w:r>
                  <w:r>
                    <w:rPr>
                      <w:rFonts w:ascii="Times New Roman" w:hAnsi="Times New Roman" w:eastAsia="宋体" w:cs="Times New Roman"/>
                      <w:color w:val="auto"/>
                      <w:spacing w:val="0"/>
                      <w:kern w:val="0"/>
                      <w:sz w:val="21"/>
                      <w:szCs w:val="21"/>
                      <w:highlight w:val="none"/>
                      <w:lang w:bidi="ar-SA"/>
                    </w:rPr>
                    <w:t>不属于高VOCs排放范畴</w:t>
                  </w:r>
                  <w:r>
                    <w:rPr>
                      <w:rFonts w:hint="eastAsia" w:ascii="Times New Roman" w:hAnsi="Times New Roman" w:eastAsia="宋体" w:cs="Times New Roman"/>
                      <w:color w:val="auto"/>
                      <w:spacing w:val="0"/>
                      <w:kern w:val="0"/>
                      <w:position w:val="0"/>
                      <w:sz w:val="21"/>
                      <w:szCs w:val="21"/>
                      <w:highlight w:val="none"/>
                      <w:lang w:val="en-US" w:eastAsia="zh-CN" w:bidi="ar"/>
                    </w:rPr>
                    <w:t>；</w:t>
                  </w:r>
                  <w:r>
                    <w:rPr>
                      <w:rFonts w:hint="eastAsia" w:ascii="Times New Roman" w:hAnsi="Times New Roman" w:eastAsia="宋体" w:cs="Times New Roman"/>
                      <w:color w:val="auto"/>
                      <w:sz w:val="21"/>
                      <w:szCs w:val="21"/>
                      <w:highlight w:val="none"/>
                      <w:lang w:val="en-US" w:eastAsia="zh-CN"/>
                    </w:rPr>
                    <w:t>项目</w:t>
                  </w:r>
                  <w:r>
                    <w:rPr>
                      <w:rFonts w:hint="eastAsia" w:cs="Times New Roman"/>
                      <w:color w:val="auto"/>
                      <w:spacing w:val="0"/>
                      <w:position w:val="0"/>
                      <w:sz w:val="21"/>
                      <w:szCs w:val="21"/>
                      <w:highlight w:val="none"/>
                      <w:lang w:eastAsia="zh-CN"/>
                    </w:rPr>
                    <w:t>调漆、喷漆废气经水帘柜处理后，与晾干废气一同经集气装置负压收集后再引入“气旋塔+过滤棉+二级活性炭吸附装置”</w:t>
                  </w:r>
                  <w:r>
                    <w:rPr>
                      <w:rFonts w:hint="eastAsia" w:ascii="Times New Roman" w:hAnsi="Times New Roman" w:eastAsia="宋体" w:cs="Times New Roman"/>
                      <w:color w:val="auto"/>
                      <w:spacing w:val="0"/>
                      <w:position w:val="0"/>
                      <w:sz w:val="21"/>
                      <w:szCs w:val="21"/>
                      <w:highlight w:val="none"/>
                      <w:lang w:eastAsia="zh-CN"/>
                    </w:rPr>
                    <w:t>处理后，</w:t>
                  </w:r>
                  <w:r>
                    <w:rPr>
                      <w:rFonts w:hint="eastAsia" w:ascii="Times New Roman" w:hAnsi="Times New Roman" w:eastAsia="宋体" w:cs="Times New Roman"/>
                      <w:color w:val="auto"/>
                      <w:spacing w:val="0"/>
                      <w:kern w:val="0"/>
                      <w:position w:val="0"/>
                      <w:sz w:val="21"/>
                      <w:szCs w:val="21"/>
                      <w:highlight w:val="none"/>
                      <w:lang w:val="en-US" w:eastAsia="zh-CN"/>
                    </w:rPr>
                    <w:t>通过1根</w:t>
                  </w:r>
                  <w:r>
                    <w:rPr>
                      <w:rFonts w:hint="eastAsia" w:cs="Times New Roman"/>
                      <w:color w:val="auto"/>
                      <w:spacing w:val="0"/>
                      <w:kern w:val="0"/>
                      <w:position w:val="0"/>
                      <w:sz w:val="21"/>
                      <w:szCs w:val="21"/>
                      <w:highlight w:val="none"/>
                      <w:lang w:val="en-US" w:eastAsia="zh-CN"/>
                    </w:rPr>
                    <w:t>25m</w:t>
                  </w:r>
                  <w:r>
                    <w:rPr>
                      <w:rFonts w:hint="eastAsia" w:ascii="Times New Roman" w:hAnsi="Times New Roman" w:eastAsia="宋体" w:cs="Times New Roman"/>
                      <w:color w:val="auto"/>
                      <w:spacing w:val="0"/>
                      <w:kern w:val="0"/>
                      <w:position w:val="0"/>
                      <w:sz w:val="21"/>
                      <w:szCs w:val="21"/>
                      <w:highlight w:val="none"/>
                      <w:lang w:val="en-US" w:eastAsia="zh-CN"/>
                    </w:rPr>
                    <w:t>排气筒排放</w:t>
                  </w:r>
                  <w:r>
                    <w:rPr>
                      <w:rFonts w:hint="eastAsia" w:ascii="Times New Roman" w:hAnsi="Times New Roman" w:eastAsia="宋体" w:cs="Times New Roman"/>
                      <w:color w:val="auto"/>
                      <w:sz w:val="21"/>
                      <w:szCs w:val="21"/>
                      <w:highlight w:val="none"/>
                      <w:lang w:val="en-US" w:eastAsia="zh-CN"/>
                    </w:rPr>
                    <w:t>。</w:t>
                  </w:r>
                </w:p>
              </w:tc>
              <w:tc>
                <w:tcPr>
                  <w:tcW w:w="286" w:type="pct"/>
                  <w:tcBorders>
                    <w:tl2br w:val="nil"/>
                    <w:tr2bl w:val="nil"/>
                  </w:tcBorders>
                  <w:noWrap w:val="0"/>
                  <w:vAlign w:val="center"/>
                </w:tcPr>
                <w:p w14:paraId="5212730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kern w:val="0"/>
                      <w:sz w:val="21"/>
                      <w:szCs w:val="21"/>
                      <w:highlight w:val="none"/>
                    </w:rPr>
                    <w:t>符合</w:t>
                  </w:r>
                </w:p>
              </w:tc>
            </w:tr>
            <w:tr w14:paraId="1C76EE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continue"/>
                  <w:tcBorders>
                    <w:tl2br w:val="nil"/>
                    <w:tr2bl w:val="nil"/>
                  </w:tcBorders>
                  <w:noWrap w:val="0"/>
                  <w:vAlign w:val="center"/>
                </w:tcPr>
                <w:p w14:paraId="4C19229E">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586" w:type="pct"/>
                  <w:vMerge w:val="continue"/>
                  <w:tcBorders>
                    <w:tl2br w:val="nil"/>
                    <w:tr2bl w:val="nil"/>
                  </w:tcBorders>
                  <w:noWrap w:val="0"/>
                  <w:vAlign w:val="center"/>
                </w:tcPr>
                <w:p w14:paraId="06A6584A">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2152" w:type="pct"/>
                  <w:tcBorders>
                    <w:tl2br w:val="nil"/>
                    <w:tr2bl w:val="nil"/>
                  </w:tcBorders>
                  <w:noWrap w:val="0"/>
                  <w:vAlign w:val="center"/>
                </w:tcPr>
                <w:p w14:paraId="3BDD214D">
                  <w:pPr>
                    <w:pStyle w:val="9"/>
                    <w:keepNext/>
                    <w:keepLines/>
                    <w:pageBreakBefore w:val="0"/>
                    <w:widowControl w:val="0"/>
                    <w:kinsoku/>
                    <w:wordWrap/>
                    <w:overflowPunct/>
                    <w:topLinePunct w:val="0"/>
                    <w:autoSpaceDE/>
                    <w:autoSpaceDN/>
                    <w:bidi w:val="0"/>
                    <w:adjustRightInd/>
                    <w:spacing w:beforeAutospacing="0" w:afterAutospacing="0" w:line="240" w:lineRule="auto"/>
                    <w:ind w:left="0" w:leftChars="0" w:right="0" w:righ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b w:val="0"/>
                      <w:bCs w:val="0"/>
                      <w:color w:val="auto"/>
                      <w:spacing w:val="0"/>
                      <w:position w:val="0"/>
                      <w:sz w:val="21"/>
                      <w:szCs w:val="21"/>
                      <w:highlight w:val="none"/>
                      <w:vertAlign w:val="baseline"/>
                      <w:lang w:val="en-US" w:eastAsia="zh-CN"/>
                    </w:rPr>
                    <w:t>2.</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rPr>
                    <w:t>加强设备与场所密闭管理，含VOCs物料应储存于密闭容器、包装袋，高效密封储罐等。</w:t>
                  </w:r>
                </w:p>
              </w:tc>
              <w:tc>
                <w:tcPr>
                  <w:tcW w:w="1754" w:type="pct"/>
                  <w:tcBorders>
                    <w:tl2br w:val="nil"/>
                    <w:tr2bl w:val="nil"/>
                  </w:tcBorders>
                  <w:noWrap w:val="0"/>
                  <w:vAlign w:val="center"/>
                </w:tcPr>
                <w:p w14:paraId="47218061">
                  <w:pPr>
                    <w:keepNext w:val="0"/>
                    <w:keepLines w:val="0"/>
                    <w:pageBreakBefore w:val="0"/>
                    <w:widowControl/>
                    <w:kinsoku/>
                    <w:wordWrap/>
                    <w:overflowPunct/>
                    <w:topLinePunct w:val="0"/>
                    <w:autoSpaceDE/>
                    <w:autoSpaceDN/>
                    <w:bidi w:val="0"/>
                    <w:adjustRightInd/>
                    <w:spacing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项目涉及VOCs的原辅料为</w:t>
                  </w:r>
                  <w:r>
                    <w:rPr>
                      <w:rFonts w:hint="eastAsia" w:ascii="Times New Roman" w:hAnsi="Times New Roman" w:eastAsia="宋体" w:cs="Times New Roman"/>
                      <w:color w:val="auto"/>
                      <w:kern w:val="2"/>
                      <w:sz w:val="21"/>
                      <w:szCs w:val="21"/>
                      <w:highlight w:val="none"/>
                      <w:lang w:val="en-US" w:eastAsia="zh-CN" w:bidi="ar-SA"/>
                    </w:rPr>
                    <w:t>油性漆、水性漆、固化剂、稀释剂</w:t>
                  </w:r>
                  <w:r>
                    <w:rPr>
                      <w:rFonts w:hint="eastAsia" w:ascii="Times New Roman" w:hAnsi="Times New Roman" w:eastAsia="宋体" w:cs="Times New Roman"/>
                      <w:color w:val="auto"/>
                      <w:kern w:val="0"/>
                      <w:sz w:val="21"/>
                      <w:szCs w:val="21"/>
                      <w:highlight w:val="none"/>
                      <w:lang w:val="en-US" w:eastAsia="zh-CN"/>
                    </w:rPr>
                    <w:t>，项目设置化学品仓库，</w:t>
                  </w:r>
                  <w:r>
                    <w:rPr>
                      <w:rFonts w:hint="eastAsia" w:ascii="Times New Roman" w:hAnsi="Times New Roman" w:eastAsia="宋体" w:cs="Times New Roman"/>
                      <w:color w:val="auto"/>
                      <w:kern w:val="0"/>
                      <w:sz w:val="21"/>
                      <w:szCs w:val="21"/>
                      <w:highlight w:val="none"/>
                      <w:lang w:bidi="ar"/>
                    </w:rPr>
                    <w:t>统一存放</w:t>
                  </w:r>
                  <w:r>
                    <w:rPr>
                      <w:rFonts w:hint="eastAsia" w:ascii="Times New Roman" w:hAnsi="Times New Roman" w:eastAsia="宋体" w:cs="Times New Roman"/>
                      <w:color w:val="auto"/>
                      <w:kern w:val="0"/>
                      <w:sz w:val="21"/>
                      <w:szCs w:val="21"/>
                      <w:highlight w:val="none"/>
                      <w:lang w:val="en-US" w:eastAsia="zh-CN"/>
                    </w:rPr>
                    <w:t>化学品</w:t>
                  </w:r>
                  <w:r>
                    <w:rPr>
                      <w:rFonts w:hint="eastAsia" w:ascii="Times New Roman" w:hAnsi="Times New Roman" w:eastAsia="宋体" w:cs="Times New Roman"/>
                      <w:color w:val="auto"/>
                      <w:kern w:val="0"/>
                      <w:sz w:val="21"/>
                      <w:szCs w:val="21"/>
                      <w:highlight w:val="none"/>
                      <w:lang w:val="en-US" w:eastAsia="zh-CN" w:bidi="ar"/>
                    </w:rPr>
                    <w:t>，在非取用</w:t>
                  </w:r>
                  <w:r>
                    <w:rPr>
                      <w:rFonts w:hint="eastAsia" w:ascii="Times New Roman" w:hAnsi="Times New Roman" w:eastAsia="宋体" w:cs="Times New Roman"/>
                      <w:color w:val="auto"/>
                      <w:kern w:val="0"/>
                      <w:sz w:val="21"/>
                      <w:szCs w:val="21"/>
                      <w:highlight w:val="none"/>
                    </w:rPr>
                    <w:t>状态时加盖、封口，保持密闭</w:t>
                  </w:r>
                  <w:r>
                    <w:rPr>
                      <w:rFonts w:hint="eastAsia" w:ascii="Times New Roman" w:hAnsi="Times New Roman" w:eastAsia="宋体" w:cs="Times New Roman"/>
                      <w:color w:val="auto"/>
                      <w:sz w:val="21"/>
                      <w:szCs w:val="21"/>
                      <w:highlight w:val="none"/>
                      <w:lang w:val="en-US" w:eastAsia="zh-CN"/>
                    </w:rPr>
                    <w:t>。</w:t>
                  </w:r>
                </w:p>
              </w:tc>
              <w:tc>
                <w:tcPr>
                  <w:tcW w:w="286" w:type="pct"/>
                  <w:tcBorders>
                    <w:tl2br w:val="nil"/>
                    <w:tr2bl w:val="nil"/>
                  </w:tcBorders>
                  <w:noWrap w:val="0"/>
                  <w:vAlign w:val="center"/>
                </w:tcPr>
                <w:p w14:paraId="56362F8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kern w:val="0"/>
                      <w:sz w:val="21"/>
                      <w:szCs w:val="21"/>
                      <w:highlight w:val="none"/>
                    </w:rPr>
                    <w:t>符合</w:t>
                  </w:r>
                </w:p>
              </w:tc>
            </w:tr>
            <w:tr w14:paraId="048BFF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continue"/>
                  <w:tcBorders>
                    <w:tl2br w:val="nil"/>
                    <w:tr2bl w:val="nil"/>
                  </w:tcBorders>
                  <w:noWrap w:val="0"/>
                  <w:vAlign w:val="center"/>
                </w:tcPr>
                <w:p w14:paraId="4F59D7D1">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586" w:type="pct"/>
                  <w:vMerge w:val="continue"/>
                  <w:tcBorders>
                    <w:tl2br w:val="nil"/>
                    <w:tr2bl w:val="nil"/>
                  </w:tcBorders>
                  <w:noWrap w:val="0"/>
                  <w:vAlign w:val="center"/>
                </w:tcPr>
                <w:p w14:paraId="089194C9">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2152" w:type="pct"/>
                  <w:tcBorders>
                    <w:tl2br w:val="nil"/>
                    <w:tr2bl w:val="nil"/>
                  </w:tcBorders>
                  <w:noWrap w:val="0"/>
                  <w:vAlign w:val="center"/>
                </w:tcPr>
                <w:p w14:paraId="094DC1C5">
                  <w:pPr>
                    <w:pStyle w:val="9"/>
                    <w:keepNext/>
                    <w:keepLines/>
                    <w:pageBreakBefore w:val="0"/>
                    <w:widowControl w:val="0"/>
                    <w:kinsoku/>
                    <w:wordWrap/>
                    <w:overflowPunct/>
                    <w:topLinePunct w:val="0"/>
                    <w:autoSpaceDE/>
                    <w:autoSpaceDN/>
                    <w:bidi w:val="0"/>
                    <w:adjustRightInd/>
                    <w:spacing w:beforeAutospacing="0" w:afterAutospacing="0" w:line="240" w:lineRule="auto"/>
                    <w:ind w:left="0" w:leftChars="0" w:right="0" w:righ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b w:val="0"/>
                      <w:bCs w:val="0"/>
                      <w:color w:val="auto"/>
                      <w:spacing w:val="0"/>
                      <w:position w:val="0"/>
                      <w:sz w:val="21"/>
                      <w:szCs w:val="21"/>
                      <w:highlight w:val="none"/>
                      <w:vertAlign w:val="baseline"/>
                      <w:lang w:val="en-US" w:eastAsia="zh-CN"/>
                    </w:rPr>
                    <w:t>3.</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rPr>
                    <w:t>推进使用先进生产工艺，通过采用全密闭、连续化、自动化等生产技术以及高效工艺与设备等，减少工艺过程无组织排放。</w:t>
                  </w:r>
                </w:p>
              </w:tc>
              <w:tc>
                <w:tcPr>
                  <w:tcW w:w="1754" w:type="pct"/>
                  <w:tcBorders>
                    <w:tl2br w:val="nil"/>
                    <w:tr2bl w:val="nil"/>
                  </w:tcBorders>
                  <w:noWrap w:val="0"/>
                  <w:vAlign w:val="center"/>
                </w:tcPr>
                <w:p w14:paraId="03D60D4D">
                  <w:pPr>
                    <w:keepNext w:val="0"/>
                    <w:keepLines w:val="0"/>
                    <w:pageBreakBefore w:val="0"/>
                    <w:widowControl/>
                    <w:kinsoku/>
                    <w:wordWrap/>
                    <w:overflowPunct/>
                    <w:topLinePunct w:val="0"/>
                    <w:autoSpaceDE/>
                    <w:autoSpaceDN/>
                    <w:bidi w:val="0"/>
                    <w:adjustRightInd/>
                    <w:spacing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w:t>
                  </w:r>
                  <w:r>
                    <w:rPr>
                      <w:rFonts w:hint="eastAsia" w:cs="Times New Roman"/>
                      <w:color w:val="auto"/>
                      <w:spacing w:val="0"/>
                      <w:position w:val="0"/>
                      <w:sz w:val="21"/>
                      <w:szCs w:val="21"/>
                      <w:highlight w:val="none"/>
                      <w:lang w:eastAsia="zh-CN"/>
                    </w:rPr>
                    <w:t>调漆、喷漆废气经水帘柜处理后，与晾干废气一同经集气装置负压收集后再引入“气旋塔+过滤棉+二级活性炭吸附装置”</w:t>
                  </w:r>
                  <w:r>
                    <w:rPr>
                      <w:rFonts w:hint="eastAsia" w:ascii="Times New Roman" w:hAnsi="Times New Roman" w:eastAsia="宋体" w:cs="Times New Roman"/>
                      <w:color w:val="auto"/>
                      <w:spacing w:val="0"/>
                      <w:position w:val="0"/>
                      <w:sz w:val="21"/>
                      <w:szCs w:val="21"/>
                      <w:highlight w:val="none"/>
                      <w:lang w:eastAsia="zh-CN"/>
                    </w:rPr>
                    <w:t>处理后，</w:t>
                  </w:r>
                  <w:r>
                    <w:rPr>
                      <w:rFonts w:hint="eastAsia" w:ascii="Times New Roman" w:hAnsi="Times New Roman" w:eastAsia="宋体" w:cs="Times New Roman"/>
                      <w:color w:val="auto"/>
                      <w:spacing w:val="0"/>
                      <w:kern w:val="0"/>
                      <w:position w:val="0"/>
                      <w:sz w:val="21"/>
                      <w:szCs w:val="21"/>
                      <w:highlight w:val="none"/>
                      <w:lang w:val="en-US" w:eastAsia="zh-CN"/>
                    </w:rPr>
                    <w:t>通过1根</w:t>
                  </w:r>
                  <w:r>
                    <w:rPr>
                      <w:rFonts w:hint="eastAsia" w:cs="Times New Roman"/>
                      <w:color w:val="auto"/>
                      <w:spacing w:val="0"/>
                      <w:kern w:val="0"/>
                      <w:position w:val="0"/>
                      <w:sz w:val="21"/>
                      <w:szCs w:val="21"/>
                      <w:highlight w:val="none"/>
                      <w:lang w:val="en-US" w:eastAsia="zh-CN"/>
                    </w:rPr>
                    <w:t>25m</w:t>
                  </w:r>
                  <w:r>
                    <w:rPr>
                      <w:rFonts w:hint="eastAsia" w:ascii="Times New Roman" w:hAnsi="Times New Roman" w:eastAsia="宋体" w:cs="Times New Roman"/>
                      <w:color w:val="auto"/>
                      <w:spacing w:val="0"/>
                      <w:kern w:val="0"/>
                      <w:position w:val="0"/>
                      <w:sz w:val="21"/>
                      <w:szCs w:val="21"/>
                      <w:highlight w:val="none"/>
                      <w:lang w:val="en-US" w:eastAsia="zh-CN"/>
                    </w:rPr>
                    <w:t>排气筒排放</w:t>
                  </w:r>
                  <w:r>
                    <w:rPr>
                      <w:rFonts w:hint="eastAsia" w:ascii="Times New Roman" w:hAnsi="Times New Roman" w:eastAsia="宋体" w:cs="Times New Roman"/>
                      <w:color w:val="auto"/>
                      <w:sz w:val="21"/>
                      <w:szCs w:val="21"/>
                      <w:highlight w:val="none"/>
                      <w:lang w:val="en-US" w:eastAsia="zh-CN"/>
                    </w:rPr>
                    <w:t>。</w:t>
                  </w:r>
                </w:p>
              </w:tc>
              <w:tc>
                <w:tcPr>
                  <w:tcW w:w="286" w:type="pct"/>
                  <w:tcBorders>
                    <w:tl2br w:val="nil"/>
                    <w:tr2bl w:val="nil"/>
                  </w:tcBorders>
                  <w:noWrap w:val="0"/>
                  <w:vAlign w:val="center"/>
                </w:tcPr>
                <w:p w14:paraId="468E1CF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kern w:val="0"/>
                      <w:sz w:val="21"/>
                      <w:szCs w:val="21"/>
                      <w:highlight w:val="none"/>
                    </w:rPr>
                    <w:t>符合</w:t>
                  </w:r>
                </w:p>
              </w:tc>
            </w:tr>
            <w:tr w14:paraId="7111D0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continue"/>
                  <w:tcBorders>
                    <w:tl2br w:val="nil"/>
                    <w:tr2bl w:val="nil"/>
                  </w:tcBorders>
                  <w:noWrap w:val="0"/>
                  <w:vAlign w:val="center"/>
                </w:tcPr>
                <w:p w14:paraId="256BD375">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586" w:type="pct"/>
                  <w:vMerge w:val="continue"/>
                  <w:tcBorders>
                    <w:tl2br w:val="nil"/>
                    <w:tr2bl w:val="nil"/>
                  </w:tcBorders>
                  <w:noWrap w:val="0"/>
                  <w:vAlign w:val="center"/>
                </w:tcPr>
                <w:p w14:paraId="0329A6FC">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2152" w:type="pct"/>
                  <w:tcBorders>
                    <w:tl2br w:val="nil"/>
                    <w:tr2bl w:val="nil"/>
                  </w:tcBorders>
                  <w:noWrap w:val="0"/>
                  <w:vAlign w:val="center"/>
                </w:tcPr>
                <w:p w14:paraId="39C6B3D7">
                  <w:pPr>
                    <w:keepNext w:val="0"/>
                    <w:keepLines w:val="0"/>
                    <w:pageBreakBefore w:val="0"/>
                    <w:widowControl/>
                    <w:kinsoku/>
                    <w:wordWrap/>
                    <w:overflowPunct/>
                    <w:topLinePunct w:val="0"/>
                    <w:autoSpaceDE/>
                    <w:autoSpaceDN/>
                    <w:bidi w:val="0"/>
                    <w:adjustRightInd/>
                    <w:spacing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b w:val="0"/>
                      <w:bCs w:val="0"/>
                      <w:color w:val="auto"/>
                      <w:spacing w:val="0"/>
                      <w:position w:val="0"/>
                      <w:sz w:val="21"/>
                      <w:szCs w:val="21"/>
                      <w:highlight w:val="none"/>
                      <w:vertAlign w:val="baseline"/>
                      <w:lang w:val="en-US" w:eastAsia="zh-CN"/>
                    </w:rPr>
                    <w:t>4.</w:t>
                  </w:r>
                  <w:r>
                    <w:rPr>
                      <w:rFonts w:hint="eastAsia" w:ascii="Times New Roman" w:hAnsi="Times New Roman" w:eastAsia="宋体" w:cs="Times New Roman"/>
                      <w:b w:val="0"/>
                      <w:bCs w:val="0"/>
                      <w:color w:val="auto"/>
                      <w:spacing w:val="0"/>
                      <w:position w:val="0"/>
                      <w:sz w:val="21"/>
                      <w:szCs w:val="21"/>
                      <w:highlight w:val="none"/>
                      <w:vertAlign w:val="baseline"/>
                      <w:lang w:val="en-US" w:eastAsia="zh-CN"/>
                    </w:rPr>
                    <w:t>提高废气收集率，遵循“应收尽收、分质收集”的原则，科学设计废气收集系统将无组织排放转变为有组织排放进行控制。</w:t>
                  </w:r>
                </w:p>
              </w:tc>
              <w:tc>
                <w:tcPr>
                  <w:tcW w:w="1754" w:type="pct"/>
                  <w:tcBorders>
                    <w:tl2br w:val="nil"/>
                    <w:tr2bl w:val="nil"/>
                  </w:tcBorders>
                  <w:noWrap w:val="0"/>
                  <w:vAlign w:val="center"/>
                </w:tcPr>
                <w:p w14:paraId="6F0E915F">
                  <w:pPr>
                    <w:keepNext w:val="0"/>
                    <w:keepLines w:val="0"/>
                    <w:pageBreakBefore w:val="0"/>
                    <w:widowControl/>
                    <w:kinsoku/>
                    <w:wordWrap/>
                    <w:overflowPunct/>
                    <w:topLinePunct w:val="0"/>
                    <w:autoSpaceDE/>
                    <w:autoSpaceDN/>
                    <w:bidi w:val="0"/>
                    <w:adjustRightInd/>
                    <w:spacing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项目产生废气为颗粒物、有机废气，其中</w:t>
                  </w:r>
                  <w:r>
                    <w:rPr>
                      <w:rFonts w:hint="eastAsia" w:cs="Times New Roman"/>
                      <w:color w:val="auto"/>
                      <w:sz w:val="21"/>
                      <w:szCs w:val="21"/>
                      <w:highlight w:val="none"/>
                      <w:lang w:val="en-US" w:eastAsia="zh-CN"/>
                    </w:rPr>
                    <w:t>调漆、</w:t>
                  </w:r>
                  <w:r>
                    <w:rPr>
                      <w:rFonts w:hint="eastAsia" w:ascii="Times New Roman" w:hAnsi="Times New Roman" w:eastAsia="宋体" w:cs="Times New Roman"/>
                      <w:color w:val="auto"/>
                      <w:sz w:val="21"/>
                      <w:szCs w:val="21"/>
                      <w:highlight w:val="none"/>
                      <w:lang w:val="en-US" w:eastAsia="zh-CN"/>
                    </w:rPr>
                    <w:t>喷漆、晾干工序设置于负压密闭</w:t>
                  </w:r>
                  <w:r>
                    <w:rPr>
                      <w:rFonts w:hint="eastAsia" w:cs="Times New Roman"/>
                      <w:color w:val="auto"/>
                      <w:sz w:val="21"/>
                      <w:szCs w:val="21"/>
                      <w:highlight w:val="none"/>
                      <w:lang w:val="en-US" w:eastAsia="zh-CN"/>
                    </w:rPr>
                    <w:t>喷漆晾干房</w:t>
                  </w:r>
                  <w:r>
                    <w:rPr>
                      <w:rFonts w:hint="eastAsia" w:ascii="Times New Roman" w:hAnsi="Times New Roman" w:eastAsia="宋体" w:cs="Times New Roman"/>
                      <w:color w:val="auto"/>
                      <w:sz w:val="21"/>
                      <w:szCs w:val="21"/>
                      <w:highlight w:val="none"/>
                      <w:lang w:val="en-US" w:eastAsia="zh-CN"/>
                    </w:rPr>
                    <w:t>内</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经废气处理设施处理后，通过</w:t>
                  </w:r>
                  <w:r>
                    <w:rPr>
                      <w:rFonts w:hint="eastAsia" w:cs="Times New Roman"/>
                      <w:color w:val="auto"/>
                      <w:sz w:val="21"/>
                      <w:szCs w:val="21"/>
                      <w:highlight w:val="none"/>
                      <w:lang w:val="en-US" w:eastAsia="zh-CN"/>
                    </w:rPr>
                    <w:t>25m</w:t>
                  </w:r>
                  <w:r>
                    <w:rPr>
                      <w:rFonts w:hint="eastAsia" w:ascii="Times New Roman" w:hAnsi="Times New Roman" w:eastAsia="宋体" w:cs="Times New Roman"/>
                      <w:color w:val="auto"/>
                      <w:sz w:val="21"/>
                      <w:szCs w:val="21"/>
                      <w:highlight w:val="none"/>
                      <w:lang w:val="en-US" w:eastAsia="zh-CN"/>
                    </w:rPr>
                    <w:t>排气筒进行有组织排放，并加强对无组织排放的管控。</w:t>
                  </w:r>
                </w:p>
              </w:tc>
              <w:tc>
                <w:tcPr>
                  <w:tcW w:w="286" w:type="pct"/>
                  <w:tcBorders>
                    <w:tl2br w:val="nil"/>
                    <w:tr2bl w:val="nil"/>
                  </w:tcBorders>
                  <w:noWrap w:val="0"/>
                  <w:vAlign w:val="center"/>
                </w:tcPr>
                <w:p w14:paraId="514CB60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kern w:val="0"/>
                      <w:sz w:val="21"/>
                      <w:szCs w:val="21"/>
                      <w:highlight w:val="none"/>
                    </w:rPr>
                    <w:t>符合</w:t>
                  </w:r>
                </w:p>
              </w:tc>
            </w:tr>
            <w:tr w14:paraId="61EB8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tcBorders>
                    <w:tl2br w:val="nil"/>
                    <w:tr2bl w:val="nil"/>
                  </w:tcBorders>
                  <w:shd w:val="clear" w:color="auto" w:fill="auto"/>
                  <w:noWrap w:val="0"/>
                  <w:vAlign w:val="center"/>
                </w:tcPr>
                <w:p w14:paraId="7CFA9603">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w:t>
                  </w:r>
                </w:p>
              </w:tc>
              <w:tc>
                <w:tcPr>
                  <w:tcW w:w="586" w:type="pct"/>
                  <w:tcBorders>
                    <w:tl2br w:val="nil"/>
                    <w:tr2bl w:val="nil"/>
                  </w:tcBorders>
                  <w:noWrap w:val="0"/>
                  <w:vAlign w:val="center"/>
                </w:tcPr>
                <w:p w14:paraId="2FC0F08C">
                  <w:pPr>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《福建省臭氧污染防治工作方案》（闽环保大气〔2018〕8号）</w:t>
                  </w:r>
                </w:p>
              </w:tc>
              <w:tc>
                <w:tcPr>
                  <w:tcW w:w="2152" w:type="pct"/>
                  <w:tcBorders>
                    <w:tl2br w:val="nil"/>
                    <w:tr2bl w:val="nil"/>
                  </w:tcBorders>
                  <w:noWrap w:val="0"/>
                  <w:vAlign w:val="center"/>
                </w:tcPr>
                <w:p w14:paraId="6772913A">
                  <w:pPr>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（一）加大产业结构调整力度</w:t>
                  </w:r>
                </w:p>
                <w:p w14:paraId="10B5E5E6">
                  <w:pPr>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1.严格建设项目环境准入。严格涉VOCs建设项目环境影响评价，VOCs排放实行区域内等量替代，福州、厦门、漳州、泉州、莆田、宁德等6个重点控制区可实施倍量替代。新、改、扩建涉VOCs 排放项目，应从源头加强控制，使用低（无）VOCs含量的原辅材料，加强废气收集，安装高效治理设施。推动产业布局和结构优化调整。严格执行国家产业政策，控制石化、化工、包装印刷、工业涂装等高VOCs排放建设项目，新建涉VOCs排放重点行业的工业项目必须进入工业园区。</w:t>
                  </w:r>
                </w:p>
              </w:tc>
              <w:tc>
                <w:tcPr>
                  <w:tcW w:w="1754" w:type="pct"/>
                  <w:tcBorders>
                    <w:tl2br w:val="nil"/>
                    <w:tr2bl w:val="nil"/>
                  </w:tcBorders>
                  <w:noWrap w:val="0"/>
                  <w:vAlign w:val="center"/>
                </w:tcPr>
                <w:p w14:paraId="456DDD60">
                  <w:pPr>
                    <w:pStyle w:val="151"/>
                    <w:keepNext w:val="0"/>
                    <w:keepLines w:val="0"/>
                    <w:pageBreakBefore w:val="0"/>
                    <w:kinsoku/>
                    <w:wordWrap/>
                    <w:overflowPunct/>
                    <w:topLinePunct w:val="0"/>
                    <w:autoSpaceDE/>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根</w:t>
                  </w:r>
                  <w:r>
                    <w:rPr>
                      <w:rFonts w:hint="default" w:ascii="Times New Roman" w:hAnsi="Times New Roman" w:eastAsia="宋体" w:cs="Times New Roman"/>
                      <w:color w:val="auto"/>
                      <w:spacing w:val="0"/>
                      <w:kern w:val="0"/>
                      <w:sz w:val="21"/>
                      <w:szCs w:val="21"/>
                      <w:highlight w:val="none"/>
                    </w:rPr>
                    <w:t>据第二章节</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主要原辅材料及能源消耗 主要原辅材料理化性质</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分析，项目使用的</w:t>
                  </w:r>
                  <w:r>
                    <w:rPr>
                      <w:rFonts w:hint="eastAsia" w:ascii="Times New Roman" w:hAnsi="Times New Roman" w:eastAsia="宋体" w:cs="Times New Roman"/>
                      <w:color w:val="auto"/>
                      <w:spacing w:val="0"/>
                      <w:kern w:val="0"/>
                      <w:sz w:val="21"/>
                      <w:szCs w:val="21"/>
                      <w:highlight w:val="none"/>
                      <w:lang w:val="en-US" w:eastAsia="zh-CN"/>
                    </w:rPr>
                    <w:t>油性</w:t>
                  </w:r>
                  <w:r>
                    <w:rPr>
                      <w:rFonts w:hint="default" w:ascii="Times New Roman" w:hAnsi="Times New Roman" w:eastAsia="宋体" w:cs="Times New Roman"/>
                      <w:color w:val="auto"/>
                      <w:spacing w:val="0"/>
                      <w:kern w:val="0"/>
                      <w:sz w:val="21"/>
                      <w:szCs w:val="21"/>
                      <w:highlight w:val="none"/>
                    </w:rPr>
                    <w:t>漆、稀释剂、固化剂在施工状态下属于低VOCs含量原辅材料，不属于高VOCs排放范畴；项目使用的水性</w:t>
                  </w:r>
                  <w:r>
                    <w:rPr>
                      <w:rFonts w:hint="eastAsia" w:ascii="Times New Roman" w:hAnsi="Times New Roman" w:eastAsia="宋体" w:cs="Times New Roman"/>
                      <w:color w:val="auto"/>
                      <w:spacing w:val="0"/>
                      <w:kern w:val="0"/>
                      <w:sz w:val="21"/>
                      <w:szCs w:val="21"/>
                      <w:highlight w:val="none"/>
                      <w:lang w:val="en-US" w:eastAsia="zh-CN"/>
                    </w:rPr>
                    <w:t>漆</w:t>
                  </w:r>
                  <w:r>
                    <w:rPr>
                      <w:rFonts w:hint="default" w:ascii="Times New Roman" w:hAnsi="Times New Roman" w:eastAsia="宋体" w:cs="Times New Roman"/>
                      <w:color w:val="auto"/>
                      <w:spacing w:val="0"/>
                      <w:kern w:val="0"/>
                      <w:sz w:val="21"/>
                      <w:szCs w:val="21"/>
                      <w:highlight w:val="none"/>
                    </w:rPr>
                    <w:t>符合《低挥发性有机化合物含量涂料产品技术要求》（GB/T 38597-2020）中的VOCs含量要求规定</w:t>
                  </w:r>
                  <w:r>
                    <w:rPr>
                      <w:rFonts w:hint="eastAsia" w:ascii="Times New Roman" w:hAnsi="Times New Roman" w:eastAsia="宋体" w:cs="Times New Roman"/>
                      <w:color w:val="auto"/>
                      <w:sz w:val="21"/>
                      <w:szCs w:val="21"/>
                      <w:highlight w:val="none"/>
                      <w:lang w:val="en-US" w:eastAsia="zh-CN"/>
                    </w:rPr>
                    <w:t>，不属于高VOCs排放项目；项目</w:t>
                  </w:r>
                  <w:r>
                    <w:rPr>
                      <w:rFonts w:hint="eastAsia" w:cs="Times New Roman"/>
                      <w:color w:val="auto"/>
                      <w:spacing w:val="0"/>
                      <w:position w:val="0"/>
                      <w:sz w:val="21"/>
                      <w:szCs w:val="21"/>
                      <w:highlight w:val="none"/>
                      <w:lang w:eastAsia="zh-CN"/>
                    </w:rPr>
                    <w:t>调漆、喷漆废气经水帘柜处理后，与晾干废气一同经集气装置负压收集后再引入“气旋塔+过滤棉+二级活性炭吸附装置”</w:t>
                  </w:r>
                  <w:r>
                    <w:rPr>
                      <w:rFonts w:hint="default" w:ascii="Times New Roman" w:hAnsi="Times New Roman" w:eastAsia="宋体" w:cs="Times New Roman"/>
                      <w:color w:val="auto"/>
                      <w:sz w:val="21"/>
                      <w:szCs w:val="21"/>
                      <w:highlight w:val="none"/>
                      <w:lang w:val="en-US" w:eastAsia="zh-CN"/>
                    </w:rPr>
                    <w:t>处理后排放</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项目位于</w:t>
                  </w:r>
                  <w:r>
                    <w:rPr>
                      <w:rFonts w:hint="eastAsia" w:ascii="Times New Roman" w:hAnsi="Times New Roman" w:eastAsia="宋体" w:cs="Times New Roman"/>
                      <w:color w:val="auto"/>
                      <w:sz w:val="21"/>
                      <w:szCs w:val="21"/>
                      <w:highlight w:val="none"/>
                      <w:lang w:val="en-US" w:eastAsia="zh-CN"/>
                    </w:rPr>
                    <w:t>闽侯县经济技术开发区一期延伸区内</w:t>
                  </w:r>
                  <w:r>
                    <w:rPr>
                      <w:rFonts w:hint="eastAsia" w:ascii="Times New Roman" w:hAnsi="Times New Roman" w:eastAsia="宋体" w:cs="Times New Roman"/>
                      <w:b w:val="0"/>
                      <w:bCs w:val="0"/>
                      <w:color w:val="auto"/>
                      <w:sz w:val="21"/>
                      <w:szCs w:val="21"/>
                      <w:highlight w:val="none"/>
                      <w:lang w:val="en-US" w:eastAsia="zh-CN"/>
                    </w:rPr>
                    <w:t>，且项目</w:t>
                  </w:r>
                  <w:r>
                    <w:rPr>
                      <w:rFonts w:hint="eastAsia" w:ascii="Times New Roman" w:hAnsi="Times New Roman" w:eastAsia="宋体" w:cs="Times New Roman"/>
                      <w:color w:val="auto"/>
                      <w:sz w:val="21"/>
                      <w:szCs w:val="21"/>
                      <w:highlight w:val="none"/>
                      <w:lang w:val="en-US" w:eastAsia="zh-CN"/>
                    </w:rPr>
                    <w:t>不属于高VOCs排放项目。</w:t>
                  </w:r>
                </w:p>
              </w:tc>
              <w:tc>
                <w:tcPr>
                  <w:tcW w:w="286" w:type="pct"/>
                  <w:tcBorders>
                    <w:tl2br w:val="nil"/>
                    <w:tr2bl w:val="nil"/>
                  </w:tcBorders>
                  <w:noWrap w:val="0"/>
                  <w:vAlign w:val="center"/>
                </w:tcPr>
                <w:p w14:paraId="0C4523E7">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14:paraId="36E8F5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tcBorders>
                    <w:tl2br w:val="nil"/>
                    <w:tr2bl w:val="nil"/>
                  </w:tcBorders>
                  <w:shd w:val="clear" w:color="auto" w:fill="auto"/>
                  <w:noWrap w:val="0"/>
                  <w:vAlign w:val="center"/>
                </w:tcPr>
                <w:p w14:paraId="00BCC362">
                  <w:pPr>
                    <w:pStyle w:val="151"/>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w:t>
                  </w:r>
                </w:p>
              </w:tc>
              <w:tc>
                <w:tcPr>
                  <w:tcW w:w="586" w:type="pct"/>
                  <w:tcBorders>
                    <w:tl2br w:val="nil"/>
                    <w:tr2bl w:val="nil"/>
                  </w:tcBorders>
                  <w:noWrap w:val="0"/>
                  <w:vAlign w:val="center"/>
                </w:tcPr>
                <w:p w14:paraId="7125A5B7">
                  <w:pPr>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《福建省臭氧污染防治攻坚战行动方案》</w:t>
                  </w:r>
                </w:p>
              </w:tc>
              <w:tc>
                <w:tcPr>
                  <w:tcW w:w="2152" w:type="pct"/>
                  <w:tcBorders>
                    <w:tl2br w:val="nil"/>
                    <w:tr2bl w:val="nil"/>
                  </w:tcBorders>
                  <w:noWrap w:val="0"/>
                  <w:vAlign w:val="center"/>
                </w:tcPr>
                <w:p w14:paraId="28E079FF">
                  <w:pPr>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新建涉VOCs排放的工业项目必须入园，实行区域内VOCs排放等量或倍量削减替代。新改扩建项目要使用低（无）VOCs含量原辅材料，采取密闭措施，加强废气收集，配套安装高效治理设施。</w:t>
                  </w:r>
                </w:p>
              </w:tc>
              <w:tc>
                <w:tcPr>
                  <w:tcW w:w="1754" w:type="pct"/>
                  <w:tcBorders>
                    <w:tl2br w:val="nil"/>
                    <w:tr2bl w:val="nil"/>
                  </w:tcBorders>
                  <w:noWrap w:val="0"/>
                  <w:vAlign w:val="center"/>
                </w:tcPr>
                <w:p w14:paraId="1CE21930">
                  <w:pPr>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eastAsia="zh-CN"/>
                    </w:rPr>
                    <w:t>项目</w:t>
                  </w:r>
                  <w:r>
                    <w:rPr>
                      <w:rFonts w:hint="eastAsia" w:cs="Times New Roman"/>
                      <w:color w:val="auto"/>
                      <w:spacing w:val="0"/>
                      <w:kern w:val="0"/>
                      <w:sz w:val="21"/>
                      <w:szCs w:val="21"/>
                      <w:highlight w:val="none"/>
                      <w:lang w:eastAsia="zh-CN"/>
                    </w:rPr>
                    <w:t>选址于福建省福州市闽侯县荆溪镇长龙三路23、25号（福建省奥德瑞电子科技有限公司5#厂房二层）</w:t>
                  </w:r>
                  <w:r>
                    <w:rPr>
                      <w:rFonts w:hint="default" w:ascii="Times New Roman" w:hAnsi="Times New Roman" w:eastAsia="宋体" w:cs="Times New Roman"/>
                      <w:color w:val="auto"/>
                      <w:spacing w:val="0"/>
                      <w:kern w:val="0"/>
                      <w:sz w:val="21"/>
                      <w:szCs w:val="21"/>
                      <w:highlight w:val="none"/>
                    </w:rPr>
                    <w:t>，</w:t>
                  </w:r>
                  <w:r>
                    <w:rPr>
                      <w:rFonts w:hint="eastAsia" w:cs="Times New Roman"/>
                      <w:color w:val="auto"/>
                      <w:spacing w:val="0"/>
                      <w:kern w:val="0"/>
                      <w:sz w:val="21"/>
                      <w:szCs w:val="21"/>
                      <w:highlight w:val="none"/>
                      <w:lang w:eastAsia="zh-CN"/>
                    </w:rPr>
                    <w:t>位于</w:t>
                  </w:r>
                  <w:r>
                    <w:rPr>
                      <w:rFonts w:hint="default" w:ascii="Times New Roman" w:hAnsi="Times New Roman" w:eastAsia="宋体" w:cs="Times New Roman"/>
                      <w:color w:val="auto"/>
                      <w:spacing w:val="0"/>
                      <w:kern w:val="0"/>
                      <w:sz w:val="21"/>
                      <w:szCs w:val="21"/>
                      <w:highlight w:val="none"/>
                    </w:rPr>
                    <w:t>闽侯县经济技术开发区一期延伸区</w:t>
                  </w:r>
                  <w:r>
                    <w:rPr>
                      <w:rFonts w:hint="eastAsia" w:ascii="Times New Roman" w:hAnsi="Times New Roman" w:eastAsia="宋体" w:cs="Times New Roman"/>
                      <w:color w:val="auto"/>
                      <w:spacing w:val="0"/>
                      <w:position w:val="0"/>
                      <w:sz w:val="21"/>
                      <w:szCs w:val="21"/>
                      <w:highlight w:val="none"/>
                      <w:lang w:val="en-US" w:eastAsia="zh-CN"/>
                    </w:rPr>
                    <w:t>，</w:t>
                  </w:r>
                  <w:r>
                    <w:rPr>
                      <w:rFonts w:hint="eastAsia" w:ascii="Times New Roman" w:hAnsi="Times New Roman" w:eastAsia="宋体" w:cs="Times New Roman"/>
                      <w:color w:val="auto"/>
                      <w:spacing w:val="0"/>
                      <w:position w:val="0"/>
                      <w:sz w:val="21"/>
                      <w:szCs w:val="21"/>
                      <w:highlight w:val="none"/>
                      <w:lang w:eastAsia="zh-CN"/>
                    </w:rPr>
                    <w:t>项目废气污染物指标为VOCs，</w:t>
                  </w:r>
                  <w:r>
                    <w:rPr>
                      <w:rFonts w:hint="eastAsia" w:ascii="Times New Roman" w:hAnsi="Times New Roman" w:eastAsia="宋体" w:cs="Times New Roman"/>
                      <w:color w:val="auto"/>
                      <w:kern w:val="0"/>
                      <w:sz w:val="21"/>
                      <w:szCs w:val="21"/>
                      <w:highlight w:val="none"/>
                      <w:lang w:val="en-US" w:eastAsia="zh-CN"/>
                    </w:rPr>
                    <w:t>根据</w:t>
                  </w:r>
                  <w:r>
                    <w:rPr>
                      <w:rFonts w:hint="default" w:ascii="Times New Roman" w:hAnsi="Times New Roman" w:eastAsia="宋体" w:cs="Times New Roman"/>
                      <w:b w:val="0"/>
                      <w:bCs w:val="0"/>
                      <w:color w:val="auto"/>
                      <w:sz w:val="21"/>
                      <w:szCs w:val="21"/>
                      <w:highlight w:val="none"/>
                    </w:rPr>
                    <w:t>《福州市生态环境局关于落实</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奋勇争先</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行动进一步服务和促进民营经济高质量发展的通知》（榕环保综〔2025〕47号）</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0"/>
                      <w:sz w:val="21"/>
                      <w:szCs w:val="21"/>
                      <w:highlight w:val="none"/>
                    </w:rPr>
                    <w:t>本项目</w:t>
                  </w:r>
                  <w:r>
                    <w:rPr>
                      <w:rFonts w:hint="eastAsia" w:ascii="Times New Roman" w:hAnsi="Times New Roman" w:eastAsia="宋体" w:cs="Times New Roman"/>
                      <w:color w:val="auto"/>
                      <w:kern w:val="0"/>
                      <w:sz w:val="21"/>
                      <w:szCs w:val="21"/>
                      <w:highlight w:val="none"/>
                      <w:lang w:val="en-US" w:eastAsia="zh-CN"/>
                    </w:rPr>
                    <w:t>新增</w:t>
                  </w:r>
                  <w:r>
                    <w:rPr>
                      <w:rFonts w:hint="eastAsia" w:ascii="Times New Roman" w:hAnsi="Times New Roman" w:eastAsia="宋体" w:cs="Times New Roman"/>
                      <w:color w:val="auto"/>
                      <w:kern w:val="0"/>
                      <w:sz w:val="21"/>
                      <w:szCs w:val="21"/>
                      <w:highlight w:val="none"/>
                    </w:rPr>
                    <w:t>VOCs年排放量小于0.1吨，无需提交总量来源说明，由市级生态环境部门统筹总量指标替代来源</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项目主要从事木质屏风加工生产，主要使用的原辅料为</w:t>
                  </w:r>
                  <w:r>
                    <w:rPr>
                      <w:rFonts w:hint="eastAsia" w:ascii="Times New Roman" w:hAnsi="Times New Roman" w:eastAsia="宋体" w:cs="Times New Roman"/>
                      <w:color w:val="auto"/>
                      <w:kern w:val="2"/>
                      <w:sz w:val="21"/>
                      <w:szCs w:val="21"/>
                      <w:highlight w:val="none"/>
                      <w:lang w:val="en-US" w:eastAsia="zh-CN" w:bidi="ar-SA"/>
                    </w:rPr>
                    <w:t>油性漆、水性漆、固化剂、稀释剂</w:t>
                  </w:r>
                  <w:r>
                    <w:rPr>
                      <w:rFonts w:hint="eastAsia" w:cs="Times New Roman"/>
                      <w:color w:val="auto"/>
                      <w:spacing w:val="0"/>
                      <w:position w:val="0"/>
                      <w:highlight w:val="none"/>
                      <w:lang w:val="en-US" w:eastAsia="zh-CN"/>
                    </w:rPr>
                    <w:t>，</w:t>
                  </w:r>
                  <w:r>
                    <w:rPr>
                      <w:rFonts w:hint="eastAsia" w:ascii="Times New Roman" w:hAnsi="Times New Roman" w:eastAsia="宋体" w:cs="Times New Roman"/>
                      <w:color w:val="auto"/>
                      <w:spacing w:val="0"/>
                      <w:kern w:val="0"/>
                      <w:position w:val="0"/>
                      <w:sz w:val="21"/>
                      <w:szCs w:val="21"/>
                      <w:highlight w:val="none"/>
                      <w:lang w:val="en-US" w:eastAsia="zh-CN" w:bidi="ar"/>
                    </w:rPr>
                    <w:t>项目采用高固体分油漆</w:t>
                  </w:r>
                  <w:r>
                    <w:rPr>
                      <w:rFonts w:hint="eastAsia" w:cs="Times New Roman"/>
                      <w:color w:val="auto"/>
                      <w:spacing w:val="0"/>
                      <w:kern w:val="0"/>
                      <w:position w:val="0"/>
                      <w:sz w:val="21"/>
                      <w:szCs w:val="21"/>
                      <w:highlight w:val="none"/>
                      <w:lang w:val="en-US" w:eastAsia="zh-CN" w:bidi="ar"/>
                    </w:rPr>
                    <w:t>，</w:t>
                  </w:r>
                  <w:r>
                    <w:rPr>
                      <w:rFonts w:hint="eastAsia" w:ascii="Times New Roman" w:hAnsi="Times New Roman" w:eastAsia="宋体" w:cs="Times New Roman"/>
                      <w:color w:val="auto"/>
                      <w:spacing w:val="0"/>
                      <w:position w:val="0"/>
                      <w:sz w:val="21"/>
                      <w:szCs w:val="21"/>
                      <w:highlight w:val="none"/>
                      <w:lang w:eastAsia="zh-CN"/>
                    </w:rPr>
                    <w:t>根据第二章节</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主要原辅材料及能源消耗 主要原辅材料理化性质</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分析，项目使用的</w:t>
                  </w:r>
                  <w:r>
                    <w:rPr>
                      <w:rFonts w:hint="eastAsia" w:ascii="Times New Roman" w:hAnsi="Times New Roman" w:eastAsia="宋体" w:cs="Times New Roman"/>
                      <w:color w:val="auto"/>
                      <w:spacing w:val="0"/>
                      <w:kern w:val="0"/>
                      <w:sz w:val="21"/>
                      <w:szCs w:val="21"/>
                      <w:highlight w:val="none"/>
                      <w:lang w:val="en-US" w:eastAsia="zh-CN"/>
                    </w:rPr>
                    <w:t>油性</w:t>
                  </w:r>
                  <w:r>
                    <w:rPr>
                      <w:rFonts w:hint="default" w:ascii="Times New Roman" w:hAnsi="Times New Roman" w:eastAsia="宋体" w:cs="Times New Roman"/>
                      <w:color w:val="auto"/>
                      <w:spacing w:val="0"/>
                      <w:kern w:val="0"/>
                      <w:sz w:val="21"/>
                      <w:szCs w:val="21"/>
                      <w:highlight w:val="none"/>
                    </w:rPr>
                    <w:t>漆、稀释剂、固化剂在施工状态下属于低VOCs含量原辅材料，不属于高VOCs排放范畴；项目使用的水性</w:t>
                  </w:r>
                  <w:r>
                    <w:rPr>
                      <w:rFonts w:hint="eastAsia" w:ascii="Times New Roman" w:hAnsi="Times New Roman" w:eastAsia="宋体" w:cs="Times New Roman"/>
                      <w:color w:val="auto"/>
                      <w:spacing w:val="0"/>
                      <w:kern w:val="0"/>
                      <w:sz w:val="21"/>
                      <w:szCs w:val="21"/>
                      <w:highlight w:val="none"/>
                      <w:lang w:val="en-US" w:eastAsia="zh-CN"/>
                    </w:rPr>
                    <w:t>漆</w:t>
                  </w:r>
                  <w:r>
                    <w:rPr>
                      <w:rFonts w:hint="default" w:ascii="Times New Roman" w:hAnsi="Times New Roman" w:eastAsia="宋体" w:cs="Times New Roman"/>
                      <w:color w:val="auto"/>
                      <w:spacing w:val="0"/>
                      <w:kern w:val="0"/>
                      <w:sz w:val="21"/>
                      <w:szCs w:val="21"/>
                      <w:highlight w:val="none"/>
                    </w:rPr>
                    <w:t>符合《低挥发性有机化合物含量涂料产品技术要求》（GB/T 38597-2020）中的VOCs含量要求规定</w:t>
                  </w:r>
                  <w:r>
                    <w:rPr>
                      <w:rFonts w:hint="eastAsia" w:ascii="Times New Roman" w:hAnsi="Times New Roman" w:eastAsia="宋体" w:cs="Times New Roman"/>
                      <w:color w:val="auto"/>
                      <w:spacing w:val="0"/>
                      <w:kern w:val="0"/>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不属于高VOCs排放范畴</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项目位于标准的生产厂房内，运营期间</w:t>
                  </w:r>
                  <w:r>
                    <w:rPr>
                      <w:rFonts w:hint="eastAsia" w:ascii="Times New Roman" w:hAnsi="Times New Roman" w:eastAsia="宋体" w:cs="Times New Roman"/>
                      <w:color w:val="auto"/>
                      <w:sz w:val="21"/>
                      <w:szCs w:val="21"/>
                      <w:highlight w:val="none"/>
                      <w:lang w:val="en-US" w:eastAsia="zh-CN"/>
                    </w:rPr>
                    <w:t>门窗紧闭，并设有负压密闭的喷漆晾干房，在运营期间，喷漆晾干房门窗紧闭，且</w:t>
                  </w:r>
                  <w:r>
                    <w:rPr>
                      <w:rFonts w:hint="eastAsia" w:cs="Times New Roman"/>
                      <w:color w:val="auto"/>
                      <w:sz w:val="21"/>
                      <w:szCs w:val="21"/>
                      <w:highlight w:val="none"/>
                      <w:lang w:val="en-US" w:eastAsia="zh-CN"/>
                    </w:rPr>
                    <w:t>调漆、喷漆废气经水帘柜处理后，与晾干废气一同经集气装置负压收集后再引入“气旋塔+过滤棉+二级活性炭吸附装置”</w:t>
                  </w:r>
                  <w:r>
                    <w:rPr>
                      <w:rFonts w:hint="eastAsia" w:ascii="Times New Roman" w:hAnsi="Times New Roman" w:eastAsia="宋体" w:cs="Times New Roman"/>
                      <w:color w:val="auto"/>
                      <w:sz w:val="21"/>
                      <w:szCs w:val="21"/>
                      <w:highlight w:val="none"/>
                      <w:lang w:val="en-US" w:eastAsia="zh-CN"/>
                    </w:rPr>
                    <w:t>处理后通过1根25m排气筒排放。</w:t>
                  </w:r>
                </w:p>
              </w:tc>
              <w:tc>
                <w:tcPr>
                  <w:tcW w:w="286" w:type="pct"/>
                  <w:tcBorders>
                    <w:tl2br w:val="nil"/>
                    <w:tr2bl w:val="nil"/>
                  </w:tcBorders>
                  <w:noWrap w:val="0"/>
                  <w:vAlign w:val="center"/>
                </w:tcPr>
                <w:p w14:paraId="23E6AB7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kern w:val="0"/>
                      <w:sz w:val="21"/>
                      <w:szCs w:val="21"/>
                      <w:highlight w:val="none"/>
                    </w:rPr>
                    <w:t>符合</w:t>
                  </w:r>
                </w:p>
              </w:tc>
            </w:tr>
            <w:tr w14:paraId="3B0702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tcBorders>
                    <w:tl2br w:val="nil"/>
                    <w:tr2bl w:val="nil"/>
                  </w:tcBorders>
                  <w:noWrap w:val="0"/>
                  <w:vAlign w:val="center"/>
                </w:tcPr>
                <w:p w14:paraId="78CA9C35">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w:t>
                  </w:r>
                </w:p>
              </w:tc>
              <w:tc>
                <w:tcPr>
                  <w:tcW w:w="586" w:type="pct"/>
                  <w:tcBorders>
                    <w:tl2br w:val="nil"/>
                    <w:tr2bl w:val="nil"/>
                  </w:tcBorders>
                  <w:noWrap w:val="0"/>
                  <w:vAlign w:val="center"/>
                </w:tcPr>
                <w:p w14:paraId="2B8C27FD">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福州市“十四五”生态环境保护规划</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榕政办〔2021〕123 号</w:t>
                  </w:r>
                  <w:r>
                    <w:rPr>
                      <w:rFonts w:hint="eastAsia" w:ascii="Times New Roman" w:hAnsi="Times New Roman" w:eastAsia="宋体" w:cs="Times New Roman"/>
                      <w:color w:val="auto"/>
                      <w:sz w:val="21"/>
                      <w:szCs w:val="21"/>
                      <w:highlight w:val="none"/>
                      <w:lang w:val="en-US" w:eastAsia="zh-CN"/>
                    </w:rPr>
                    <w:t>)</w:t>
                  </w:r>
                </w:p>
              </w:tc>
              <w:tc>
                <w:tcPr>
                  <w:tcW w:w="2152" w:type="pct"/>
                  <w:tcBorders>
                    <w:tl2br w:val="nil"/>
                    <w:tr2bl w:val="nil"/>
                  </w:tcBorders>
                  <w:noWrap w:val="0"/>
                  <w:vAlign w:val="center"/>
                </w:tcPr>
                <w:p w14:paraId="248EA38D">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强化挥发性有机物整治。</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实行挥发性有机物排放倍量替代。加大涉</w:t>
                  </w:r>
                  <w:r>
                    <w:rPr>
                      <w:rFonts w:hint="eastAsia" w:ascii="Times New Roman" w:hAnsi="Times New Roman" w:eastAsia="宋体" w:cs="Times New Roman"/>
                      <w:color w:val="auto"/>
                      <w:sz w:val="21"/>
                      <w:szCs w:val="21"/>
                      <w:highlight w:val="none"/>
                      <w:lang w:eastAsia="zh-CN"/>
                    </w:rPr>
                    <w:t>VOCs</w:t>
                  </w:r>
                  <w:r>
                    <w:rPr>
                      <w:rFonts w:hint="eastAsia" w:ascii="Times New Roman" w:hAnsi="Times New Roman" w:eastAsia="宋体" w:cs="Times New Roman"/>
                      <w:color w:val="auto"/>
                      <w:sz w:val="21"/>
                      <w:szCs w:val="21"/>
                      <w:highlight w:val="none"/>
                    </w:rPr>
                    <w:t>企业源头替代力度，推广使用低(无)</w:t>
                  </w:r>
                  <w:r>
                    <w:rPr>
                      <w:rFonts w:hint="eastAsia" w:ascii="Times New Roman" w:hAnsi="Times New Roman" w:eastAsia="宋体" w:cs="Times New Roman"/>
                      <w:color w:val="auto"/>
                      <w:sz w:val="21"/>
                      <w:szCs w:val="21"/>
                      <w:highlight w:val="none"/>
                      <w:lang w:eastAsia="zh-CN"/>
                    </w:rPr>
                    <w:t>VOCs</w:t>
                  </w:r>
                  <w:r>
                    <w:rPr>
                      <w:rFonts w:hint="eastAsia" w:ascii="Times New Roman" w:hAnsi="Times New Roman" w:eastAsia="宋体" w:cs="Times New Roman"/>
                      <w:color w:val="auto"/>
                      <w:sz w:val="21"/>
                      <w:szCs w:val="21"/>
                      <w:highlight w:val="none"/>
                    </w:rPr>
                    <w:t>原辅材料替代，禁止生产高</w:t>
                  </w:r>
                  <w:r>
                    <w:rPr>
                      <w:rFonts w:hint="eastAsia" w:ascii="Times New Roman" w:hAnsi="Times New Roman" w:eastAsia="宋体" w:cs="Times New Roman"/>
                      <w:color w:val="auto"/>
                      <w:sz w:val="21"/>
                      <w:szCs w:val="21"/>
                      <w:highlight w:val="none"/>
                      <w:lang w:eastAsia="zh-CN"/>
                    </w:rPr>
                    <w:t>VOCs</w:t>
                  </w:r>
                  <w:r>
                    <w:rPr>
                      <w:rFonts w:hint="eastAsia" w:ascii="Times New Roman" w:hAnsi="Times New Roman" w:eastAsia="宋体" w:cs="Times New Roman"/>
                      <w:color w:val="auto"/>
                      <w:sz w:val="21"/>
                      <w:szCs w:val="21"/>
                      <w:highlight w:val="none"/>
                    </w:rPr>
                    <w:t>含量有机溶剂型涂料、油墨和</w:t>
                  </w:r>
                  <w:r>
                    <w:rPr>
                      <w:rFonts w:hint="eastAsia" w:ascii="Times New Roman" w:hAnsi="Times New Roman" w:eastAsia="宋体" w:cs="Times New Roman"/>
                      <w:color w:val="auto"/>
                      <w:sz w:val="21"/>
                      <w:szCs w:val="21"/>
                      <w:highlight w:val="none"/>
                      <w:lang w:eastAsia="zh-CN"/>
                    </w:rPr>
                    <w:t>胶粘剂</w:t>
                  </w:r>
                  <w:r>
                    <w:rPr>
                      <w:rFonts w:hint="eastAsia" w:ascii="Times New Roman" w:hAnsi="Times New Roman" w:eastAsia="宋体" w:cs="Times New Roman"/>
                      <w:color w:val="auto"/>
                      <w:sz w:val="21"/>
                      <w:szCs w:val="21"/>
                      <w:highlight w:val="none"/>
                    </w:rPr>
                    <w:t>的新、改、扩建项目，推进重点企业“油改水”治理，提高有机溶剂回收率。</w:t>
                  </w:r>
                </w:p>
              </w:tc>
              <w:tc>
                <w:tcPr>
                  <w:tcW w:w="1754" w:type="pct"/>
                  <w:tcBorders>
                    <w:tl2br w:val="nil"/>
                    <w:tr2bl w:val="nil"/>
                  </w:tcBorders>
                  <w:noWrap w:val="0"/>
                  <w:vAlign w:val="center"/>
                </w:tcPr>
                <w:p w14:paraId="7F41E544">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根据</w:t>
                  </w:r>
                  <w:r>
                    <w:rPr>
                      <w:rFonts w:hint="default" w:ascii="Times New Roman" w:hAnsi="Times New Roman" w:eastAsia="宋体" w:cs="Times New Roman"/>
                      <w:b w:val="0"/>
                      <w:bCs w:val="0"/>
                      <w:color w:val="auto"/>
                      <w:sz w:val="21"/>
                      <w:szCs w:val="21"/>
                      <w:highlight w:val="none"/>
                    </w:rPr>
                    <w:t>《福州市生态环境局关于落实</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奋勇争先</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行动进一步服务和促进民营经济高质量发展的通知》（榕环保综〔2025〕47号）</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0"/>
                      <w:sz w:val="21"/>
                      <w:szCs w:val="21"/>
                      <w:highlight w:val="none"/>
                    </w:rPr>
                    <w:t>本项目</w:t>
                  </w:r>
                  <w:r>
                    <w:rPr>
                      <w:rFonts w:hint="eastAsia" w:ascii="Times New Roman" w:hAnsi="Times New Roman" w:eastAsia="宋体" w:cs="Times New Roman"/>
                      <w:color w:val="auto"/>
                      <w:kern w:val="0"/>
                      <w:sz w:val="21"/>
                      <w:szCs w:val="21"/>
                      <w:highlight w:val="none"/>
                      <w:lang w:val="en-US" w:eastAsia="zh-CN"/>
                    </w:rPr>
                    <w:t>新增</w:t>
                  </w:r>
                  <w:r>
                    <w:rPr>
                      <w:rFonts w:hint="eastAsia" w:ascii="Times New Roman" w:hAnsi="Times New Roman" w:eastAsia="宋体" w:cs="Times New Roman"/>
                      <w:color w:val="auto"/>
                      <w:kern w:val="0"/>
                      <w:sz w:val="21"/>
                      <w:szCs w:val="21"/>
                      <w:highlight w:val="none"/>
                    </w:rPr>
                    <w:t>VOCs年排放量小于0.1吨，无需提交总量来源说明，由市级生态环境部门统筹总量指标替代来源</w:t>
                  </w: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lang w:val="en-US" w:eastAsia="zh-CN"/>
                    </w:rPr>
                    <w:t>使用涂料等均属于低VOCs含量的原料</w:t>
                  </w:r>
                  <w:r>
                    <w:rPr>
                      <w:rFonts w:hint="default" w:ascii="Times New Roman" w:hAnsi="Times New Roman" w:eastAsia="宋体" w:cs="Times New Roman"/>
                      <w:color w:val="auto"/>
                      <w:sz w:val="21"/>
                      <w:szCs w:val="21"/>
                      <w:highlight w:val="none"/>
                      <w:lang w:val="en-US" w:eastAsia="zh-CN"/>
                    </w:rPr>
                    <w:t>，项目不涉及所需的</w:t>
                  </w:r>
                  <w:r>
                    <w:rPr>
                      <w:rFonts w:hint="eastAsia"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lang w:val="en-US" w:eastAsia="zh-CN"/>
                    </w:rPr>
                    <w:t>原料的生产，全部外购</w:t>
                  </w:r>
                  <w:r>
                    <w:rPr>
                      <w:rFonts w:hint="eastAsia" w:cs="Times New Roman"/>
                      <w:color w:val="auto"/>
                      <w:sz w:val="21"/>
                      <w:szCs w:val="21"/>
                      <w:highlight w:val="none"/>
                      <w:lang w:val="en-US" w:eastAsia="zh-CN"/>
                    </w:rPr>
                    <w:t>；项目不涉及使用油墨、胶粘剂</w:t>
                  </w:r>
                  <w:r>
                    <w:rPr>
                      <w:rFonts w:hint="default" w:ascii="Times New Roman" w:hAnsi="Times New Roman" w:eastAsia="宋体" w:cs="Times New Roman"/>
                      <w:color w:val="auto"/>
                      <w:sz w:val="21"/>
                      <w:szCs w:val="21"/>
                      <w:highlight w:val="none"/>
                      <w:lang w:val="en-US" w:eastAsia="zh-CN"/>
                    </w:rPr>
                    <w:t>。</w:t>
                  </w:r>
                </w:p>
              </w:tc>
              <w:tc>
                <w:tcPr>
                  <w:tcW w:w="286" w:type="pct"/>
                  <w:tcBorders>
                    <w:tl2br w:val="nil"/>
                    <w:tr2bl w:val="nil"/>
                  </w:tcBorders>
                  <w:noWrap w:val="0"/>
                  <w:vAlign w:val="center"/>
                </w:tcPr>
                <w:p w14:paraId="16F9ECDE">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DFA57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tcBorders>
                    <w:tl2br w:val="nil"/>
                    <w:tr2bl w:val="nil"/>
                  </w:tcBorders>
                  <w:noWrap w:val="0"/>
                  <w:vAlign w:val="center"/>
                </w:tcPr>
                <w:p w14:paraId="14D72C47">
                  <w:pPr>
                    <w:pStyle w:val="151"/>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86" w:type="pct"/>
                  <w:tcBorders>
                    <w:tl2br w:val="nil"/>
                    <w:tr2bl w:val="nil"/>
                  </w:tcBorders>
                  <w:noWrap w:val="0"/>
                  <w:vAlign w:val="center"/>
                </w:tcPr>
                <w:p w14:paraId="76F75A55">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2022年度福州市蓝天碧海净土保卫战行动计划通知</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榕环委办</w:t>
                  </w:r>
                  <w:r>
                    <w:rPr>
                      <w:rFonts w:hint="eastAsia" w:ascii="Times New Roman" w:hAnsi="Times New Roman" w:eastAsia="宋体" w:cs="Times New Roman"/>
                      <w:color w:val="auto"/>
                      <w:sz w:val="21"/>
                      <w:szCs w:val="21"/>
                      <w:highlight w:val="none"/>
                      <w:lang w:eastAsia="zh-CN"/>
                    </w:rPr>
                    <w:t>〔2022〕49号</w:t>
                  </w:r>
                  <w:r>
                    <w:rPr>
                      <w:rFonts w:hint="default" w:ascii="Times New Roman" w:hAnsi="Times New Roman" w:eastAsia="宋体" w:cs="Times New Roman"/>
                      <w:color w:val="auto"/>
                      <w:sz w:val="21"/>
                      <w:szCs w:val="21"/>
                      <w:highlight w:val="none"/>
                      <w:lang w:val="en-US" w:eastAsia="zh-CN"/>
                    </w:rPr>
                    <w:t>)</w:t>
                  </w:r>
                </w:p>
              </w:tc>
              <w:tc>
                <w:tcPr>
                  <w:tcW w:w="2152" w:type="pct"/>
                  <w:tcBorders>
                    <w:tl2br w:val="nil"/>
                    <w:tr2bl w:val="nil"/>
                  </w:tcBorders>
                  <w:noWrap w:val="0"/>
                  <w:vAlign w:val="center"/>
                </w:tcPr>
                <w:p w14:paraId="47A1AB6B">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严格涉</w:t>
                  </w:r>
                  <w:r>
                    <w:rPr>
                      <w:rFonts w:hint="eastAsia"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建设项目环境影响评价审批。新、改、扩建涉</w:t>
                  </w:r>
                  <w:r>
                    <w:rPr>
                      <w:rFonts w:hint="eastAsia"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排放项目，应使用低</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无)</w:t>
                  </w:r>
                  <w:r>
                    <w:rPr>
                      <w:rFonts w:hint="eastAsia"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涂料、粘胶剂等，实施新建项目</w:t>
                  </w:r>
                  <w:r>
                    <w:rPr>
                      <w:rFonts w:hint="eastAsia"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排放区域内1.2及以上倍量替代。</w:t>
                  </w:r>
                  <w:r>
                    <w:rPr>
                      <w:rFonts w:hint="eastAsia"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年排放量大于5吨的新建项目投运前应安装</w:t>
                  </w:r>
                  <w:r>
                    <w:rPr>
                      <w:rFonts w:hint="eastAsia"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在线监控设备，并接入市生态云平台。</w:t>
                  </w:r>
                </w:p>
              </w:tc>
              <w:tc>
                <w:tcPr>
                  <w:tcW w:w="1754" w:type="pct"/>
                  <w:tcBorders>
                    <w:tl2br w:val="nil"/>
                    <w:tr2bl w:val="nil"/>
                  </w:tcBorders>
                  <w:noWrap w:val="0"/>
                  <w:vAlign w:val="center"/>
                </w:tcPr>
                <w:p w14:paraId="4175B1F7">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根</w:t>
                  </w:r>
                  <w:r>
                    <w:rPr>
                      <w:rFonts w:hint="default" w:ascii="Times New Roman" w:hAnsi="Times New Roman" w:eastAsia="宋体" w:cs="Times New Roman"/>
                      <w:color w:val="auto"/>
                      <w:spacing w:val="0"/>
                      <w:kern w:val="0"/>
                      <w:sz w:val="21"/>
                      <w:szCs w:val="21"/>
                      <w:highlight w:val="none"/>
                    </w:rPr>
                    <w:t>据第二章节</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主要原辅材料及能源消耗 主要原辅材料理化性质</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分析，项目使用的</w:t>
                  </w:r>
                  <w:r>
                    <w:rPr>
                      <w:rFonts w:hint="eastAsia" w:ascii="Times New Roman" w:hAnsi="Times New Roman" w:eastAsia="宋体" w:cs="Times New Roman"/>
                      <w:color w:val="auto"/>
                      <w:spacing w:val="0"/>
                      <w:kern w:val="0"/>
                      <w:sz w:val="21"/>
                      <w:szCs w:val="21"/>
                      <w:highlight w:val="none"/>
                      <w:lang w:val="en-US" w:eastAsia="zh-CN"/>
                    </w:rPr>
                    <w:t>油性</w:t>
                  </w:r>
                  <w:r>
                    <w:rPr>
                      <w:rFonts w:hint="default" w:ascii="Times New Roman" w:hAnsi="Times New Roman" w:eastAsia="宋体" w:cs="Times New Roman"/>
                      <w:color w:val="auto"/>
                      <w:spacing w:val="0"/>
                      <w:kern w:val="0"/>
                      <w:sz w:val="21"/>
                      <w:szCs w:val="21"/>
                      <w:highlight w:val="none"/>
                    </w:rPr>
                    <w:t>漆、稀释剂、固化剂在施工状态下属于低VOCs含量原辅材料，不属于高VOCs排放范畴；项目使用的水性</w:t>
                  </w:r>
                  <w:r>
                    <w:rPr>
                      <w:rFonts w:hint="eastAsia" w:ascii="Times New Roman" w:hAnsi="Times New Roman" w:eastAsia="宋体" w:cs="Times New Roman"/>
                      <w:color w:val="auto"/>
                      <w:spacing w:val="0"/>
                      <w:kern w:val="0"/>
                      <w:sz w:val="21"/>
                      <w:szCs w:val="21"/>
                      <w:highlight w:val="none"/>
                      <w:lang w:val="en-US" w:eastAsia="zh-CN"/>
                    </w:rPr>
                    <w:t>漆</w:t>
                  </w:r>
                  <w:r>
                    <w:rPr>
                      <w:rFonts w:hint="default" w:ascii="Times New Roman" w:hAnsi="Times New Roman" w:eastAsia="宋体" w:cs="Times New Roman"/>
                      <w:color w:val="auto"/>
                      <w:spacing w:val="0"/>
                      <w:kern w:val="0"/>
                      <w:sz w:val="21"/>
                      <w:szCs w:val="21"/>
                      <w:highlight w:val="none"/>
                    </w:rPr>
                    <w:t>符合《低挥发性有机化合物含量涂料产品技术要求》（GB/T 38597-2020）中的VOCs含量要求规定</w:t>
                  </w:r>
                  <w:r>
                    <w:rPr>
                      <w:rFonts w:hint="eastAsia" w:ascii="Times New Roman" w:hAnsi="Times New Roman" w:eastAsia="宋体" w:cs="Times New Roman"/>
                      <w:color w:val="auto"/>
                      <w:sz w:val="21"/>
                      <w:szCs w:val="21"/>
                      <w:highlight w:val="none"/>
                      <w:lang w:val="en-US" w:eastAsia="zh-CN"/>
                    </w:rPr>
                    <w:t>，不属于高VOCs排放项目</w:t>
                  </w:r>
                  <w:r>
                    <w:rPr>
                      <w:rFonts w:hint="eastAsia" w:cs="Times New Roman"/>
                      <w:color w:val="auto"/>
                      <w:sz w:val="21"/>
                      <w:szCs w:val="21"/>
                      <w:highlight w:val="none"/>
                      <w:lang w:val="en-US" w:eastAsia="zh-CN"/>
                    </w:rPr>
                    <w:t>，项目不涉及使用粘胶剂</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根据</w:t>
                  </w:r>
                  <w:r>
                    <w:rPr>
                      <w:rFonts w:hint="default" w:ascii="Times New Roman" w:hAnsi="Times New Roman" w:eastAsia="宋体" w:cs="Times New Roman"/>
                      <w:b w:val="0"/>
                      <w:bCs w:val="0"/>
                      <w:color w:val="auto"/>
                      <w:sz w:val="21"/>
                      <w:szCs w:val="21"/>
                      <w:highlight w:val="none"/>
                    </w:rPr>
                    <w:t>《福州市生态环境局关于落实</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奋勇争先</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行动进一步服务和促进民营经济高质量发展的通知》（榕环保综〔2025〕47号）</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0"/>
                      <w:sz w:val="21"/>
                      <w:szCs w:val="21"/>
                      <w:highlight w:val="none"/>
                    </w:rPr>
                    <w:t>本项目</w:t>
                  </w:r>
                  <w:r>
                    <w:rPr>
                      <w:rFonts w:hint="eastAsia" w:ascii="Times New Roman" w:hAnsi="Times New Roman" w:eastAsia="宋体" w:cs="Times New Roman"/>
                      <w:color w:val="auto"/>
                      <w:kern w:val="0"/>
                      <w:sz w:val="21"/>
                      <w:szCs w:val="21"/>
                      <w:highlight w:val="none"/>
                      <w:lang w:val="en-US" w:eastAsia="zh-CN"/>
                    </w:rPr>
                    <w:t>新增</w:t>
                  </w:r>
                  <w:r>
                    <w:rPr>
                      <w:rFonts w:hint="eastAsia" w:ascii="Times New Roman" w:hAnsi="Times New Roman" w:eastAsia="宋体" w:cs="Times New Roman"/>
                      <w:color w:val="auto"/>
                      <w:kern w:val="0"/>
                      <w:sz w:val="21"/>
                      <w:szCs w:val="21"/>
                      <w:highlight w:val="none"/>
                    </w:rPr>
                    <w:t>VOCs年排放量小于0.1吨，无需提交总量来源说明，由市级生态环境部门统筹总量指标替代来源</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eastAsia="宋体" w:cs="Times New Roman"/>
                      <w:color w:val="auto"/>
                      <w:kern w:val="2"/>
                      <w:sz w:val="21"/>
                      <w:szCs w:val="21"/>
                      <w:highlight w:val="none"/>
                      <w:lang w:val="en-US" w:eastAsia="zh-CN" w:bidi="ar-SA"/>
                    </w:rPr>
                    <w:t>VOCs</w:t>
                  </w:r>
                  <w:r>
                    <w:rPr>
                      <w:rFonts w:hint="default" w:ascii="Times New Roman" w:hAnsi="Times New Roman" w:eastAsia="宋体" w:cs="Times New Roman"/>
                      <w:b w:val="0"/>
                      <w:bCs w:val="0"/>
                      <w:color w:val="auto"/>
                      <w:sz w:val="21"/>
                      <w:szCs w:val="21"/>
                      <w:highlight w:val="none"/>
                    </w:rPr>
                    <w:t>年排放量</w:t>
                  </w:r>
                  <w:r>
                    <w:rPr>
                      <w:rFonts w:hint="default" w:ascii="Times New Roman" w:hAnsi="Times New Roman" w:eastAsia="宋体" w:cs="Times New Roman"/>
                      <w:b w:val="0"/>
                      <w:bCs w:val="0"/>
                      <w:color w:val="auto"/>
                      <w:sz w:val="21"/>
                      <w:szCs w:val="21"/>
                      <w:highlight w:val="none"/>
                      <w:lang w:val="en-US" w:eastAsia="zh-CN"/>
                    </w:rPr>
                    <w:t>小于5</w:t>
                  </w:r>
                  <w:r>
                    <w:rPr>
                      <w:rFonts w:hint="default" w:ascii="Times New Roman" w:hAnsi="Times New Roman" w:eastAsia="宋体" w:cs="Times New Roman"/>
                      <w:b w:val="0"/>
                      <w:bCs w:val="0"/>
                      <w:color w:val="auto"/>
                      <w:sz w:val="21"/>
                      <w:szCs w:val="21"/>
                      <w:highlight w:val="none"/>
                    </w:rPr>
                    <w:t>吨</w:t>
                  </w:r>
                  <w:r>
                    <w:rPr>
                      <w:rFonts w:hint="default" w:ascii="Times New Roman" w:hAnsi="Times New Roman" w:eastAsia="宋体" w:cs="Times New Roman"/>
                      <w:b w:val="0"/>
                      <w:bCs w:val="0"/>
                      <w:color w:val="auto"/>
                      <w:sz w:val="21"/>
                      <w:szCs w:val="21"/>
                      <w:highlight w:val="none"/>
                      <w:lang w:eastAsia="zh-CN"/>
                    </w:rPr>
                    <w:t>，</w:t>
                  </w:r>
                  <w:r>
                    <w:rPr>
                      <w:rFonts w:hint="eastAsia" w:cs="Times New Roman"/>
                      <w:color w:val="auto"/>
                      <w:kern w:val="2"/>
                      <w:sz w:val="21"/>
                      <w:szCs w:val="21"/>
                      <w:highlight w:val="none"/>
                      <w:lang w:val="en-US" w:eastAsia="zh-CN" w:bidi="ar-SA"/>
                    </w:rPr>
                    <w:t>无</w:t>
                  </w:r>
                  <w:r>
                    <w:rPr>
                      <w:rFonts w:hint="default" w:ascii="Times New Roman" w:hAnsi="Times New Roman" w:eastAsia="宋体" w:cs="Times New Roman"/>
                      <w:color w:val="auto"/>
                      <w:kern w:val="2"/>
                      <w:sz w:val="21"/>
                      <w:szCs w:val="21"/>
                      <w:highlight w:val="none"/>
                      <w:lang w:val="en-US" w:eastAsia="zh-CN" w:bidi="ar-SA"/>
                    </w:rPr>
                    <w:t>需</w:t>
                  </w:r>
                  <w:r>
                    <w:rPr>
                      <w:rFonts w:hint="default" w:ascii="Times New Roman" w:hAnsi="Times New Roman" w:eastAsia="宋体" w:cs="Times New Roman"/>
                      <w:b w:val="0"/>
                      <w:bCs w:val="0"/>
                      <w:color w:val="auto"/>
                      <w:sz w:val="21"/>
                      <w:szCs w:val="21"/>
                      <w:highlight w:val="none"/>
                    </w:rPr>
                    <w:t>安装</w:t>
                  </w:r>
                  <w:r>
                    <w:rPr>
                      <w:rFonts w:hint="eastAsia" w:ascii="Times New Roman" w:hAnsi="Times New Roman" w:eastAsia="宋体" w:cs="Times New Roman"/>
                      <w:b w:val="0"/>
                      <w:bCs w:val="0"/>
                      <w:color w:val="auto"/>
                      <w:sz w:val="21"/>
                      <w:szCs w:val="21"/>
                      <w:highlight w:val="none"/>
                      <w:lang w:eastAsia="zh-CN"/>
                    </w:rPr>
                    <w:t>VOCs</w:t>
                  </w:r>
                  <w:r>
                    <w:rPr>
                      <w:rFonts w:hint="default" w:ascii="Times New Roman" w:hAnsi="Times New Roman" w:eastAsia="宋体" w:cs="Times New Roman"/>
                      <w:b w:val="0"/>
                      <w:bCs w:val="0"/>
                      <w:color w:val="auto"/>
                      <w:sz w:val="21"/>
                      <w:szCs w:val="21"/>
                      <w:highlight w:val="none"/>
                    </w:rPr>
                    <w:t>在线监控设备</w:t>
                  </w:r>
                  <w:r>
                    <w:rPr>
                      <w:rFonts w:hint="default" w:ascii="Times New Roman" w:hAnsi="Times New Roman" w:eastAsia="宋体" w:cs="Times New Roman"/>
                      <w:b w:val="0"/>
                      <w:bCs w:val="0"/>
                      <w:color w:val="auto"/>
                      <w:sz w:val="21"/>
                      <w:szCs w:val="21"/>
                      <w:highlight w:val="none"/>
                      <w:lang w:eastAsia="zh-CN"/>
                    </w:rPr>
                    <w:t>。</w:t>
                  </w:r>
                </w:p>
              </w:tc>
              <w:tc>
                <w:tcPr>
                  <w:tcW w:w="286" w:type="pct"/>
                  <w:tcBorders>
                    <w:tl2br w:val="nil"/>
                    <w:tr2bl w:val="nil"/>
                  </w:tcBorders>
                  <w:noWrap w:val="0"/>
                  <w:vAlign w:val="center"/>
                </w:tcPr>
                <w:p w14:paraId="1B267C7F">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35D17B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restart"/>
                  <w:tcBorders>
                    <w:tl2br w:val="nil"/>
                    <w:tr2bl w:val="nil"/>
                  </w:tcBorders>
                  <w:noWrap w:val="0"/>
                  <w:vAlign w:val="center"/>
                </w:tcPr>
                <w:p w14:paraId="46B6EFB9">
                  <w:pPr>
                    <w:pStyle w:val="151"/>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13</w:t>
                  </w:r>
                </w:p>
              </w:tc>
              <w:tc>
                <w:tcPr>
                  <w:tcW w:w="586" w:type="pct"/>
                  <w:vMerge w:val="restart"/>
                  <w:tcBorders>
                    <w:tl2br w:val="nil"/>
                    <w:tr2bl w:val="nil"/>
                  </w:tcBorders>
                  <w:noWrap w:val="0"/>
                  <w:vAlign w:val="center"/>
                </w:tcPr>
                <w:p w14:paraId="11AB446A">
                  <w:pPr>
                    <w:pStyle w:val="151"/>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《福建省空气质量持续改善实施方案》(闽政文〔2024〕361号)</w:t>
                  </w:r>
                </w:p>
              </w:tc>
              <w:tc>
                <w:tcPr>
                  <w:tcW w:w="2152" w:type="pct"/>
                  <w:tcBorders>
                    <w:tl2br w:val="nil"/>
                    <w:tr2bl w:val="nil"/>
                  </w:tcBorders>
                  <w:noWrap w:val="0"/>
                  <w:vAlign w:val="center"/>
                </w:tcPr>
                <w:p w14:paraId="3E6E6A4D">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(四)优化含VOCs 原辅材料和产品结构</w:t>
                  </w:r>
                </w:p>
                <w:p w14:paraId="066F48E8">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严格控制生产和使用高VOCs含量涂料、油墨、胶粘剂、清洗剂等建设项目。加大工业涂装、包装印刷和电子行业低(无)VOCs含量原辅材料替代力度。鼓励制鞋行业推广使用无溶剂聚氨酯热熔胶、水性聚氨酯等低(无)VOCs含量的胶粘剂。</w:t>
                  </w:r>
                </w:p>
              </w:tc>
              <w:tc>
                <w:tcPr>
                  <w:tcW w:w="1754" w:type="pct"/>
                  <w:tcBorders>
                    <w:tl2br w:val="nil"/>
                    <w:tr2bl w:val="nil"/>
                  </w:tcBorders>
                  <w:noWrap w:val="0"/>
                  <w:vAlign w:val="center"/>
                </w:tcPr>
                <w:p w14:paraId="693C7A64">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eastAsia="宋体" w:cs="Times New Roman"/>
                      <w:color w:val="auto"/>
                      <w:sz w:val="21"/>
                      <w:szCs w:val="21"/>
                      <w:highlight w:val="none"/>
                      <w:lang w:val="en-US" w:eastAsia="zh-CN"/>
                    </w:rPr>
                    <w:t>项目使用电能为能源，不使用高污染物燃料，根</w:t>
                  </w:r>
                  <w:r>
                    <w:rPr>
                      <w:rFonts w:hint="default" w:ascii="Times New Roman" w:hAnsi="Times New Roman" w:eastAsia="宋体" w:cs="Times New Roman"/>
                      <w:color w:val="auto"/>
                      <w:spacing w:val="0"/>
                      <w:kern w:val="0"/>
                      <w:sz w:val="21"/>
                      <w:szCs w:val="21"/>
                      <w:highlight w:val="none"/>
                    </w:rPr>
                    <w:t>据第二章节</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主要原辅材料及能源消耗 主要原辅材料理化性质</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分析，项目使用的</w:t>
                  </w:r>
                  <w:r>
                    <w:rPr>
                      <w:rFonts w:hint="eastAsia" w:ascii="Times New Roman" w:hAnsi="Times New Roman" w:eastAsia="宋体" w:cs="Times New Roman"/>
                      <w:color w:val="auto"/>
                      <w:spacing w:val="0"/>
                      <w:kern w:val="0"/>
                      <w:sz w:val="21"/>
                      <w:szCs w:val="21"/>
                      <w:highlight w:val="none"/>
                      <w:lang w:val="en-US" w:eastAsia="zh-CN"/>
                    </w:rPr>
                    <w:t>油性</w:t>
                  </w:r>
                  <w:r>
                    <w:rPr>
                      <w:rFonts w:hint="default" w:ascii="Times New Roman" w:hAnsi="Times New Roman" w:eastAsia="宋体" w:cs="Times New Roman"/>
                      <w:color w:val="auto"/>
                      <w:spacing w:val="0"/>
                      <w:kern w:val="0"/>
                      <w:sz w:val="21"/>
                      <w:szCs w:val="21"/>
                      <w:highlight w:val="none"/>
                    </w:rPr>
                    <w:t>漆、稀释剂、固化剂在施工状态下属于低VOCs含量原辅材料，不属于高</w:t>
                  </w:r>
                </w:p>
                <w:p w14:paraId="212601F2">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rPr>
                    <w:t>VOCs排放范畴；项目使用的水性</w:t>
                  </w:r>
                  <w:r>
                    <w:rPr>
                      <w:rFonts w:hint="eastAsia" w:ascii="Times New Roman" w:hAnsi="Times New Roman" w:eastAsia="宋体" w:cs="Times New Roman"/>
                      <w:color w:val="auto"/>
                      <w:spacing w:val="0"/>
                      <w:kern w:val="0"/>
                      <w:sz w:val="21"/>
                      <w:szCs w:val="21"/>
                      <w:highlight w:val="none"/>
                      <w:lang w:val="en-US" w:eastAsia="zh-CN"/>
                    </w:rPr>
                    <w:t>漆</w:t>
                  </w:r>
                  <w:r>
                    <w:rPr>
                      <w:rFonts w:hint="default" w:ascii="Times New Roman" w:hAnsi="Times New Roman" w:eastAsia="宋体" w:cs="Times New Roman"/>
                      <w:color w:val="auto"/>
                      <w:spacing w:val="0"/>
                      <w:kern w:val="0"/>
                      <w:sz w:val="21"/>
                      <w:szCs w:val="21"/>
                      <w:highlight w:val="none"/>
                    </w:rPr>
                    <w:t>符合《低挥发性有机化合物含量涂料产品技术要求》（GB/T 38597-2020）中的VOCs含量要求规定</w:t>
                  </w:r>
                  <w:r>
                    <w:rPr>
                      <w:rFonts w:hint="eastAsia" w:ascii="Times New Roman" w:hAnsi="Times New Roman" w:eastAsia="宋体" w:cs="Times New Roman"/>
                      <w:color w:val="auto"/>
                      <w:sz w:val="21"/>
                      <w:szCs w:val="21"/>
                      <w:highlight w:val="none"/>
                      <w:lang w:val="en-US" w:eastAsia="zh-CN"/>
                    </w:rPr>
                    <w:t>，不属于高VOCs排放项目</w:t>
                  </w:r>
                  <w:r>
                    <w:rPr>
                      <w:rFonts w:hint="eastAsia" w:cs="Times New Roman"/>
                      <w:color w:val="auto"/>
                      <w:sz w:val="21"/>
                      <w:szCs w:val="21"/>
                      <w:highlight w:val="none"/>
                      <w:lang w:val="en-US" w:eastAsia="zh-CN"/>
                    </w:rPr>
                    <w:t>，不涉及使用油墨、胶粘剂、清洗剂等原料</w:t>
                  </w:r>
                  <w:r>
                    <w:rPr>
                      <w:rFonts w:hint="eastAsia" w:ascii="Times New Roman" w:hAnsi="Times New Roman" w:eastAsia="宋体" w:cs="Times New Roman"/>
                      <w:color w:val="auto"/>
                      <w:sz w:val="21"/>
                      <w:szCs w:val="21"/>
                      <w:highlight w:val="none"/>
                      <w:lang w:val="en-US" w:eastAsia="zh-CN"/>
                    </w:rPr>
                    <w:t>；项目</w:t>
                  </w:r>
                  <w:r>
                    <w:rPr>
                      <w:rFonts w:hint="eastAsia" w:cs="Times New Roman"/>
                      <w:color w:val="auto"/>
                      <w:spacing w:val="0"/>
                      <w:position w:val="0"/>
                      <w:sz w:val="21"/>
                      <w:szCs w:val="21"/>
                      <w:highlight w:val="none"/>
                      <w:lang w:eastAsia="zh-CN"/>
                    </w:rPr>
                    <w:t>调漆、喷漆废气经水帘柜处理后，与晾干废气一同经集气装置负压收集后再引入“气旋塔+过滤棉+二级活性炭吸附装置”</w:t>
                  </w:r>
                  <w:r>
                    <w:rPr>
                      <w:rFonts w:hint="default" w:ascii="Times New Roman" w:hAnsi="Times New Roman" w:eastAsia="宋体" w:cs="Times New Roman"/>
                      <w:color w:val="auto"/>
                      <w:sz w:val="21"/>
                      <w:szCs w:val="21"/>
                      <w:highlight w:val="none"/>
                      <w:lang w:val="en-US" w:eastAsia="zh-CN"/>
                    </w:rPr>
                    <w:t>处理后排放</w:t>
                  </w:r>
                  <w:r>
                    <w:rPr>
                      <w:rFonts w:hint="eastAsia" w:ascii="Times New Roman" w:hAnsi="Times New Roman" w:eastAsia="宋体" w:cs="Times New Roman"/>
                      <w:color w:val="auto"/>
                      <w:sz w:val="21"/>
                      <w:szCs w:val="21"/>
                      <w:highlight w:val="none"/>
                      <w:lang w:val="en-US" w:eastAsia="zh-CN"/>
                    </w:rPr>
                    <w:t>。</w:t>
                  </w:r>
                </w:p>
              </w:tc>
              <w:tc>
                <w:tcPr>
                  <w:tcW w:w="286" w:type="pct"/>
                  <w:tcBorders>
                    <w:tl2br w:val="nil"/>
                    <w:tr2bl w:val="nil"/>
                  </w:tcBorders>
                  <w:noWrap w:val="0"/>
                  <w:vAlign w:val="center"/>
                </w:tcPr>
                <w:p w14:paraId="1B1B1D59">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符合</w:t>
                  </w:r>
                </w:p>
              </w:tc>
            </w:tr>
            <w:tr w14:paraId="6E82AA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continue"/>
                  <w:tcBorders>
                    <w:tl2br w:val="nil"/>
                    <w:tr2bl w:val="nil"/>
                  </w:tcBorders>
                  <w:noWrap w:val="0"/>
                  <w:vAlign w:val="top"/>
                </w:tcPr>
                <w:p w14:paraId="03B778BD">
                  <w:pPr>
                    <w:pStyle w:val="151"/>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eastAsia" w:ascii="Times New Roman" w:hAnsi="Times New Roman" w:eastAsia="宋体" w:cs="Times New Roman"/>
                      <w:color w:val="auto"/>
                      <w:sz w:val="21"/>
                      <w:szCs w:val="21"/>
                      <w:highlight w:val="none"/>
                      <w:lang w:val="en-US" w:eastAsia="zh-CN"/>
                    </w:rPr>
                  </w:pPr>
                </w:p>
              </w:tc>
              <w:tc>
                <w:tcPr>
                  <w:tcW w:w="586" w:type="pct"/>
                  <w:vMerge w:val="continue"/>
                  <w:tcBorders>
                    <w:tl2br w:val="nil"/>
                    <w:tr2bl w:val="nil"/>
                  </w:tcBorders>
                  <w:noWrap w:val="0"/>
                  <w:vAlign w:val="top"/>
                </w:tcPr>
                <w:p w14:paraId="093B7ADC">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2152" w:type="pct"/>
                  <w:tcBorders>
                    <w:tl2br w:val="nil"/>
                    <w:tr2bl w:val="nil"/>
                  </w:tcBorders>
                  <w:noWrap w:val="0"/>
                  <w:vAlign w:val="center"/>
                </w:tcPr>
                <w:p w14:paraId="2406E77E">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(十七)加强VOCs全过程综合治理</w:t>
                  </w:r>
                </w:p>
                <w:p w14:paraId="53F760AF">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……企业开停工、检维修期间及时收集处理退料、清洗、吹扫等作业产生的VOCs废气。企业不得将火炬燃烧装置作为日常大气污染处理设施。</w:t>
                  </w:r>
                </w:p>
              </w:tc>
              <w:tc>
                <w:tcPr>
                  <w:tcW w:w="1754" w:type="pct"/>
                  <w:tcBorders>
                    <w:tl2br w:val="nil"/>
                    <w:tr2bl w:val="nil"/>
                  </w:tcBorders>
                  <w:noWrap w:val="0"/>
                  <w:vAlign w:val="center"/>
                </w:tcPr>
                <w:p w14:paraId="2AC70D5A">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项目</w:t>
                  </w:r>
                  <w:r>
                    <w:rPr>
                      <w:rFonts w:hint="default" w:ascii="Times New Roman" w:hAnsi="Times New Roman" w:eastAsia="宋体" w:cs="Times New Roman"/>
                      <w:b w:val="0"/>
                      <w:bCs w:val="0"/>
                      <w:color w:val="auto"/>
                      <w:sz w:val="21"/>
                      <w:szCs w:val="21"/>
                      <w:highlight w:val="none"/>
                      <w:lang w:val="en-US" w:eastAsia="zh-CN"/>
                    </w:rPr>
                    <w:t>设备及其管道在开停工车、检维修和清洗时，在退料阶段将残存物料退净，并用密闭容器盛装</w:t>
                  </w:r>
                  <w:r>
                    <w:rPr>
                      <w:rFonts w:hint="eastAsia" w:ascii="Times New Roman" w:hAnsi="Times New Roman" w:eastAsia="宋体" w:cs="Times New Roman"/>
                      <w:b w:val="0"/>
                      <w:bCs w:val="0"/>
                      <w:color w:val="auto"/>
                      <w:sz w:val="21"/>
                      <w:szCs w:val="21"/>
                      <w:highlight w:val="none"/>
                      <w:lang w:val="en-US" w:eastAsia="zh-CN"/>
                    </w:rPr>
                    <w:t>；退料废气、</w:t>
                  </w:r>
                  <w:r>
                    <w:rPr>
                      <w:rFonts w:hint="default" w:ascii="Times New Roman" w:hAnsi="Times New Roman" w:eastAsia="宋体" w:cs="Times New Roman"/>
                      <w:b w:val="0"/>
                      <w:bCs w:val="0"/>
                      <w:color w:val="auto"/>
                      <w:sz w:val="21"/>
                      <w:szCs w:val="21"/>
                      <w:highlight w:val="none"/>
                      <w:lang w:val="en-US" w:eastAsia="zh-CN"/>
                    </w:rPr>
                    <w:t>清洗及吹扫</w:t>
                  </w:r>
                  <w:r>
                    <w:rPr>
                      <w:rFonts w:hint="eastAsia" w:ascii="Times New Roman" w:hAnsi="Times New Roman" w:eastAsia="宋体" w:cs="Times New Roman"/>
                      <w:color w:val="auto"/>
                      <w:sz w:val="21"/>
                      <w:szCs w:val="21"/>
                      <w:highlight w:val="none"/>
                      <w:lang w:val="en-US" w:eastAsia="zh-CN"/>
                    </w:rPr>
                    <w:t>等作业产生的VOCs废气</w:t>
                  </w:r>
                  <w:r>
                    <w:rPr>
                      <w:rFonts w:hint="eastAsia" w:ascii="Times New Roman" w:hAnsi="Times New Roman" w:eastAsia="宋体" w:cs="Times New Roman"/>
                      <w:b w:val="0"/>
                      <w:bCs w:val="0"/>
                      <w:color w:val="auto"/>
                      <w:sz w:val="21"/>
                      <w:szCs w:val="21"/>
                      <w:highlight w:val="none"/>
                      <w:lang w:val="en-US" w:eastAsia="zh-CN"/>
                    </w:rPr>
                    <w:t>将</w:t>
                  </w:r>
                  <w:r>
                    <w:rPr>
                      <w:rFonts w:hint="default" w:ascii="Times New Roman" w:hAnsi="Times New Roman" w:eastAsia="宋体" w:cs="Times New Roman"/>
                      <w:b w:val="0"/>
                      <w:bCs w:val="0"/>
                      <w:color w:val="auto"/>
                      <w:sz w:val="21"/>
                      <w:szCs w:val="21"/>
                      <w:highlight w:val="none"/>
                      <w:lang w:val="en-US" w:eastAsia="zh-CN"/>
                    </w:rPr>
                    <w:t>排至</w:t>
                  </w:r>
                  <w:r>
                    <w:rPr>
                      <w:rFonts w:hint="eastAsia" w:ascii="Times New Roman" w:hAnsi="Times New Roman" w:eastAsia="宋体" w:cs="Times New Roman"/>
                      <w:b w:val="0"/>
                      <w:bCs w:val="0"/>
                      <w:color w:val="auto"/>
                      <w:sz w:val="21"/>
                      <w:szCs w:val="21"/>
                      <w:highlight w:val="none"/>
                      <w:lang w:val="en-US" w:eastAsia="zh-CN"/>
                    </w:rPr>
                    <w:t>VOCs</w:t>
                  </w:r>
                  <w:r>
                    <w:rPr>
                      <w:rFonts w:hint="default" w:ascii="Times New Roman" w:hAnsi="Times New Roman" w:eastAsia="宋体" w:cs="Times New Roman"/>
                      <w:b w:val="0"/>
                      <w:bCs w:val="0"/>
                      <w:color w:val="auto"/>
                      <w:sz w:val="21"/>
                      <w:szCs w:val="21"/>
                      <w:highlight w:val="none"/>
                      <w:lang w:val="en-US" w:eastAsia="zh-CN"/>
                    </w:rPr>
                    <w:t>废气收集处理系统</w:t>
                  </w:r>
                  <w:r>
                    <w:rPr>
                      <w:rFonts w:hint="eastAsia" w:ascii="Times New Roman" w:hAnsi="Times New Roman" w:eastAsia="宋体" w:cs="Times New Roman"/>
                      <w:b w:val="0"/>
                      <w:bCs w:val="0"/>
                      <w:color w:val="auto"/>
                      <w:sz w:val="21"/>
                      <w:szCs w:val="21"/>
                      <w:highlight w:val="none"/>
                      <w:lang w:val="en-US" w:eastAsia="zh-CN"/>
                    </w:rPr>
                    <w:t>处理达标后排放。</w:t>
                  </w:r>
                </w:p>
              </w:tc>
              <w:tc>
                <w:tcPr>
                  <w:tcW w:w="286" w:type="pct"/>
                  <w:tcBorders>
                    <w:tl2br w:val="nil"/>
                    <w:tr2bl w:val="nil"/>
                  </w:tcBorders>
                  <w:noWrap w:val="0"/>
                  <w:vAlign w:val="center"/>
                </w:tcPr>
                <w:p w14:paraId="165AFAC4">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符合</w:t>
                  </w:r>
                </w:p>
              </w:tc>
            </w:tr>
          </w:tbl>
          <w:p w14:paraId="602FCFA0">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b/>
                <w:bCs/>
                <w:color w:val="auto"/>
                <w:sz w:val="24"/>
                <w:highlight w:val="none"/>
              </w:rPr>
            </w:pPr>
            <w:r>
              <w:rPr>
                <w:rFonts w:hint="eastAsia" w:ascii="Times New Roman" w:hAnsi="Times New Roman" w:eastAsia="宋体"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val="en-US" w:eastAsia="zh-CN"/>
              </w:rPr>
              <w:t>2</w:t>
            </w:r>
            <w:r>
              <w:rPr>
                <w:rFonts w:hint="eastAsia" w:ascii="Times New Roman" w:hAnsi="Times New Roman" w:eastAsia="宋体" w:cs="Times New Roman"/>
                <w:b w:val="0"/>
                <w:bCs w:val="0"/>
                <w:color w:val="auto"/>
                <w:sz w:val="24"/>
                <w:highlight w:val="none"/>
                <w:lang w:eastAsia="zh-CN"/>
              </w:rPr>
              <w:t>）</w:t>
            </w:r>
            <w:r>
              <w:rPr>
                <w:rFonts w:hint="eastAsia" w:ascii="Times New Roman" w:hAnsi="Times New Roman" w:eastAsia="宋体" w:cs="Times New Roman"/>
                <w:b w:val="0"/>
                <w:bCs w:val="0"/>
                <w:color w:val="auto"/>
                <w:kern w:val="0"/>
                <w:sz w:val="24"/>
                <w:highlight w:val="none"/>
                <w:lang w:bidi="ar"/>
              </w:rPr>
              <w:t>《挥发性有机物</w:t>
            </w:r>
            <w:r>
              <w:rPr>
                <w:rFonts w:hint="eastAsia" w:ascii="Times New Roman" w:hAnsi="Times New Roman" w:eastAsia="宋体" w:cs="Times New Roman"/>
                <w:b w:val="0"/>
                <w:bCs w:val="0"/>
                <w:color w:val="auto"/>
                <w:kern w:val="0"/>
                <w:sz w:val="24"/>
                <w:highlight w:val="none"/>
                <w:lang w:eastAsia="zh-CN" w:bidi="ar"/>
              </w:rPr>
              <w:t>（</w:t>
            </w:r>
            <w:r>
              <w:rPr>
                <w:rFonts w:hint="eastAsia" w:ascii="Times New Roman" w:hAnsi="Times New Roman" w:eastAsia="宋体" w:cs="Times New Roman"/>
                <w:b w:val="0"/>
                <w:bCs w:val="0"/>
                <w:color w:val="auto"/>
                <w:kern w:val="0"/>
                <w:sz w:val="24"/>
                <w:highlight w:val="none"/>
                <w:lang w:bidi="ar"/>
              </w:rPr>
              <w:t>VOCs</w:t>
            </w:r>
            <w:r>
              <w:rPr>
                <w:rFonts w:hint="eastAsia" w:ascii="Times New Roman" w:hAnsi="Times New Roman" w:eastAsia="宋体" w:cs="Times New Roman"/>
                <w:b w:val="0"/>
                <w:bCs w:val="0"/>
                <w:color w:val="auto"/>
                <w:kern w:val="0"/>
                <w:sz w:val="24"/>
                <w:highlight w:val="none"/>
                <w:lang w:eastAsia="zh-CN" w:bidi="ar"/>
              </w:rPr>
              <w:t>）</w:t>
            </w:r>
            <w:r>
              <w:rPr>
                <w:rFonts w:hint="eastAsia" w:ascii="Times New Roman" w:hAnsi="Times New Roman" w:eastAsia="宋体" w:cs="Times New Roman"/>
                <w:b w:val="0"/>
                <w:bCs w:val="0"/>
                <w:color w:val="auto"/>
                <w:kern w:val="0"/>
                <w:sz w:val="24"/>
                <w:highlight w:val="none"/>
                <w:lang w:bidi="ar"/>
              </w:rPr>
              <w:t>污染防治技术政策》</w:t>
            </w:r>
            <w:r>
              <w:rPr>
                <w:rFonts w:hint="eastAsia" w:ascii="Times New Roman" w:hAnsi="Times New Roman" w:eastAsia="宋体" w:cs="Times New Roman"/>
                <w:b w:val="0"/>
                <w:bCs w:val="0"/>
                <w:color w:val="auto"/>
                <w:sz w:val="24"/>
                <w:highlight w:val="none"/>
              </w:rPr>
              <w:t>要求</w:t>
            </w:r>
          </w:p>
          <w:p w14:paraId="68BCB67C">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Times New Roman"/>
                <w:b w:val="0"/>
                <w:bCs w:val="0"/>
                <w:color w:val="auto"/>
                <w:kern w:val="0"/>
                <w:sz w:val="24"/>
                <w:highlight w:val="none"/>
                <w:lang w:val="en-US" w:eastAsia="zh-CN" w:bidi="ar"/>
              </w:rPr>
            </w:pPr>
            <w:r>
              <w:rPr>
                <w:rFonts w:hint="eastAsia" w:ascii="Times New Roman" w:hAnsi="Times New Roman" w:eastAsia="宋体" w:cs="Times New Roman"/>
                <w:b w:val="0"/>
                <w:bCs w:val="0"/>
                <w:color w:val="auto"/>
                <w:kern w:val="0"/>
                <w:sz w:val="24"/>
                <w:highlight w:val="none"/>
                <w:lang w:bidi="ar"/>
              </w:rPr>
              <w:t>根据《挥发性有机物</w:t>
            </w:r>
            <w:r>
              <w:rPr>
                <w:rFonts w:hint="eastAsia" w:ascii="Times New Roman" w:hAnsi="Times New Roman" w:eastAsia="宋体" w:cs="Times New Roman"/>
                <w:b w:val="0"/>
                <w:bCs w:val="0"/>
                <w:color w:val="auto"/>
                <w:kern w:val="0"/>
                <w:sz w:val="24"/>
                <w:highlight w:val="none"/>
                <w:lang w:eastAsia="zh-CN" w:bidi="ar"/>
              </w:rPr>
              <w:t>（</w:t>
            </w:r>
            <w:r>
              <w:rPr>
                <w:rFonts w:hint="eastAsia" w:ascii="Times New Roman" w:hAnsi="Times New Roman" w:eastAsia="宋体" w:cs="Times New Roman"/>
                <w:b w:val="0"/>
                <w:bCs w:val="0"/>
                <w:color w:val="auto"/>
                <w:kern w:val="0"/>
                <w:sz w:val="24"/>
                <w:highlight w:val="none"/>
                <w:lang w:bidi="ar"/>
              </w:rPr>
              <w:t>VOCs</w:t>
            </w:r>
            <w:r>
              <w:rPr>
                <w:rFonts w:hint="eastAsia" w:ascii="Times New Roman" w:hAnsi="Times New Roman" w:eastAsia="宋体" w:cs="Times New Roman"/>
                <w:b w:val="0"/>
                <w:bCs w:val="0"/>
                <w:color w:val="auto"/>
                <w:kern w:val="0"/>
                <w:sz w:val="24"/>
                <w:highlight w:val="none"/>
                <w:lang w:eastAsia="zh-CN" w:bidi="ar"/>
              </w:rPr>
              <w:t>）</w:t>
            </w:r>
            <w:r>
              <w:rPr>
                <w:rFonts w:hint="eastAsia" w:ascii="Times New Roman" w:hAnsi="Times New Roman" w:eastAsia="宋体" w:cs="Times New Roman"/>
                <w:b w:val="0"/>
                <w:bCs w:val="0"/>
                <w:color w:val="auto"/>
                <w:kern w:val="0"/>
                <w:sz w:val="24"/>
                <w:highlight w:val="none"/>
                <w:lang w:bidi="ar"/>
              </w:rPr>
              <w:t>污染防治技术政策》对本项目挥发性</w:t>
            </w:r>
            <w:r>
              <w:rPr>
                <w:rFonts w:hint="eastAsia" w:ascii="Times New Roman" w:hAnsi="Times New Roman" w:eastAsia="宋体" w:cs="Times New Roman"/>
                <w:b w:val="0"/>
                <w:bCs w:val="0"/>
                <w:color w:val="auto"/>
                <w:kern w:val="0"/>
                <w:sz w:val="24"/>
                <w:highlight w:val="none"/>
                <w:lang w:eastAsia="zh-CN" w:bidi="ar"/>
              </w:rPr>
              <w:t>有机物</w:t>
            </w:r>
            <w:r>
              <w:rPr>
                <w:rFonts w:hint="eastAsia" w:ascii="Times New Roman" w:hAnsi="Times New Roman" w:eastAsia="宋体" w:cs="Times New Roman"/>
                <w:b w:val="0"/>
                <w:bCs w:val="0"/>
                <w:color w:val="auto"/>
                <w:kern w:val="0"/>
                <w:sz w:val="24"/>
                <w:highlight w:val="none"/>
                <w:lang w:bidi="ar"/>
              </w:rPr>
              <w:t>无组织排放提出以下控制措施建议</w:t>
            </w:r>
            <w:r>
              <w:rPr>
                <w:rFonts w:hint="eastAsia" w:ascii="Times New Roman" w:hAnsi="Times New Roman" w:eastAsia="宋体" w:cs="Times New Roman"/>
                <w:b w:val="0"/>
                <w:bCs w:val="0"/>
                <w:color w:val="auto"/>
                <w:kern w:val="0"/>
                <w:sz w:val="24"/>
                <w:highlight w:val="none"/>
                <w:lang w:eastAsia="zh-CN" w:bidi="ar"/>
              </w:rPr>
              <w:t>：</w:t>
            </w:r>
          </w:p>
          <w:p w14:paraId="67A26833">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Times New Roman"/>
                <w:b w:val="0"/>
                <w:bCs w:val="0"/>
                <w:color w:val="auto"/>
                <w:kern w:val="0"/>
                <w:sz w:val="24"/>
                <w:highlight w:val="none"/>
                <w:lang w:val="en-US" w:eastAsia="zh-CN" w:bidi="ar"/>
              </w:rPr>
            </w:pPr>
            <w:r>
              <w:rPr>
                <w:rFonts w:hint="eastAsia" w:ascii="Times New Roman" w:hAnsi="Times New Roman" w:eastAsia="宋体" w:cs="Times New Roman"/>
                <w:b w:val="0"/>
                <w:bCs w:val="0"/>
                <w:color w:val="auto"/>
                <w:kern w:val="0"/>
                <w:sz w:val="24"/>
                <w:highlight w:val="none"/>
                <w:lang w:val="en-US" w:eastAsia="zh-CN" w:bidi="ar"/>
              </w:rPr>
              <w:t>工艺过程VOCs无组织排放控制要求为减少挥发性有机物无组织排放，</w:t>
            </w:r>
            <w:r>
              <w:rPr>
                <w:rFonts w:hint="eastAsia" w:ascii="Times New Roman" w:hAnsi="Times New Roman" w:eastAsia="宋体" w:cs="Times New Roman"/>
                <w:b w:val="0"/>
                <w:bCs w:val="0"/>
                <w:color w:val="auto"/>
                <w:kern w:val="0"/>
                <w:sz w:val="24"/>
                <w:highlight w:val="none"/>
                <w:lang w:bidi="ar"/>
              </w:rPr>
              <w:t>建设单位从生产工艺选择、设备选型开始，到日常管理、采取控制和治理技术入手，切实地有针对性地采取有效环保措施，最大限度减少无组织排放。</w:t>
            </w:r>
          </w:p>
          <w:p w14:paraId="4E347353">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Times New Roman"/>
                <w:b w:val="0"/>
                <w:bCs w:val="0"/>
                <w:color w:val="auto"/>
                <w:kern w:val="0"/>
                <w:sz w:val="24"/>
                <w:highlight w:val="none"/>
                <w:lang w:bidi="ar"/>
              </w:rPr>
            </w:pPr>
            <w:r>
              <w:rPr>
                <w:rFonts w:hint="eastAsia" w:ascii="Times New Roman" w:hAnsi="Times New Roman" w:eastAsia="宋体" w:cs="Times New Roman"/>
                <w:b w:val="0"/>
                <w:bCs w:val="0"/>
                <w:color w:val="auto"/>
                <w:kern w:val="0"/>
                <w:sz w:val="24"/>
                <w:highlight w:val="none"/>
                <w:lang w:val="en-US" w:eastAsia="zh-CN" w:bidi="ar"/>
              </w:rPr>
              <w:t>项目在运营期间应门窗紧闭，减少横向气流干扰，且设有负压密闭的喷漆晾干房，在运营期间，喷漆晾干房门窗紧闭，且</w:t>
            </w:r>
            <w:r>
              <w:rPr>
                <w:rFonts w:hint="eastAsia" w:cs="Times New Roman"/>
                <w:b w:val="0"/>
                <w:bCs w:val="0"/>
                <w:color w:val="auto"/>
                <w:kern w:val="0"/>
                <w:sz w:val="24"/>
                <w:highlight w:val="none"/>
                <w:lang w:val="en-US" w:eastAsia="zh-CN" w:bidi="ar"/>
              </w:rPr>
              <w:t>调漆、喷漆废气经水帘柜处理后，与晾干废气一同经集气装置负压收集后再引入“气旋塔+过滤棉+二级活性炭吸附装置”</w:t>
            </w:r>
            <w:r>
              <w:rPr>
                <w:rFonts w:hint="eastAsia" w:ascii="Times New Roman" w:hAnsi="Times New Roman" w:eastAsia="宋体" w:cs="Times New Roman"/>
                <w:b w:val="0"/>
                <w:bCs w:val="0"/>
                <w:color w:val="auto"/>
                <w:kern w:val="0"/>
                <w:sz w:val="24"/>
                <w:highlight w:val="none"/>
                <w:lang w:val="en-US" w:eastAsia="zh-CN" w:bidi="ar"/>
              </w:rPr>
              <w:t>处理后通过1根25m排气筒有组织排放，</w:t>
            </w:r>
            <w:r>
              <w:rPr>
                <w:rFonts w:hint="eastAsia" w:ascii="Times New Roman" w:hAnsi="Times New Roman" w:eastAsia="宋体" w:cs="Times New Roman"/>
                <w:b w:val="0"/>
                <w:bCs w:val="0"/>
                <w:color w:val="auto"/>
                <w:kern w:val="0"/>
                <w:sz w:val="24"/>
                <w:highlight w:val="none"/>
                <w:lang w:bidi="ar"/>
              </w:rPr>
              <w:t>同时企业需加强管理，如设备定期检修、维护，建立巡视制度等</w:t>
            </w:r>
            <w:r>
              <w:rPr>
                <w:rFonts w:hint="eastAsia" w:ascii="Times New Roman" w:hAnsi="Times New Roman" w:eastAsia="宋体" w:cs="Times New Roman"/>
                <w:b w:val="0"/>
                <w:bCs w:val="0"/>
                <w:color w:val="auto"/>
                <w:kern w:val="0"/>
                <w:sz w:val="24"/>
                <w:highlight w:val="none"/>
                <w:lang w:eastAsia="zh-CN" w:bidi="ar"/>
              </w:rPr>
              <w:t>，</w:t>
            </w:r>
            <w:r>
              <w:rPr>
                <w:rFonts w:hint="eastAsia" w:ascii="Times New Roman" w:hAnsi="Times New Roman" w:eastAsia="宋体" w:cs="Times New Roman"/>
                <w:b w:val="0"/>
                <w:bCs w:val="0"/>
                <w:color w:val="auto"/>
                <w:kern w:val="0"/>
                <w:sz w:val="24"/>
                <w:highlight w:val="none"/>
                <w:lang w:bidi="ar"/>
              </w:rPr>
              <w:t>加强操作人员的岗位操作技能培训，提高操作人员的操作技能，加强废气的收集处理措施管理与维护，避免因人为操作失误引起的废气无组织逸散。</w:t>
            </w:r>
          </w:p>
          <w:p w14:paraId="1CADF788">
            <w:pPr>
              <w:pStyle w:val="150"/>
              <w:keepNext w:val="0"/>
              <w:keepLines w:val="0"/>
              <w:pageBreakBefore w:val="0"/>
              <w:widowControl w:val="0"/>
              <w:kinsoku/>
              <w:wordWrap/>
              <w:overflowPunct/>
              <w:topLinePunct w:val="0"/>
              <w:autoSpaceDE/>
              <w:autoSpaceDN w:val="0"/>
              <w:bidi w:val="0"/>
              <w:adjustRightInd/>
              <w:snapToGrid/>
              <w:ind w:firstLine="480"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val="0"/>
                <w:bCs w:val="0"/>
                <w:color w:val="auto"/>
                <w:kern w:val="0"/>
                <w:sz w:val="24"/>
                <w:highlight w:val="none"/>
                <w:lang w:bidi="ar"/>
              </w:rPr>
              <w:t>通过以上无组织废气控制措施，项目厂区内无组织排放废气可得到有效控制，对周围环境影响不大，措施可行。</w:t>
            </w:r>
          </w:p>
          <w:p w14:paraId="12910C2E">
            <w:pPr>
              <w:pStyle w:val="150"/>
              <w:keepNext w:val="0"/>
              <w:keepLines w:val="0"/>
              <w:pageBreakBefore w:val="0"/>
              <w:widowControl w:val="0"/>
              <w:kinsoku/>
              <w:wordWrap/>
              <w:overflowPunct/>
              <w:topLinePunct w:val="0"/>
              <w:autoSpaceDE/>
              <w:autoSpaceDN w:val="0"/>
              <w:bidi w:val="0"/>
              <w:adjustRightInd/>
              <w:snapToGrid/>
              <w:ind w:firstLine="0" w:firstLineChars="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与</w:t>
            </w:r>
            <w:r>
              <w:rPr>
                <w:rFonts w:hint="eastAsia" w:ascii="Times New Roman" w:hAnsi="Times New Roman" w:eastAsia="宋体" w:cs="Times New Roman"/>
                <w:b/>
                <w:bCs/>
                <w:color w:val="auto"/>
                <w:sz w:val="24"/>
                <w:szCs w:val="24"/>
                <w:highlight w:val="none"/>
                <w:lang w:val="en-US" w:eastAsia="zh-CN"/>
              </w:rPr>
              <w:t>其他相关文件符合性分析</w:t>
            </w:r>
          </w:p>
          <w:p w14:paraId="400331E9">
            <w:pPr>
              <w:keepNext w:val="0"/>
              <w:keepLines w:val="0"/>
              <w:pageBreakBefore w:val="0"/>
              <w:widowControl w:val="0"/>
              <w:kinsoku/>
              <w:wordWrap/>
              <w:overflowPunct/>
              <w:topLinePunct w:val="0"/>
              <w:autoSpaceDE/>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其他相关文件符合性分析</w:t>
            </w:r>
            <w:r>
              <w:rPr>
                <w:rFonts w:hint="default" w:ascii="Times New Roman" w:hAnsi="Times New Roman" w:eastAsia="宋体" w:cs="Times New Roman"/>
                <w:color w:val="auto"/>
                <w:sz w:val="24"/>
                <w:szCs w:val="24"/>
                <w:highlight w:val="none"/>
                <w:lang w:val="en-US" w:eastAsia="zh-CN"/>
              </w:rPr>
              <w:t>详见表</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w:t>
            </w:r>
          </w:p>
          <w:p w14:paraId="406855DE">
            <w:pPr>
              <w:keepNext w:val="0"/>
              <w:keepLines w:val="0"/>
              <w:pageBreakBefore w:val="0"/>
              <w:widowControl w:val="0"/>
              <w:kinsoku/>
              <w:wordWrap/>
              <w:overflowPunct/>
              <w:topLinePunct w:val="0"/>
              <w:autoSpaceDE/>
              <w:autoSpaceDN w:val="0"/>
              <w:bidi w:val="0"/>
              <w:adjustRightInd/>
              <w:snapToGrid/>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表</w:t>
            </w:r>
            <w:r>
              <w:rPr>
                <w:rFonts w:hint="eastAsia" w:ascii="Times New Roman" w:hAnsi="Times New Roman" w:eastAsia="宋体" w:cs="Times New Roman"/>
                <w:b/>
                <w:bCs/>
                <w:color w:val="auto"/>
                <w:sz w:val="24"/>
                <w:szCs w:val="24"/>
                <w:highlight w:val="none"/>
                <w:lang w:val="en-US" w:eastAsia="zh-CN"/>
              </w:rPr>
              <w:t>1-5</w:t>
            </w:r>
            <w:r>
              <w:rPr>
                <w:rFonts w:hint="default" w:ascii="Times New Roman" w:hAnsi="Times New Roman" w:eastAsia="宋体" w:cs="Times New Roman"/>
                <w:b/>
                <w:bCs/>
                <w:color w:val="auto"/>
                <w:sz w:val="24"/>
                <w:szCs w:val="24"/>
                <w:highlight w:val="none"/>
                <w:lang w:eastAsia="zh-CN"/>
              </w:rPr>
              <w:t xml:space="preserve"> </w:t>
            </w:r>
            <w:r>
              <w:rPr>
                <w:rFonts w:hint="eastAsia" w:ascii="Times New Roman" w:hAnsi="Times New Roman" w:eastAsia="宋体" w:cs="Times New Roman"/>
                <w:b/>
                <w:bCs/>
                <w:color w:val="auto"/>
                <w:sz w:val="24"/>
                <w:szCs w:val="24"/>
                <w:highlight w:val="none"/>
                <w:lang w:val="en-US" w:eastAsia="zh-CN"/>
              </w:rPr>
              <w:t>与其他相关文件符合性分析一览表</w:t>
            </w:r>
          </w:p>
          <w:tbl>
            <w:tblPr>
              <w:tblStyle w:val="2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9"/>
              <w:gridCol w:w="1821"/>
              <w:gridCol w:w="6119"/>
              <w:gridCol w:w="4364"/>
              <w:gridCol w:w="854"/>
            </w:tblGrid>
            <w:tr w14:paraId="720A85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tcBorders>
                    <w:tl2br w:val="nil"/>
                    <w:tr2bl w:val="nil"/>
                  </w:tcBorders>
                  <w:noWrap w:val="0"/>
                  <w:vAlign w:val="center"/>
                </w:tcPr>
                <w:p w14:paraId="75E81840">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661" w:type="pct"/>
                  <w:tcBorders>
                    <w:tl2br w:val="nil"/>
                    <w:tr2bl w:val="nil"/>
                  </w:tcBorders>
                  <w:noWrap w:val="0"/>
                  <w:vAlign w:val="center"/>
                </w:tcPr>
                <w:p w14:paraId="5CFD4D61">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相关文件名称</w:t>
                  </w:r>
                </w:p>
              </w:tc>
              <w:tc>
                <w:tcPr>
                  <w:tcW w:w="2222" w:type="pct"/>
                  <w:tcBorders>
                    <w:tl2br w:val="nil"/>
                    <w:tr2bl w:val="nil"/>
                  </w:tcBorders>
                  <w:noWrap w:val="0"/>
                  <w:vAlign w:val="center"/>
                </w:tcPr>
                <w:p w14:paraId="6F83A3F5">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相关内容</w:t>
                  </w:r>
                  <w:r>
                    <w:rPr>
                      <w:rFonts w:hint="eastAsia" w:ascii="Times New Roman" w:hAnsi="Times New Roman" w:eastAsia="宋体" w:cs="Times New Roman"/>
                      <w:b/>
                      <w:bCs/>
                      <w:color w:val="auto"/>
                      <w:sz w:val="21"/>
                      <w:szCs w:val="21"/>
                      <w:highlight w:val="none"/>
                      <w:lang w:val="en-US" w:eastAsia="zh-CN"/>
                    </w:rPr>
                    <w:t>（摘录）</w:t>
                  </w:r>
                </w:p>
              </w:tc>
              <w:tc>
                <w:tcPr>
                  <w:tcW w:w="1584" w:type="pct"/>
                  <w:tcBorders>
                    <w:tl2br w:val="nil"/>
                    <w:tr2bl w:val="nil"/>
                  </w:tcBorders>
                  <w:noWrap w:val="0"/>
                  <w:vAlign w:val="center"/>
                </w:tcPr>
                <w:p w14:paraId="57462348">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项目情况</w:t>
                  </w:r>
                </w:p>
              </w:tc>
              <w:tc>
                <w:tcPr>
                  <w:tcW w:w="310" w:type="pct"/>
                  <w:tcBorders>
                    <w:tl2br w:val="nil"/>
                    <w:tr2bl w:val="nil"/>
                  </w:tcBorders>
                  <w:noWrap w:val="0"/>
                  <w:vAlign w:val="center"/>
                </w:tcPr>
                <w:p w14:paraId="444A8C59">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符合性</w:t>
                  </w:r>
                </w:p>
              </w:tc>
            </w:tr>
            <w:tr w14:paraId="49815C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tcBorders>
                    <w:tl2br w:val="nil"/>
                    <w:tr2bl w:val="nil"/>
                  </w:tcBorders>
                  <w:noWrap w:val="0"/>
                  <w:vAlign w:val="center"/>
                </w:tcPr>
                <w:p w14:paraId="4C875A47">
                  <w:pPr>
                    <w:pStyle w:val="151"/>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661" w:type="pct"/>
                  <w:tcBorders>
                    <w:tl2br w:val="nil"/>
                    <w:tr2bl w:val="nil"/>
                  </w:tcBorders>
                  <w:noWrap w:val="0"/>
                  <w:vAlign w:val="center"/>
                </w:tcPr>
                <w:p w14:paraId="00AC3DE2">
                  <w:pPr>
                    <w:pStyle w:val="1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《国家污染防治技术指导目录》（环办科财函〔2025〕197号）</w:t>
                  </w:r>
                </w:p>
              </w:tc>
              <w:tc>
                <w:tcPr>
                  <w:tcW w:w="2222" w:type="pct"/>
                  <w:tcBorders>
                    <w:tl2br w:val="nil"/>
                    <w:tr2bl w:val="nil"/>
                  </w:tcBorders>
                  <w:noWrap w:val="0"/>
                  <w:vAlign w:val="center"/>
                </w:tcPr>
                <w:p w14:paraId="6264DC68">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二、低效类技术：VOCs（挥发性有机物）洗涤吸收净化技术；VOCs光催化及其组合净化技术；VOCs低温等离子体及其组合净化技术；VOCs光解（光氧化）及其组合净化技术。</w:t>
                  </w:r>
                </w:p>
              </w:tc>
              <w:tc>
                <w:tcPr>
                  <w:tcW w:w="1584" w:type="pct"/>
                  <w:tcBorders>
                    <w:tl2br w:val="nil"/>
                    <w:tr2bl w:val="nil"/>
                  </w:tcBorders>
                  <w:noWrap w:val="0"/>
                  <w:vAlign w:val="center"/>
                </w:tcPr>
                <w:p w14:paraId="4A56EDAE">
                  <w:pPr>
                    <w:pStyle w:val="151"/>
                    <w:keepNext w:val="0"/>
                    <w:keepLines w:val="0"/>
                    <w:pageBreakBefore w:val="0"/>
                    <w:widowControl w:val="0"/>
                    <w:kinsoku/>
                    <w:wordWrap/>
                    <w:overflowPunct/>
                    <w:topLinePunct w:val="0"/>
                    <w:autoSpaceDE/>
                    <w:autoSpaceDN w:val="0"/>
                    <w:bidi w:val="0"/>
                    <w:adjustRightInd w:val="0"/>
                    <w:snapToGrid w:val="0"/>
                    <w:spacing w:line="240" w:lineRule="auto"/>
                    <w:jc w:val="both"/>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项目</w:t>
                  </w:r>
                  <w:r>
                    <w:rPr>
                      <w:rFonts w:hint="eastAsia" w:cs="Times New Roman"/>
                      <w:color w:val="auto"/>
                      <w:spacing w:val="0"/>
                      <w:position w:val="0"/>
                      <w:sz w:val="21"/>
                      <w:szCs w:val="21"/>
                      <w:highlight w:val="none"/>
                      <w:lang w:eastAsia="zh-CN"/>
                    </w:rPr>
                    <w:t>调漆、喷漆废气经水帘柜处理后，与晾干废气一同经集气装置负压收集后再引入“气旋塔+过滤棉+二级活性炭吸附装置”</w:t>
                  </w:r>
                  <w:r>
                    <w:rPr>
                      <w:rFonts w:hint="default" w:ascii="Times New Roman" w:hAnsi="Times New Roman" w:cs="Times New Roman"/>
                      <w:color w:val="auto"/>
                      <w:sz w:val="21"/>
                      <w:szCs w:val="21"/>
                      <w:highlight w:val="none"/>
                      <w:lang w:val="en-US" w:eastAsia="zh-CN"/>
                    </w:rPr>
                    <w:t>处理后排放</w:t>
                  </w:r>
                  <w:r>
                    <w:rPr>
                      <w:rFonts w:hint="eastAsia" w:ascii="Times New Roman" w:hAnsi="Times New Roman" w:cs="Times New Roman"/>
                      <w:color w:val="auto"/>
                      <w:sz w:val="21"/>
                      <w:szCs w:val="21"/>
                      <w:highlight w:val="none"/>
                      <w:lang w:val="en-US" w:eastAsia="zh-CN"/>
                    </w:rPr>
                    <w:t>，不属于</w:t>
                  </w:r>
                  <w:r>
                    <w:rPr>
                      <w:rFonts w:hint="eastAsia" w:ascii="Times New Roman" w:hAnsi="Times New Roman" w:eastAsia="宋体" w:cs="Times New Roman"/>
                      <w:color w:val="auto"/>
                      <w:sz w:val="21"/>
                      <w:szCs w:val="21"/>
                      <w:highlight w:val="none"/>
                      <w:lang w:val="en-US" w:eastAsia="zh-CN"/>
                    </w:rPr>
                    <w:t>《国家污染防治技术指导目录》所列的低效类技术。</w:t>
                  </w:r>
                </w:p>
              </w:tc>
              <w:tc>
                <w:tcPr>
                  <w:tcW w:w="310" w:type="pct"/>
                  <w:tcBorders>
                    <w:tl2br w:val="nil"/>
                    <w:tr2bl w:val="nil"/>
                  </w:tcBorders>
                  <w:noWrap w:val="0"/>
                  <w:vAlign w:val="center"/>
                </w:tcPr>
                <w:p w14:paraId="20A60066">
                  <w:pPr>
                    <w:pStyle w:val="151"/>
                    <w:keepNext w:val="0"/>
                    <w:keepLines w:val="0"/>
                    <w:pageBreakBefore w:val="0"/>
                    <w:widowControl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符合</w:t>
                  </w:r>
                </w:p>
              </w:tc>
            </w:tr>
            <w:tr w14:paraId="651856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restart"/>
                  <w:tcBorders>
                    <w:tl2br w:val="nil"/>
                    <w:tr2bl w:val="nil"/>
                  </w:tcBorders>
                  <w:noWrap w:val="0"/>
                  <w:vAlign w:val="center"/>
                </w:tcPr>
                <w:p w14:paraId="4500B96C">
                  <w:pPr>
                    <w:pStyle w:val="151"/>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661" w:type="pct"/>
                  <w:vMerge w:val="restart"/>
                  <w:tcBorders>
                    <w:tl2br w:val="nil"/>
                    <w:tr2bl w:val="nil"/>
                  </w:tcBorders>
                  <w:noWrap w:val="0"/>
                  <w:vAlign w:val="center"/>
                </w:tcPr>
                <w:p w14:paraId="73DCE4EF">
                  <w:pPr>
                    <w:pStyle w:val="1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《环境空气细颗粒物污染综合防治技术政策》(环境保护部公告2013年第59号)</w:t>
                  </w:r>
                </w:p>
              </w:tc>
              <w:tc>
                <w:tcPr>
                  <w:tcW w:w="2222" w:type="pct"/>
                  <w:tcBorders>
                    <w:tl2br w:val="nil"/>
                    <w:tr2bl w:val="nil"/>
                  </w:tcBorders>
                  <w:noWrap w:val="0"/>
                  <w:vAlign w:val="center"/>
                </w:tcPr>
                <w:p w14:paraId="331D0775">
                  <w:pPr>
                    <w:pStyle w:val="1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应加强对各类污染源的监管，确保污染治理设施稳定运行，切实落实企业环保责任。鼓励采用低能耗、低污染的生产工艺，提高各个行业的清洁生产水平，降低污染物产生量。</w:t>
                  </w:r>
                </w:p>
              </w:tc>
              <w:tc>
                <w:tcPr>
                  <w:tcW w:w="1584" w:type="pct"/>
                  <w:tcBorders>
                    <w:tl2br w:val="nil"/>
                    <w:tr2bl w:val="nil"/>
                  </w:tcBorders>
                  <w:noWrap w:val="0"/>
                  <w:vAlign w:val="center"/>
                </w:tcPr>
                <w:p w14:paraId="1485EFE1">
                  <w:pPr>
                    <w:pStyle w:val="1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项目将严格按照要求，对环保设施进行维护管理，确保污染治理设施稳定运行；项目使用低VOCs含量的原辅材料，可降低废气污染物产生量。</w:t>
                  </w:r>
                </w:p>
              </w:tc>
              <w:tc>
                <w:tcPr>
                  <w:tcW w:w="310" w:type="pct"/>
                  <w:tcBorders>
                    <w:tl2br w:val="nil"/>
                    <w:tr2bl w:val="nil"/>
                  </w:tcBorders>
                  <w:noWrap w:val="0"/>
                  <w:vAlign w:val="center"/>
                </w:tcPr>
                <w:p w14:paraId="5DA71E3B">
                  <w:pPr>
                    <w:pStyle w:val="1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符合</w:t>
                  </w:r>
                </w:p>
              </w:tc>
            </w:tr>
            <w:tr w14:paraId="06FEB3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21" w:type="pct"/>
                  <w:vMerge w:val="continue"/>
                  <w:tcBorders>
                    <w:tl2br w:val="nil"/>
                    <w:tr2bl w:val="nil"/>
                  </w:tcBorders>
                  <w:noWrap w:val="0"/>
                  <w:vAlign w:val="center"/>
                </w:tcPr>
                <w:p w14:paraId="520FBCF1">
                  <w:pPr>
                    <w:pStyle w:val="151"/>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eastAsia" w:ascii="Times New Roman" w:hAnsi="Times New Roman" w:eastAsia="宋体" w:cs="Times New Roman"/>
                      <w:color w:val="auto"/>
                      <w:sz w:val="21"/>
                      <w:szCs w:val="21"/>
                      <w:highlight w:val="none"/>
                      <w:lang w:val="en-US" w:eastAsia="zh-CN"/>
                    </w:rPr>
                  </w:pPr>
                </w:p>
              </w:tc>
              <w:tc>
                <w:tcPr>
                  <w:tcW w:w="661" w:type="pct"/>
                  <w:vMerge w:val="continue"/>
                  <w:tcBorders>
                    <w:tl2br w:val="nil"/>
                    <w:tr2bl w:val="nil"/>
                  </w:tcBorders>
                  <w:noWrap w:val="0"/>
                  <w:vAlign w:val="center"/>
                </w:tcPr>
                <w:p w14:paraId="5FEAE9BA">
                  <w:pPr>
                    <w:pStyle w:val="1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222" w:type="pct"/>
                  <w:tcBorders>
                    <w:tl2br w:val="nil"/>
                    <w:tr2bl w:val="nil"/>
                  </w:tcBorders>
                  <w:noWrap w:val="0"/>
                  <w:vAlign w:val="center"/>
                </w:tcPr>
                <w:p w14:paraId="72F3541A">
                  <w:pPr>
                    <w:pStyle w:val="1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产生大气颗粒物及其前体物污染物的生产活动应尽量采用密闭装置，避免无组织排放；无法完全密闭的，应安装集气装置收集逸散的污染物，经净化后排放。</w:t>
                  </w:r>
                </w:p>
              </w:tc>
              <w:tc>
                <w:tcPr>
                  <w:tcW w:w="1584" w:type="pct"/>
                  <w:tcBorders>
                    <w:tl2br w:val="nil"/>
                    <w:tr2bl w:val="nil"/>
                  </w:tcBorders>
                  <w:noWrap w:val="0"/>
                  <w:vAlign w:val="center"/>
                </w:tcPr>
                <w:p w14:paraId="5B1EB9B7">
                  <w:pPr>
                    <w:keepNext w:val="0"/>
                    <w:keepLines w:val="0"/>
                    <w:pageBreakBefore w:val="0"/>
                    <w:widowControl w:val="0"/>
                    <w:kinsoku/>
                    <w:wordWrap/>
                    <w:overflowPunct/>
                    <w:topLinePunct w:val="0"/>
                    <w:autoSpaceDE/>
                    <w:bidi w:val="0"/>
                    <w:adjustRightInd w:val="0"/>
                    <w:snapToGrid w:val="0"/>
                    <w:spacing w:line="240" w:lineRule="auto"/>
                    <w:jc w:val="both"/>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项目在标准的厂房内进行生产</w:t>
                  </w:r>
                  <w:r>
                    <w:rPr>
                      <w:rFonts w:hint="eastAsia" w:ascii="Times New Roman" w:hAnsi="Times New Roman" w:eastAsia="宋体" w:cs="Times New Roman"/>
                      <w:color w:val="auto"/>
                      <w:sz w:val="21"/>
                      <w:szCs w:val="21"/>
                      <w:highlight w:val="none"/>
                    </w:rPr>
                    <w:t>，并设有</w:t>
                  </w:r>
                  <w:r>
                    <w:rPr>
                      <w:rFonts w:hint="eastAsia" w:cs="Times New Roman"/>
                      <w:color w:val="auto"/>
                      <w:sz w:val="21"/>
                      <w:szCs w:val="21"/>
                      <w:highlight w:val="none"/>
                      <w:lang w:val="en-US" w:eastAsia="zh-CN"/>
                    </w:rPr>
                    <w:t>负压</w:t>
                  </w:r>
                  <w:r>
                    <w:rPr>
                      <w:rFonts w:hint="eastAsia" w:ascii="Times New Roman" w:hAnsi="Times New Roman" w:eastAsia="宋体" w:cs="Times New Roman"/>
                      <w:color w:val="auto"/>
                      <w:sz w:val="21"/>
                      <w:szCs w:val="21"/>
                      <w:highlight w:val="none"/>
                    </w:rPr>
                    <w:t>密闭的</w:t>
                  </w:r>
                  <w:r>
                    <w:rPr>
                      <w:rFonts w:hint="eastAsia" w:cs="Times New Roman"/>
                      <w:color w:val="auto"/>
                      <w:sz w:val="21"/>
                      <w:szCs w:val="21"/>
                      <w:highlight w:val="none"/>
                      <w:lang w:eastAsia="zh-CN"/>
                    </w:rPr>
                    <w:t>喷漆晾干房</w:t>
                  </w:r>
                  <w:r>
                    <w:rPr>
                      <w:rFonts w:hint="eastAsia" w:ascii="Times New Roman" w:hAnsi="Times New Roman" w:eastAsia="宋体" w:cs="Times New Roman"/>
                      <w:color w:val="auto"/>
                      <w:sz w:val="21"/>
                      <w:szCs w:val="21"/>
                      <w:highlight w:val="none"/>
                    </w:rPr>
                    <w:t>，在运营期间，</w:t>
                  </w:r>
                  <w:r>
                    <w:rPr>
                      <w:rFonts w:hint="eastAsia" w:cs="Times New Roman"/>
                      <w:color w:val="auto"/>
                      <w:sz w:val="21"/>
                      <w:szCs w:val="21"/>
                      <w:highlight w:val="none"/>
                      <w:lang w:eastAsia="zh-CN"/>
                    </w:rPr>
                    <w:t>喷漆晾干房</w:t>
                  </w:r>
                  <w:r>
                    <w:rPr>
                      <w:rFonts w:hint="eastAsia" w:ascii="Times New Roman" w:hAnsi="Times New Roman" w:eastAsia="宋体" w:cs="Times New Roman"/>
                      <w:color w:val="auto"/>
                      <w:sz w:val="21"/>
                      <w:szCs w:val="21"/>
                      <w:highlight w:val="none"/>
                    </w:rPr>
                    <w:t>门窗紧闭</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且</w:t>
                  </w:r>
                  <w:r>
                    <w:rPr>
                      <w:rFonts w:hint="eastAsia" w:cs="Times New Roman"/>
                      <w:color w:val="auto"/>
                      <w:spacing w:val="0"/>
                      <w:position w:val="0"/>
                      <w:sz w:val="21"/>
                      <w:szCs w:val="21"/>
                      <w:highlight w:val="none"/>
                      <w:lang w:eastAsia="zh-CN"/>
                    </w:rPr>
                    <w:t>调漆、喷漆废气经水帘柜处理后，与晾干废气一同经集气装置负压收集后再引入“气旋塔+过滤棉+二级活性炭吸附装置”</w:t>
                  </w:r>
                  <w:r>
                    <w:rPr>
                      <w:rFonts w:hint="eastAsia" w:ascii="Times New Roman" w:hAnsi="Times New Roman" w:cs="Times New Roman"/>
                      <w:color w:val="auto"/>
                      <w:kern w:val="2"/>
                      <w:sz w:val="21"/>
                      <w:szCs w:val="21"/>
                      <w:highlight w:val="none"/>
                      <w:lang w:val="en-US" w:eastAsia="zh-CN" w:bidi="ar-SA"/>
                    </w:rPr>
                    <w:t>处理通过25m高排气筒排放。</w:t>
                  </w:r>
                </w:p>
              </w:tc>
              <w:tc>
                <w:tcPr>
                  <w:tcW w:w="310" w:type="pct"/>
                  <w:tcBorders>
                    <w:tl2br w:val="nil"/>
                    <w:tr2bl w:val="nil"/>
                  </w:tcBorders>
                  <w:noWrap w:val="0"/>
                  <w:vAlign w:val="center"/>
                </w:tcPr>
                <w:p w14:paraId="6DE50EDB">
                  <w:pPr>
                    <w:pStyle w:val="1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符合</w:t>
                  </w:r>
                </w:p>
              </w:tc>
            </w:tr>
          </w:tbl>
          <w:p w14:paraId="22A6D488">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ascii="Times New Roman" w:hAnsi="Times New Roman" w:eastAsia="宋体" w:cs="Times New Roman"/>
                <w:color w:val="auto"/>
                <w:spacing w:val="0"/>
                <w:kern w:val="0"/>
                <w:sz w:val="24"/>
                <w:highlight w:val="none"/>
                <w:lang w:bidi="ar"/>
              </w:rPr>
            </w:pPr>
          </w:p>
        </w:tc>
      </w:tr>
    </w:tbl>
    <w:p w14:paraId="125FB1E5">
      <w:pPr>
        <w:rPr>
          <w:rFonts w:ascii="Times New Roman" w:hAnsi="Times New Roman" w:eastAsia="宋体" w:cs="Times New Roman"/>
          <w:color w:val="auto"/>
          <w:spacing w:val="0"/>
          <w:highlight w:val="none"/>
        </w:rPr>
        <w:sectPr>
          <w:footerReference r:id="rId9" w:type="default"/>
          <w:pgSz w:w="16838" w:h="11905" w:orient="landscape"/>
          <w:pgMar w:top="1134" w:right="1134" w:bottom="1134" w:left="1134"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1F5A5D58">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宋体" w:cs="Times New Roman"/>
          <w:b/>
          <w:bCs/>
          <w:snapToGrid w:val="0"/>
          <w:color w:val="auto"/>
          <w:spacing w:val="0"/>
          <w:position w:val="0"/>
          <w:sz w:val="32"/>
          <w:szCs w:val="32"/>
          <w:highlight w:val="none"/>
        </w:rPr>
      </w:pPr>
      <w:bookmarkStart w:id="11" w:name="_Toc19640"/>
      <w:bookmarkStart w:id="12" w:name="_Toc18140"/>
      <w:r>
        <w:rPr>
          <w:rFonts w:hint="eastAsia" w:ascii="Times New Roman" w:hAnsi="Times New Roman" w:eastAsia="宋体" w:cs="Times New Roman"/>
          <w:b/>
          <w:bCs/>
          <w:snapToGrid w:val="0"/>
          <w:color w:val="auto"/>
          <w:spacing w:val="0"/>
          <w:position w:val="0"/>
          <w:sz w:val="32"/>
          <w:szCs w:val="32"/>
          <w:highlight w:val="none"/>
        </w:rPr>
        <w:t>二、建设项目工程分析</w:t>
      </w:r>
      <w:bookmarkEnd w:id="11"/>
      <w:bookmarkEnd w:id="12"/>
    </w:p>
    <w:tbl>
      <w:tblPr>
        <w:tblStyle w:val="29"/>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7"/>
        <w:gridCol w:w="8597"/>
      </w:tblGrid>
      <w:tr w14:paraId="39555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387" w:type="dxa"/>
            <w:tcBorders>
              <w:tl2br w:val="nil"/>
              <w:tr2bl w:val="nil"/>
            </w:tcBorders>
            <w:vAlign w:val="center"/>
          </w:tcPr>
          <w:p w14:paraId="074D92B9">
            <w:pPr>
              <w:pStyle w:val="24"/>
              <w:keepNext w:val="0"/>
              <w:keepLines w:val="0"/>
              <w:pageBreakBefore w:val="0"/>
              <w:widowControl/>
              <w:kinsoku/>
              <w:wordWrap/>
              <w:overflowPunct/>
              <w:topLinePunct w:val="0"/>
              <w:bidi w:val="0"/>
              <w:adjustRightInd w:val="0"/>
              <w:snapToGrid w:val="0"/>
              <w:spacing w:before="0" w:beforeAutospacing="0" w:after="0" w:afterAutospacing="0" w:line="240" w:lineRule="auto"/>
              <w:jc w:val="center"/>
              <w:textAlignment w:val="auto"/>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建设内容</w:t>
            </w:r>
          </w:p>
        </w:tc>
        <w:tc>
          <w:tcPr>
            <w:tcW w:w="8597" w:type="dxa"/>
            <w:tcBorders>
              <w:tl2br w:val="nil"/>
              <w:tr2bl w:val="nil"/>
            </w:tcBorders>
            <w:vAlign w:val="top"/>
          </w:tcPr>
          <w:p w14:paraId="33D30931">
            <w:pPr>
              <w:autoSpaceDE w:val="0"/>
              <w:autoSpaceDN w:val="0"/>
              <w:adjustRightInd w:val="0"/>
              <w:snapToGrid w:val="0"/>
              <w:spacing w:line="360" w:lineRule="auto"/>
              <w:jc w:val="left"/>
              <w:rPr>
                <w:rFonts w:ascii="Times New Roman" w:hAnsi="Times New Roman" w:eastAsia="宋体" w:cs="Times New Roman"/>
                <w:b/>
                <w:bCs/>
                <w:color w:val="auto"/>
                <w:spacing w:val="0"/>
                <w:kern w:val="0"/>
                <w:position w:val="0"/>
                <w:sz w:val="24"/>
                <w:highlight w:val="none"/>
              </w:rPr>
            </w:pPr>
            <w:bookmarkStart w:id="13" w:name="_Toc23565"/>
            <w:bookmarkStart w:id="14" w:name="_Toc1364"/>
            <w:r>
              <w:rPr>
                <w:rFonts w:hint="eastAsia" w:ascii="Times New Roman" w:hAnsi="Times New Roman" w:eastAsia="宋体" w:cs="Times New Roman"/>
                <w:b/>
                <w:bCs/>
                <w:color w:val="auto"/>
                <w:spacing w:val="0"/>
                <w:kern w:val="0"/>
                <w:position w:val="0"/>
                <w:sz w:val="24"/>
                <w:highlight w:val="none"/>
              </w:rPr>
              <w:t xml:space="preserve">2.1 </w:t>
            </w:r>
            <w:r>
              <w:rPr>
                <w:rFonts w:ascii="Times New Roman" w:hAnsi="Times New Roman" w:eastAsia="宋体" w:cs="Times New Roman"/>
                <w:b/>
                <w:bCs/>
                <w:color w:val="auto"/>
                <w:spacing w:val="0"/>
                <w:kern w:val="0"/>
                <w:position w:val="0"/>
                <w:sz w:val="24"/>
                <w:highlight w:val="none"/>
              </w:rPr>
              <w:t>项目由来</w:t>
            </w:r>
          </w:p>
          <w:p w14:paraId="2CEDB6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pacing w:val="0"/>
                <w:position w:val="0"/>
                <w:sz w:val="24"/>
                <w:szCs w:val="24"/>
                <w:highlight w:val="none"/>
                <w:u w:val="none"/>
                <w:lang w:eastAsia="zh-CN"/>
              </w:rPr>
              <w:t>福州市搜一家具有限公司</w:t>
            </w:r>
            <w:r>
              <w:rPr>
                <w:rFonts w:hint="eastAsia"/>
                <w:color w:val="auto"/>
                <w:sz w:val="24"/>
                <w:szCs w:val="24"/>
                <w:highlight w:val="none"/>
                <w:lang w:val="en-US" w:eastAsia="zh-CN"/>
              </w:rPr>
              <w:t>（以下简称“公司”）</w:t>
            </w:r>
            <w:r>
              <w:rPr>
                <w:rFonts w:hint="eastAsia" w:ascii="Times New Roman" w:hAnsi="Times New Roman" w:eastAsia="宋体" w:cs="Times New Roman"/>
                <w:color w:val="auto"/>
                <w:spacing w:val="0"/>
                <w:position w:val="0"/>
                <w:sz w:val="24"/>
                <w:szCs w:val="24"/>
                <w:highlight w:val="none"/>
                <w:u w:val="none"/>
                <w:lang w:eastAsia="zh-CN"/>
              </w:rPr>
              <w:t>现厂址位于</w:t>
            </w:r>
            <w:r>
              <w:rPr>
                <w:rFonts w:hint="eastAsia" w:cs="Times New Roman"/>
                <w:color w:val="auto"/>
                <w:spacing w:val="0"/>
                <w:position w:val="0"/>
                <w:sz w:val="24"/>
                <w:szCs w:val="24"/>
                <w:highlight w:val="none"/>
                <w:u w:val="none"/>
                <w:lang w:val="en-US" w:eastAsia="zh-CN"/>
              </w:rPr>
              <w:t>福</w:t>
            </w:r>
            <w:r>
              <w:rPr>
                <w:rFonts w:hint="eastAsia" w:ascii="Times New Roman" w:hAnsi="Times New Roman" w:eastAsia="宋体" w:cs="Times New Roman"/>
                <w:color w:val="auto"/>
                <w:spacing w:val="0"/>
                <w:position w:val="0"/>
                <w:sz w:val="24"/>
                <w:szCs w:val="24"/>
                <w:highlight w:val="none"/>
                <w:u w:val="none"/>
                <w:lang w:val="en-US" w:eastAsia="zh-CN"/>
              </w:rPr>
              <w:t>建省福州市闽侯县荆溪镇长龙三路23、25号（</w:t>
            </w:r>
            <w:r>
              <w:rPr>
                <w:rFonts w:hint="eastAsia" w:cs="Times New Roman"/>
                <w:color w:val="auto"/>
                <w:spacing w:val="0"/>
                <w:position w:val="0"/>
                <w:sz w:val="24"/>
                <w:szCs w:val="24"/>
                <w:highlight w:val="none"/>
                <w:u w:val="none"/>
                <w:lang w:val="en-US" w:eastAsia="zh-CN"/>
              </w:rPr>
              <w:t>福建省奥德瑞电子科技有限公司</w:t>
            </w:r>
            <w:r>
              <w:rPr>
                <w:rFonts w:hint="eastAsia" w:ascii="Times New Roman" w:hAnsi="Times New Roman" w:eastAsia="宋体" w:cs="Times New Roman"/>
                <w:color w:val="auto"/>
                <w:spacing w:val="0"/>
                <w:position w:val="0"/>
                <w:sz w:val="24"/>
                <w:szCs w:val="24"/>
                <w:highlight w:val="none"/>
                <w:u w:val="none"/>
                <w:lang w:val="en-US" w:eastAsia="zh-CN"/>
              </w:rPr>
              <w:t>8#厂房），公司</w:t>
            </w:r>
            <w:r>
              <w:rPr>
                <w:rFonts w:hint="eastAsia" w:ascii="Times New Roman" w:hAnsi="Times New Roman" w:eastAsia="宋体" w:cs="Times New Roman"/>
                <w:color w:val="auto"/>
                <w:sz w:val="24"/>
                <w:highlight w:val="none"/>
                <w:lang w:eastAsia="zh-CN"/>
              </w:rPr>
              <w:t>于</w:t>
            </w:r>
            <w:r>
              <w:rPr>
                <w:rFonts w:ascii="Times New Roman" w:hAnsi="Times New Roman" w:eastAsia="宋体" w:cs="Times New Roman"/>
                <w:color w:val="auto"/>
                <w:sz w:val="24"/>
                <w:highlight w:val="none"/>
              </w:rPr>
              <w:t>20</w:t>
            </w:r>
            <w:r>
              <w:rPr>
                <w:rFonts w:hint="eastAsia" w:cs="Times New Roman"/>
                <w:color w:val="auto"/>
                <w:sz w:val="24"/>
                <w:highlight w:val="none"/>
                <w:lang w:val="en-US" w:eastAsia="zh-CN"/>
              </w:rPr>
              <w:t>21</w:t>
            </w:r>
            <w:r>
              <w:rPr>
                <w:rFonts w:ascii="Times New Roman" w:hAnsi="Times New Roman" w:eastAsia="宋体" w:cs="Times New Roman"/>
                <w:color w:val="auto"/>
                <w:sz w:val="24"/>
                <w:highlight w:val="none"/>
              </w:rPr>
              <w:t>年</w:t>
            </w:r>
            <w:r>
              <w:rPr>
                <w:rFonts w:hint="eastAsia" w:cs="Times New Roman"/>
                <w:color w:val="auto"/>
                <w:sz w:val="24"/>
                <w:highlight w:val="none"/>
                <w:lang w:val="en-US" w:eastAsia="zh-CN"/>
              </w:rPr>
              <w:t>8</w:t>
            </w:r>
            <w:r>
              <w:rPr>
                <w:rFonts w:ascii="Times New Roman" w:hAnsi="Times New Roman" w:eastAsia="宋体" w:cs="Times New Roman"/>
                <w:color w:val="auto"/>
                <w:sz w:val="24"/>
                <w:highlight w:val="none"/>
              </w:rPr>
              <w:t>月</w:t>
            </w:r>
            <w:r>
              <w:rPr>
                <w:rFonts w:hint="eastAsia" w:cs="Times New Roman"/>
                <w:color w:val="auto"/>
                <w:sz w:val="24"/>
                <w:highlight w:val="none"/>
                <w:lang w:val="en-US" w:eastAsia="zh-CN"/>
              </w:rPr>
              <w:t>5</w:t>
            </w:r>
            <w:r>
              <w:rPr>
                <w:rFonts w:ascii="Times New Roman" w:hAnsi="Times New Roman" w:eastAsia="宋体" w:cs="Times New Roman"/>
                <w:color w:val="auto"/>
                <w:sz w:val="24"/>
                <w:highlight w:val="none"/>
              </w:rPr>
              <w:t>日通过</w:t>
            </w:r>
            <w:r>
              <w:rPr>
                <w:rFonts w:hint="eastAsia" w:cs="Times New Roman"/>
                <w:b w:val="0"/>
                <w:bCs/>
                <w:color w:val="auto"/>
                <w:spacing w:val="0"/>
                <w:w w:val="100"/>
                <w:position w:val="0"/>
                <w:sz w:val="24"/>
                <w:szCs w:val="24"/>
                <w:highlight w:val="none"/>
                <w:lang w:val="en-US" w:eastAsia="zh-CN"/>
              </w:rPr>
              <w:t>福州市生态</w:t>
            </w:r>
            <w:r>
              <w:rPr>
                <w:rFonts w:hint="default" w:ascii="Times New Roman" w:hAnsi="Times New Roman" w:eastAsia="宋体" w:cs="Times New Roman"/>
                <w:b w:val="0"/>
                <w:bCs/>
                <w:color w:val="auto"/>
                <w:spacing w:val="0"/>
                <w:w w:val="100"/>
                <w:position w:val="0"/>
                <w:sz w:val="24"/>
                <w:szCs w:val="24"/>
                <w:highlight w:val="none"/>
              </w:rPr>
              <w:t>环境局</w:t>
            </w:r>
            <w:r>
              <w:rPr>
                <w:rFonts w:ascii="Times New Roman" w:hAnsi="Times New Roman" w:eastAsia="宋体" w:cs="Times New Roman"/>
                <w:color w:val="auto"/>
                <w:sz w:val="24"/>
                <w:highlight w:val="none"/>
              </w:rPr>
              <w:t>审批，审批号为</w:t>
            </w:r>
            <w:r>
              <w:rPr>
                <w:rFonts w:hint="eastAsia" w:cs="Times New Roman"/>
                <w:color w:val="auto"/>
                <w:sz w:val="24"/>
                <w:highlight w:val="none"/>
                <w:lang w:val="en-US" w:eastAsia="zh-CN"/>
              </w:rPr>
              <w:t>侯环评</w:t>
            </w:r>
            <w:r>
              <w:rPr>
                <w:rFonts w:hint="eastAsia" w:ascii="Times New Roman" w:hAnsi="Times New Roman" w:eastAsia="宋体" w:cs="Times New Roman"/>
                <w:color w:val="auto"/>
                <w:sz w:val="24"/>
                <w:highlight w:val="none"/>
              </w:rPr>
              <w:t>[2</w:t>
            </w:r>
            <w:r>
              <w:rPr>
                <w:rFonts w:hint="eastAsia" w:ascii="Times New Roman" w:hAnsi="Times New Roman" w:eastAsia="宋体" w:cs="Times New Roman"/>
                <w:color w:val="auto"/>
                <w:sz w:val="24"/>
                <w:highlight w:val="none"/>
                <w:lang w:val="en-US" w:eastAsia="zh-CN"/>
              </w:rPr>
              <w:t>0</w:t>
            </w:r>
            <w:r>
              <w:rPr>
                <w:rFonts w:hint="eastAsia" w:cs="Times New Roman"/>
                <w:color w:val="auto"/>
                <w:sz w:val="24"/>
                <w:highlight w:val="none"/>
                <w:lang w:val="en-US" w:eastAsia="zh-CN"/>
              </w:rPr>
              <w:t>21</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108</w:t>
            </w:r>
            <w:r>
              <w:rPr>
                <w:rFonts w:ascii="Times New Roman" w:hAnsi="Times New Roman" w:eastAsia="宋体" w:cs="Times New Roman"/>
                <w:color w:val="auto"/>
                <w:sz w:val="24"/>
                <w:highlight w:val="none"/>
              </w:rPr>
              <w:t>号</w:t>
            </w:r>
            <w:r>
              <w:rPr>
                <w:rFonts w:hint="eastAsia" w:ascii="Times New Roman" w:hAnsi="Times New Roman" w:eastAsia="宋体" w:cs="Times New Roman"/>
                <w:color w:val="auto"/>
                <w:sz w:val="24"/>
                <w:highlight w:val="none"/>
                <w:lang w:eastAsia="zh-CN"/>
              </w:rPr>
              <w:t>，环评批复生产规模为年产</w:t>
            </w:r>
            <w:r>
              <w:rPr>
                <w:rFonts w:hint="eastAsia" w:cs="Times New Roman"/>
                <w:color w:val="auto"/>
                <w:kern w:val="2"/>
                <w:sz w:val="24"/>
                <w:szCs w:val="24"/>
                <w:highlight w:val="none"/>
                <w:lang w:val="en-US" w:eastAsia="zh-CN" w:bidi="ar-SA"/>
              </w:rPr>
              <w:t>木质屏风4800个</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highlight w:val="none"/>
                <w:lang w:val="en-US" w:eastAsia="zh-CN"/>
              </w:rPr>
              <w:t>并</w:t>
            </w:r>
            <w:r>
              <w:rPr>
                <w:rFonts w:ascii="Times New Roman" w:hAnsi="Times New Roman" w:eastAsia="宋体" w:cs="Times New Roman"/>
                <w:color w:val="auto"/>
                <w:sz w:val="24"/>
                <w:highlight w:val="none"/>
              </w:rPr>
              <w:t>于20</w:t>
            </w:r>
            <w:r>
              <w:rPr>
                <w:rFonts w:hint="eastAsia" w:cs="Times New Roman"/>
                <w:color w:val="auto"/>
                <w:sz w:val="24"/>
                <w:highlight w:val="none"/>
                <w:lang w:val="en-US" w:eastAsia="zh-CN"/>
              </w:rPr>
              <w:t>21</w:t>
            </w:r>
            <w:r>
              <w:rPr>
                <w:rFonts w:ascii="Times New Roman" w:hAnsi="Times New Roman" w:eastAsia="宋体" w:cs="Times New Roman"/>
                <w:color w:val="auto"/>
                <w:sz w:val="24"/>
                <w:highlight w:val="none"/>
              </w:rPr>
              <w:t>年</w:t>
            </w:r>
            <w:r>
              <w:rPr>
                <w:rFonts w:hint="eastAsia" w:cs="Times New Roman"/>
                <w:color w:val="auto"/>
                <w:sz w:val="24"/>
                <w:highlight w:val="none"/>
                <w:lang w:val="en-US" w:eastAsia="zh-CN"/>
              </w:rPr>
              <w:t>12</w:t>
            </w:r>
            <w:r>
              <w:rPr>
                <w:rFonts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完成企业</w:t>
            </w:r>
            <w:r>
              <w:rPr>
                <w:rFonts w:hint="eastAsia" w:ascii="Times New Roman" w:hAnsi="Times New Roman" w:eastAsia="宋体" w:cs="Times New Roman"/>
                <w:color w:val="auto"/>
                <w:sz w:val="24"/>
                <w:highlight w:val="none"/>
                <w:lang w:eastAsia="zh-CN"/>
              </w:rPr>
              <w:t>自主验收</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pacing w:val="0"/>
                <w:position w:val="0"/>
                <w:sz w:val="24"/>
                <w:szCs w:val="24"/>
                <w:highlight w:val="none"/>
                <w:u w:val="none"/>
                <w:lang w:val="en-US" w:eastAsia="zh-CN"/>
              </w:rPr>
              <w:t>在2021年11月25日在全国排污许可证管理信息平台上取的了“固定污染源排污登记回执”单（登记编号：91350121MA2Y0DLHXN001Y）（详见附件1</w:t>
            </w:r>
            <w:r>
              <w:rPr>
                <w:rFonts w:hint="eastAsia" w:cs="Times New Roman"/>
                <w:color w:val="auto"/>
                <w:spacing w:val="0"/>
                <w:position w:val="0"/>
                <w:sz w:val="24"/>
                <w:szCs w:val="24"/>
                <w:highlight w:val="none"/>
                <w:u w:val="none"/>
                <w:lang w:val="en-US" w:eastAsia="zh-CN"/>
              </w:rPr>
              <w:t>3</w:t>
            </w:r>
            <w:r>
              <w:rPr>
                <w:rFonts w:hint="eastAsia" w:ascii="Times New Roman" w:hAnsi="Times New Roman" w:eastAsia="宋体" w:cs="Times New Roman"/>
                <w:color w:val="auto"/>
                <w:spacing w:val="0"/>
                <w:position w:val="0"/>
                <w:sz w:val="24"/>
                <w:szCs w:val="24"/>
                <w:highlight w:val="none"/>
                <w:u w:val="none"/>
                <w:lang w:val="en-US" w:eastAsia="zh-CN"/>
              </w:rPr>
              <w:t>）</w:t>
            </w:r>
          </w:p>
          <w:p w14:paraId="27F16180">
            <w:pPr>
              <w:pStyle w:val="16"/>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color w:val="auto"/>
                <w:highlight w:val="none"/>
                <w:lang w:val="en-US" w:eastAsia="zh-CN"/>
              </w:rPr>
            </w:pPr>
            <w:r>
              <w:rPr>
                <w:rFonts w:hint="eastAsia" w:ascii="Times New Roman" w:hAnsi="Times New Roman" w:eastAsia="宋体" w:cs="宋体"/>
                <w:color w:val="auto"/>
                <w:spacing w:val="0"/>
                <w:position w:val="0"/>
                <w:sz w:val="24"/>
                <w:szCs w:val="24"/>
                <w:highlight w:val="none"/>
                <w:lang w:val="en-US" w:eastAsia="zh-CN"/>
              </w:rPr>
              <w:t>现</w:t>
            </w:r>
            <w:r>
              <w:rPr>
                <w:rFonts w:hint="eastAsia" w:ascii="Times New Roman" w:hAnsi="Times New Roman" w:eastAsia="宋体" w:cs="宋体"/>
                <w:color w:val="auto"/>
                <w:spacing w:val="0"/>
                <w:position w:val="0"/>
                <w:sz w:val="24"/>
                <w:szCs w:val="24"/>
                <w:highlight w:val="none"/>
                <w:lang w:eastAsia="zh-CN"/>
              </w:rPr>
              <w:t>由于</w:t>
            </w:r>
            <w:r>
              <w:rPr>
                <w:rFonts w:hint="eastAsia" w:ascii="Times New Roman" w:hAnsi="Times New Roman" w:eastAsia="宋体" w:cs="宋体"/>
                <w:color w:val="auto"/>
                <w:spacing w:val="0"/>
                <w:position w:val="0"/>
                <w:sz w:val="24"/>
                <w:szCs w:val="24"/>
                <w:highlight w:val="none"/>
                <w:lang w:val="en-US" w:eastAsia="zh-CN"/>
              </w:rPr>
              <w:t>租用的厂房合同</w:t>
            </w:r>
            <w:r>
              <w:rPr>
                <w:rFonts w:hint="eastAsia" w:ascii="Times New Roman" w:hAnsi="Times New Roman" w:eastAsia="宋体" w:cs="宋体"/>
                <w:color w:val="auto"/>
                <w:spacing w:val="0"/>
                <w:position w:val="0"/>
                <w:sz w:val="24"/>
                <w:szCs w:val="24"/>
                <w:highlight w:val="none"/>
                <w:lang w:eastAsia="zh-CN"/>
              </w:rPr>
              <w:t>到期及</w:t>
            </w:r>
            <w:r>
              <w:rPr>
                <w:rFonts w:hint="eastAsia" w:ascii="Times New Roman" w:hAnsi="Times New Roman" w:eastAsia="宋体" w:cs="宋体"/>
                <w:color w:val="auto"/>
                <w:sz w:val="24"/>
                <w:szCs w:val="24"/>
                <w:highlight w:val="none"/>
                <w:lang w:val="en-US" w:eastAsia="zh-CN"/>
              </w:rPr>
              <w:t>公司</w:t>
            </w:r>
            <w:r>
              <w:rPr>
                <w:rFonts w:hint="eastAsia" w:ascii="Times New Roman" w:hAnsi="Times New Roman" w:eastAsia="宋体" w:cs="宋体"/>
                <w:color w:val="auto"/>
                <w:spacing w:val="0"/>
                <w:position w:val="0"/>
                <w:sz w:val="24"/>
                <w:szCs w:val="24"/>
                <w:highlight w:val="none"/>
                <w:lang w:eastAsia="zh-CN"/>
              </w:rPr>
              <w:t>发展</w:t>
            </w:r>
            <w:r>
              <w:rPr>
                <w:rFonts w:hint="eastAsia" w:ascii="Times New Roman" w:hAnsi="Times New Roman" w:eastAsia="宋体" w:cs="宋体"/>
                <w:color w:val="auto"/>
                <w:spacing w:val="0"/>
                <w:position w:val="0"/>
                <w:sz w:val="24"/>
                <w:szCs w:val="24"/>
                <w:highlight w:val="none"/>
                <w:lang w:val="en-US" w:eastAsia="zh-CN"/>
              </w:rPr>
              <w:t>需要，将项目拟搬迁至</w:t>
            </w:r>
            <w:r>
              <w:rPr>
                <w:rFonts w:hint="eastAsia" w:ascii="Times New Roman" w:hAnsi="Times New Roman" w:eastAsia="宋体" w:cs="Times New Roman"/>
                <w:color w:val="auto"/>
                <w:spacing w:val="0"/>
                <w:position w:val="0"/>
                <w:sz w:val="24"/>
                <w:szCs w:val="24"/>
                <w:highlight w:val="none"/>
                <w:lang w:val="en-US" w:eastAsia="zh-CN"/>
              </w:rPr>
              <w:t>福建省福州市闽侯县荆溪镇长龙三路23、25号（福建省奥德瑞电子科技有限公司5#厂房二层）</w:t>
            </w:r>
            <w:r>
              <w:rPr>
                <w:rFonts w:hint="eastAsia" w:ascii="Times New Roman" w:hAnsi="Times New Roman" w:eastAsia="宋体" w:cs="宋体"/>
                <w:color w:val="auto"/>
                <w:spacing w:val="0"/>
                <w:position w:val="0"/>
                <w:sz w:val="24"/>
                <w:szCs w:val="24"/>
                <w:highlight w:val="none"/>
                <w:lang w:eastAsia="zh-CN"/>
              </w:rPr>
              <w:t>，</w:t>
            </w:r>
            <w:r>
              <w:rPr>
                <w:rFonts w:hint="eastAsia" w:ascii="Times New Roman" w:hAnsi="Times New Roman" w:eastAsia="宋体" w:cs="宋体"/>
                <w:color w:val="auto"/>
                <w:spacing w:val="0"/>
                <w:position w:val="0"/>
                <w:sz w:val="24"/>
                <w:szCs w:val="24"/>
                <w:highlight w:val="none"/>
                <w:lang w:val="en-US" w:eastAsia="zh-CN"/>
              </w:rPr>
              <w:t>租赁</w:t>
            </w:r>
            <w:r>
              <w:rPr>
                <w:rFonts w:hint="eastAsia" w:ascii="Times New Roman" w:hAnsi="Times New Roman" w:eastAsia="宋体" w:cs="Times New Roman"/>
                <w:color w:val="auto"/>
                <w:spacing w:val="0"/>
                <w:position w:val="0"/>
                <w:sz w:val="24"/>
                <w:szCs w:val="24"/>
                <w:highlight w:val="none"/>
                <w:lang w:val="en-US" w:eastAsia="zh-CN"/>
              </w:rPr>
              <w:t>福建省奥德瑞电子科技有限公司5#</w:t>
            </w:r>
            <w:r>
              <w:rPr>
                <w:rFonts w:hint="eastAsia" w:ascii="Times New Roman" w:hAnsi="Times New Roman" w:eastAsia="宋体" w:cs="宋体"/>
                <w:color w:val="auto"/>
                <w:spacing w:val="0"/>
                <w:position w:val="0"/>
                <w:sz w:val="24"/>
                <w:szCs w:val="24"/>
                <w:highlight w:val="none"/>
                <w:lang w:val="en-US" w:eastAsia="zh-CN"/>
              </w:rPr>
              <w:t>闲置生产厂房，</w:t>
            </w:r>
            <w:r>
              <w:rPr>
                <w:rFonts w:hint="eastAsia" w:ascii="Times New Roman" w:hAnsi="Times New Roman" w:eastAsia="宋体" w:cs="宋体"/>
                <w:color w:val="auto"/>
                <w:spacing w:val="0"/>
                <w:position w:val="0"/>
                <w:sz w:val="24"/>
                <w:szCs w:val="24"/>
                <w:highlight w:val="none"/>
                <w:lang w:eastAsia="zh-CN"/>
              </w:rPr>
              <w:t>租赁厂房总建筑面积为</w:t>
            </w:r>
            <w:r>
              <w:rPr>
                <w:rFonts w:hint="eastAsia" w:ascii="Times New Roman" w:hAnsi="Times New Roman" w:eastAsia="宋体" w:cs="宋体"/>
                <w:color w:val="auto"/>
                <w:spacing w:val="0"/>
                <w:position w:val="0"/>
                <w:sz w:val="24"/>
                <w:szCs w:val="24"/>
                <w:highlight w:val="none"/>
                <w:lang w:val="en-US" w:eastAsia="zh-CN"/>
              </w:rPr>
              <w:t>1536.35</w:t>
            </w:r>
            <w:r>
              <w:rPr>
                <w:rFonts w:hint="eastAsia" w:ascii="Times New Roman" w:hAnsi="Times New Roman" w:eastAsia="宋体" w:cs="宋体"/>
                <w:color w:val="auto"/>
                <w:spacing w:val="0"/>
                <w:position w:val="0"/>
                <w:sz w:val="24"/>
                <w:szCs w:val="24"/>
                <w:highlight w:val="none"/>
                <w:lang w:eastAsia="zh-CN"/>
              </w:rPr>
              <w:t>m</w:t>
            </w:r>
            <w:r>
              <w:rPr>
                <w:rFonts w:hint="eastAsia" w:ascii="Times New Roman" w:hAnsi="Times New Roman" w:eastAsia="宋体" w:cs="宋体"/>
                <w:color w:val="auto"/>
                <w:spacing w:val="0"/>
                <w:position w:val="0"/>
                <w:sz w:val="24"/>
                <w:szCs w:val="24"/>
                <w:highlight w:val="none"/>
                <w:vertAlign w:val="superscript"/>
                <w:lang w:eastAsia="zh-CN"/>
              </w:rPr>
              <w:t>2</w:t>
            </w:r>
            <w:r>
              <w:rPr>
                <w:rFonts w:hint="eastAsia" w:ascii="Times New Roman" w:hAnsi="Times New Roman" w:eastAsia="宋体" w:cs="宋体"/>
                <w:color w:val="auto"/>
                <w:spacing w:val="0"/>
                <w:position w:val="0"/>
                <w:sz w:val="24"/>
                <w:szCs w:val="24"/>
                <w:highlight w:val="none"/>
                <w:lang w:eastAsia="zh-CN"/>
              </w:rPr>
              <w:t>。项目</w:t>
            </w:r>
            <w:r>
              <w:rPr>
                <w:rFonts w:hint="eastAsia" w:ascii="Times New Roman" w:hAnsi="Times New Roman" w:eastAsia="宋体" w:cs="宋体"/>
                <w:color w:val="auto"/>
                <w:spacing w:val="0"/>
                <w:position w:val="0"/>
                <w:sz w:val="24"/>
                <w:szCs w:val="24"/>
                <w:highlight w:val="none"/>
                <w:lang w:val="en-US" w:eastAsia="zh-CN"/>
              </w:rPr>
              <w:t>本次</w:t>
            </w:r>
            <w:r>
              <w:rPr>
                <w:rFonts w:hint="eastAsia" w:ascii="Times New Roman" w:hAnsi="Times New Roman" w:eastAsia="宋体" w:cs="宋体"/>
                <w:color w:val="auto"/>
                <w:spacing w:val="0"/>
                <w:position w:val="0"/>
                <w:sz w:val="24"/>
                <w:szCs w:val="24"/>
                <w:highlight w:val="none"/>
                <w:lang w:eastAsia="zh-CN"/>
              </w:rPr>
              <w:t>迁建</w:t>
            </w:r>
            <w:r>
              <w:rPr>
                <w:rFonts w:hint="eastAsia" w:ascii="Times New Roman" w:hAnsi="Times New Roman" w:eastAsia="宋体" w:cs="宋体"/>
                <w:color w:val="auto"/>
                <w:spacing w:val="0"/>
                <w:position w:val="0"/>
                <w:sz w:val="24"/>
                <w:szCs w:val="24"/>
                <w:highlight w:val="none"/>
                <w:lang w:val="en-US" w:eastAsia="zh-CN"/>
              </w:rPr>
              <w:t>新增投资15万元、不新增产能</w:t>
            </w:r>
            <w:r>
              <w:rPr>
                <w:rFonts w:hint="eastAsia" w:ascii="Times New Roman" w:hAnsi="Times New Roman" w:eastAsia="宋体" w:cs="宋体"/>
                <w:color w:val="auto"/>
                <w:spacing w:val="0"/>
                <w:position w:val="0"/>
                <w:sz w:val="24"/>
                <w:szCs w:val="24"/>
                <w:highlight w:val="none"/>
                <w:lang w:eastAsia="zh-CN"/>
              </w:rPr>
              <w:t>、</w:t>
            </w:r>
            <w:r>
              <w:rPr>
                <w:rFonts w:hint="eastAsia" w:ascii="Times New Roman" w:hAnsi="Times New Roman" w:eastAsia="宋体" w:cs="宋体"/>
                <w:color w:val="auto"/>
                <w:spacing w:val="0"/>
                <w:position w:val="0"/>
                <w:sz w:val="24"/>
                <w:szCs w:val="24"/>
                <w:highlight w:val="none"/>
                <w:lang w:val="en-US" w:eastAsia="zh-CN"/>
              </w:rPr>
              <w:t>不</w:t>
            </w:r>
            <w:r>
              <w:rPr>
                <w:rFonts w:hint="eastAsia" w:ascii="Times New Roman" w:hAnsi="Times New Roman" w:eastAsia="宋体" w:cs="宋体"/>
                <w:color w:val="auto"/>
                <w:spacing w:val="0"/>
                <w:position w:val="0"/>
                <w:sz w:val="24"/>
                <w:szCs w:val="24"/>
                <w:highlight w:val="none"/>
                <w:lang w:eastAsia="zh-CN"/>
              </w:rPr>
              <w:t>新增职工人数，职工</w:t>
            </w:r>
            <w:r>
              <w:rPr>
                <w:rFonts w:hint="eastAsia" w:ascii="Times New Roman" w:hAnsi="Times New Roman" w:eastAsia="宋体" w:cs="宋体"/>
                <w:color w:val="auto"/>
                <w:spacing w:val="0"/>
                <w:position w:val="0"/>
                <w:sz w:val="24"/>
                <w:szCs w:val="24"/>
                <w:highlight w:val="none"/>
                <w:lang w:val="en-US" w:eastAsia="zh-CN"/>
              </w:rPr>
              <w:t>总</w:t>
            </w:r>
            <w:r>
              <w:rPr>
                <w:rFonts w:hint="eastAsia" w:ascii="Times New Roman" w:hAnsi="Times New Roman" w:eastAsia="宋体" w:cs="宋体"/>
                <w:color w:val="auto"/>
                <w:spacing w:val="0"/>
                <w:position w:val="0"/>
                <w:sz w:val="24"/>
                <w:szCs w:val="24"/>
                <w:highlight w:val="none"/>
                <w:lang w:eastAsia="zh-CN"/>
              </w:rPr>
              <w:t>人数</w:t>
            </w:r>
            <w:r>
              <w:rPr>
                <w:rFonts w:hint="eastAsia" w:ascii="Times New Roman" w:hAnsi="Times New Roman" w:eastAsia="宋体" w:cs="宋体"/>
                <w:color w:val="auto"/>
                <w:spacing w:val="0"/>
                <w:position w:val="0"/>
                <w:sz w:val="24"/>
                <w:szCs w:val="24"/>
                <w:highlight w:val="none"/>
                <w:lang w:val="en-US" w:eastAsia="zh-CN"/>
              </w:rPr>
              <w:t>为20</w:t>
            </w:r>
            <w:r>
              <w:rPr>
                <w:rFonts w:hint="eastAsia" w:ascii="Times New Roman" w:hAnsi="Times New Roman" w:eastAsia="宋体" w:cs="宋体"/>
                <w:color w:val="auto"/>
                <w:spacing w:val="0"/>
                <w:position w:val="0"/>
                <w:sz w:val="24"/>
                <w:szCs w:val="24"/>
                <w:highlight w:val="none"/>
                <w:lang w:eastAsia="zh-CN"/>
              </w:rPr>
              <w:t>人（均不住宿），厂区内不设员工食堂。</w:t>
            </w:r>
            <w:r>
              <w:rPr>
                <w:rFonts w:ascii="Times New Roman" w:hAnsi="Times New Roman" w:eastAsia="宋体" w:cs="宋体"/>
                <w:color w:val="auto"/>
                <w:kern w:val="0"/>
                <w:sz w:val="24"/>
                <w:szCs w:val="24"/>
                <w:highlight w:val="none"/>
              </w:rPr>
              <w:t>且项目已于202</w:t>
            </w:r>
            <w:r>
              <w:rPr>
                <w:rFonts w:hint="eastAsia" w:ascii="Times New Roman" w:hAnsi="Times New Roman" w:eastAsia="宋体" w:cs="宋体"/>
                <w:color w:val="auto"/>
                <w:kern w:val="0"/>
                <w:sz w:val="24"/>
                <w:szCs w:val="24"/>
                <w:highlight w:val="none"/>
                <w:lang w:val="en-US" w:eastAsia="zh-CN"/>
              </w:rPr>
              <w:t>6</w:t>
            </w:r>
            <w:r>
              <w:rPr>
                <w:rFonts w:ascii="Times New Roman" w:hAnsi="Times New Roman" w:eastAsia="宋体" w:cs="宋体"/>
                <w:color w:val="auto"/>
                <w:kern w:val="0"/>
                <w:sz w:val="24"/>
                <w:szCs w:val="24"/>
                <w:highlight w:val="none"/>
              </w:rPr>
              <w:t>年</w:t>
            </w:r>
            <w:r>
              <w:rPr>
                <w:rFonts w:hint="eastAsia" w:ascii="Times New Roman" w:hAnsi="Times New Roman" w:eastAsia="宋体" w:cs="宋体"/>
                <w:color w:val="auto"/>
                <w:kern w:val="0"/>
                <w:sz w:val="24"/>
                <w:szCs w:val="24"/>
                <w:highlight w:val="none"/>
                <w:lang w:val="en-US" w:eastAsia="zh-CN"/>
              </w:rPr>
              <w:t>05</w:t>
            </w:r>
            <w:r>
              <w:rPr>
                <w:rFonts w:ascii="Times New Roman" w:hAnsi="Times New Roman" w:eastAsia="宋体" w:cs="宋体"/>
                <w:color w:val="auto"/>
                <w:kern w:val="0"/>
                <w:sz w:val="24"/>
                <w:szCs w:val="24"/>
                <w:highlight w:val="none"/>
              </w:rPr>
              <w:t>月</w:t>
            </w:r>
            <w:r>
              <w:rPr>
                <w:rFonts w:hint="eastAsia" w:ascii="Times New Roman" w:hAnsi="Times New Roman" w:eastAsia="宋体" w:cs="宋体"/>
                <w:color w:val="auto"/>
                <w:kern w:val="0"/>
                <w:sz w:val="24"/>
                <w:szCs w:val="24"/>
                <w:highlight w:val="none"/>
                <w:lang w:val="en-US" w:eastAsia="zh-CN"/>
              </w:rPr>
              <w:t>07</w:t>
            </w:r>
            <w:r>
              <w:rPr>
                <w:rFonts w:ascii="Times New Roman" w:hAnsi="Times New Roman" w:eastAsia="宋体" w:cs="宋体"/>
                <w:color w:val="auto"/>
                <w:kern w:val="0"/>
                <w:sz w:val="24"/>
                <w:szCs w:val="24"/>
                <w:highlight w:val="none"/>
              </w:rPr>
              <w:t>日取得了</w:t>
            </w:r>
            <w:r>
              <w:rPr>
                <w:rFonts w:hint="eastAsia" w:ascii="Times New Roman" w:hAnsi="Times New Roman" w:eastAsia="宋体" w:cs="宋体"/>
                <w:color w:val="auto"/>
                <w:kern w:val="0"/>
                <w:sz w:val="24"/>
                <w:szCs w:val="24"/>
                <w:highlight w:val="none"/>
                <w:lang w:val="en-US" w:eastAsia="zh-CN"/>
              </w:rPr>
              <w:t>闽侯县</w:t>
            </w:r>
            <w:r>
              <w:rPr>
                <w:rFonts w:hint="eastAsia" w:ascii="Times New Roman" w:hAnsi="Times New Roman" w:eastAsia="宋体" w:cs="宋体"/>
                <w:color w:val="auto"/>
                <w:kern w:val="0"/>
                <w:sz w:val="24"/>
                <w:szCs w:val="24"/>
                <w:highlight w:val="none"/>
              </w:rPr>
              <w:t>发展和改革局</w:t>
            </w:r>
            <w:r>
              <w:rPr>
                <w:rFonts w:ascii="Times New Roman" w:hAnsi="Times New Roman" w:eastAsia="宋体" w:cs="宋体"/>
                <w:color w:val="auto"/>
                <w:kern w:val="0"/>
                <w:sz w:val="24"/>
                <w:szCs w:val="24"/>
                <w:highlight w:val="none"/>
              </w:rPr>
              <w:t>备案（编号：</w:t>
            </w:r>
            <w:r>
              <w:rPr>
                <w:rFonts w:hint="eastAsia" w:ascii="Times New Roman" w:hAnsi="Times New Roman" w:eastAsia="宋体" w:cs="宋体"/>
                <w:color w:val="auto"/>
                <w:kern w:val="0"/>
                <w:sz w:val="24"/>
                <w:szCs w:val="24"/>
                <w:highlight w:val="none"/>
              </w:rPr>
              <w:t>闽</w:t>
            </w:r>
            <w:r>
              <w:rPr>
                <w:rFonts w:hint="eastAsia" w:ascii="Times New Roman" w:hAnsi="Times New Roman" w:eastAsia="宋体" w:cs="宋体"/>
                <w:color w:val="auto"/>
                <w:kern w:val="0"/>
                <w:sz w:val="24"/>
                <w:szCs w:val="24"/>
                <w:highlight w:val="none"/>
                <w:lang w:val="en-US" w:eastAsia="zh-CN"/>
              </w:rPr>
              <w:t>发改</w:t>
            </w:r>
            <w:r>
              <w:rPr>
                <w:rFonts w:hint="eastAsia" w:ascii="Times New Roman" w:hAnsi="Times New Roman" w:eastAsia="宋体" w:cs="宋体"/>
                <w:color w:val="auto"/>
                <w:kern w:val="0"/>
                <w:sz w:val="24"/>
                <w:szCs w:val="24"/>
                <w:highlight w:val="none"/>
              </w:rPr>
              <w:t>备</w:t>
            </w:r>
            <w:r>
              <w:rPr>
                <w:rFonts w:hint="eastAsia" w:ascii="Times New Roman" w:hAnsi="Times New Roman" w:eastAsia="宋体" w:cs="宋体"/>
                <w:color w:val="auto"/>
                <w:sz w:val="24"/>
                <w:szCs w:val="24"/>
                <w:highlight w:val="none"/>
              </w:rPr>
              <w:t>[202</w:t>
            </w:r>
            <w:r>
              <w:rPr>
                <w:rFonts w:hint="eastAsia" w:ascii="Times New Roman" w:hAnsi="Times New Roman" w:eastAsia="宋体" w:cs="宋体"/>
                <w:color w:val="auto"/>
                <w:sz w:val="24"/>
                <w:szCs w:val="24"/>
                <w:highlight w:val="none"/>
                <w:lang w:val="en-US" w:eastAsia="zh-CN"/>
              </w:rPr>
              <w:t>6</w:t>
            </w: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lang w:val="en-US" w:eastAsia="zh-CN"/>
              </w:rPr>
              <w:t>A080343号</w:t>
            </w:r>
            <w:r>
              <w:rPr>
                <w:rFonts w:ascii="Times New Roman" w:hAnsi="Times New Roman" w:eastAsia="宋体" w:cs="宋体"/>
                <w:color w:val="auto"/>
                <w:kern w:val="0"/>
                <w:sz w:val="24"/>
                <w:szCs w:val="24"/>
                <w:highlight w:val="none"/>
              </w:rPr>
              <w:t>，详见附件</w:t>
            </w:r>
            <w:r>
              <w:rPr>
                <w:rFonts w:hint="eastAsia" w:ascii="Times New Roman" w:hAnsi="Times New Roman" w:eastAsia="宋体" w:cs="宋体"/>
                <w:color w:val="auto"/>
                <w:kern w:val="0"/>
                <w:sz w:val="24"/>
                <w:szCs w:val="24"/>
                <w:highlight w:val="none"/>
                <w:lang w:val="en-US" w:eastAsia="zh-CN"/>
              </w:rPr>
              <w:t>3</w:t>
            </w:r>
            <w:r>
              <w:rPr>
                <w:rFonts w:ascii="Times New Roman" w:hAnsi="Times New Roman" w:eastAsia="宋体" w:cs="宋体"/>
                <w:color w:val="auto"/>
                <w:kern w:val="0"/>
                <w:sz w:val="24"/>
                <w:szCs w:val="24"/>
                <w:highlight w:val="none"/>
              </w:rPr>
              <w:t>）</w:t>
            </w:r>
            <w:r>
              <w:rPr>
                <w:rFonts w:hint="eastAsia" w:ascii="Times New Roman" w:hAnsi="Times New Roman" w:eastAsia="宋体" w:cs="宋体"/>
                <w:color w:val="auto"/>
                <w:spacing w:val="0"/>
                <w:position w:val="0"/>
                <w:sz w:val="24"/>
                <w:szCs w:val="24"/>
                <w:highlight w:val="none"/>
                <w:lang w:eastAsia="zh-CN"/>
              </w:rPr>
              <w:t>。</w:t>
            </w:r>
          </w:p>
          <w:p w14:paraId="42957AF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highlight w:val="none"/>
                <w:lang w:val="en-US" w:eastAsia="zh-CN" w:bidi="ar"/>
              </w:rPr>
            </w:pPr>
            <w:r>
              <w:rPr>
                <w:rFonts w:hint="default" w:ascii="Times New Roman" w:hAnsi="Times New Roman" w:eastAsia="宋体" w:cs="Times New Roman"/>
                <w:b w:val="0"/>
                <w:bCs w:val="0"/>
                <w:color w:val="auto"/>
                <w:spacing w:val="0"/>
                <w:position w:val="0"/>
                <w:sz w:val="24"/>
                <w:szCs w:val="24"/>
                <w:highlight w:val="none"/>
              </w:rPr>
              <w:t>根据《中华人民共和国环境影响评价法》</w:t>
            </w:r>
            <w:r>
              <w:rPr>
                <w:rFonts w:hint="eastAsia" w:cs="Times New Roman"/>
                <w:b w:val="0"/>
                <w:bCs w:val="0"/>
                <w:color w:val="auto"/>
                <w:spacing w:val="0"/>
                <w:position w:val="0"/>
                <w:sz w:val="24"/>
                <w:szCs w:val="24"/>
                <w:highlight w:val="none"/>
                <w:lang w:eastAsia="zh-CN"/>
              </w:rPr>
              <w:t>（</w:t>
            </w:r>
            <w:r>
              <w:rPr>
                <w:rFonts w:hint="eastAsia" w:cs="Times New Roman"/>
                <w:b w:val="0"/>
                <w:bCs w:val="0"/>
                <w:color w:val="auto"/>
                <w:spacing w:val="0"/>
                <w:position w:val="0"/>
                <w:sz w:val="24"/>
                <w:szCs w:val="24"/>
                <w:highlight w:val="none"/>
                <w:lang w:val="en-US" w:eastAsia="zh-CN"/>
              </w:rPr>
              <w:t>2018年修正版</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、《建设项目环境保护管理条例》</w:t>
            </w:r>
            <w:r>
              <w:rPr>
                <w:rFonts w:hint="eastAsia" w:cs="Times New Roman"/>
                <w:b w:val="0"/>
                <w:bCs w:val="0"/>
                <w:color w:val="auto"/>
                <w:spacing w:val="0"/>
                <w:position w:val="0"/>
                <w:sz w:val="24"/>
                <w:szCs w:val="24"/>
                <w:highlight w:val="none"/>
                <w:lang w:eastAsia="zh-CN"/>
              </w:rPr>
              <w:t>（</w:t>
            </w:r>
            <w:r>
              <w:rPr>
                <w:rFonts w:ascii="Helvetica" w:hAnsi="Helvetica" w:eastAsia="Helvetica" w:cs="Helvetica"/>
                <w:i w:val="0"/>
                <w:iCs w:val="0"/>
                <w:caps w:val="0"/>
                <w:color w:val="auto"/>
                <w:spacing w:val="0"/>
                <w:sz w:val="24"/>
                <w:szCs w:val="24"/>
                <w:highlight w:val="none"/>
                <w:shd w:val="clear" w:fill="FFFFFF"/>
              </w:rPr>
              <w:t>中华人民共和国国务院令第</w:t>
            </w:r>
            <w:r>
              <w:rPr>
                <w:rFonts w:hint="default" w:ascii="Times New Roman" w:hAnsi="Times New Roman" w:eastAsia="Helvetica" w:cs="Times New Roman"/>
                <w:i w:val="0"/>
                <w:iCs w:val="0"/>
                <w:caps w:val="0"/>
                <w:color w:val="auto"/>
                <w:spacing w:val="0"/>
                <w:sz w:val="24"/>
                <w:szCs w:val="24"/>
                <w:highlight w:val="none"/>
                <w:shd w:val="clear" w:fill="FFFFFF"/>
              </w:rPr>
              <w:t>682</w:t>
            </w:r>
            <w:r>
              <w:rPr>
                <w:rFonts w:ascii="Helvetica" w:hAnsi="Helvetica" w:eastAsia="Helvetica" w:cs="Helvetica"/>
                <w:i w:val="0"/>
                <w:iCs w:val="0"/>
                <w:caps w:val="0"/>
                <w:color w:val="auto"/>
                <w:spacing w:val="0"/>
                <w:sz w:val="24"/>
                <w:szCs w:val="24"/>
                <w:highlight w:val="none"/>
                <w:shd w:val="clear" w:fill="FFFFFF"/>
              </w:rPr>
              <w:t>号</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、《建设项目环境影响评价分类管理名录》</w:t>
            </w:r>
            <w:r>
              <w:rPr>
                <w:rFonts w:hint="default"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lang w:val="en-US" w:eastAsia="zh-CN"/>
              </w:rPr>
              <w:t>2021年版</w:t>
            </w:r>
            <w:r>
              <w:rPr>
                <w:rFonts w:hint="default"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及参照《国民经济行业分类》（GB/T4754-2017），该项目属于《建设项目环境影响评价分类管理名录》</w:t>
            </w:r>
            <w:r>
              <w:rPr>
                <w:rFonts w:hint="default"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lang w:val="en-US" w:eastAsia="zh-CN"/>
              </w:rPr>
              <w:t>2021年版</w:t>
            </w:r>
            <w:r>
              <w:rPr>
                <w:rFonts w:hint="default"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中</w:t>
            </w:r>
            <w:r>
              <w:rPr>
                <w:rFonts w:hint="eastAsia" w:ascii="Times New Roman" w:hAnsi="Times New Roman" w:eastAsia="宋体" w:cs="Times New Roman"/>
                <w:b w:val="0"/>
                <w:bCs w:val="0"/>
                <w:color w:val="auto"/>
                <w:spacing w:val="0"/>
                <w:position w:val="0"/>
                <w:sz w:val="24"/>
                <w:szCs w:val="24"/>
                <w:highlight w:val="none"/>
                <w:lang w:eastAsia="zh-CN"/>
              </w:rPr>
              <w:t>“十八、家具制造业21：36 木质家具制造211 其他（仅分割、组装的除外；年用非溶剂型低VOCs含量涂料10吨以下的除外）”</w:t>
            </w:r>
            <w:r>
              <w:rPr>
                <w:rFonts w:hint="default" w:ascii="Times New Roman" w:hAnsi="Times New Roman" w:eastAsia="宋体" w:cs="Times New Roman"/>
                <w:b w:val="0"/>
                <w:bCs w:val="0"/>
                <w:color w:val="auto"/>
                <w:spacing w:val="0"/>
                <w:position w:val="0"/>
                <w:sz w:val="24"/>
                <w:szCs w:val="24"/>
                <w:highlight w:val="none"/>
              </w:rPr>
              <w:t>，应编制环境影响报告表，办理环保审批</w:t>
            </w:r>
            <w:r>
              <w:rPr>
                <w:rFonts w:hint="eastAsia" w:ascii="Times New Roman" w:hAnsi="Times New Roman" w:eastAsia="宋体" w:cs="Times New Roman"/>
                <w:color w:val="auto"/>
                <w:spacing w:val="0"/>
                <w:kern w:val="0"/>
                <w:position w:val="0"/>
                <w:sz w:val="24"/>
                <w:szCs w:val="24"/>
                <w:highlight w:val="none"/>
                <w:lang w:val="en-US" w:eastAsia="zh-CN" w:bidi="ar"/>
              </w:rPr>
              <w:t>。因此，建设单位于</w:t>
            </w:r>
            <w:r>
              <w:rPr>
                <w:rFonts w:hint="default" w:ascii="Times New Roman" w:hAnsi="Times New Roman" w:eastAsia="宋体" w:cs="Times New Roman"/>
                <w:color w:val="auto"/>
                <w:spacing w:val="0"/>
                <w:kern w:val="0"/>
                <w:position w:val="0"/>
                <w:sz w:val="24"/>
                <w:szCs w:val="24"/>
                <w:highlight w:val="none"/>
                <w:lang w:val="en-US" w:eastAsia="zh-CN" w:bidi="ar"/>
              </w:rPr>
              <w:t>202</w:t>
            </w:r>
            <w:r>
              <w:rPr>
                <w:rFonts w:hint="eastAsia" w:cs="Times New Roman"/>
                <w:color w:val="auto"/>
                <w:spacing w:val="0"/>
                <w:kern w:val="0"/>
                <w:position w:val="0"/>
                <w:sz w:val="24"/>
                <w:szCs w:val="24"/>
                <w:highlight w:val="none"/>
                <w:lang w:val="en-US" w:eastAsia="zh-CN" w:bidi="ar"/>
              </w:rPr>
              <w:t>6</w:t>
            </w:r>
            <w:r>
              <w:rPr>
                <w:rFonts w:hint="eastAsia" w:ascii="Times New Roman" w:hAnsi="Times New Roman" w:eastAsia="宋体" w:cs="Times New Roman"/>
                <w:color w:val="auto"/>
                <w:spacing w:val="0"/>
                <w:kern w:val="0"/>
                <w:position w:val="0"/>
                <w:sz w:val="24"/>
                <w:szCs w:val="24"/>
                <w:highlight w:val="none"/>
                <w:lang w:val="en-US" w:eastAsia="zh-CN" w:bidi="ar"/>
              </w:rPr>
              <w:t>年</w:t>
            </w:r>
            <w:r>
              <w:rPr>
                <w:rFonts w:hint="eastAsia" w:cs="Times New Roman"/>
                <w:color w:val="auto"/>
                <w:spacing w:val="0"/>
                <w:kern w:val="0"/>
                <w:position w:val="0"/>
                <w:sz w:val="24"/>
                <w:szCs w:val="24"/>
                <w:highlight w:val="none"/>
                <w:lang w:val="en-US" w:eastAsia="zh-CN" w:bidi="ar"/>
              </w:rPr>
              <w:t>4</w:t>
            </w:r>
            <w:r>
              <w:rPr>
                <w:rFonts w:hint="eastAsia" w:ascii="Times New Roman" w:hAnsi="Times New Roman" w:eastAsia="宋体" w:cs="Times New Roman"/>
                <w:color w:val="auto"/>
                <w:spacing w:val="0"/>
                <w:kern w:val="0"/>
                <w:position w:val="0"/>
                <w:sz w:val="24"/>
                <w:szCs w:val="24"/>
                <w:highlight w:val="none"/>
                <w:lang w:val="en-US" w:eastAsia="zh-CN" w:bidi="ar"/>
              </w:rPr>
              <w:t>月委托我司编制该项目的环境影响报告表。我司接受委托后，派技术人员踏勘现场和收集有关资料，并依照相关规定编写报告表，供建设单位报生态环境主管部门审批。</w:t>
            </w:r>
          </w:p>
          <w:p w14:paraId="3D73F9D0">
            <w:pPr>
              <w:pStyle w:val="111"/>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 xml:space="preserve">表2.1-1 </w:t>
            </w:r>
            <w:r>
              <w:rPr>
                <w:rFonts w:hint="default" w:ascii="Times New Roman" w:hAnsi="Times New Roman" w:eastAsia="宋体" w:cs="Times New Roman"/>
                <w:color w:val="auto"/>
                <w:spacing w:val="0"/>
                <w:position w:val="0"/>
                <w:sz w:val="24"/>
                <w:szCs w:val="24"/>
                <w:highlight w:val="none"/>
              </w:rPr>
              <w:t>建设项目环境保护分类管理目录</w:t>
            </w:r>
          </w:p>
          <w:tbl>
            <w:tblPr>
              <w:tblStyle w:val="2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2362"/>
              <w:gridCol w:w="3479"/>
              <w:gridCol w:w="794"/>
            </w:tblGrid>
            <w:tr w14:paraId="74B2B5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dxa"/>
                  <w:tcBorders>
                    <w:tl2br w:val="single" w:color="auto" w:sz="8" w:space="0"/>
                  </w:tcBorders>
                  <w:noWrap w:val="0"/>
                  <w:vAlign w:val="center"/>
                </w:tcPr>
                <w:p w14:paraId="50077D8C">
                  <w:pPr>
                    <w:jc w:val="right"/>
                    <w:rPr>
                      <w:rFonts w:hint="default" w:ascii="Times New Roman" w:hAnsi="Times New Roman" w:eastAsia="宋体" w:cs="Times New Roman"/>
                      <w:b/>
                      <w:bCs w:val="0"/>
                      <w:color w:val="auto"/>
                      <w:spacing w:val="0"/>
                      <w:position w:val="0"/>
                      <w:szCs w:val="21"/>
                      <w:highlight w:val="none"/>
                    </w:rPr>
                  </w:pPr>
                  <w:r>
                    <w:rPr>
                      <w:rFonts w:hint="default" w:ascii="Times New Roman" w:hAnsi="Times New Roman" w:eastAsia="宋体" w:cs="Times New Roman"/>
                      <w:b/>
                      <w:bCs w:val="0"/>
                      <w:color w:val="auto"/>
                      <w:spacing w:val="0"/>
                      <w:position w:val="0"/>
                      <w:szCs w:val="21"/>
                      <w:highlight w:val="none"/>
                    </w:rPr>
                    <w:t>环评类别</w:t>
                  </w:r>
                </w:p>
                <w:p w14:paraId="64223F7C">
                  <w:pPr>
                    <w:rPr>
                      <w:rFonts w:hint="default" w:ascii="Times New Roman" w:hAnsi="Times New Roman" w:eastAsia="宋体" w:cs="Times New Roman"/>
                      <w:b/>
                      <w:bCs w:val="0"/>
                      <w:color w:val="auto"/>
                      <w:spacing w:val="0"/>
                      <w:position w:val="0"/>
                      <w:szCs w:val="21"/>
                      <w:highlight w:val="none"/>
                    </w:rPr>
                  </w:pPr>
                  <w:r>
                    <w:rPr>
                      <w:rFonts w:hint="default" w:ascii="Times New Roman" w:hAnsi="Times New Roman" w:eastAsia="宋体" w:cs="Times New Roman"/>
                      <w:b/>
                      <w:bCs w:val="0"/>
                      <w:color w:val="auto"/>
                      <w:spacing w:val="0"/>
                      <w:position w:val="0"/>
                      <w:szCs w:val="21"/>
                      <w:highlight w:val="none"/>
                    </w:rPr>
                    <w:t>项目类别</w:t>
                  </w:r>
                </w:p>
              </w:tc>
              <w:tc>
                <w:tcPr>
                  <w:tcW w:w="2273" w:type="dxa"/>
                  <w:tcBorders>
                    <w:tl2br w:val="nil"/>
                    <w:tr2bl w:val="nil"/>
                  </w:tcBorders>
                  <w:noWrap w:val="0"/>
                  <w:vAlign w:val="center"/>
                </w:tcPr>
                <w:p w14:paraId="7589FF3E">
                  <w:pPr>
                    <w:jc w:val="center"/>
                    <w:rPr>
                      <w:rFonts w:hint="default" w:ascii="Times New Roman" w:hAnsi="Times New Roman" w:eastAsia="宋体" w:cs="Times New Roman"/>
                      <w:b/>
                      <w:bCs w:val="0"/>
                      <w:color w:val="auto"/>
                      <w:spacing w:val="0"/>
                      <w:position w:val="0"/>
                      <w:szCs w:val="21"/>
                      <w:highlight w:val="none"/>
                    </w:rPr>
                  </w:pPr>
                  <w:r>
                    <w:rPr>
                      <w:rFonts w:hint="default" w:ascii="Times New Roman" w:hAnsi="Times New Roman" w:eastAsia="宋体" w:cs="Times New Roman"/>
                      <w:b/>
                      <w:bCs w:val="0"/>
                      <w:color w:val="auto"/>
                      <w:spacing w:val="0"/>
                      <w:position w:val="0"/>
                      <w:szCs w:val="21"/>
                      <w:highlight w:val="none"/>
                    </w:rPr>
                    <w:t>报告书</w:t>
                  </w:r>
                </w:p>
              </w:tc>
              <w:tc>
                <w:tcPr>
                  <w:tcW w:w="3347" w:type="dxa"/>
                  <w:tcBorders>
                    <w:tl2br w:val="nil"/>
                    <w:tr2bl w:val="nil"/>
                  </w:tcBorders>
                  <w:shd w:val="clear" w:color="auto" w:fill="D7D7D7" w:themeFill="background1" w:themeFillShade="D8"/>
                  <w:noWrap w:val="0"/>
                  <w:vAlign w:val="center"/>
                </w:tcPr>
                <w:p w14:paraId="1D8C95C2">
                  <w:pPr>
                    <w:jc w:val="center"/>
                    <w:rPr>
                      <w:rFonts w:hint="default" w:ascii="Times New Roman" w:hAnsi="Times New Roman" w:eastAsia="宋体" w:cs="Times New Roman"/>
                      <w:b/>
                      <w:bCs w:val="0"/>
                      <w:color w:val="auto"/>
                      <w:spacing w:val="0"/>
                      <w:position w:val="0"/>
                      <w:szCs w:val="21"/>
                      <w:highlight w:val="none"/>
                    </w:rPr>
                  </w:pPr>
                  <w:r>
                    <w:rPr>
                      <w:rFonts w:hint="default" w:ascii="Times New Roman" w:hAnsi="Times New Roman" w:eastAsia="宋体" w:cs="Times New Roman"/>
                      <w:b/>
                      <w:bCs w:val="0"/>
                      <w:color w:val="auto"/>
                      <w:spacing w:val="0"/>
                      <w:position w:val="0"/>
                      <w:szCs w:val="21"/>
                      <w:highlight w:val="none"/>
                    </w:rPr>
                    <w:t>报告表</w:t>
                  </w:r>
                </w:p>
              </w:tc>
              <w:tc>
                <w:tcPr>
                  <w:tcW w:w="764" w:type="dxa"/>
                  <w:tcBorders>
                    <w:tl2br w:val="nil"/>
                    <w:tr2bl w:val="nil"/>
                  </w:tcBorders>
                  <w:noWrap w:val="0"/>
                  <w:vAlign w:val="center"/>
                </w:tcPr>
                <w:p w14:paraId="6D7FDB93">
                  <w:pPr>
                    <w:jc w:val="center"/>
                    <w:rPr>
                      <w:rFonts w:hint="default" w:ascii="Times New Roman" w:hAnsi="Times New Roman" w:eastAsia="宋体" w:cs="Times New Roman"/>
                      <w:b/>
                      <w:bCs w:val="0"/>
                      <w:color w:val="auto"/>
                      <w:spacing w:val="0"/>
                      <w:position w:val="0"/>
                      <w:szCs w:val="21"/>
                      <w:highlight w:val="none"/>
                    </w:rPr>
                  </w:pPr>
                  <w:r>
                    <w:rPr>
                      <w:rFonts w:hint="default" w:ascii="Times New Roman" w:hAnsi="Times New Roman" w:eastAsia="宋体" w:cs="Times New Roman"/>
                      <w:b/>
                      <w:bCs w:val="0"/>
                      <w:color w:val="auto"/>
                      <w:spacing w:val="0"/>
                      <w:position w:val="0"/>
                      <w:szCs w:val="21"/>
                      <w:highlight w:val="none"/>
                    </w:rPr>
                    <w:t>登记表</w:t>
                  </w:r>
                </w:p>
              </w:tc>
            </w:tr>
            <w:tr w14:paraId="276E84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4" w:type="dxa"/>
                  <w:gridSpan w:val="4"/>
                  <w:tcBorders>
                    <w:tl2br w:val="nil"/>
                    <w:tr2bl w:val="nil"/>
                  </w:tcBorders>
                  <w:shd w:val="clear" w:color="auto" w:fill="D7D7D7" w:themeFill="background1" w:themeFillShade="D8"/>
                  <w:noWrap w:val="0"/>
                  <w:vAlign w:val="center"/>
                </w:tcPr>
                <w:p w14:paraId="06676558">
                  <w:pPr>
                    <w:pStyle w:val="115"/>
                    <w:autoSpaceDE/>
                    <w:autoSpaceDN/>
                    <w:spacing w:before="0" w:after="0" w:line="300" w:lineRule="exact"/>
                    <w:jc w:val="left"/>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kern w:val="2"/>
                      <w:position w:val="0"/>
                      <w:sz w:val="21"/>
                      <w:szCs w:val="21"/>
                      <w:highlight w:val="none"/>
                      <w:lang w:val="en-US" w:eastAsia="zh-CN" w:bidi="ar-SA"/>
                    </w:rPr>
                    <w:t>十</w:t>
                  </w:r>
                  <w:r>
                    <w:rPr>
                      <w:rFonts w:hint="eastAsia" w:cs="Times New Roman"/>
                      <w:color w:val="auto"/>
                      <w:spacing w:val="0"/>
                      <w:kern w:val="2"/>
                      <w:position w:val="0"/>
                      <w:sz w:val="21"/>
                      <w:szCs w:val="21"/>
                      <w:highlight w:val="none"/>
                      <w:lang w:val="en-US" w:eastAsia="zh-CN" w:bidi="ar-SA"/>
                    </w:rPr>
                    <w:t>八</w:t>
                  </w:r>
                  <w:r>
                    <w:rPr>
                      <w:rFonts w:hint="eastAsia" w:ascii="Times New Roman" w:hAnsi="Times New Roman" w:eastAsia="宋体" w:cs="Times New Roman"/>
                      <w:color w:val="auto"/>
                      <w:spacing w:val="0"/>
                      <w:kern w:val="2"/>
                      <w:position w:val="0"/>
                      <w:sz w:val="21"/>
                      <w:szCs w:val="21"/>
                      <w:highlight w:val="none"/>
                      <w:lang w:val="en-US" w:eastAsia="zh-CN" w:bidi="ar-SA"/>
                    </w:rPr>
                    <w:t>、</w:t>
                  </w:r>
                  <w:r>
                    <w:rPr>
                      <w:rFonts w:hint="eastAsia" w:cs="Times New Roman"/>
                      <w:color w:val="auto"/>
                      <w:spacing w:val="0"/>
                      <w:position w:val="0"/>
                      <w:sz w:val="21"/>
                      <w:szCs w:val="21"/>
                      <w:highlight w:val="none"/>
                      <w:lang w:val="en-US" w:eastAsia="zh-CN"/>
                    </w:rPr>
                    <w:t>家具制造业</w:t>
                  </w:r>
                  <w:r>
                    <w:rPr>
                      <w:rFonts w:hint="default" w:ascii="Times New Roman" w:hAnsi="Times New Roman" w:eastAsia="宋体" w:cs="Times New Roman"/>
                      <w:color w:val="auto"/>
                      <w:spacing w:val="0"/>
                      <w:position w:val="0"/>
                      <w:sz w:val="21"/>
                      <w:szCs w:val="21"/>
                      <w:highlight w:val="none"/>
                    </w:rPr>
                    <w:t>2</w:t>
                  </w:r>
                  <w:r>
                    <w:rPr>
                      <w:rFonts w:hint="eastAsia" w:cs="Times New Roman"/>
                      <w:color w:val="auto"/>
                      <w:spacing w:val="0"/>
                      <w:position w:val="0"/>
                      <w:sz w:val="21"/>
                      <w:szCs w:val="21"/>
                      <w:highlight w:val="none"/>
                      <w:lang w:val="en-US" w:eastAsia="zh-CN"/>
                    </w:rPr>
                    <w:t>1</w:t>
                  </w:r>
                </w:p>
              </w:tc>
            </w:tr>
            <w:tr w14:paraId="69AFAB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dxa"/>
                  <w:tcBorders>
                    <w:tl2br w:val="nil"/>
                    <w:tr2bl w:val="nil"/>
                  </w:tcBorders>
                  <w:noWrap w:val="0"/>
                  <w:vAlign w:val="center"/>
                </w:tcPr>
                <w:p w14:paraId="2FCC9FEF">
                  <w:pPr>
                    <w:pStyle w:val="115"/>
                    <w:autoSpaceDE/>
                    <w:autoSpaceDN/>
                    <w:spacing w:before="0" w:after="0" w:line="300" w:lineRule="exact"/>
                    <w:rPr>
                      <w:rFonts w:hint="default" w:ascii="Times New Roman" w:hAnsi="Times New Roman" w:eastAsia="宋体" w:cs="Times New Roman"/>
                      <w:color w:val="auto"/>
                      <w:spacing w:val="0"/>
                      <w:position w:val="0"/>
                      <w:sz w:val="21"/>
                      <w:szCs w:val="21"/>
                      <w:highlight w:val="none"/>
                      <w:lang w:val="en-US"/>
                    </w:rPr>
                  </w:pPr>
                  <w:r>
                    <w:rPr>
                      <w:rFonts w:hint="eastAsia" w:ascii="Times New Roman" w:hAnsi="Times New Roman" w:eastAsia="宋体" w:cs="Times New Roman"/>
                      <w:color w:val="auto"/>
                      <w:spacing w:val="0"/>
                      <w:position w:val="0"/>
                      <w:sz w:val="21"/>
                      <w:szCs w:val="21"/>
                      <w:highlight w:val="none"/>
                      <w:lang w:eastAsia="zh-CN"/>
                    </w:rPr>
                    <w:t>3</w:t>
                  </w:r>
                  <w:r>
                    <w:rPr>
                      <w:rFonts w:hint="eastAsia" w:cs="Times New Roman"/>
                      <w:color w:val="auto"/>
                      <w:spacing w:val="0"/>
                      <w:position w:val="0"/>
                      <w:sz w:val="21"/>
                      <w:szCs w:val="21"/>
                      <w:highlight w:val="none"/>
                      <w:lang w:val="en-US" w:eastAsia="zh-CN"/>
                    </w:rPr>
                    <w:t>6、木质家具制造211</w:t>
                  </w:r>
                </w:p>
              </w:tc>
              <w:tc>
                <w:tcPr>
                  <w:tcW w:w="2273" w:type="dxa"/>
                  <w:tcBorders>
                    <w:tl2br w:val="nil"/>
                    <w:tr2bl w:val="nil"/>
                  </w:tcBorders>
                  <w:noWrap w:val="0"/>
                  <w:vAlign w:val="center"/>
                </w:tcPr>
                <w:p w14:paraId="168683DE">
                  <w:pPr>
                    <w:pStyle w:val="115"/>
                    <w:autoSpaceDE/>
                    <w:autoSpaceDN/>
                    <w:spacing w:before="0" w:after="0" w:line="300" w:lineRule="exact"/>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有电镀工艺的</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年用溶剂型涂料</w:t>
                  </w: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含稀释剂</w:t>
                  </w: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10吨及以上的</w:t>
                  </w:r>
                </w:p>
              </w:tc>
              <w:tc>
                <w:tcPr>
                  <w:tcW w:w="3347" w:type="dxa"/>
                  <w:tcBorders>
                    <w:tl2br w:val="nil"/>
                    <w:tr2bl w:val="nil"/>
                  </w:tcBorders>
                  <w:shd w:val="clear" w:color="auto" w:fill="D7D7D7" w:themeFill="background1" w:themeFillShade="D8"/>
                  <w:noWrap w:val="0"/>
                  <w:vAlign w:val="center"/>
                </w:tcPr>
                <w:p w14:paraId="4CF9E896">
                  <w:pPr>
                    <w:pStyle w:val="115"/>
                    <w:autoSpaceDE/>
                    <w:autoSpaceDN/>
                    <w:spacing w:before="0" w:after="0" w:line="300" w:lineRule="exact"/>
                    <w:rPr>
                      <w:rFonts w:hint="eastAsia" w:ascii="Times New Roman" w:hAnsi="Times New Roman" w:eastAsia="宋体"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其他（仅分割、组装的除外；年用非溶剂型低VOCs含量涂料10吨以下的除外）</w:t>
                  </w:r>
                </w:p>
              </w:tc>
              <w:tc>
                <w:tcPr>
                  <w:tcW w:w="764" w:type="dxa"/>
                  <w:tcBorders>
                    <w:tl2br w:val="nil"/>
                    <w:tr2bl w:val="nil"/>
                  </w:tcBorders>
                  <w:noWrap w:val="0"/>
                  <w:vAlign w:val="center"/>
                </w:tcPr>
                <w:p w14:paraId="47D173EB">
                  <w:pPr>
                    <w:pStyle w:val="115"/>
                    <w:autoSpaceDE/>
                    <w:autoSpaceDN/>
                    <w:spacing w:before="0" w:after="0" w:line="300" w:lineRule="exact"/>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w:t>
                  </w:r>
                </w:p>
              </w:tc>
            </w:tr>
            <w:bookmarkEnd w:id="13"/>
            <w:bookmarkEnd w:id="14"/>
          </w:tbl>
          <w:p w14:paraId="526D3C1F">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ascii="Times New Roman" w:hAnsi="Times New Roman" w:eastAsia="宋体" w:cs="Times New Roman"/>
                <w:b/>
                <w:bCs/>
                <w:color w:val="auto"/>
                <w:spacing w:val="0"/>
                <w:kern w:val="0"/>
                <w:position w:val="0"/>
                <w:sz w:val="24"/>
                <w:szCs w:val="24"/>
                <w:highlight w:val="none"/>
              </w:rPr>
            </w:pPr>
            <w:r>
              <w:rPr>
                <w:rFonts w:hint="eastAsia" w:ascii="Times New Roman" w:hAnsi="Times New Roman" w:eastAsia="宋体" w:cs="Times New Roman"/>
                <w:b/>
                <w:bCs/>
                <w:color w:val="auto"/>
                <w:spacing w:val="0"/>
                <w:kern w:val="0"/>
                <w:position w:val="0"/>
                <w:sz w:val="24"/>
                <w:highlight w:val="none"/>
              </w:rPr>
              <w:t xml:space="preserve">2.2 </w:t>
            </w:r>
            <w:r>
              <w:rPr>
                <w:rFonts w:ascii="Times New Roman" w:hAnsi="Times New Roman" w:eastAsia="宋体" w:cs="Times New Roman"/>
                <w:b/>
                <w:bCs/>
                <w:color w:val="auto"/>
                <w:spacing w:val="0"/>
                <w:kern w:val="0"/>
                <w:position w:val="0"/>
                <w:sz w:val="24"/>
                <w:szCs w:val="24"/>
                <w:highlight w:val="none"/>
              </w:rPr>
              <w:t>项目基本情况</w:t>
            </w:r>
          </w:p>
          <w:p w14:paraId="27D291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u w:val="none"/>
                <w:lang w:eastAsia="zh-CN"/>
              </w:rPr>
            </w:pPr>
            <w:r>
              <w:rPr>
                <w:rFonts w:hint="eastAsia" w:ascii="Times New Roman" w:hAnsi="Times New Roman" w:eastAsia="宋体" w:cs="Times New Roman"/>
                <w:color w:val="auto"/>
                <w:spacing w:val="0"/>
                <w:kern w:val="0"/>
                <w:position w:val="0"/>
                <w:sz w:val="24"/>
                <w:szCs w:val="24"/>
                <w:highlight w:val="none"/>
                <w:lang w:val="en-US" w:eastAsia="zh-CN" w:bidi="ar"/>
              </w:rPr>
              <w:t>（1）</w:t>
            </w:r>
            <w:r>
              <w:rPr>
                <w:rFonts w:hint="default" w:ascii="Times New Roman" w:hAnsi="Times New Roman" w:eastAsia="宋体" w:cs="Times New Roman"/>
                <w:color w:val="auto"/>
                <w:spacing w:val="0"/>
                <w:kern w:val="0"/>
                <w:position w:val="0"/>
                <w:sz w:val="24"/>
                <w:szCs w:val="24"/>
                <w:highlight w:val="none"/>
                <w:lang w:val="en-US" w:eastAsia="zh-CN" w:bidi="ar"/>
              </w:rPr>
              <w:t>项目名称</w:t>
            </w:r>
            <w:r>
              <w:rPr>
                <w:rFonts w:hint="default" w:ascii="Times New Roman" w:hAnsi="Times New Roman" w:eastAsia="宋体" w:cs="Times New Roman"/>
                <w:color w:val="auto"/>
                <w:spacing w:val="0"/>
                <w:position w:val="0"/>
                <w:sz w:val="24"/>
                <w:szCs w:val="24"/>
                <w:highlight w:val="none"/>
                <w:u w:val="none"/>
                <w:lang w:val="en-US" w:eastAsia="zh-CN"/>
              </w:rPr>
              <w:t>：</w:t>
            </w:r>
            <w:r>
              <w:rPr>
                <w:rFonts w:hint="eastAsia" w:cs="Times New Roman"/>
                <w:color w:val="auto"/>
                <w:spacing w:val="0"/>
                <w:position w:val="0"/>
                <w:sz w:val="24"/>
                <w:szCs w:val="24"/>
                <w:highlight w:val="none"/>
                <w:u w:val="none"/>
                <w:lang w:eastAsia="zh-CN"/>
              </w:rPr>
              <w:t>福州市搜一家具有限公司年产木质屏风4800个迁建项目</w:t>
            </w:r>
          </w:p>
          <w:p w14:paraId="7D7F7A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kern w:val="0"/>
                <w:position w:val="0"/>
                <w:sz w:val="24"/>
                <w:szCs w:val="24"/>
                <w:highlight w:val="none"/>
                <w:lang w:val="en-US" w:eastAsia="zh-CN" w:bidi="ar"/>
              </w:rPr>
              <w:t>（2）</w:t>
            </w:r>
            <w:r>
              <w:rPr>
                <w:rFonts w:hint="default" w:ascii="Times New Roman" w:hAnsi="Times New Roman" w:eastAsia="宋体" w:cs="Times New Roman"/>
                <w:color w:val="auto"/>
                <w:spacing w:val="0"/>
                <w:kern w:val="0"/>
                <w:position w:val="0"/>
                <w:sz w:val="24"/>
                <w:szCs w:val="24"/>
                <w:highlight w:val="none"/>
                <w:lang w:val="en-US" w:eastAsia="zh-CN" w:bidi="ar"/>
              </w:rPr>
              <w:t>建设单位：</w:t>
            </w:r>
            <w:r>
              <w:rPr>
                <w:rFonts w:hint="eastAsia" w:cs="Times New Roman"/>
                <w:color w:val="auto"/>
                <w:spacing w:val="0"/>
                <w:position w:val="0"/>
                <w:sz w:val="24"/>
                <w:szCs w:val="24"/>
                <w:highlight w:val="none"/>
                <w:u w:val="none"/>
                <w:lang w:eastAsia="zh-CN"/>
              </w:rPr>
              <w:t>福州市搜一家具有限公司</w:t>
            </w:r>
          </w:p>
          <w:p w14:paraId="6A328583">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kern w:val="0"/>
                <w:position w:val="0"/>
                <w:sz w:val="24"/>
                <w:szCs w:val="24"/>
                <w:highlight w:val="none"/>
                <w:lang w:val="en-US" w:eastAsia="zh-CN" w:bidi="ar"/>
              </w:rPr>
              <w:t>（3）</w:t>
            </w:r>
            <w:r>
              <w:rPr>
                <w:rFonts w:hint="default" w:ascii="Times New Roman" w:hAnsi="Times New Roman" w:eastAsia="宋体" w:cs="Times New Roman"/>
                <w:color w:val="auto"/>
                <w:spacing w:val="0"/>
                <w:kern w:val="0"/>
                <w:position w:val="0"/>
                <w:sz w:val="24"/>
                <w:szCs w:val="24"/>
                <w:highlight w:val="none"/>
                <w:lang w:val="en-US" w:eastAsia="zh-CN" w:bidi="ar"/>
              </w:rPr>
              <w:t>建设地点：</w:t>
            </w:r>
            <w:r>
              <w:rPr>
                <w:rFonts w:hint="eastAsia" w:cs="Times New Roman"/>
                <w:color w:val="auto"/>
                <w:spacing w:val="0"/>
                <w:position w:val="0"/>
                <w:sz w:val="24"/>
                <w:szCs w:val="24"/>
                <w:highlight w:val="none"/>
                <w:u w:val="none"/>
                <w:lang w:val="en-US" w:eastAsia="zh-CN"/>
              </w:rPr>
              <w:t>福建省福州市闽侯县荆溪镇长龙三路23、25号（福建省奥德瑞电子科技有限公司5#厂房二层）</w:t>
            </w:r>
          </w:p>
          <w:p w14:paraId="1A9E63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kern w:val="0"/>
                <w:position w:val="0"/>
                <w:sz w:val="24"/>
                <w:szCs w:val="24"/>
                <w:highlight w:val="none"/>
                <w:lang w:val="en-US" w:eastAsia="zh-CN" w:bidi="ar"/>
              </w:rPr>
              <w:t>（4）</w:t>
            </w:r>
            <w:r>
              <w:rPr>
                <w:rFonts w:hint="default" w:ascii="Times New Roman" w:hAnsi="Times New Roman" w:eastAsia="宋体" w:cs="Times New Roman"/>
                <w:color w:val="auto"/>
                <w:spacing w:val="0"/>
                <w:kern w:val="0"/>
                <w:position w:val="0"/>
                <w:sz w:val="24"/>
                <w:szCs w:val="24"/>
                <w:highlight w:val="none"/>
                <w:lang w:val="en-US" w:eastAsia="zh-CN" w:bidi="ar"/>
              </w:rPr>
              <w:t>建设规模：租赁厂房建筑面积</w:t>
            </w:r>
            <w:r>
              <w:rPr>
                <w:rFonts w:hint="eastAsia" w:cs="Times New Roman"/>
                <w:color w:val="auto"/>
                <w:spacing w:val="0"/>
                <w:position w:val="0"/>
                <w:sz w:val="24"/>
                <w:szCs w:val="24"/>
                <w:highlight w:val="none"/>
                <w:lang w:val="en-US" w:eastAsia="zh-CN"/>
              </w:rPr>
              <w:t>1536.35</w:t>
            </w:r>
            <w:r>
              <w:rPr>
                <w:rFonts w:hint="default" w:ascii="Times New Roman" w:hAnsi="Times New Roman" w:eastAsia="宋体" w:cs="Times New Roman"/>
                <w:color w:val="auto"/>
                <w:spacing w:val="0"/>
                <w:kern w:val="0"/>
                <w:position w:val="0"/>
                <w:sz w:val="24"/>
                <w:szCs w:val="24"/>
                <w:highlight w:val="none"/>
                <w:lang w:val="en-US" w:eastAsia="zh-CN" w:bidi="ar"/>
              </w:rPr>
              <w:t>m</w:t>
            </w:r>
            <w:r>
              <w:rPr>
                <w:rFonts w:hint="default" w:ascii="Times New Roman" w:hAnsi="Times New Roman" w:eastAsia="宋体" w:cs="Times New Roman"/>
                <w:color w:val="auto"/>
                <w:spacing w:val="0"/>
                <w:kern w:val="0"/>
                <w:position w:val="0"/>
                <w:sz w:val="24"/>
                <w:szCs w:val="24"/>
                <w:highlight w:val="none"/>
                <w:vertAlign w:val="superscript"/>
                <w:lang w:val="en-US" w:eastAsia="zh-CN" w:bidi="ar"/>
              </w:rPr>
              <w:t>2</w:t>
            </w:r>
          </w:p>
          <w:p w14:paraId="1AC3B24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kern w:val="0"/>
                <w:position w:val="0"/>
                <w:sz w:val="24"/>
                <w:szCs w:val="24"/>
                <w:highlight w:val="none"/>
                <w:lang w:val="en-US" w:eastAsia="zh-CN" w:bidi="ar"/>
              </w:rPr>
              <w:t>（5）</w:t>
            </w:r>
            <w:r>
              <w:rPr>
                <w:rFonts w:hint="default" w:ascii="Times New Roman" w:hAnsi="Times New Roman" w:eastAsia="宋体" w:cs="Times New Roman"/>
                <w:color w:val="auto"/>
                <w:spacing w:val="0"/>
                <w:kern w:val="0"/>
                <w:position w:val="0"/>
                <w:sz w:val="24"/>
                <w:szCs w:val="24"/>
                <w:highlight w:val="none"/>
                <w:lang w:val="en-US" w:eastAsia="zh-CN" w:bidi="ar"/>
              </w:rPr>
              <w:t>总 投 资：</w:t>
            </w:r>
            <w:r>
              <w:rPr>
                <w:rFonts w:hint="eastAsia" w:cs="Times New Roman"/>
                <w:color w:val="auto"/>
                <w:spacing w:val="0"/>
                <w:kern w:val="0"/>
                <w:position w:val="0"/>
                <w:sz w:val="24"/>
                <w:szCs w:val="24"/>
                <w:highlight w:val="none"/>
                <w:lang w:val="en-US" w:eastAsia="zh-CN" w:bidi="ar"/>
              </w:rPr>
              <w:t>新增</w:t>
            </w:r>
            <w:r>
              <w:rPr>
                <w:rFonts w:hint="eastAsia" w:ascii="Times New Roman" w:hAnsi="Times New Roman" w:eastAsia="宋体" w:cs="Times New Roman"/>
                <w:color w:val="auto"/>
                <w:spacing w:val="0"/>
                <w:kern w:val="0"/>
                <w:position w:val="0"/>
                <w:sz w:val="24"/>
                <w:szCs w:val="24"/>
                <w:highlight w:val="none"/>
                <w:lang w:val="en-US" w:eastAsia="zh-CN" w:bidi="ar"/>
              </w:rPr>
              <w:t>投资</w:t>
            </w:r>
            <w:r>
              <w:rPr>
                <w:rFonts w:hint="eastAsia" w:cs="Times New Roman"/>
                <w:color w:val="auto"/>
                <w:spacing w:val="0"/>
                <w:kern w:val="0"/>
                <w:position w:val="0"/>
                <w:sz w:val="24"/>
                <w:szCs w:val="24"/>
                <w:highlight w:val="none"/>
                <w:lang w:val="en-US" w:eastAsia="zh-CN" w:bidi="ar"/>
              </w:rPr>
              <w:t>15</w:t>
            </w:r>
            <w:r>
              <w:rPr>
                <w:rFonts w:hint="default" w:ascii="Times New Roman" w:hAnsi="Times New Roman" w:eastAsia="宋体" w:cs="Times New Roman"/>
                <w:color w:val="auto"/>
                <w:spacing w:val="0"/>
                <w:kern w:val="0"/>
                <w:position w:val="0"/>
                <w:sz w:val="24"/>
                <w:szCs w:val="24"/>
                <w:highlight w:val="none"/>
                <w:lang w:val="en-US" w:eastAsia="zh-CN" w:bidi="ar"/>
              </w:rPr>
              <w:t>万元</w:t>
            </w:r>
            <w:r>
              <w:rPr>
                <w:rFonts w:hint="eastAsia" w:ascii="Times New Roman" w:hAnsi="Times New Roman" w:eastAsia="宋体" w:cs="Times New Roman"/>
                <w:color w:val="auto"/>
                <w:spacing w:val="0"/>
                <w:kern w:val="0"/>
                <w:position w:val="0"/>
                <w:sz w:val="24"/>
                <w:szCs w:val="24"/>
                <w:highlight w:val="none"/>
                <w:lang w:val="en-US" w:eastAsia="zh-CN" w:bidi="ar"/>
              </w:rPr>
              <w:t>，</w:t>
            </w:r>
            <w:r>
              <w:rPr>
                <w:rFonts w:hint="eastAsia" w:cs="Times New Roman"/>
                <w:color w:val="auto"/>
                <w:spacing w:val="0"/>
                <w:kern w:val="0"/>
                <w:position w:val="0"/>
                <w:sz w:val="24"/>
                <w:szCs w:val="24"/>
                <w:highlight w:val="none"/>
                <w:lang w:val="en-US" w:eastAsia="zh-CN" w:bidi="ar"/>
              </w:rPr>
              <w:t>全厂总</w:t>
            </w:r>
            <w:r>
              <w:rPr>
                <w:rFonts w:hint="eastAsia" w:ascii="Times New Roman" w:hAnsi="Times New Roman" w:eastAsia="宋体" w:cs="Times New Roman"/>
                <w:color w:val="auto"/>
                <w:spacing w:val="0"/>
                <w:kern w:val="0"/>
                <w:position w:val="0"/>
                <w:sz w:val="24"/>
                <w:szCs w:val="24"/>
                <w:highlight w:val="none"/>
                <w:lang w:val="en-US" w:eastAsia="zh-CN" w:bidi="ar"/>
              </w:rPr>
              <w:t>投资</w:t>
            </w:r>
            <w:r>
              <w:rPr>
                <w:rFonts w:hint="eastAsia" w:cs="Times New Roman"/>
                <w:color w:val="auto"/>
                <w:spacing w:val="0"/>
                <w:kern w:val="0"/>
                <w:position w:val="0"/>
                <w:sz w:val="24"/>
                <w:szCs w:val="24"/>
                <w:highlight w:val="none"/>
                <w:lang w:val="en-US" w:eastAsia="zh-CN" w:bidi="ar"/>
              </w:rPr>
              <w:t>40</w:t>
            </w:r>
            <w:r>
              <w:rPr>
                <w:rFonts w:hint="eastAsia" w:ascii="Times New Roman" w:hAnsi="Times New Roman" w:eastAsia="宋体" w:cs="Times New Roman"/>
                <w:color w:val="auto"/>
                <w:spacing w:val="0"/>
                <w:kern w:val="0"/>
                <w:position w:val="0"/>
                <w:sz w:val="24"/>
                <w:szCs w:val="24"/>
                <w:highlight w:val="none"/>
                <w:lang w:val="en-US" w:eastAsia="zh-CN" w:bidi="ar"/>
              </w:rPr>
              <w:t>万元</w:t>
            </w:r>
          </w:p>
          <w:p w14:paraId="66F751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bidi="ar"/>
              </w:rPr>
            </w:pPr>
            <m:oMath>
              <m:r>
                <m:rPr>
                  <m:sty m:val="p"/>
                </m:rPr>
                <w:rPr>
                  <w:rFonts w:hint="default" w:ascii="Cambria Math" w:hAnsi="Cambria Math" w:eastAsia="宋体" w:cs="Times New Roman"/>
                  <w:color w:val="auto"/>
                  <w:spacing w:val="0"/>
                  <w:kern w:val="0"/>
                  <w:position w:val="0"/>
                  <w:sz w:val="24"/>
                  <w:szCs w:val="24"/>
                  <w:highlight w:val="none"/>
                  <w:lang w:val="en-US" w:eastAsia="zh-CN" w:bidi="ar"/>
                </w:rPr>
                <m:t>（</m:t>
              </m:r>
            </m:oMath>
            <w:r>
              <w:rPr>
                <w:rFonts w:hint="eastAsia" w:ascii="Times New Roman" w:hAnsi="Times New Roman" w:eastAsia="宋体" w:cs="Times New Roman"/>
                <w:color w:val="auto"/>
                <w:spacing w:val="0"/>
                <w:kern w:val="0"/>
                <w:position w:val="0"/>
                <w:sz w:val="24"/>
                <w:szCs w:val="24"/>
                <w:highlight w:val="none"/>
                <w:lang w:val="en-US" w:eastAsia="zh-CN" w:bidi="ar"/>
              </w:rPr>
              <w:t>6）</w:t>
            </w:r>
            <w:r>
              <w:rPr>
                <w:rFonts w:hint="default" w:ascii="Times New Roman" w:hAnsi="Times New Roman" w:eastAsia="宋体" w:cs="Times New Roman"/>
                <w:color w:val="auto"/>
                <w:spacing w:val="0"/>
                <w:kern w:val="0"/>
                <w:position w:val="0"/>
                <w:sz w:val="24"/>
                <w:szCs w:val="24"/>
                <w:highlight w:val="none"/>
                <w:lang w:val="en-US" w:eastAsia="zh-CN" w:bidi="ar"/>
              </w:rPr>
              <w:t>员工人数：招聘职工</w:t>
            </w:r>
            <w:r>
              <w:rPr>
                <w:rFonts w:hint="eastAsia" w:cs="Times New Roman"/>
                <w:color w:val="auto"/>
                <w:spacing w:val="0"/>
                <w:kern w:val="0"/>
                <w:position w:val="0"/>
                <w:sz w:val="24"/>
                <w:szCs w:val="24"/>
                <w:highlight w:val="none"/>
                <w:lang w:val="en-US" w:eastAsia="zh-CN" w:bidi="ar"/>
              </w:rPr>
              <w:t>20</w:t>
            </w:r>
            <w:r>
              <w:rPr>
                <w:rFonts w:hint="eastAsia" w:ascii="Times New Roman" w:hAnsi="Times New Roman" w:eastAsia="宋体" w:cs="Times New Roman"/>
                <w:color w:val="auto"/>
                <w:spacing w:val="0"/>
                <w:kern w:val="0"/>
                <w:position w:val="0"/>
                <w:sz w:val="24"/>
                <w:szCs w:val="24"/>
                <w:highlight w:val="none"/>
                <w:lang w:val="en-US" w:eastAsia="zh-CN" w:bidi="ar"/>
              </w:rPr>
              <w:t>人</w:t>
            </w:r>
            <w:r>
              <w:rPr>
                <w:rFonts w:hint="default" w:ascii="Times New Roman" w:hAnsi="Times New Roman" w:eastAsia="宋体" w:cs="Times New Roman"/>
                <w:color w:val="auto"/>
                <w:spacing w:val="0"/>
                <w:kern w:val="0"/>
                <w:position w:val="0"/>
                <w:sz w:val="24"/>
                <w:szCs w:val="24"/>
                <w:highlight w:val="none"/>
                <w:lang w:val="en-US" w:eastAsia="zh-CN" w:bidi="ar"/>
              </w:rPr>
              <w:t>，</w:t>
            </w:r>
            <w:r>
              <w:rPr>
                <w:rFonts w:hint="eastAsia" w:ascii="Times New Roman" w:hAnsi="Times New Roman" w:eastAsia="宋体" w:cs="Times New Roman"/>
                <w:color w:val="auto"/>
                <w:spacing w:val="0"/>
                <w:kern w:val="0"/>
                <w:position w:val="0"/>
                <w:sz w:val="24"/>
                <w:szCs w:val="24"/>
                <w:highlight w:val="none"/>
                <w:lang w:val="en-US" w:eastAsia="zh-CN" w:bidi="ar"/>
              </w:rPr>
              <w:t>均不住厂</w:t>
            </w:r>
          </w:p>
          <w:p w14:paraId="56ED53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kern w:val="0"/>
                <w:position w:val="0"/>
                <w:sz w:val="24"/>
                <w:szCs w:val="24"/>
                <w:highlight w:val="none"/>
                <w:lang w:val="en-US" w:eastAsia="zh-CN" w:bidi="ar"/>
              </w:rPr>
              <w:t>（7）</w:t>
            </w:r>
            <w:r>
              <w:rPr>
                <w:rFonts w:hint="default" w:ascii="Times New Roman" w:hAnsi="Times New Roman" w:eastAsia="宋体" w:cs="Times New Roman"/>
                <w:color w:val="auto"/>
                <w:spacing w:val="0"/>
                <w:kern w:val="0"/>
                <w:position w:val="0"/>
                <w:sz w:val="24"/>
                <w:szCs w:val="24"/>
                <w:highlight w:val="none"/>
                <w:lang w:val="en-US" w:eastAsia="zh-CN" w:bidi="ar"/>
              </w:rPr>
              <w:t>工作制度：每天工作</w:t>
            </w:r>
            <w:r>
              <w:rPr>
                <w:rFonts w:hint="eastAsia" w:ascii="Times New Roman" w:hAnsi="Times New Roman" w:eastAsia="宋体" w:cs="Times New Roman"/>
                <w:color w:val="auto"/>
                <w:spacing w:val="0"/>
                <w:kern w:val="0"/>
                <w:position w:val="0"/>
                <w:sz w:val="24"/>
                <w:szCs w:val="24"/>
                <w:highlight w:val="none"/>
                <w:lang w:val="en-US" w:eastAsia="zh-CN" w:bidi="ar"/>
              </w:rPr>
              <w:t>8</w:t>
            </w:r>
            <w:r>
              <w:rPr>
                <w:rFonts w:hint="default" w:ascii="Times New Roman" w:hAnsi="Times New Roman" w:eastAsia="宋体" w:cs="Times New Roman"/>
                <w:color w:val="auto"/>
                <w:spacing w:val="0"/>
                <w:kern w:val="0"/>
                <w:position w:val="0"/>
                <w:sz w:val="24"/>
                <w:szCs w:val="24"/>
                <w:highlight w:val="none"/>
                <w:lang w:val="en-US" w:eastAsia="zh-CN" w:bidi="ar"/>
              </w:rPr>
              <w:t>小时，年工作300天</w:t>
            </w:r>
          </w:p>
          <w:p w14:paraId="420D1A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kern w:val="0"/>
                <w:position w:val="0"/>
                <w:sz w:val="24"/>
                <w:szCs w:val="24"/>
                <w:highlight w:val="none"/>
                <w:lang w:val="en-US" w:eastAsia="zh-CN" w:bidi="ar"/>
              </w:rPr>
              <w:t>（8）</w:t>
            </w:r>
            <w:r>
              <w:rPr>
                <w:rFonts w:hint="default" w:ascii="Times New Roman" w:hAnsi="Times New Roman" w:eastAsia="宋体" w:cs="Times New Roman"/>
                <w:color w:val="auto"/>
                <w:spacing w:val="0"/>
                <w:kern w:val="0"/>
                <w:position w:val="0"/>
                <w:sz w:val="24"/>
                <w:szCs w:val="24"/>
                <w:highlight w:val="none"/>
                <w:lang w:val="en-US" w:eastAsia="zh-CN" w:bidi="ar"/>
              </w:rPr>
              <w:t>生产规模：</w:t>
            </w:r>
            <w:r>
              <w:rPr>
                <w:rFonts w:hint="eastAsia" w:cs="Times New Roman"/>
                <w:color w:val="auto"/>
                <w:spacing w:val="0"/>
                <w:kern w:val="0"/>
                <w:position w:val="0"/>
                <w:sz w:val="24"/>
                <w:szCs w:val="24"/>
                <w:highlight w:val="none"/>
                <w:lang w:val="en-US" w:eastAsia="zh-CN" w:bidi="ar"/>
              </w:rPr>
              <w:t>年产木质屏风4800个</w:t>
            </w:r>
          </w:p>
          <w:p w14:paraId="7C6AAF4B">
            <w:pPr>
              <w:pStyle w:val="112"/>
              <w:tabs>
                <w:tab w:val="left" w:pos="6090"/>
              </w:tabs>
              <w:ind w:firstLine="480"/>
              <w:rPr>
                <w:rFonts w:hint="eastAsia" w:ascii="Times New Roman" w:hAnsi="Times New Roman" w:eastAsia="宋体" w:cs="Times New Roman"/>
                <w:color w:val="auto"/>
                <w:spacing w:val="0"/>
                <w:position w:val="0"/>
                <w:szCs w:val="24"/>
                <w:highlight w:val="none"/>
              </w:rPr>
            </w:pPr>
            <w:r>
              <w:rPr>
                <w:rFonts w:hint="eastAsia" w:ascii="Times New Roman" w:hAnsi="Times New Roman" w:eastAsia="宋体" w:cs="Times New Roman"/>
                <w:color w:val="auto"/>
                <w:spacing w:val="0"/>
                <w:kern w:val="0"/>
                <w:position w:val="0"/>
                <w:sz w:val="24"/>
                <w:szCs w:val="24"/>
                <w:highlight w:val="none"/>
                <w:lang w:val="en-US" w:eastAsia="zh-CN" w:bidi="ar"/>
              </w:rPr>
              <w:t>（9）出租方情况：</w:t>
            </w:r>
            <w:r>
              <w:rPr>
                <w:rFonts w:hint="eastAsia" w:cs="Times New Roman"/>
                <w:bCs/>
                <w:color w:val="auto"/>
                <w:spacing w:val="0"/>
                <w:kern w:val="0"/>
                <w:szCs w:val="21"/>
                <w:highlight w:val="none"/>
                <w:lang w:eastAsia="zh-CN"/>
              </w:rPr>
              <w:t>福建省奥德瑞电子科技有限公司</w:t>
            </w:r>
            <w:r>
              <w:rPr>
                <w:rFonts w:hint="default" w:ascii="Times New Roman" w:hAnsi="Times New Roman" w:eastAsia="宋体" w:cs="Times New Roman"/>
                <w:color w:val="auto"/>
                <w:spacing w:val="0"/>
                <w:kern w:val="0"/>
                <w:position w:val="0"/>
                <w:sz w:val="24"/>
                <w:szCs w:val="24"/>
                <w:highlight w:val="none"/>
                <w:lang w:val="en-US" w:eastAsia="zh-CN" w:bidi="ar"/>
              </w:rPr>
              <w:t>主要从事</w:t>
            </w:r>
            <w:r>
              <w:rPr>
                <w:rFonts w:hint="eastAsia" w:cs="Times New Roman"/>
                <w:color w:val="auto"/>
                <w:spacing w:val="0"/>
                <w:kern w:val="0"/>
                <w:position w:val="0"/>
                <w:sz w:val="24"/>
                <w:szCs w:val="24"/>
                <w:highlight w:val="none"/>
                <w:lang w:val="en-US" w:eastAsia="zh-CN" w:bidi="ar"/>
              </w:rPr>
              <w:t>物业管理、房屋租赁</w:t>
            </w:r>
            <w:r>
              <w:rPr>
                <w:rFonts w:hint="eastAsia" w:ascii="Times New Roman" w:hAnsi="Times New Roman" w:eastAsia="宋体" w:cs="Times New Roman"/>
                <w:color w:val="auto"/>
                <w:spacing w:val="0"/>
                <w:kern w:val="0"/>
                <w:position w:val="0"/>
                <w:sz w:val="24"/>
                <w:szCs w:val="24"/>
                <w:highlight w:val="none"/>
                <w:lang w:val="en-US" w:eastAsia="zh-CN" w:bidi="ar"/>
              </w:rPr>
              <w:t>等业务。</w:t>
            </w:r>
            <w:r>
              <w:rPr>
                <w:rFonts w:hint="eastAsia" w:cs="Times New Roman"/>
                <w:color w:val="auto"/>
                <w:spacing w:val="0"/>
                <w:position w:val="0"/>
                <w:sz w:val="24"/>
                <w:szCs w:val="24"/>
                <w:highlight w:val="none"/>
                <w:lang w:val="en-US" w:eastAsia="zh-CN"/>
              </w:rPr>
              <w:t>现</w:t>
            </w:r>
            <w:r>
              <w:rPr>
                <w:rFonts w:hint="eastAsia" w:ascii="Times New Roman" w:hAnsi="Times New Roman" w:eastAsia="宋体" w:cs="Times New Roman"/>
                <w:color w:val="auto"/>
                <w:sz w:val="24"/>
                <w:szCs w:val="24"/>
                <w:highlight w:val="none"/>
                <w:lang w:val="en-US" w:eastAsia="zh-CN"/>
              </w:rPr>
              <w:t>将</w:t>
            </w:r>
            <w:r>
              <w:rPr>
                <w:rFonts w:hint="eastAsia" w:cs="Times New Roman"/>
                <w:color w:val="auto"/>
                <w:sz w:val="24"/>
                <w:szCs w:val="24"/>
                <w:highlight w:val="none"/>
                <w:lang w:val="en-US" w:eastAsia="zh-CN"/>
              </w:rPr>
              <w:t>闲置的</w:t>
            </w:r>
            <w:r>
              <w:rPr>
                <w:rFonts w:hint="eastAsia" w:cs="Times New Roman"/>
                <w:bCs/>
                <w:color w:val="auto"/>
                <w:spacing w:val="0"/>
                <w:kern w:val="0"/>
                <w:szCs w:val="21"/>
                <w:highlight w:val="none"/>
                <w:lang w:eastAsia="zh-CN"/>
              </w:rPr>
              <w:t>5#厂房二层</w:t>
            </w:r>
            <w:r>
              <w:rPr>
                <w:rFonts w:hint="eastAsia" w:ascii="Times New Roman" w:hAnsi="Times New Roman" w:eastAsia="宋体" w:cs="Times New Roman"/>
                <w:color w:val="auto"/>
                <w:sz w:val="24"/>
                <w:szCs w:val="24"/>
                <w:highlight w:val="none"/>
                <w:lang w:val="en-US" w:eastAsia="zh-CN"/>
              </w:rPr>
              <w:t>租于本项目</w:t>
            </w:r>
            <w:r>
              <w:rPr>
                <w:rFonts w:hint="eastAsia"/>
                <w:color w:val="auto"/>
                <w:highlight w:val="none"/>
                <w:lang w:val="en-US" w:eastAsia="zh-CN"/>
              </w:rPr>
              <w:t>作为生产用地或生产活动场所</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pacing w:val="0"/>
                <w:sz w:val="24"/>
                <w:szCs w:val="24"/>
                <w:highlight w:val="none"/>
              </w:rPr>
              <w:t>根据</w:t>
            </w:r>
            <w:r>
              <w:rPr>
                <w:rFonts w:hint="eastAsia" w:ascii="Times New Roman" w:hAnsi="Times New Roman" w:eastAsia="宋体" w:cs="Times New Roman"/>
                <w:color w:val="auto"/>
                <w:spacing w:val="0"/>
                <w:sz w:val="24"/>
                <w:szCs w:val="24"/>
                <w:highlight w:val="none"/>
                <w:lang w:eastAsia="zh-CN"/>
              </w:rPr>
              <w:t>出租方</w:t>
            </w:r>
            <w:r>
              <w:rPr>
                <w:rFonts w:hint="eastAsia" w:ascii="Times New Roman" w:hAnsi="Times New Roman" w:eastAsia="宋体" w:cs="Times New Roman"/>
                <w:color w:val="auto"/>
                <w:spacing w:val="0"/>
                <w:sz w:val="24"/>
                <w:szCs w:val="24"/>
                <w:highlight w:val="none"/>
              </w:rPr>
              <w:t>土地证</w:t>
            </w:r>
            <w:r>
              <w:rPr>
                <w:rFonts w:hint="eastAsia" w:ascii="Times New Roman" w:hAnsi="Times New Roman" w:eastAsia="宋体"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闽（2020）闽侯县不动产权第0001995号</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rPr>
              <w:t>该土地</w:t>
            </w:r>
            <w:r>
              <w:rPr>
                <w:rFonts w:hint="eastAsia" w:ascii="Times New Roman" w:hAnsi="Times New Roman" w:eastAsia="宋体" w:cs="Times New Roman"/>
                <w:color w:val="auto"/>
                <w:spacing w:val="0"/>
                <w:sz w:val="24"/>
                <w:szCs w:val="24"/>
                <w:highlight w:val="none"/>
                <w:lang w:eastAsia="zh-CN"/>
              </w:rPr>
              <w:t>性质</w:t>
            </w:r>
            <w:r>
              <w:rPr>
                <w:rFonts w:hint="eastAsia" w:ascii="Times New Roman" w:hAnsi="Times New Roman" w:eastAsia="宋体" w:cs="Times New Roman"/>
                <w:color w:val="auto"/>
                <w:spacing w:val="0"/>
                <w:sz w:val="24"/>
                <w:szCs w:val="24"/>
                <w:highlight w:val="none"/>
              </w:rPr>
              <w:t>为工业用地</w:t>
            </w:r>
            <w:r>
              <w:rPr>
                <w:rFonts w:hint="eastAsia" w:ascii="Times New Roman" w:hAnsi="Times New Roman" w:eastAsia="宋体" w:cs="Times New Roman"/>
                <w:color w:val="auto"/>
                <w:spacing w:val="0"/>
                <w:position w:val="0"/>
                <w:szCs w:val="24"/>
                <w:highlight w:val="none"/>
              </w:rPr>
              <w:t>。</w:t>
            </w:r>
          </w:p>
          <w:p w14:paraId="39DB45EB">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color w:val="auto"/>
                <w:spacing w:val="0"/>
                <w:sz w:val="24"/>
                <w:highlight w:val="none"/>
              </w:rPr>
            </w:pPr>
            <w:r>
              <w:rPr>
                <w:rFonts w:hint="default" w:ascii="Times New Roman" w:hAnsi="Times New Roman" w:eastAsia="宋体" w:cs="Times New Roman"/>
                <w:b/>
                <w:color w:val="auto"/>
                <w:spacing w:val="0"/>
                <w:sz w:val="24"/>
                <w:highlight w:val="none"/>
              </w:rPr>
              <w:t>表2</w:t>
            </w:r>
            <w:r>
              <w:rPr>
                <w:rFonts w:hint="eastAsia" w:ascii="Times New Roman" w:hAnsi="Times New Roman" w:eastAsia="宋体" w:cs="Times New Roman"/>
                <w:b/>
                <w:color w:val="auto"/>
                <w:spacing w:val="0"/>
                <w:sz w:val="24"/>
                <w:highlight w:val="none"/>
                <w:lang w:val="en-US" w:eastAsia="zh-CN"/>
              </w:rPr>
              <w:t>.2</w:t>
            </w:r>
            <w:r>
              <w:rPr>
                <w:rFonts w:hint="default" w:ascii="Times New Roman" w:hAnsi="Times New Roman" w:eastAsia="宋体" w:cs="Times New Roman"/>
                <w:b/>
                <w:color w:val="auto"/>
                <w:spacing w:val="0"/>
                <w:sz w:val="24"/>
                <w:highlight w:val="none"/>
              </w:rPr>
              <w:t>-</w:t>
            </w:r>
            <w:r>
              <w:rPr>
                <w:rFonts w:hint="eastAsia" w:ascii="Times New Roman" w:hAnsi="Times New Roman" w:eastAsia="宋体" w:cs="Times New Roman"/>
                <w:b/>
                <w:color w:val="auto"/>
                <w:spacing w:val="0"/>
                <w:sz w:val="24"/>
                <w:highlight w:val="none"/>
                <w:lang w:val="en-US" w:eastAsia="zh-CN"/>
              </w:rPr>
              <w:t>1</w:t>
            </w:r>
            <w:r>
              <w:rPr>
                <w:rFonts w:hint="default" w:ascii="Times New Roman" w:hAnsi="Times New Roman" w:eastAsia="宋体" w:cs="Times New Roman"/>
                <w:b/>
                <w:color w:val="auto"/>
                <w:spacing w:val="0"/>
                <w:sz w:val="24"/>
                <w:highlight w:val="none"/>
                <w:lang w:val="en-US" w:eastAsia="zh-CN"/>
              </w:rPr>
              <w:t xml:space="preserve"> </w:t>
            </w:r>
            <w:r>
              <w:rPr>
                <w:rFonts w:hint="default" w:ascii="Times New Roman" w:hAnsi="Times New Roman" w:eastAsia="宋体" w:cs="Times New Roman"/>
                <w:b/>
                <w:color w:val="auto"/>
                <w:spacing w:val="0"/>
                <w:sz w:val="24"/>
                <w:highlight w:val="none"/>
              </w:rPr>
              <w:t xml:space="preserve"> 项目</w:t>
            </w:r>
            <w:r>
              <w:rPr>
                <w:rFonts w:hint="eastAsia" w:cs="Times New Roman"/>
                <w:b/>
                <w:color w:val="auto"/>
                <w:spacing w:val="0"/>
                <w:sz w:val="24"/>
                <w:highlight w:val="none"/>
                <w:lang w:eastAsia="zh-CN"/>
              </w:rPr>
              <w:t>迁建前与迁建后</w:t>
            </w:r>
            <w:r>
              <w:rPr>
                <w:rFonts w:hint="default" w:ascii="Times New Roman" w:hAnsi="Times New Roman" w:eastAsia="宋体" w:cs="Times New Roman"/>
                <w:b/>
                <w:color w:val="auto"/>
                <w:spacing w:val="0"/>
                <w:sz w:val="24"/>
                <w:highlight w:val="none"/>
              </w:rPr>
              <w:t>概况变化一览表</w:t>
            </w:r>
          </w:p>
          <w:tbl>
            <w:tblPr>
              <w:tblStyle w:val="29"/>
              <w:tblW w:w="5000" w:type="pct"/>
              <w:jc w:val="center"/>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Layout w:type="fixed"/>
              <w:tblCellMar>
                <w:top w:w="0" w:type="dxa"/>
                <w:left w:w="23" w:type="dxa"/>
                <w:bottom w:w="0" w:type="dxa"/>
                <w:right w:w="23" w:type="dxa"/>
              </w:tblCellMar>
            </w:tblPr>
            <w:tblGrid>
              <w:gridCol w:w="1036"/>
              <w:gridCol w:w="2656"/>
              <w:gridCol w:w="2680"/>
              <w:gridCol w:w="2009"/>
            </w:tblGrid>
            <w:tr w14:paraId="1D3666A0">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618" w:type="pct"/>
                  <w:tcBorders>
                    <w:bottom w:val="single" w:color="auto" w:sz="4" w:space="0"/>
                    <w:right w:val="single" w:color="auto" w:sz="4" w:space="0"/>
                  </w:tcBorders>
                  <w:noWrap w:val="0"/>
                  <w:vAlign w:val="center"/>
                </w:tcPr>
                <w:p w14:paraId="7E0CF0C6">
                  <w:pPr>
                    <w:widowControl/>
                    <w:jc w:val="center"/>
                    <w:rPr>
                      <w:rFonts w:hint="default" w:ascii="Times New Roman" w:hAnsi="Times New Roman" w:eastAsia="宋体" w:cs="Times New Roman"/>
                      <w:b/>
                      <w:bCs/>
                      <w:color w:val="auto"/>
                      <w:spacing w:val="0"/>
                      <w:kern w:val="0"/>
                      <w:szCs w:val="21"/>
                      <w:highlight w:val="none"/>
                    </w:rPr>
                  </w:pPr>
                  <w:r>
                    <w:rPr>
                      <w:rFonts w:hint="default" w:ascii="Times New Roman" w:hAnsi="Times New Roman" w:eastAsia="宋体" w:cs="Times New Roman"/>
                      <w:b/>
                      <w:bCs/>
                      <w:color w:val="auto"/>
                      <w:spacing w:val="0"/>
                      <w:kern w:val="0"/>
                      <w:szCs w:val="21"/>
                      <w:highlight w:val="none"/>
                    </w:rPr>
                    <w:t>项目</w:t>
                  </w:r>
                </w:p>
              </w:tc>
              <w:tc>
                <w:tcPr>
                  <w:tcW w:w="1584" w:type="pct"/>
                  <w:tcBorders>
                    <w:left w:val="single" w:color="auto" w:sz="4" w:space="0"/>
                    <w:bottom w:val="single" w:color="auto" w:sz="4" w:space="0"/>
                    <w:right w:val="single" w:color="auto" w:sz="4" w:space="0"/>
                  </w:tcBorders>
                  <w:noWrap w:val="0"/>
                  <w:vAlign w:val="center"/>
                </w:tcPr>
                <w:p w14:paraId="1FF96705">
                  <w:pPr>
                    <w:widowControl/>
                    <w:jc w:val="center"/>
                    <w:rPr>
                      <w:rFonts w:hint="default" w:ascii="Times New Roman" w:hAnsi="Times New Roman" w:eastAsia="宋体" w:cs="Times New Roman"/>
                      <w:b/>
                      <w:bCs/>
                      <w:color w:val="auto"/>
                      <w:spacing w:val="0"/>
                      <w:kern w:val="0"/>
                      <w:szCs w:val="21"/>
                      <w:highlight w:val="none"/>
                    </w:rPr>
                  </w:pPr>
                  <w:r>
                    <w:rPr>
                      <w:rFonts w:hint="eastAsia" w:cs="Times New Roman"/>
                      <w:b/>
                      <w:bCs/>
                      <w:color w:val="auto"/>
                      <w:spacing w:val="0"/>
                      <w:kern w:val="0"/>
                      <w:szCs w:val="21"/>
                      <w:highlight w:val="none"/>
                      <w:lang w:eastAsia="zh-CN"/>
                    </w:rPr>
                    <w:t>迁建</w:t>
                  </w:r>
                  <w:r>
                    <w:rPr>
                      <w:rFonts w:hint="default" w:ascii="Times New Roman" w:hAnsi="Times New Roman" w:eastAsia="宋体" w:cs="Times New Roman"/>
                      <w:b/>
                      <w:bCs/>
                      <w:color w:val="auto"/>
                      <w:spacing w:val="0"/>
                      <w:kern w:val="0"/>
                      <w:szCs w:val="21"/>
                      <w:highlight w:val="none"/>
                    </w:rPr>
                    <w:t>前</w:t>
                  </w:r>
                </w:p>
              </w:tc>
              <w:tc>
                <w:tcPr>
                  <w:tcW w:w="1598" w:type="pct"/>
                  <w:tcBorders>
                    <w:left w:val="single" w:color="auto" w:sz="4" w:space="0"/>
                    <w:bottom w:val="single" w:color="auto" w:sz="4" w:space="0"/>
                    <w:right w:val="single" w:color="auto" w:sz="4" w:space="0"/>
                  </w:tcBorders>
                  <w:noWrap w:val="0"/>
                  <w:vAlign w:val="center"/>
                </w:tcPr>
                <w:p w14:paraId="3D8214E7">
                  <w:pPr>
                    <w:widowControl/>
                    <w:jc w:val="center"/>
                    <w:rPr>
                      <w:rFonts w:hint="default" w:ascii="Times New Roman" w:hAnsi="Times New Roman" w:eastAsia="宋体" w:cs="Times New Roman"/>
                      <w:b/>
                      <w:bCs/>
                      <w:color w:val="auto"/>
                      <w:spacing w:val="0"/>
                      <w:kern w:val="0"/>
                      <w:szCs w:val="21"/>
                      <w:highlight w:val="none"/>
                    </w:rPr>
                  </w:pPr>
                  <w:r>
                    <w:rPr>
                      <w:rFonts w:hint="eastAsia" w:cs="Times New Roman"/>
                      <w:b/>
                      <w:bCs/>
                      <w:color w:val="auto"/>
                      <w:spacing w:val="0"/>
                      <w:kern w:val="0"/>
                      <w:szCs w:val="21"/>
                      <w:highlight w:val="none"/>
                      <w:lang w:eastAsia="zh-CN"/>
                    </w:rPr>
                    <w:t>迁建</w:t>
                  </w:r>
                  <w:r>
                    <w:rPr>
                      <w:rFonts w:hint="default" w:ascii="Times New Roman" w:hAnsi="Times New Roman" w:eastAsia="宋体" w:cs="Times New Roman"/>
                      <w:b/>
                      <w:bCs/>
                      <w:color w:val="auto"/>
                      <w:spacing w:val="0"/>
                      <w:kern w:val="0"/>
                      <w:szCs w:val="21"/>
                      <w:highlight w:val="none"/>
                    </w:rPr>
                    <w:t>后</w:t>
                  </w:r>
                </w:p>
              </w:tc>
              <w:tc>
                <w:tcPr>
                  <w:tcW w:w="1198" w:type="pct"/>
                  <w:tcBorders>
                    <w:left w:val="single" w:color="auto" w:sz="4" w:space="0"/>
                    <w:bottom w:val="single" w:color="auto" w:sz="4" w:space="0"/>
                  </w:tcBorders>
                  <w:noWrap w:val="0"/>
                  <w:vAlign w:val="center"/>
                </w:tcPr>
                <w:p w14:paraId="5298103A">
                  <w:pPr>
                    <w:widowControl/>
                    <w:jc w:val="center"/>
                    <w:rPr>
                      <w:rFonts w:hint="default" w:ascii="Times New Roman" w:hAnsi="Times New Roman" w:eastAsia="宋体" w:cs="Times New Roman"/>
                      <w:b/>
                      <w:bCs/>
                      <w:color w:val="auto"/>
                      <w:spacing w:val="0"/>
                      <w:kern w:val="0"/>
                      <w:szCs w:val="21"/>
                      <w:highlight w:val="none"/>
                    </w:rPr>
                  </w:pPr>
                  <w:r>
                    <w:rPr>
                      <w:rFonts w:hint="default" w:ascii="Times New Roman" w:hAnsi="Times New Roman" w:eastAsia="宋体" w:cs="Times New Roman"/>
                      <w:b/>
                      <w:bCs/>
                      <w:color w:val="auto"/>
                      <w:spacing w:val="0"/>
                      <w:kern w:val="0"/>
                      <w:szCs w:val="21"/>
                      <w:highlight w:val="none"/>
                    </w:rPr>
                    <w:t>变化情况</w:t>
                  </w:r>
                </w:p>
              </w:tc>
            </w:tr>
            <w:tr w14:paraId="6DDCBE58">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618" w:type="pct"/>
                  <w:tcBorders>
                    <w:top w:val="single" w:color="auto" w:sz="4" w:space="0"/>
                    <w:bottom w:val="single" w:color="auto" w:sz="4" w:space="0"/>
                    <w:right w:val="single" w:color="auto" w:sz="4" w:space="0"/>
                  </w:tcBorders>
                  <w:noWrap w:val="0"/>
                  <w:vAlign w:val="center"/>
                </w:tcPr>
                <w:p w14:paraId="7713721F">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公司名称</w:t>
                  </w:r>
                </w:p>
              </w:tc>
              <w:tc>
                <w:tcPr>
                  <w:tcW w:w="1584" w:type="pct"/>
                  <w:tcBorders>
                    <w:top w:val="single" w:color="auto" w:sz="4" w:space="0"/>
                    <w:left w:val="single" w:color="auto" w:sz="4" w:space="0"/>
                    <w:bottom w:val="single" w:color="auto" w:sz="4" w:space="0"/>
                    <w:right w:val="single" w:color="auto" w:sz="4" w:space="0"/>
                  </w:tcBorders>
                  <w:noWrap w:val="0"/>
                  <w:vAlign w:val="center"/>
                </w:tcPr>
                <w:p w14:paraId="20D0DA68">
                  <w:pPr>
                    <w:widowControl/>
                    <w:jc w:val="center"/>
                    <w:rPr>
                      <w:rFonts w:hint="default" w:ascii="Times New Roman" w:hAnsi="Times New Roman" w:eastAsia="宋体" w:cs="Times New Roman"/>
                      <w:color w:val="auto"/>
                      <w:spacing w:val="0"/>
                      <w:kern w:val="0"/>
                      <w:szCs w:val="21"/>
                      <w:highlight w:val="none"/>
                      <w:lang w:eastAsia="zh-CN"/>
                    </w:rPr>
                  </w:pPr>
                  <w:r>
                    <w:rPr>
                      <w:rFonts w:hint="eastAsia" w:cs="Times New Roman"/>
                      <w:color w:val="auto"/>
                      <w:spacing w:val="0"/>
                      <w:kern w:val="0"/>
                      <w:szCs w:val="21"/>
                      <w:highlight w:val="none"/>
                      <w:lang w:eastAsia="zh-CN"/>
                    </w:rPr>
                    <w:t>福州市搜一家具有限公司</w:t>
                  </w:r>
                </w:p>
              </w:tc>
              <w:tc>
                <w:tcPr>
                  <w:tcW w:w="1598" w:type="pct"/>
                  <w:tcBorders>
                    <w:top w:val="single" w:color="auto" w:sz="4" w:space="0"/>
                    <w:left w:val="single" w:color="auto" w:sz="4" w:space="0"/>
                    <w:bottom w:val="single" w:color="auto" w:sz="4" w:space="0"/>
                    <w:right w:val="single" w:color="auto" w:sz="4" w:space="0"/>
                  </w:tcBorders>
                  <w:noWrap w:val="0"/>
                  <w:vAlign w:val="center"/>
                </w:tcPr>
                <w:p w14:paraId="3CBAE764">
                  <w:pPr>
                    <w:widowControl/>
                    <w:jc w:val="center"/>
                    <w:rPr>
                      <w:rFonts w:hint="default" w:ascii="Times New Roman" w:hAnsi="Times New Roman" w:eastAsia="宋体" w:cs="Times New Roman"/>
                      <w:bCs/>
                      <w:color w:val="auto"/>
                      <w:spacing w:val="0"/>
                      <w:kern w:val="0"/>
                      <w:szCs w:val="21"/>
                      <w:highlight w:val="none"/>
                      <w:lang w:eastAsia="zh-CN"/>
                    </w:rPr>
                  </w:pPr>
                  <w:r>
                    <w:rPr>
                      <w:rFonts w:hint="eastAsia" w:cs="Times New Roman"/>
                      <w:color w:val="auto"/>
                      <w:spacing w:val="0"/>
                      <w:kern w:val="0"/>
                      <w:szCs w:val="21"/>
                      <w:highlight w:val="none"/>
                      <w:lang w:eastAsia="zh-CN"/>
                    </w:rPr>
                    <w:t>福州市搜一家具有限公司</w:t>
                  </w:r>
                </w:p>
              </w:tc>
              <w:tc>
                <w:tcPr>
                  <w:tcW w:w="1198" w:type="pct"/>
                  <w:tcBorders>
                    <w:top w:val="single" w:color="auto" w:sz="4" w:space="0"/>
                    <w:left w:val="single" w:color="auto" w:sz="4" w:space="0"/>
                    <w:bottom w:val="single" w:color="auto" w:sz="4" w:space="0"/>
                  </w:tcBorders>
                  <w:noWrap w:val="0"/>
                  <w:vAlign w:val="center"/>
                </w:tcPr>
                <w:p w14:paraId="62E041A7">
                  <w:pPr>
                    <w:widowControl/>
                    <w:jc w:val="center"/>
                    <w:rPr>
                      <w:rFonts w:hint="eastAsia" w:ascii="Times New Roman" w:hAnsi="Times New Roman" w:eastAsia="宋体" w:cs="Times New Roman"/>
                      <w:bCs/>
                      <w:color w:val="auto"/>
                      <w:spacing w:val="0"/>
                      <w:kern w:val="0"/>
                      <w:szCs w:val="21"/>
                      <w:highlight w:val="none"/>
                      <w:lang w:val="en-US" w:eastAsia="zh-CN"/>
                    </w:rPr>
                  </w:pPr>
                  <w:r>
                    <w:rPr>
                      <w:rFonts w:hint="eastAsia" w:ascii="Times New Roman" w:hAnsi="Times New Roman" w:eastAsia="宋体" w:cs="Times New Roman"/>
                      <w:bCs/>
                      <w:color w:val="auto"/>
                      <w:spacing w:val="0"/>
                      <w:kern w:val="0"/>
                      <w:szCs w:val="21"/>
                      <w:highlight w:val="none"/>
                      <w:lang w:val="en-US" w:eastAsia="zh-CN"/>
                    </w:rPr>
                    <w:t>不变</w:t>
                  </w:r>
                </w:p>
              </w:tc>
            </w:tr>
            <w:tr w14:paraId="2041EF97">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618" w:type="pct"/>
                  <w:tcBorders>
                    <w:top w:val="single" w:color="auto" w:sz="4" w:space="0"/>
                    <w:bottom w:val="single" w:color="auto" w:sz="4" w:space="0"/>
                    <w:right w:val="single" w:color="auto" w:sz="4" w:space="0"/>
                  </w:tcBorders>
                  <w:noWrap w:val="0"/>
                  <w:vAlign w:val="center"/>
                </w:tcPr>
                <w:p w14:paraId="2457A655">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厂址</w:t>
                  </w:r>
                </w:p>
              </w:tc>
              <w:tc>
                <w:tcPr>
                  <w:tcW w:w="1584" w:type="pct"/>
                  <w:tcBorders>
                    <w:top w:val="single" w:color="auto" w:sz="4" w:space="0"/>
                    <w:left w:val="single" w:color="auto" w:sz="4" w:space="0"/>
                    <w:bottom w:val="single" w:color="auto" w:sz="4" w:space="0"/>
                    <w:right w:val="single" w:color="auto" w:sz="4" w:space="0"/>
                  </w:tcBorders>
                  <w:noWrap w:val="0"/>
                  <w:vAlign w:val="center"/>
                </w:tcPr>
                <w:p w14:paraId="3F7459B2">
                  <w:pPr>
                    <w:widowControl/>
                    <w:jc w:val="center"/>
                    <w:rPr>
                      <w:rFonts w:hint="default" w:ascii="Times New Roman" w:hAnsi="Times New Roman" w:eastAsia="宋体" w:cs="Times New Roman"/>
                      <w:color w:val="auto"/>
                      <w:spacing w:val="0"/>
                      <w:kern w:val="0"/>
                      <w:szCs w:val="21"/>
                      <w:highlight w:val="none"/>
                      <w:lang w:eastAsia="zh-CN"/>
                    </w:rPr>
                  </w:pPr>
                  <w:r>
                    <w:rPr>
                      <w:rFonts w:hint="eastAsia" w:cs="Times New Roman"/>
                      <w:bCs/>
                      <w:color w:val="auto"/>
                      <w:spacing w:val="0"/>
                      <w:kern w:val="0"/>
                      <w:szCs w:val="21"/>
                      <w:highlight w:val="none"/>
                      <w:lang w:eastAsia="zh-CN"/>
                    </w:rPr>
                    <w:t>福建省福州市闽侯县荆溪镇长龙三路23、25号（福建省奥德瑞电子科技有限公司</w:t>
                  </w:r>
                  <w:r>
                    <w:rPr>
                      <w:rFonts w:hint="eastAsia" w:cs="Times New Roman"/>
                      <w:bCs/>
                      <w:color w:val="auto"/>
                      <w:spacing w:val="0"/>
                      <w:kern w:val="0"/>
                      <w:szCs w:val="21"/>
                      <w:highlight w:val="none"/>
                      <w:lang w:val="en-US" w:eastAsia="zh-CN"/>
                    </w:rPr>
                    <w:t>8</w:t>
                  </w:r>
                  <w:r>
                    <w:rPr>
                      <w:rFonts w:hint="eastAsia" w:cs="Times New Roman"/>
                      <w:bCs/>
                      <w:color w:val="auto"/>
                      <w:spacing w:val="0"/>
                      <w:kern w:val="0"/>
                      <w:szCs w:val="21"/>
                      <w:highlight w:val="none"/>
                      <w:lang w:eastAsia="zh-CN"/>
                    </w:rPr>
                    <w:t>#厂房）</w:t>
                  </w:r>
                </w:p>
              </w:tc>
              <w:tc>
                <w:tcPr>
                  <w:tcW w:w="1598" w:type="pct"/>
                  <w:tcBorders>
                    <w:top w:val="single" w:color="auto" w:sz="4" w:space="0"/>
                    <w:left w:val="single" w:color="auto" w:sz="4" w:space="0"/>
                    <w:bottom w:val="single" w:color="auto" w:sz="4" w:space="0"/>
                    <w:right w:val="single" w:color="auto" w:sz="4" w:space="0"/>
                  </w:tcBorders>
                  <w:noWrap w:val="0"/>
                  <w:vAlign w:val="center"/>
                </w:tcPr>
                <w:p w14:paraId="7E6B81C9">
                  <w:pPr>
                    <w:widowControl/>
                    <w:jc w:val="center"/>
                    <w:rPr>
                      <w:rFonts w:hint="default" w:ascii="Times New Roman" w:hAnsi="Times New Roman" w:eastAsia="宋体" w:cs="Times New Roman"/>
                      <w:bCs/>
                      <w:color w:val="auto"/>
                      <w:spacing w:val="0"/>
                      <w:kern w:val="0"/>
                      <w:szCs w:val="21"/>
                      <w:highlight w:val="none"/>
                      <w:lang w:eastAsia="zh-CN"/>
                    </w:rPr>
                  </w:pPr>
                  <w:r>
                    <w:rPr>
                      <w:rFonts w:hint="eastAsia" w:cs="Times New Roman"/>
                      <w:bCs/>
                      <w:color w:val="auto"/>
                      <w:spacing w:val="0"/>
                      <w:kern w:val="0"/>
                      <w:szCs w:val="21"/>
                      <w:highlight w:val="none"/>
                      <w:lang w:eastAsia="zh-CN"/>
                    </w:rPr>
                    <w:t>福建省福州市闽侯县荆溪镇长龙三路23、25号（福建省奥德瑞电子科技有限公司5#厂房二层）</w:t>
                  </w:r>
                </w:p>
              </w:tc>
              <w:tc>
                <w:tcPr>
                  <w:tcW w:w="1198" w:type="pct"/>
                  <w:tcBorders>
                    <w:top w:val="single" w:color="auto" w:sz="4" w:space="0"/>
                    <w:left w:val="single" w:color="auto" w:sz="4" w:space="0"/>
                    <w:bottom w:val="single" w:color="auto" w:sz="4" w:space="0"/>
                  </w:tcBorders>
                  <w:noWrap w:val="0"/>
                  <w:vAlign w:val="center"/>
                </w:tcPr>
                <w:p w14:paraId="461D8933">
                  <w:pPr>
                    <w:widowControl/>
                    <w:jc w:val="center"/>
                    <w:rPr>
                      <w:rFonts w:hint="default" w:ascii="Times New Roman" w:hAnsi="Times New Roman" w:eastAsia="宋体" w:cs="Times New Roman"/>
                      <w:bCs/>
                      <w:color w:val="auto"/>
                      <w:spacing w:val="0"/>
                      <w:kern w:val="0"/>
                      <w:szCs w:val="21"/>
                      <w:highlight w:val="none"/>
                    </w:rPr>
                  </w:pPr>
                  <w:r>
                    <w:rPr>
                      <w:rFonts w:hint="default" w:ascii="Times New Roman" w:hAnsi="Times New Roman" w:eastAsia="宋体" w:cs="Times New Roman"/>
                      <w:bCs/>
                      <w:color w:val="auto"/>
                      <w:spacing w:val="0"/>
                      <w:kern w:val="0"/>
                      <w:szCs w:val="21"/>
                      <w:highlight w:val="none"/>
                    </w:rPr>
                    <w:t>地址变更</w:t>
                  </w:r>
                </w:p>
              </w:tc>
            </w:tr>
            <w:tr w14:paraId="1D7C80EE">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618" w:type="pct"/>
                  <w:tcBorders>
                    <w:top w:val="single" w:color="auto" w:sz="4" w:space="0"/>
                    <w:bottom w:val="single" w:color="auto" w:sz="4" w:space="0"/>
                    <w:right w:val="single" w:color="auto" w:sz="4" w:space="0"/>
                  </w:tcBorders>
                  <w:noWrap w:val="0"/>
                  <w:vAlign w:val="center"/>
                </w:tcPr>
                <w:p w14:paraId="639BDE0C">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法人代表</w:t>
                  </w:r>
                </w:p>
              </w:tc>
              <w:tc>
                <w:tcPr>
                  <w:tcW w:w="1584" w:type="pct"/>
                  <w:tcBorders>
                    <w:top w:val="single" w:color="auto" w:sz="4" w:space="0"/>
                    <w:left w:val="single" w:color="auto" w:sz="4" w:space="0"/>
                    <w:bottom w:val="single" w:color="auto" w:sz="4" w:space="0"/>
                    <w:right w:val="single" w:color="auto" w:sz="4" w:space="0"/>
                  </w:tcBorders>
                  <w:noWrap w:val="0"/>
                  <w:vAlign w:val="center"/>
                </w:tcPr>
                <w:p w14:paraId="58F46D55">
                  <w:pPr>
                    <w:widowControl/>
                    <w:jc w:val="center"/>
                    <w:rPr>
                      <w:rFonts w:hint="default" w:ascii="Times New Roman" w:hAnsi="Times New Roman" w:eastAsia="宋体" w:cs="Times New Roman"/>
                      <w:color w:val="auto"/>
                      <w:spacing w:val="0"/>
                      <w:kern w:val="0"/>
                      <w:szCs w:val="21"/>
                      <w:highlight w:val="none"/>
                      <w:lang w:val="en-US" w:eastAsia="zh-CN"/>
                    </w:rPr>
                  </w:pPr>
                  <w:r>
                    <w:rPr>
                      <w:rFonts w:hint="eastAsia" w:cs="Times New Roman"/>
                      <w:color w:val="auto"/>
                      <w:spacing w:val="0"/>
                      <w:kern w:val="0"/>
                      <w:szCs w:val="21"/>
                      <w:highlight w:val="none"/>
                      <w:lang w:val="en-US" w:eastAsia="zh-CN"/>
                    </w:rPr>
                    <w:t>虞有真</w:t>
                  </w:r>
                </w:p>
              </w:tc>
              <w:tc>
                <w:tcPr>
                  <w:tcW w:w="1598" w:type="pct"/>
                  <w:tcBorders>
                    <w:top w:val="single" w:color="auto" w:sz="4" w:space="0"/>
                    <w:left w:val="single" w:color="auto" w:sz="4" w:space="0"/>
                    <w:bottom w:val="single" w:color="auto" w:sz="4" w:space="0"/>
                    <w:right w:val="single" w:color="auto" w:sz="4" w:space="0"/>
                  </w:tcBorders>
                  <w:noWrap w:val="0"/>
                  <w:vAlign w:val="center"/>
                </w:tcPr>
                <w:p w14:paraId="0E523C95">
                  <w:pPr>
                    <w:widowControl/>
                    <w:jc w:val="center"/>
                    <w:rPr>
                      <w:rFonts w:hint="default" w:ascii="Times New Roman" w:hAnsi="Times New Roman" w:eastAsia="宋体" w:cs="Times New Roman"/>
                      <w:color w:val="auto"/>
                      <w:spacing w:val="0"/>
                      <w:kern w:val="0"/>
                      <w:szCs w:val="21"/>
                      <w:highlight w:val="none"/>
                      <w:lang w:eastAsia="zh-CN"/>
                    </w:rPr>
                  </w:pPr>
                  <w:r>
                    <w:rPr>
                      <w:rFonts w:hint="eastAsia" w:cs="Times New Roman"/>
                      <w:color w:val="auto"/>
                      <w:spacing w:val="0"/>
                      <w:kern w:val="0"/>
                      <w:szCs w:val="21"/>
                      <w:highlight w:val="none"/>
                      <w:lang w:val="en-US" w:eastAsia="zh-CN"/>
                    </w:rPr>
                    <w:t>朱华妹</w:t>
                  </w:r>
                </w:p>
              </w:tc>
              <w:tc>
                <w:tcPr>
                  <w:tcW w:w="1198" w:type="pct"/>
                  <w:tcBorders>
                    <w:top w:val="single" w:color="auto" w:sz="4" w:space="0"/>
                    <w:left w:val="single" w:color="auto" w:sz="4" w:space="0"/>
                    <w:bottom w:val="single" w:color="auto" w:sz="4" w:space="0"/>
                  </w:tcBorders>
                  <w:noWrap w:val="0"/>
                  <w:vAlign w:val="center"/>
                </w:tcPr>
                <w:p w14:paraId="7B5AF132">
                  <w:pPr>
                    <w:widowControl/>
                    <w:jc w:val="center"/>
                    <w:rPr>
                      <w:rFonts w:hint="default" w:ascii="Times New Roman" w:hAnsi="Times New Roman" w:eastAsia="宋体" w:cs="Times New Roman"/>
                      <w:bCs/>
                      <w:color w:val="auto"/>
                      <w:spacing w:val="0"/>
                      <w:kern w:val="0"/>
                      <w:szCs w:val="21"/>
                      <w:highlight w:val="none"/>
                      <w:lang w:val="en-US" w:eastAsia="zh-CN"/>
                    </w:rPr>
                  </w:pPr>
                  <w:r>
                    <w:rPr>
                      <w:rFonts w:hint="eastAsia" w:cs="Times New Roman"/>
                      <w:bCs/>
                      <w:color w:val="auto"/>
                      <w:spacing w:val="0"/>
                      <w:kern w:val="0"/>
                      <w:szCs w:val="21"/>
                      <w:highlight w:val="none"/>
                      <w:lang w:val="en-US" w:eastAsia="zh-CN"/>
                    </w:rPr>
                    <w:t>法人变更</w:t>
                  </w:r>
                </w:p>
              </w:tc>
            </w:tr>
            <w:tr w14:paraId="48773838">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1036" w:type="dxa"/>
                  <w:tcBorders>
                    <w:top w:val="single" w:color="auto" w:sz="4" w:space="0"/>
                    <w:bottom w:val="single" w:color="auto" w:sz="4" w:space="0"/>
                    <w:right w:val="single" w:color="auto" w:sz="4" w:space="0"/>
                  </w:tcBorders>
                  <w:noWrap w:val="0"/>
                  <w:vAlign w:val="center"/>
                </w:tcPr>
                <w:p w14:paraId="5F7089F9">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center"/>
                    <w:rPr>
                      <w:rFonts w:hint="default" w:ascii="Times New Roman" w:hAnsi="Times New Roman" w:eastAsia="宋体" w:cs="Times New Roman"/>
                      <w:color w:val="auto"/>
                      <w:spacing w:val="0"/>
                      <w:kern w:val="0"/>
                      <w:szCs w:val="21"/>
                      <w:highlight w:val="none"/>
                    </w:rPr>
                  </w:pPr>
                  <w:r>
                    <w:rPr>
                      <w:rFonts w:hint="eastAsia" w:ascii="Times New Roman" w:hAnsi="Times New Roman" w:eastAsia="宋体" w:cs="Times New Roman"/>
                      <w:b w:val="0"/>
                      <w:bCs w:val="0"/>
                      <w:color w:val="auto"/>
                      <w:spacing w:val="0"/>
                      <w:position w:val="0"/>
                      <w:sz w:val="21"/>
                      <w:szCs w:val="21"/>
                      <w:highlight w:val="none"/>
                      <w:lang w:val="en-US" w:eastAsia="zh-CN"/>
                    </w:rPr>
                    <w:t>总投资</w:t>
                  </w:r>
                </w:p>
              </w:tc>
              <w:tc>
                <w:tcPr>
                  <w:tcW w:w="2656" w:type="dxa"/>
                  <w:tcBorders>
                    <w:top w:val="single" w:color="auto" w:sz="4" w:space="0"/>
                    <w:left w:val="single" w:color="auto" w:sz="4" w:space="0"/>
                    <w:bottom w:val="single" w:color="auto" w:sz="4" w:space="0"/>
                    <w:right w:val="single" w:color="auto" w:sz="4" w:space="0"/>
                  </w:tcBorders>
                  <w:noWrap w:val="0"/>
                  <w:vAlign w:val="center"/>
                </w:tcPr>
                <w:p w14:paraId="0ABBCFE4">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center"/>
                    <w:rPr>
                      <w:rFonts w:hint="eastAsia" w:cs="Times New Roman"/>
                      <w:color w:val="auto"/>
                      <w:spacing w:val="0"/>
                      <w:kern w:val="0"/>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lang w:val="en-US" w:eastAsia="zh-CN"/>
                    </w:rPr>
                    <w:t>25万元</w:t>
                  </w:r>
                </w:p>
              </w:tc>
              <w:tc>
                <w:tcPr>
                  <w:tcW w:w="2680" w:type="dxa"/>
                  <w:tcBorders>
                    <w:top w:val="single" w:color="auto" w:sz="4" w:space="0"/>
                    <w:left w:val="single" w:color="auto" w:sz="4" w:space="0"/>
                    <w:bottom w:val="single" w:color="auto" w:sz="4" w:space="0"/>
                    <w:right w:val="single" w:color="auto" w:sz="4" w:space="0"/>
                  </w:tcBorders>
                  <w:noWrap w:val="0"/>
                  <w:vAlign w:val="center"/>
                </w:tcPr>
                <w:p w14:paraId="1DA55F59">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center"/>
                    <w:rPr>
                      <w:rFonts w:hint="eastAsia" w:cs="Times New Roman"/>
                      <w:color w:val="auto"/>
                      <w:spacing w:val="0"/>
                      <w:kern w:val="0"/>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lang w:val="en-US" w:eastAsia="zh-CN"/>
                    </w:rPr>
                    <w:t>40万元</w:t>
                  </w:r>
                </w:p>
              </w:tc>
              <w:tc>
                <w:tcPr>
                  <w:tcW w:w="2009" w:type="dxa"/>
                  <w:tcBorders>
                    <w:top w:val="single" w:color="auto" w:sz="4" w:space="0"/>
                    <w:left w:val="single" w:color="auto" w:sz="4" w:space="0"/>
                    <w:bottom w:val="single" w:color="auto" w:sz="4" w:space="0"/>
                  </w:tcBorders>
                  <w:noWrap w:val="0"/>
                  <w:vAlign w:val="center"/>
                </w:tcPr>
                <w:p w14:paraId="087CC35D">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center"/>
                    <w:rPr>
                      <w:rFonts w:hint="eastAsia" w:cs="Times New Roman"/>
                      <w:bCs/>
                      <w:color w:val="auto"/>
                      <w:spacing w:val="0"/>
                      <w:kern w:val="0"/>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lang w:val="en-US" w:eastAsia="zh-CN"/>
                    </w:rPr>
                    <w:t>增加15万元</w:t>
                  </w:r>
                </w:p>
              </w:tc>
            </w:tr>
            <w:tr w14:paraId="4AD828E3">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618" w:type="pct"/>
                  <w:tcBorders>
                    <w:top w:val="single" w:color="auto" w:sz="4" w:space="0"/>
                    <w:bottom w:val="single" w:color="auto" w:sz="4" w:space="0"/>
                    <w:right w:val="single" w:color="auto" w:sz="4" w:space="0"/>
                  </w:tcBorders>
                  <w:noWrap w:val="0"/>
                  <w:vAlign w:val="center"/>
                </w:tcPr>
                <w:p w14:paraId="3E0CEA1E">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建筑面积</w:t>
                  </w:r>
                </w:p>
              </w:tc>
              <w:tc>
                <w:tcPr>
                  <w:tcW w:w="1584" w:type="pct"/>
                  <w:tcBorders>
                    <w:top w:val="single" w:color="auto" w:sz="4" w:space="0"/>
                    <w:left w:val="single" w:color="auto" w:sz="4" w:space="0"/>
                    <w:bottom w:val="single" w:color="auto" w:sz="4" w:space="0"/>
                    <w:right w:val="single" w:color="auto" w:sz="4" w:space="0"/>
                  </w:tcBorders>
                  <w:noWrap w:val="0"/>
                  <w:vAlign w:val="center"/>
                </w:tcPr>
                <w:p w14:paraId="425BD4CB">
                  <w:pPr>
                    <w:widowControl/>
                    <w:jc w:val="center"/>
                    <w:rPr>
                      <w:rFonts w:hint="default" w:ascii="Times New Roman" w:hAnsi="Times New Roman" w:eastAsia="宋体" w:cs="Times New Roman"/>
                      <w:color w:val="auto"/>
                      <w:spacing w:val="0"/>
                      <w:kern w:val="0"/>
                      <w:szCs w:val="21"/>
                      <w:highlight w:val="none"/>
                      <w:lang w:val="en-US" w:eastAsia="zh-CN"/>
                    </w:rPr>
                  </w:pPr>
                  <w:r>
                    <w:rPr>
                      <w:rFonts w:hint="eastAsia" w:ascii="Times New Roman" w:hAnsi="Times New Roman" w:eastAsia="宋体" w:cs="Times New Roman"/>
                      <w:color w:val="auto"/>
                      <w:spacing w:val="0"/>
                      <w:kern w:val="0"/>
                      <w:szCs w:val="21"/>
                      <w:highlight w:val="none"/>
                      <w:lang w:val="en-US" w:eastAsia="zh-CN"/>
                    </w:rPr>
                    <w:t>建筑面积</w:t>
                  </w:r>
                  <w:r>
                    <w:rPr>
                      <w:rFonts w:hint="eastAsia" w:cs="Times New Roman"/>
                      <w:color w:val="auto"/>
                      <w:spacing w:val="0"/>
                      <w:kern w:val="0"/>
                      <w:szCs w:val="21"/>
                      <w:highlight w:val="none"/>
                      <w:lang w:val="en-US" w:eastAsia="zh-CN"/>
                    </w:rPr>
                    <w:t>48</w:t>
                  </w:r>
                  <w:r>
                    <w:rPr>
                      <w:rFonts w:hint="eastAsia" w:ascii="Times New Roman" w:hAnsi="Times New Roman" w:eastAsia="宋体" w:cs="Times New Roman"/>
                      <w:color w:val="auto"/>
                      <w:spacing w:val="0"/>
                      <w:kern w:val="0"/>
                      <w:szCs w:val="21"/>
                      <w:highlight w:val="none"/>
                      <w:lang w:val="en-US" w:eastAsia="zh-CN"/>
                    </w:rPr>
                    <w:t>00m</w:t>
                  </w:r>
                  <w:r>
                    <w:rPr>
                      <w:rFonts w:hint="eastAsia" w:ascii="Times New Roman" w:hAnsi="Times New Roman" w:eastAsia="宋体" w:cs="Times New Roman"/>
                      <w:color w:val="auto"/>
                      <w:spacing w:val="0"/>
                      <w:kern w:val="0"/>
                      <w:szCs w:val="21"/>
                      <w:highlight w:val="none"/>
                      <w:vertAlign w:val="superscript"/>
                      <w:lang w:val="en-US" w:eastAsia="zh-CN"/>
                    </w:rPr>
                    <w:t>2</w:t>
                  </w:r>
                </w:p>
              </w:tc>
              <w:tc>
                <w:tcPr>
                  <w:tcW w:w="1598" w:type="pct"/>
                  <w:tcBorders>
                    <w:top w:val="single" w:color="auto" w:sz="4" w:space="0"/>
                    <w:left w:val="single" w:color="auto" w:sz="4" w:space="0"/>
                    <w:bottom w:val="single" w:color="auto" w:sz="4" w:space="0"/>
                    <w:right w:val="single" w:color="auto" w:sz="4" w:space="0"/>
                  </w:tcBorders>
                  <w:noWrap w:val="0"/>
                  <w:vAlign w:val="center"/>
                </w:tcPr>
                <w:p w14:paraId="0272EC03">
                  <w:pPr>
                    <w:widowControl/>
                    <w:jc w:val="center"/>
                    <w:rPr>
                      <w:rFonts w:hint="default" w:ascii="Times New Roman" w:hAnsi="Times New Roman" w:eastAsia="宋体" w:cs="Times New Roman"/>
                      <w:color w:val="auto"/>
                      <w:spacing w:val="0"/>
                      <w:kern w:val="0"/>
                      <w:szCs w:val="21"/>
                      <w:highlight w:val="none"/>
                    </w:rPr>
                  </w:pPr>
                  <w:r>
                    <w:rPr>
                      <w:rFonts w:hint="eastAsia" w:ascii="Times New Roman" w:hAnsi="Times New Roman" w:eastAsia="宋体" w:cs="Times New Roman"/>
                      <w:color w:val="auto"/>
                      <w:spacing w:val="0"/>
                      <w:kern w:val="0"/>
                      <w:szCs w:val="21"/>
                      <w:highlight w:val="none"/>
                      <w:lang w:val="en-US" w:eastAsia="zh-CN"/>
                    </w:rPr>
                    <w:t>建筑面积</w:t>
                  </w:r>
                  <w:r>
                    <w:rPr>
                      <w:rFonts w:hint="eastAsia" w:cs="Times New Roman"/>
                      <w:color w:val="auto"/>
                      <w:spacing w:val="0"/>
                      <w:kern w:val="0"/>
                      <w:szCs w:val="21"/>
                      <w:highlight w:val="none"/>
                      <w:lang w:val="en-US" w:eastAsia="zh-CN"/>
                    </w:rPr>
                    <w:t>1536.35</w:t>
                  </w:r>
                  <w:r>
                    <w:rPr>
                      <w:rFonts w:hint="eastAsia" w:ascii="Times New Roman" w:hAnsi="Times New Roman" w:eastAsia="宋体" w:cs="Times New Roman"/>
                      <w:color w:val="auto"/>
                      <w:spacing w:val="0"/>
                      <w:kern w:val="0"/>
                      <w:szCs w:val="21"/>
                      <w:highlight w:val="none"/>
                      <w:lang w:val="en-US" w:eastAsia="zh-CN"/>
                    </w:rPr>
                    <w:t>m</w:t>
                  </w:r>
                  <w:r>
                    <w:rPr>
                      <w:rFonts w:hint="eastAsia" w:ascii="Times New Roman" w:hAnsi="Times New Roman" w:eastAsia="宋体" w:cs="Times New Roman"/>
                      <w:color w:val="auto"/>
                      <w:spacing w:val="0"/>
                      <w:kern w:val="0"/>
                      <w:szCs w:val="21"/>
                      <w:highlight w:val="none"/>
                      <w:vertAlign w:val="superscript"/>
                      <w:lang w:val="en-US" w:eastAsia="zh-CN"/>
                    </w:rPr>
                    <w:t>2</w:t>
                  </w:r>
                </w:p>
              </w:tc>
              <w:tc>
                <w:tcPr>
                  <w:tcW w:w="1198" w:type="pct"/>
                  <w:tcBorders>
                    <w:top w:val="single" w:color="auto" w:sz="4" w:space="0"/>
                    <w:left w:val="single" w:color="auto" w:sz="4" w:space="0"/>
                    <w:bottom w:val="single" w:color="auto" w:sz="4" w:space="0"/>
                  </w:tcBorders>
                  <w:noWrap w:val="0"/>
                  <w:vAlign w:val="center"/>
                </w:tcPr>
                <w:p w14:paraId="36F0731B">
                  <w:pPr>
                    <w:widowControl/>
                    <w:jc w:val="center"/>
                    <w:rPr>
                      <w:rFonts w:hint="default" w:ascii="Times New Roman" w:hAnsi="Times New Roman" w:eastAsia="宋体" w:cs="Times New Roman"/>
                      <w:color w:val="auto"/>
                      <w:spacing w:val="0"/>
                      <w:kern w:val="0"/>
                      <w:szCs w:val="21"/>
                      <w:highlight w:val="none"/>
                      <w:lang w:val="en-US"/>
                    </w:rPr>
                  </w:pPr>
                  <w:r>
                    <w:rPr>
                      <w:rFonts w:hint="eastAsia" w:ascii="Times New Roman" w:hAnsi="Times New Roman" w:eastAsia="宋体" w:cs="Times New Roman"/>
                      <w:color w:val="auto"/>
                      <w:spacing w:val="0"/>
                      <w:kern w:val="0"/>
                      <w:szCs w:val="21"/>
                      <w:highlight w:val="none"/>
                      <w:lang w:val="en-US" w:eastAsia="zh-CN"/>
                    </w:rPr>
                    <w:t>建筑面积</w:t>
                  </w:r>
                  <w:r>
                    <w:rPr>
                      <w:rFonts w:hint="eastAsia"/>
                      <w:color w:val="auto"/>
                      <w:highlight w:val="none"/>
                      <w:lang w:val="en-US" w:eastAsia="zh-CN"/>
                    </w:rPr>
                    <w:t>减少</w:t>
                  </w:r>
                  <w:r>
                    <w:rPr>
                      <w:rFonts w:hint="eastAsia" w:cs="Times New Roman"/>
                      <w:color w:val="auto"/>
                      <w:spacing w:val="0"/>
                      <w:kern w:val="0"/>
                      <w:szCs w:val="21"/>
                      <w:highlight w:val="none"/>
                      <w:lang w:val="en-US" w:eastAsia="zh-CN"/>
                    </w:rPr>
                    <w:t>3263.65</w:t>
                  </w:r>
                  <w:r>
                    <w:rPr>
                      <w:rFonts w:hint="eastAsia" w:ascii="Times New Roman" w:hAnsi="Times New Roman" w:eastAsia="宋体" w:cs="Times New Roman"/>
                      <w:color w:val="auto"/>
                      <w:spacing w:val="0"/>
                      <w:kern w:val="0"/>
                      <w:szCs w:val="21"/>
                      <w:highlight w:val="none"/>
                      <w:lang w:val="en-US" w:eastAsia="zh-CN"/>
                    </w:rPr>
                    <w:t>m</w:t>
                  </w:r>
                  <w:r>
                    <w:rPr>
                      <w:rFonts w:hint="eastAsia" w:ascii="Times New Roman" w:hAnsi="Times New Roman" w:eastAsia="宋体" w:cs="Times New Roman"/>
                      <w:color w:val="auto"/>
                      <w:spacing w:val="0"/>
                      <w:kern w:val="0"/>
                      <w:szCs w:val="21"/>
                      <w:highlight w:val="none"/>
                      <w:vertAlign w:val="superscript"/>
                      <w:lang w:val="en-US" w:eastAsia="zh-CN"/>
                    </w:rPr>
                    <w:t>2</w:t>
                  </w:r>
                </w:p>
              </w:tc>
            </w:tr>
            <w:tr w14:paraId="44387A23">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618" w:type="pct"/>
                  <w:tcBorders>
                    <w:top w:val="single" w:color="auto" w:sz="4" w:space="0"/>
                    <w:bottom w:val="single" w:color="auto" w:sz="4" w:space="0"/>
                    <w:right w:val="single" w:color="auto" w:sz="4" w:space="0"/>
                  </w:tcBorders>
                  <w:noWrap w:val="0"/>
                  <w:vAlign w:val="center"/>
                </w:tcPr>
                <w:p w14:paraId="0EFE2A38">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生产规模</w:t>
                  </w:r>
                </w:p>
              </w:tc>
              <w:tc>
                <w:tcPr>
                  <w:tcW w:w="1584" w:type="pct"/>
                  <w:tcBorders>
                    <w:top w:val="single" w:color="auto" w:sz="4" w:space="0"/>
                    <w:left w:val="single" w:color="auto" w:sz="4" w:space="0"/>
                    <w:bottom w:val="single" w:color="auto" w:sz="4" w:space="0"/>
                    <w:right w:val="single" w:color="auto" w:sz="4" w:space="0"/>
                  </w:tcBorders>
                  <w:noWrap w:val="0"/>
                  <w:vAlign w:val="center"/>
                </w:tcPr>
                <w:p w14:paraId="01D47C08">
                  <w:pPr>
                    <w:widowControl/>
                    <w:jc w:val="center"/>
                    <w:rPr>
                      <w:rFonts w:hint="default" w:ascii="Times New Roman" w:hAnsi="Times New Roman" w:eastAsia="宋体" w:cs="Times New Roman"/>
                      <w:color w:val="auto"/>
                      <w:spacing w:val="0"/>
                      <w:kern w:val="0"/>
                      <w:szCs w:val="21"/>
                      <w:highlight w:val="none"/>
                      <w:lang w:val="en-US" w:eastAsia="zh-CN"/>
                    </w:rPr>
                  </w:pPr>
                  <w:r>
                    <w:rPr>
                      <w:rFonts w:hint="eastAsia" w:cs="Times New Roman"/>
                      <w:color w:val="auto"/>
                      <w:spacing w:val="0"/>
                      <w:kern w:val="0"/>
                      <w:szCs w:val="21"/>
                      <w:highlight w:val="none"/>
                      <w:lang w:val="en-US" w:eastAsia="zh-CN"/>
                    </w:rPr>
                    <w:t>年产木质屏风4800个</w:t>
                  </w:r>
                </w:p>
              </w:tc>
              <w:tc>
                <w:tcPr>
                  <w:tcW w:w="1598" w:type="pct"/>
                  <w:tcBorders>
                    <w:top w:val="single" w:color="auto" w:sz="4" w:space="0"/>
                    <w:left w:val="single" w:color="auto" w:sz="4" w:space="0"/>
                    <w:bottom w:val="single" w:color="auto" w:sz="4" w:space="0"/>
                    <w:right w:val="single" w:color="auto" w:sz="4" w:space="0"/>
                  </w:tcBorders>
                  <w:noWrap w:val="0"/>
                  <w:vAlign w:val="center"/>
                </w:tcPr>
                <w:p w14:paraId="581FDAFA">
                  <w:pPr>
                    <w:widowControl/>
                    <w:jc w:val="center"/>
                    <w:rPr>
                      <w:rFonts w:hint="default" w:ascii="Times New Roman" w:hAnsi="Times New Roman" w:eastAsia="宋体" w:cs="Times New Roman"/>
                      <w:color w:val="auto"/>
                      <w:spacing w:val="0"/>
                      <w:kern w:val="0"/>
                      <w:szCs w:val="21"/>
                      <w:highlight w:val="none"/>
                      <w:lang w:eastAsia="zh-CN"/>
                    </w:rPr>
                  </w:pPr>
                  <w:r>
                    <w:rPr>
                      <w:rFonts w:hint="eastAsia" w:cs="Times New Roman"/>
                      <w:color w:val="auto"/>
                      <w:spacing w:val="0"/>
                      <w:kern w:val="0"/>
                      <w:szCs w:val="21"/>
                      <w:highlight w:val="none"/>
                      <w:lang w:val="en-US" w:eastAsia="zh-CN"/>
                    </w:rPr>
                    <w:t>年产木质屏风4800个</w:t>
                  </w:r>
                </w:p>
              </w:tc>
              <w:tc>
                <w:tcPr>
                  <w:tcW w:w="1198" w:type="pct"/>
                  <w:tcBorders>
                    <w:top w:val="single" w:color="auto" w:sz="4" w:space="0"/>
                    <w:left w:val="single" w:color="auto" w:sz="4" w:space="0"/>
                    <w:bottom w:val="single" w:color="auto" w:sz="4" w:space="0"/>
                  </w:tcBorders>
                  <w:noWrap w:val="0"/>
                  <w:vAlign w:val="center"/>
                </w:tcPr>
                <w:p w14:paraId="34339D55">
                  <w:pPr>
                    <w:widowControl/>
                    <w:jc w:val="center"/>
                    <w:rPr>
                      <w:rFonts w:hint="default" w:ascii="Times New Roman" w:hAnsi="Times New Roman" w:eastAsia="宋体" w:cs="Times New Roman"/>
                      <w:color w:val="auto"/>
                      <w:spacing w:val="0"/>
                      <w:kern w:val="0"/>
                      <w:szCs w:val="21"/>
                      <w:highlight w:val="none"/>
                      <w:lang w:val="en-US" w:eastAsia="zh-CN"/>
                    </w:rPr>
                  </w:pPr>
                  <w:r>
                    <w:rPr>
                      <w:rFonts w:hint="eastAsia" w:ascii="Times New Roman" w:hAnsi="Times New Roman" w:eastAsia="宋体" w:cs="Times New Roman"/>
                      <w:color w:val="auto"/>
                      <w:spacing w:val="0"/>
                      <w:kern w:val="0"/>
                      <w:szCs w:val="21"/>
                      <w:highlight w:val="none"/>
                      <w:lang w:val="en-US" w:eastAsia="zh-CN"/>
                    </w:rPr>
                    <w:t>不变</w:t>
                  </w:r>
                </w:p>
              </w:tc>
            </w:tr>
            <w:tr w14:paraId="491EBF4C">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618" w:type="pct"/>
                  <w:tcBorders>
                    <w:top w:val="single" w:color="auto" w:sz="4" w:space="0"/>
                    <w:bottom w:val="single" w:color="auto" w:sz="4" w:space="0"/>
                    <w:right w:val="single" w:color="auto" w:sz="4" w:space="0"/>
                  </w:tcBorders>
                  <w:noWrap w:val="0"/>
                  <w:vAlign w:val="center"/>
                </w:tcPr>
                <w:p w14:paraId="09D25FCB">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职工人数</w:t>
                  </w:r>
                </w:p>
              </w:tc>
              <w:tc>
                <w:tcPr>
                  <w:tcW w:w="1584" w:type="pct"/>
                  <w:tcBorders>
                    <w:top w:val="single" w:color="auto" w:sz="4" w:space="0"/>
                    <w:left w:val="single" w:color="auto" w:sz="4" w:space="0"/>
                    <w:bottom w:val="single" w:color="auto" w:sz="4" w:space="0"/>
                    <w:right w:val="single" w:color="auto" w:sz="4" w:space="0"/>
                  </w:tcBorders>
                  <w:noWrap w:val="0"/>
                  <w:vAlign w:val="center"/>
                </w:tcPr>
                <w:p w14:paraId="1608BA66">
                  <w:pPr>
                    <w:widowControl/>
                    <w:jc w:val="center"/>
                    <w:rPr>
                      <w:rFonts w:hint="default" w:ascii="Times New Roman" w:hAnsi="Times New Roman" w:eastAsia="宋体" w:cs="Times New Roman"/>
                      <w:color w:val="auto"/>
                      <w:spacing w:val="0"/>
                      <w:kern w:val="0"/>
                      <w:szCs w:val="21"/>
                      <w:highlight w:val="none"/>
                      <w:lang w:val="en-US" w:eastAsia="zh-CN"/>
                    </w:rPr>
                  </w:pPr>
                  <w:r>
                    <w:rPr>
                      <w:rFonts w:hint="eastAsia" w:cs="Times New Roman"/>
                      <w:color w:val="auto"/>
                      <w:spacing w:val="0"/>
                      <w:kern w:val="0"/>
                      <w:szCs w:val="21"/>
                      <w:highlight w:val="none"/>
                      <w:lang w:val="en-US" w:eastAsia="zh-CN"/>
                    </w:rPr>
                    <w:t>20</w:t>
                  </w:r>
                  <w:r>
                    <w:rPr>
                      <w:rFonts w:hint="eastAsia" w:ascii="Times New Roman" w:hAnsi="Times New Roman" w:eastAsia="宋体" w:cs="Times New Roman"/>
                      <w:color w:val="auto"/>
                      <w:spacing w:val="0"/>
                      <w:kern w:val="0"/>
                      <w:szCs w:val="21"/>
                      <w:highlight w:val="none"/>
                      <w:lang w:val="en-US" w:eastAsia="zh-CN"/>
                    </w:rPr>
                    <w:t>人</w:t>
                  </w:r>
                </w:p>
              </w:tc>
              <w:tc>
                <w:tcPr>
                  <w:tcW w:w="1598" w:type="pct"/>
                  <w:tcBorders>
                    <w:top w:val="single" w:color="auto" w:sz="4" w:space="0"/>
                    <w:left w:val="single" w:color="auto" w:sz="4" w:space="0"/>
                    <w:bottom w:val="single" w:color="auto" w:sz="4" w:space="0"/>
                    <w:right w:val="single" w:color="auto" w:sz="4" w:space="0"/>
                  </w:tcBorders>
                  <w:noWrap w:val="0"/>
                  <w:vAlign w:val="center"/>
                </w:tcPr>
                <w:p w14:paraId="19DA7E61">
                  <w:pPr>
                    <w:widowControl/>
                    <w:jc w:val="center"/>
                    <w:rPr>
                      <w:rFonts w:hint="default" w:ascii="Times New Roman" w:hAnsi="Times New Roman" w:eastAsia="宋体" w:cs="Times New Roman"/>
                      <w:color w:val="auto"/>
                      <w:spacing w:val="0"/>
                      <w:kern w:val="0"/>
                      <w:szCs w:val="21"/>
                      <w:highlight w:val="none"/>
                      <w:lang w:val="en-US" w:eastAsia="zh-CN"/>
                    </w:rPr>
                  </w:pPr>
                  <w:r>
                    <w:rPr>
                      <w:rFonts w:hint="eastAsia" w:cs="Times New Roman"/>
                      <w:color w:val="auto"/>
                      <w:spacing w:val="0"/>
                      <w:kern w:val="0"/>
                      <w:szCs w:val="21"/>
                      <w:highlight w:val="none"/>
                      <w:lang w:val="en-US" w:eastAsia="zh-CN"/>
                    </w:rPr>
                    <w:t>20</w:t>
                  </w:r>
                  <w:r>
                    <w:rPr>
                      <w:rFonts w:hint="eastAsia" w:ascii="Times New Roman" w:hAnsi="Times New Roman" w:eastAsia="宋体" w:cs="Times New Roman"/>
                      <w:color w:val="auto"/>
                      <w:spacing w:val="0"/>
                      <w:kern w:val="0"/>
                      <w:szCs w:val="21"/>
                      <w:highlight w:val="none"/>
                      <w:lang w:val="en-US" w:eastAsia="zh-CN"/>
                    </w:rPr>
                    <w:t>人</w:t>
                  </w:r>
                </w:p>
              </w:tc>
              <w:tc>
                <w:tcPr>
                  <w:tcW w:w="1198" w:type="pct"/>
                  <w:tcBorders>
                    <w:top w:val="single" w:color="auto" w:sz="4" w:space="0"/>
                    <w:left w:val="single" w:color="auto" w:sz="4" w:space="0"/>
                    <w:bottom w:val="single" w:color="auto" w:sz="4" w:space="0"/>
                  </w:tcBorders>
                  <w:noWrap w:val="0"/>
                  <w:vAlign w:val="center"/>
                </w:tcPr>
                <w:p w14:paraId="79116055">
                  <w:pPr>
                    <w:widowControl/>
                    <w:jc w:val="center"/>
                    <w:rPr>
                      <w:rFonts w:hint="default" w:ascii="Times New Roman" w:hAnsi="Times New Roman" w:eastAsia="宋体" w:cs="Times New Roman"/>
                      <w:color w:val="auto"/>
                      <w:spacing w:val="0"/>
                      <w:kern w:val="0"/>
                      <w:szCs w:val="21"/>
                      <w:highlight w:val="none"/>
                      <w:lang w:val="en-US" w:eastAsia="zh-CN"/>
                    </w:rPr>
                  </w:pPr>
                  <w:r>
                    <w:rPr>
                      <w:rFonts w:hint="eastAsia" w:ascii="Times New Roman" w:hAnsi="Times New Roman" w:eastAsia="宋体" w:cs="Times New Roman"/>
                      <w:color w:val="auto"/>
                      <w:spacing w:val="0"/>
                      <w:kern w:val="0"/>
                      <w:szCs w:val="21"/>
                      <w:highlight w:val="none"/>
                      <w:lang w:val="en-US" w:eastAsia="zh-CN"/>
                    </w:rPr>
                    <w:t>不变</w:t>
                  </w:r>
                </w:p>
              </w:tc>
            </w:tr>
            <w:tr w14:paraId="2D42F507">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618" w:type="pct"/>
                  <w:tcBorders>
                    <w:top w:val="single" w:color="auto" w:sz="4" w:space="0"/>
                    <w:bottom w:val="single" w:color="auto" w:sz="4" w:space="0"/>
                    <w:right w:val="single" w:color="auto" w:sz="4" w:space="0"/>
                  </w:tcBorders>
                  <w:noWrap w:val="0"/>
                  <w:vAlign w:val="center"/>
                </w:tcPr>
                <w:p w14:paraId="4F2DAC2D">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lang w:bidi="ar"/>
                    </w:rPr>
                    <w:t>工作制度</w:t>
                  </w:r>
                </w:p>
              </w:tc>
              <w:tc>
                <w:tcPr>
                  <w:tcW w:w="1584" w:type="pct"/>
                  <w:tcBorders>
                    <w:top w:val="single" w:color="auto" w:sz="4" w:space="0"/>
                    <w:left w:val="single" w:color="auto" w:sz="4" w:space="0"/>
                    <w:bottom w:val="single" w:color="auto" w:sz="4" w:space="0"/>
                    <w:right w:val="single" w:color="auto" w:sz="4" w:space="0"/>
                  </w:tcBorders>
                  <w:noWrap w:val="0"/>
                  <w:vAlign w:val="center"/>
                </w:tcPr>
                <w:p w14:paraId="47CF7FE9">
                  <w:pPr>
                    <w:widowControl/>
                    <w:jc w:val="center"/>
                    <w:rPr>
                      <w:rFonts w:hint="eastAsia" w:ascii="Times New Roman" w:hAnsi="Times New Roman" w:eastAsia="宋体" w:cs="Times New Roman"/>
                      <w:color w:val="auto"/>
                      <w:spacing w:val="0"/>
                      <w:kern w:val="0"/>
                      <w:szCs w:val="21"/>
                      <w:highlight w:val="none"/>
                      <w:lang w:val="en-US" w:eastAsia="zh-CN"/>
                    </w:rPr>
                  </w:pPr>
                  <w:r>
                    <w:rPr>
                      <w:rFonts w:hint="eastAsia" w:ascii="Times New Roman" w:hAnsi="Times New Roman" w:eastAsia="宋体" w:cs="Times New Roman"/>
                      <w:color w:val="auto"/>
                      <w:spacing w:val="0"/>
                      <w:kern w:val="0"/>
                      <w:szCs w:val="21"/>
                      <w:highlight w:val="none"/>
                      <w:lang w:val="en-US" w:eastAsia="zh-CN"/>
                    </w:rPr>
                    <w:t>年工作300天，</w:t>
                  </w:r>
                </w:p>
                <w:p w14:paraId="11ABBA10">
                  <w:pPr>
                    <w:widowControl/>
                    <w:jc w:val="center"/>
                    <w:rPr>
                      <w:rFonts w:hint="default" w:ascii="Times New Roman" w:hAnsi="Times New Roman" w:eastAsia="宋体" w:cs="Times New Roman"/>
                      <w:color w:val="auto"/>
                      <w:spacing w:val="0"/>
                      <w:kern w:val="0"/>
                      <w:szCs w:val="21"/>
                      <w:highlight w:val="none"/>
                      <w:lang w:val="en-US" w:eastAsia="zh-CN"/>
                    </w:rPr>
                  </w:pPr>
                  <w:r>
                    <w:rPr>
                      <w:rFonts w:hint="eastAsia" w:ascii="Times New Roman" w:hAnsi="Times New Roman" w:eastAsia="宋体" w:cs="Times New Roman"/>
                      <w:color w:val="auto"/>
                      <w:spacing w:val="0"/>
                      <w:kern w:val="0"/>
                      <w:szCs w:val="21"/>
                      <w:highlight w:val="none"/>
                      <w:lang w:val="en-US" w:eastAsia="zh-CN"/>
                    </w:rPr>
                    <w:t>每天工作8小时</w:t>
                  </w:r>
                  <w:r>
                    <w:rPr>
                      <w:rFonts w:hint="eastAsia" w:cs="Times New Roman"/>
                      <w:color w:val="auto"/>
                      <w:spacing w:val="0"/>
                      <w:kern w:val="0"/>
                      <w:szCs w:val="21"/>
                      <w:highlight w:val="none"/>
                      <w:lang w:val="en-US" w:eastAsia="zh-CN"/>
                    </w:rPr>
                    <w:t>，不住厂</w:t>
                  </w:r>
                </w:p>
              </w:tc>
              <w:tc>
                <w:tcPr>
                  <w:tcW w:w="1598" w:type="pct"/>
                  <w:tcBorders>
                    <w:top w:val="single" w:color="auto" w:sz="4" w:space="0"/>
                    <w:left w:val="single" w:color="auto" w:sz="4" w:space="0"/>
                    <w:bottom w:val="single" w:color="auto" w:sz="4" w:space="0"/>
                    <w:right w:val="single" w:color="auto" w:sz="4" w:space="0"/>
                  </w:tcBorders>
                  <w:noWrap w:val="0"/>
                  <w:vAlign w:val="center"/>
                </w:tcPr>
                <w:p w14:paraId="46665724">
                  <w:pPr>
                    <w:widowControl/>
                    <w:jc w:val="center"/>
                    <w:rPr>
                      <w:rFonts w:hint="eastAsia" w:ascii="Times New Roman" w:hAnsi="Times New Roman" w:eastAsia="宋体" w:cs="Times New Roman"/>
                      <w:color w:val="auto"/>
                      <w:spacing w:val="0"/>
                      <w:kern w:val="0"/>
                      <w:szCs w:val="21"/>
                      <w:highlight w:val="none"/>
                      <w:lang w:val="en-US" w:eastAsia="zh-CN"/>
                    </w:rPr>
                  </w:pPr>
                  <w:r>
                    <w:rPr>
                      <w:rFonts w:hint="eastAsia" w:ascii="Times New Roman" w:hAnsi="Times New Roman" w:eastAsia="宋体" w:cs="Times New Roman"/>
                      <w:color w:val="auto"/>
                      <w:spacing w:val="0"/>
                      <w:kern w:val="0"/>
                      <w:szCs w:val="21"/>
                      <w:highlight w:val="none"/>
                      <w:lang w:val="en-US" w:eastAsia="zh-CN"/>
                    </w:rPr>
                    <w:t>年工作300天，</w:t>
                  </w:r>
                </w:p>
                <w:p w14:paraId="0BC42DEA">
                  <w:pPr>
                    <w:widowControl/>
                    <w:jc w:val="center"/>
                    <w:rPr>
                      <w:rFonts w:hint="default" w:ascii="Times New Roman" w:hAnsi="Times New Roman" w:eastAsia="宋体" w:cs="Times New Roman"/>
                      <w:color w:val="auto"/>
                      <w:spacing w:val="0"/>
                      <w:kern w:val="0"/>
                      <w:szCs w:val="21"/>
                      <w:highlight w:val="none"/>
                    </w:rPr>
                  </w:pPr>
                  <w:r>
                    <w:rPr>
                      <w:rFonts w:hint="eastAsia" w:ascii="Times New Roman" w:hAnsi="Times New Roman" w:eastAsia="宋体" w:cs="Times New Roman"/>
                      <w:color w:val="auto"/>
                      <w:spacing w:val="0"/>
                      <w:kern w:val="0"/>
                      <w:szCs w:val="21"/>
                      <w:highlight w:val="none"/>
                      <w:lang w:val="en-US" w:eastAsia="zh-CN"/>
                    </w:rPr>
                    <w:t>每天工作8小时</w:t>
                  </w:r>
                  <w:r>
                    <w:rPr>
                      <w:rFonts w:hint="eastAsia" w:cs="Times New Roman"/>
                      <w:color w:val="auto"/>
                      <w:spacing w:val="0"/>
                      <w:kern w:val="0"/>
                      <w:szCs w:val="21"/>
                      <w:highlight w:val="none"/>
                      <w:lang w:val="en-US" w:eastAsia="zh-CN"/>
                    </w:rPr>
                    <w:t>，不住厂</w:t>
                  </w:r>
                </w:p>
              </w:tc>
              <w:tc>
                <w:tcPr>
                  <w:tcW w:w="1198" w:type="pct"/>
                  <w:tcBorders>
                    <w:top w:val="single" w:color="auto" w:sz="4" w:space="0"/>
                    <w:left w:val="single" w:color="auto" w:sz="4" w:space="0"/>
                    <w:bottom w:val="single" w:color="auto" w:sz="4" w:space="0"/>
                  </w:tcBorders>
                  <w:noWrap w:val="0"/>
                  <w:vAlign w:val="center"/>
                </w:tcPr>
                <w:p w14:paraId="1849510A">
                  <w:pPr>
                    <w:widowControl/>
                    <w:jc w:val="center"/>
                    <w:rPr>
                      <w:rFonts w:hint="eastAsia" w:ascii="Times New Roman" w:hAnsi="Times New Roman" w:eastAsia="宋体" w:cs="Times New Roman"/>
                      <w:color w:val="auto"/>
                      <w:spacing w:val="0"/>
                      <w:kern w:val="0"/>
                      <w:szCs w:val="21"/>
                      <w:highlight w:val="none"/>
                      <w:lang w:val="en-US" w:eastAsia="zh-CN"/>
                    </w:rPr>
                  </w:pPr>
                  <w:r>
                    <w:rPr>
                      <w:rFonts w:hint="eastAsia" w:ascii="Times New Roman" w:hAnsi="Times New Roman" w:eastAsia="宋体" w:cs="Times New Roman"/>
                      <w:color w:val="auto"/>
                      <w:spacing w:val="0"/>
                      <w:kern w:val="0"/>
                      <w:szCs w:val="21"/>
                      <w:highlight w:val="none"/>
                      <w:lang w:val="en-US" w:eastAsia="zh-CN"/>
                    </w:rPr>
                    <w:t>不变</w:t>
                  </w:r>
                </w:p>
              </w:tc>
            </w:tr>
          </w:tbl>
          <w:p w14:paraId="3820F333">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ascii="Times New Roman" w:hAnsi="Times New Roman" w:eastAsia="宋体" w:cs="Times New Roman"/>
                <w:b/>
                <w:bCs/>
                <w:color w:val="auto"/>
                <w:spacing w:val="0"/>
                <w:kern w:val="0"/>
                <w:position w:val="0"/>
                <w:sz w:val="24"/>
                <w:szCs w:val="24"/>
                <w:highlight w:val="none"/>
              </w:rPr>
            </w:pPr>
            <w:r>
              <w:rPr>
                <w:rFonts w:hint="eastAsia" w:ascii="Times New Roman" w:hAnsi="Times New Roman" w:eastAsia="宋体" w:cs="Times New Roman"/>
                <w:b/>
                <w:bCs/>
                <w:color w:val="auto"/>
                <w:spacing w:val="0"/>
                <w:kern w:val="0"/>
                <w:position w:val="0"/>
                <w:sz w:val="24"/>
                <w:szCs w:val="24"/>
                <w:highlight w:val="none"/>
              </w:rPr>
              <w:t>2.3 项目组成</w:t>
            </w:r>
          </w:p>
          <w:p w14:paraId="315D9667">
            <w:pPr>
              <w:keepNext w:val="0"/>
              <w:keepLines w:val="0"/>
              <w:pageBreakBefore w:val="0"/>
              <w:widowControl/>
              <w:kinsoku/>
              <w:wordWrap/>
              <w:topLinePunct w:val="0"/>
              <w:bidi w:val="0"/>
              <w:snapToGrid w:val="0"/>
              <w:spacing w:line="360" w:lineRule="auto"/>
              <w:ind w:firstLine="480" w:firstLineChars="200"/>
              <w:rPr>
                <w:rFonts w:hint="eastAsia"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项目拟建工程组成包括主体工程、辅助工程、公用工程、环保工程、仓储工程等。工程建设内容及规模见表</w:t>
            </w:r>
            <w:r>
              <w:rPr>
                <w:rFonts w:ascii="Times New Roman" w:hAnsi="Times New Roman" w:eastAsia="宋体" w:cs="Times New Roman"/>
                <w:color w:val="auto"/>
                <w:spacing w:val="0"/>
                <w:position w:val="0"/>
                <w:sz w:val="24"/>
                <w:szCs w:val="24"/>
                <w:highlight w:val="none"/>
              </w:rPr>
              <w:t>2</w:t>
            </w:r>
            <w:r>
              <w:rPr>
                <w:rFonts w:hint="eastAsia" w:ascii="Times New Roman" w:hAnsi="Times New Roman" w:eastAsia="宋体" w:cs="Times New Roman"/>
                <w:color w:val="auto"/>
                <w:spacing w:val="0"/>
                <w:position w:val="0"/>
                <w:sz w:val="24"/>
                <w:szCs w:val="24"/>
                <w:highlight w:val="none"/>
                <w:lang w:val="en-US" w:eastAsia="zh-CN"/>
              </w:rPr>
              <w:t>.3-1</w:t>
            </w:r>
            <w:r>
              <w:rPr>
                <w:rFonts w:hint="eastAsia" w:ascii="Times New Roman" w:hAnsi="Times New Roman" w:eastAsia="宋体" w:cs="Times New Roman"/>
                <w:color w:val="auto"/>
                <w:spacing w:val="0"/>
                <w:position w:val="0"/>
                <w:sz w:val="24"/>
                <w:szCs w:val="24"/>
                <w:highlight w:val="none"/>
              </w:rPr>
              <w:t>，厂区平面布置图见附图</w:t>
            </w:r>
            <w:r>
              <w:rPr>
                <w:rFonts w:hint="eastAsia" w:cs="Times New Roman"/>
                <w:color w:val="auto"/>
                <w:spacing w:val="0"/>
                <w:position w:val="0"/>
                <w:sz w:val="24"/>
                <w:szCs w:val="24"/>
                <w:highlight w:val="none"/>
                <w:lang w:val="en-US" w:eastAsia="zh-CN"/>
              </w:rPr>
              <w:t>8</w:t>
            </w:r>
            <w:r>
              <w:rPr>
                <w:rFonts w:hint="eastAsia" w:ascii="Times New Roman" w:hAnsi="Times New Roman" w:eastAsia="宋体" w:cs="Times New Roman"/>
                <w:color w:val="auto"/>
                <w:spacing w:val="0"/>
                <w:position w:val="0"/>
                <w:sz w:val="24"/>
                <w:szCs w:val="24"/>
                <w:highlight w:val="none"/>
              </w:rPr>
              <w:t>。</w:t>
            </w:r>
          </w:p>
          <w:p w14:paraId="6F26B776">
            <w:pPr>
              <w:widowControl/>
              <w:jc w:val="center"/>
              <w:rPr>
                <w:rFonts w:ascii="Times New Roman" w:hAnsi="Times New Roman" w:eastAsia="宋体" w:cs="Times New Roman"/>
                <w:b/>
                <w:color w:val="auto"/>
                <w:spacing w:val="0"/>
                <w:position w:val="0"/>
                <w:sz w:val="24"/>
                <w:highlight w:val="none"/>
              </w:rPr>
            </w:pPr>
            <w:r>
              <w:rPr>
                <w:rFonts w:hint="eastAsia" w:ascii="Times New Roman" w:hAnsi="Times New Roman" w:eastAsia="宋体" w:cs="Times New Roman"/>
                <w:b/>
                <w:color w:val="auto"/>
                <w:spacing w:val="0"/>
                <w:position w:val="0"/>
                <w:sz w:val="24"/>
                <w:highlight w:val="none"/>
              </w:rPr>
              <w:t>表</w:t>
            </w:r>
            <w:r>
              <w:rPr>
                <w:rFonts w:ascii="Times New Roman" w:hAnsi="Times New Roman" w:eastAsia="宋体" w:cs="Times New Roman"/>
                <w:b/>
                <w:color w:val="auto"/>
                <w:spacing w:val="0"/>
                <w:position w:val="0"/>
                <w:sz w:val="24"/>
                <w:highlight w:val="none"/>
              </w:rPr>
              <w:t>2</w:t>
            </w:r>
            <w:r>
              <w:rPr>
                <w:rFonts w:hint="eastAsia" w:ascii="Times New Roman" w:hAnsi="Times New Roman" w:eastAsia="宋体" w:cs="Times New Roman"/>
                <w:b/>
                <w:color w:val="auto"/>
                <w:spacing w:val="0"/>
                <w:position w:val="0"/>
                <w:sz w:val="24"/>
                <w:highlight w:val="none"/>
                <w:lang w:val="en-US" w:eastAsia="zh-CN"/>
              </w:rPr>
              <w:t>.3-1</w:t>
            </w:r>
            <w:r>
              <w:rPr>
                <w:rFonts w:ascii="Times New Roman" w:hAnsi="Times New Roman" w:eastAsia="宋体" w:cs="Times New Roman"/>
                <w:b/>
                <w:color w:val="auto"/>
                <w:spacing w:val="0"/>
                <w:position w:val="0"/>
                <w:sz w:val="24"/>
                <w:highlight w:val="none"/>
              </w:rPr>
              <w:t xml:space="preserve"> </w:t>
            </w:r>
            <w:r>
              <w:rPr>
                <w:rFonts w:hint="eastAsia" w:ascii="Times New Roman" w:hAnsi="Times New Roman" w:eastAsia="宋体" w:cs="Times New Roman"/>
                <w:b/>
                <w:color w:val="auto"/>
                <w:spacing w:val="0"/>
                <w:position w:val="0"/>
                <w:sz w:val="24"/>
                <w:highlight w:val="none"/>
              </w:rPr>
              <w:t>项目工程组成及建设内容一览表</w:t>
            </w:r>
          </w:p>
          <w:tbl>
            <w:tblPr>
              <w:tblStyle w:val="29"/>
              <w:tblW w:w="496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93"/>
              <w:gridCol w:w="723"/>
              <w:gridCol w:w="521"/>
              <w:gridCol w:w="917"/>
              <w:gridCol w:w="4489"/>
              <w:gridCol w:w="983"/>
            </w:tblGrid>
            <w:tr w14:paraId="2E0503A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tcBorders>
                    <w:tl2br w:val="nil"/>
                    <w:tr2bl w:val="nil"/>
                  </w:tcBorders>
                  <w:vAlign w:val="center"/>
                </w:tcPr>
                <w:p w14:paraId="39AA2623">
                  <w:pPr>
                    <w:widowControl/>
                    <w:jc w:val="center"/>
                    <w:rPr>
                      <w:rFonts w:ascii="Times New Roman" w:hAnsi="Times New Roman" w:eastAsia="宋体" w:cs="Times New Roman"/>
                      <w:b/>
                      <w:bCs/>
                      <w:color w:val="auto"/>
                      <w:spacing w:val="0"/>
                      <w:kern w:val="0"/>
                      <w:position w:val="0"/>
                      <w:sz w:val="21"/>
                      <w:szCs w:val="21"/>
                      <w:highlight w:val="none"/>
                    </w:rPr>
                  </w:pPr>
                  <w:r>
                    <w:rPr>
                      <w:rFonts w:hint="eastAsia" w:ascii="Times New Roman" w:hAnsi="Times New Roman" w:eastAsia="宋体" w:cs="Times New Roman"/>
                      <w:b/>
                      <w:bCs/>
                      <w:color w:val="auto"/>
                      <w:spacing w:val="0"/>
                      <w:kern w:val="0"/>
                      <w:position w:val="0"/>
                      <w:sz w:val="21"/>
                      <w:szCs w:val="21"/>
                      <w:highlight w:val="none"/>
                    </w:rPr>
                    <w:t>项目组成</w:t>
                  </w:r>
                </w:p>
              </w:tc>
              <w:tc>
                <w:tcPr>
                  <w:tcW w:w="2161" w:type="dxa"/>
                  <w:gridSpan w:val="3"/>
                  <w:tcBorders>
                    <w:tl2br w:val="nil"/>
                    <w:tr2bl w:val="nil"/>
                  </w:tcBorders>
                  <w:vAlign w:val="center"/>
                </w:tcPr>
                <w:p w14:paraId="19CF79D0">
                  <w:pPr>
                    <w:widowControl/>
                    <w:jc w:val="center"/>
                    <w:rPr>
                      <w:rFonts w:ascii="Times New Roman" w:hAnsi="Times New Roman" w:eastAsia="宋体" w:cs="Times New Roman"/>
                      <w:b/>
                      <w:bCs/>
                      <w:color w:val="auto"/>
                      <w:spacing w:val="0"/>
                      <w:kern w:val="0"/>
                      <w:position w:val="0"/>
                      <w:sz w:val="21"/>
                      <w:szCs w:val="21"/>
                      <w:highlight w:val="none"/>
                    </w:rPr>
                  </w:pPr>
                  <w:r>
                    <w:rPr>
                      <w:rFonts w:hint="eastAsia" w:ascii="Times New Roman" w:hAnsi="Times New Roman" w:eastAsia="宋体" w:cs="Times New Roman"/>
                      <w:b/>
                      <w:bCs/>
                      <w:color w:val="auto"/>
                      <w:spacing w:val="0"/>
                      <w:kern w:val="0"/>
                      <w:position w:val="0"/>
                      <w:sz w:val="21"/>
                      <w:szCs w:val="21"/>
                      <w:highlight w:val="none"/>
                    </w:rPr>
                    <w:t>工程名称</w:t>
                  </w:r>
                </w:p>
              </w:tc>
              <w:tc>
                <w:tcPr>
                  <w:tcW w:w="4489" w:type="dxa"/>
                  <w:tcBorders>
                    <w:tl2br w:val="nil"/>
                    <w:tr2bl w:val="nil"/>
                  </w:tcBorders>
                  <w:vAlign w:val="center"/>
                </w:tcPr>
                <w:p w14:paraId="43176EDA">
                  <w:pPr>
                    <w:widowControl/>
                    <w:jc w:val="center"/>
                    <w:rPr>
                      <w:rFonts w:ascii="Times New Roman" w:hAnsi="Times New Roman" w:eastAsia="宋体" w:cs="Times New Roman"/>
                      <w:b/>
                      <w:bCs/>
                      <w:color w:val="auto"/>
                      <w:spacing w:val="0"/>
                      <w:kern w:val="0"/>
                      <w:position w:val="0"/>
                      <w:sz w:val="21"/>
                      <w:szCs w:val="21"/>
                      <w:highlight w:val="none"/>
                    </w:rPr>
                  </w:pPr>
                  <w:r>
                    <w:rPr>
                      <w:rFonts w:hint="eastAsia" w:ascii="Times New Roman" w:hAnsi="Times New Roman" w:eastAsia="宋体" w:cs="Times New Roman"/>
                      <w:b/>
                      <w:bCs/>
                      <w:color w:val="auto"/>
                      <w:spacing w:val="0"/>
                      <w:kern w:val="0"/>
                      <w:position w:val="0"/>
                      <w:sz w:val="21"/>
                      <w:szCs w:val="21"/>
                      <w:highlight w:val="none"/>
                    </w:rPr>
                    <w:t>建设内容及规模</w:t>
                  </w:r>
                </w:p>
              </w:tc>
              <w:tc>
                <w:tcPr>
                  <w:tcW w:w="983" w:type="dxa"/>
                  <w:tcBorders>
                    <w:tl2br w:val="nil"/>
                    <w:tr2bl w:val="nil"/>
                  </w:tcBorders>
                  <w:vAlign w:val="center"/>
                </w:tcPr>
                <w:p w14:paraId="1D6235ED">
                  <w:pPr>
                    <w:widowControl/>
                    <w:jc w:val="center"/>
                    <w:rPr>
                      <w:rFonts w:hint="eastAsia" w:ascii="Times New Roman" w:hAnsi="Times New Roman" w:eastAsia="宋体" w:cs="Times New Roman"/>
                      <w:b/>
                      <w:bCs/>
                      <w:color w:val="auto"/>
                      <w:spacing w:val="0"/>
                      <w:kern w:val="0"/>
                      <w:position w:val="0"/>
                      <w:sz w:val="21"/>
                      <w:szCs w:val="21"/>
                      <w:highlight w:val="none"/>
                      <w:lang w:eastAsia="zh-CN"/>
                    </w:rPr>
                  </w:pPr>
                  <w:r>
                    <w:rPr>
                      <w:rFonts w:hint="eastAsia" w:ascii="Times New Roman" w:hAnsi="Times New Roman" w:eastAsia="宋体" w:cs="Times New Roman"/>
                      <w:b/>
                      <w:bCs/>
                      <w:color w:val="auto"/>
                      <w:spacing w:val="0"/>
                      <w:kern w:val="0"/>
                      <w:position w:val="0"/>
                      <w:sz w:val="21"/>
                      <w:szCs w:val="21"/>
                      <w:highlight w:val="none"/>
                      <w:lang w:eastAsia="zh-CN"/>
                    </w:rPr>
                    <w:t>备注</w:t>
                  </w:r>
                </w:p>
              </w:tc>
            </w:tr>
            <w:tr w14:paraId="4A7B49F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tcBorders>
                    <w:tl2br w:val="nil"/>
                    <w:tr2bl w:val="nil"/>
                  </w:tcBorders>
                  <w:vAlign w:val="center"/>
                </w:tcPr>
                <w:p w14:paraId="58EC4065">
                  <w:pPr>
                    <w:widowControl/>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rPr>
                    <w:t>主体工程</w:t>
                  </w:r>
                </w:p>
              </w:tc>
              <w:tc>
                <w:tcPr>
                  <w:tcW w:w="2161" w:type="dxa"/>
                  <w:gridSpan w:val="3"/>
                  <w:tcBorders>
                    <w:tl2br w:val="nil"/>
                    <w:tr2bl w:val="nil"/>
                  </w:tcBorders>
                  <w:vAlign w:val="center"/>
                </w:tcPr>
                <w:p w14:paraId="0E43441A">
                  <w:pPr>
                    <w:widowControl/>
                    <w:jc w:val="center"/>
                    <w:rPr>
                      <w:rFonts w:hint="eastAsia" w:ascii="Times New Roman" w:hAnsi="Times New Roman" w:eastAsia="宋体" w:cs="Times New Roman"/>
                      <w:color w:val="auto"/>
                      <w:spacing w:val="0"/>
                      <w:kern w:val="0"/>
                      <w:position w:val="0"/>
                      <w:sz w:val="21"/>
                      <w:szCs w:val="21"/>
                      <w:highlight w:val="none"/>
                      <w:lang w:eastAsia="zh-CN"/>
                    </w:rPr>
                  </w:pPr>
                  <w:r>
                    <w:rPr>
                      <w:rFonts w:hint="eastAsia" w:ascii="Times New Roman" w:hAnsi="Times New Roman" w:eastAsia="宋体" w:cs="Times New Roman"/>
                      <w:color w:val="auto"/>
                      <w:spacing w:val="0"/>
                      <w:kern w:val="0"/>
                      <w:position w:val="0"/>
                      <w:sz w:val="21"/>
                      <w:szCs w:val="21"/>
                      <w:highlight w:val="none"/>
                    </w:rPr>
                    <w:t>生产车间</w:t>
                  </w:r>
                  <w:r>
                    <w:rPr>
                      <w:rFonts w:hint="eastAsia" w:cs="Times New Roman"/>
                      <w:color w:val="auto"/>
                      <w:spacing w:val="0"/>
                      <w:kern w:val="0"/>
                      <w:position w:val="0"/>
                      <w:sz w:val="21"/>
                      <w:szCs w:val="21"/>
                      <w:highlight w:val="none"/>
                      <w:lang w:eastAsia="zh-CN"/>
                    </w:rPr>
                    <w:t>（</w:t>
                  </w:r>
                  <w:r>
                    <w:rPr>
                      <w:rFonts w:hint="eastAsia" w:cs="Times New Roman"/>
                      <w:color w:val="auto"/>
                      <w:spacing w:val="0"/>
                      <w:kern w:val="0"/>
                      <w:position w:val="0"/>
                      <w:sz w:val="21"/>
                      <w:szCs w:val="21"/>
                      <w:highlight w:val="none"/>
                      <w:lang w:val="en-US" w:eastAsia="zh-CN"/>
                    </w:rPr>
                    <w:t>2F</w:t>
                  </w:r>
                  <w:r>
                    <w:rPr>
                      <w:rFonts w:hint="eastAsia" w:cs="Times New Roman"/>
                      <w:color w:val="auto"/>
                      <w:spacing w:val="0"/>
                      <w:kern w:val="0"/>
                      <w:position w:val="0"/>
                      <w:sz w:val="21"/>
                      <w:szCs w:val="21"/>
                      <w:highlight w:val="none"/>
                      <w:lang w:eastAsia="zh-CN"/>
                    </w:rPr>
                    <w:t>）</w:t>
                  </w:r>
                </w:p>
              </w:tc>
              <w:tc>
                <w:tcPr>
                  <w:tcW w:w="4489" w:type="dxa"/>
                  <w:tcBorders>
                    <w:tl2br w:val="nil"/>
                    <w:tr2bl w:val="nil"/>
                  </w:tcBorders>
                  <w:vAlign w:val="center"/>
                </w:tcPr>
                <w:p w14:paraId="7B624913">
                  <w:pPr>
                    <w:widowControl/>
                    <w:jc w:val="both"/>
                    <w:rPr>
                      <w:rFonts w:hint="default" w:ascii="Times New Roman" w:hAnsi="Times New Roman" w:eastAsia="宋体" w:cs="Times New Roman"/>
                      <w:bCs/>
                      <w:color w:val="auto"/>
                      <w:spacing w:val="0"/>
                      <w:kern w:val="0"/>
                      <w:position w:val="0"/>
                      <w:sz w:val="21"/>
                      <w:szCs w:val="21"/>
                      <w:highlight w:val="none"/>
                      <w:vertAlign w:val="baseline"/>
                      <w:lang w:val="en-US" w:eastAsia="zh-CN"/>
                    </w:rPr>
                  </w:pPr>
                  <w:r>
                    <w:rPr>
                      <w:rFonts w:hint="eastAsia" w:cs="Times New Roman"/>
                      <w:bCs/>
                      <w:color w:val="auto"/>
                      <w:spacing w:val="0"/>
                      <w:kern w:val="0"/>
                      <w:position w:val="0"/>
                      <w:sz w:val="21"/>
                      <w:szCs w:val="21"/>
                      <w:highlight w:val="none"/>
                      <w:vertAlign w:val="baseline"/>
                      <w:lang w:val="en-US" w:eastAsia="zh-CN"/>
                    </w:rPr>
                    <w:t>主要设置有面漆晾干房、底漆晾干房、组装区</w:t>
                  </w:r>
                  <w:r>
                    <w:rPr>
                      <w:rFonts w:hint="eastAsia" w:ascii="Times New Roman" w:hAnsi="Times New Roman" w:eastAsia="宋体" w:cs="Times New Roman"/>
                      <w:bCs/>
                      <w:color w:val="auto"/>
                      <w:spacing w:val="0"/>
                      <w:kern w:val="0"/>
                      <w:position w:val="0"/>
                      <w:sz w:val="21"/>
                      <w:szCs w:val="21"/>
                      <w:highlight w:val="none"/>
                      <w:vertAlign w:val="baseline"/>
                      <w:lang w:val="en-US" w:eastAsia="zh-CN"/>
                    </w:rPr>
                    <w:t>，面积约为</w:t>
                  </w:r>
                  <w:r>
                    <w:rPr>
                      <w:rFonts w:hint="eastAsia" w:cs="Times New Roman"/>
                      <w:bCs/>
                      <w:color w:val="auto"/>
                      <w:spacing w:val="0"/>
                      <w:kern w:val="0"/>
                      <w:position w:val="0"/>
                      <w:sz w:val="21"/>
                      <w:szCs w:val="21"/>
                      <w:highlight w:val="none"/>
                      <w:vertAlign w:val="baseline"/>
                      <w:lang w:val="en-US" w:eastAsia="zh-CN"/>
                    </w:rPr>
                    <w:t>510</w:t>
                  </w:r>
                  <w:r>
                    <w:rPr>
                      <w:rFonts w:hint="eastAsia" w:ascii="Times New Roman" w:hAnsi="Times New Roman" w:eastAsia="宋体" w:cs="Times New Roman"/>
                      <w:bCs/>
                      <w:color w:val="auto"/>
                      <w:spacing w:val="0"/>
                      <w:kern w:val="0"/>
                      <w:position w:val="0"/>
                      <w:sz w:val="21"/>
                      <w:szCs w:val="21"/>
                      <w:highlight w:val="none"/>
                      <w:vertAlign w:val="baseline"/>
                      <w:lang w:val="en-US" w:eastAsia="zh-CN"/>
                    </w:rPr>
                    <w:t>m</w:t>
                  </w:r>
                  <w:r>
                    <w:rPr>
                      <w:rFonts w:hint="eastAsia" w:ascii="Times New Roman" w:hAnsi="Times New Roman" w:eastAsia="宋体" w:cs="Times New Roman"/>
                      <w:bCs/>
                      <w:color w:val="auto"/>
                      <w:spacing w:val="0"/>
                      <w:kern w:val="0"/>
                      <w:position w:val="0"/>
                      <w:sz w:val="21"/>
                      <w:szCs w:val="21"/>
                      <w:highlight w:val="none"/>
                      <w:vertAlign w:val="superscript"/>
                      <w:lang w:val="en-US" w:eastAsia="zh-CN"/>
                    </w:rPr>
                    <w:t>2</w:t>
                  </w:r>
                  <w:r>
                    <w:rPr>
                      <w:rFonts w:hint="eastAsia" w:cs="Times New Roman"/>
                      <w:bCs/>
                      <w:color w:val="auto"/>
                      <w:spacing w:val="0"/>
                      <w:kern w:val="0"/>
                      <w:position w:val="0"/>
                      <w:sz w:val="21"/>
                      <w:szCs w:val="21"/>
                      <w:highlight w:val="none"/>
                      <w:vertAlign w:val="baseline"/>
                      <w:lang w:val="en-US" w:eastAsia="zh-CN"/>
                    </w:rPr>
                    <w:t>。</w:t>
                  </w:r>
                </w:p>
              </w:tc>
              <w:tc>
                <w:tcPr>
                  <w:tcW w:w="983" w:type="dxa"/>
                  <w:tcBorders>
                    <w:tl2br w:val="nil"/>
                    <w:tr2bl w:val="nil"/>
                  </w:tcBorders>
                  <w:vAlign w:val="center"/>
                </w:tcPr>
                <w:p w14:paraId="6E3901EC">
                  <w:pPr>
                    <w:widowControl/>
                    <w:jc w:val="center"/>
                    <w:rPr>
                      <w:rFonts w:hint="eastAsia" w:ascii="Times New Roman" w:hAnsi="Times New Roman" w:eastAsia="宋体" w:cs="Times New Roman"/>
                      <w:bCs/>
                      <w:color w:val="auto"/>
                      <w:spacing w:val="0"/>
                      <w:kern w:val="0"/>
                      <w:position w:val="0"/>
                      <w:sz w:val="21"/>
                      <w:szCs w:val="21"/>
                      <w:highlight w:val="none"/>
                      <w:lang w:eastAsia="zh-CN"/>
                    </w:rPr>
                  </w:pPr>
                  <w:r>
                    <w:rPr>
                      <w:rFonts w:hint="eastAsia" w:cs="Times New Roman"/>
                      <w:color w:val="auto"/>
                      <w:spacing w:val="0"/>
                      <w:position w:val="0"/>
                      <w:sz w:val="21"/>
                      <w:szCs w:val="21"/>
                      <w:highlight w:val="none"/>
                      <w:lang w:val="en-US" w:eastAsia="zh-CN"/>
                    </w:rPr>
                    <w:t>/</w:t>
                  </w:r>
                </w:p>
              </w:tc>
            </w:tr>
            <w:tr w14:paraId="066C3BC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tcBorders>
                    <w:tl2br w:val="nil"/>
                    <w:tr2bl w:val="nil"/>
                  </w:tcBorders>
                  <w:vAlign w:val="center"/>
                </w:tcPr>
                <w:p w14:paraId="405633D0">
                  <w:pPr>
                    <w:widowControl/>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rPr>
                    <w:t>辅助工程</w:t>
                  </w:r>
                </w:p>
              </w:tc>
              <w:tc>
                <w:tcPr>
                  <w:tcW w:w="2161" w:type="dxa"/>
                  <w:gridSpan w:val="3"/>
                  <w:tcBorders>
                    <w:tl2br w:val="nil"/>
                    <w:tr2bl w:val="nil"/>
                  </w:tcBorders>
                  <w:vAlign w:val="center"/>
                </w:tcPr>
                <w:p w14:paraId="7903B5C4">
                  <w:pPr>
                    <w:widowControl/>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rPr>
                    <w:t>办公室</w:t>
                  </w:r>
                </w:p>
              </w:tc>
              <w:tc>
                <w:tcPr>
                  <w:tcW w:w="4489" w:type="dxa"/>
                  <w:tcBorders>
                    <w:tl2br w:val="nil"/>
                    <w:tr2bl w:val="nil"/>
                  </w:tcBorders>
                  <w:vAlign w:val="center"/>
                </w:tcPr>
                <w:p w14:paraId="76A877D0">
                  <w:pPr>
                    <w:widowControl/>
                    <w:jc w:val="both"/>
                    <w:rPr>
                      <w:rFonts w:hint="default" w:ascii="Times New Roman" w:hAnsi="Times New Roman" w:eastAsia="宋体" w:cs="Times New Roman"/>
                      <w:bCs/>
                      <w:color w:val="auto"/>
                      <w:spacing w:val="0"/>
                      <w:kern w:val="0"/>
                      <w:position w:val="0"/>
                      <w:sz w:val="21"/>
                      <w:szCs w:val="21"/>
                      <w:highlight w:val="none"/>
                      <w:lang w:val="en-US" w:eastAsia="zh-CN"/>
                    </w:rPr>
                  </w:pPr>
                  <w:r>
                    <w:rPr>
                      <w:rFonts w:hint="eastAsia" w:ascii="Times New Roman" w:hAnsi="Times New Roman" w:eastAsia="宋体" w:cs="Times New Roman"/>
                      <w:bCs/>
                      <w:color w:val="auto"/>
                      <w:spacing w:val="0"/>
                      <w:kern w:val="0"/>
                      <w:position w:val="0"/>
                      <w:sz w:val="21"/>
                      <w:szCs w:val="21"/>
                      <w:highlight w:val="none"/>
                      <w:lang w:val="en-US" w:eastAsia="zh-CN"/>
                    </w:rPr>
                    <w:t>位于</w:t>
                  </w:r>
                  <w:r>
                    <w:rPr>
                      <w:rFonts w:hint="eastAsia" w:cs="Times New Roman"/>
                      <w:bCs/>
                      <w:color w:val="auto"/>
                      <w:spacing w:val="0"/>
                      <w:kern w:val="0"/>
                      <w:position w:val="0"/>
                      <w:sz w:val="21"/>
                      <w:szCs w:val="21"/>
                      <w:highlight w:val="none"/>
                      <w:lang w:val="en-US" w:eastAsia="zh-CN"/>
                    </w:rPr>
                    <w:t>租赁厂房西北侧及东南侧</w:t>
                  </w:r>
                  <w:r>
                    <w:rPr>
                      <w:rFonts w:hint="eastAsia" w:ascii="Times New Roman" w:hAnsi="Times New Roman" w:eastAsia="宋体" w:cs="Times New Roman"/>
                      <w:bCs/>
                      <w:color w:val="auto"/>
                      <w:spacing w:val="0"/>
                      <w:kern w:val="0"/>
                      <w:position w:val="0"/>
                      <w:sz w:val="21"/>
                      <w:szCs w:val="21"/>
                      <w:highlight w:val="none"/>
                      <w:lang w:val="en-US" w:eastAsia="zh-CN"/>
                    </w:rPr>
                    <w:t>，面积为</w:t>
                  </w:r>
                  <w:r>
                    <w:rPr>
                      <w:rFonts w:hint="eastAsia" w:cs="Times New Roman"/>
                      <w:bCs/>
                      <w:color w:val="auto"/>
                      <w:spacing w:val="0"/>
                      <w:kern w:val="0"/>
                      <w:position w:val="0"/>
                      <w:sz w:val="21"/>
                      <w:szCs w:val="21"/>
                      <w:highlight w:val="none"/>
                      <w:lang w:val="en-US" w:eastAsia="zh-CN"/>
                    </w:rPr>
                    <w:t>3</w:t>
                  </w:r>
                  <w:r>
                    <w:rPr>
                      <w:rFonts w:hint="eastAsia" w:ascii="Times New Roman" w:hAnsi="Times New Roman" w:eastAsia="宋体" w:cs="Times New Roman"/>
                      <w:bCs/>
                      <w:color w:val="auto"/>
                      <w:spacing w:val="0"/>
                      <w:kern w:val="0"/>
                      <w:position w:val="0"/>
                      <w:sz w:val="21"/>
                      <w:szCs w:val="21"/>
                      <w:highlight w:val="none"/>
                      <w:lang w:val="en-US" w:eastAsia="zh-CN"/>
                    </w:rPr>
                    <w:t>0</w:t>
                  </w:r>
                  <w:r>
                    <w:rPr>
                      <w:rFonts w:hint="eastAsia" w:ascii="Times New Roman" w:hAnsi="Times New Roman" w:eastAsia="宋体" w:cs="Times New Roman"/>
                      <w:bCs/>
                      <w:color w:val="auto"/>
                      <w:spacing w:val="0"/>
                      <w:kern w:val="0"/>
                      <w:position w:val="0"/>
                      <w:sz w:val="21"/>
                      <w:szCs w:val="21"/>
                      <w:highlight w:val="none"/>
                      <w:vertAlign w:val="baseline"/>
                      <w:lang w:val="en-US" w:eastAsia="zh-CN"/>
                    </w:rPr>
                    <w:t>m</w:t>
                  </w:r>
                  <w:r>
                    <w:rPr>
                      <w:rFonts w:hint="eastAsia" w:ascii="Times New Roman" w:hAnsi="Times New Roman" w:eastAsia="宋体" w:cs="Times New Roman"/>
                      <w:bCs/>
                      <w:color w:val="auto"/>
                      <w:spacing w:val="0"/>
                      <w:kern w:val="0"/>
                      <w:position w:val="0"/>
                      <w:sz w:val="21"/>
                      <w:szCs w:val="21"/>
                      <w:highlight w:val="none"/>
                      <w:vertAlign w:val="superscript"/>
                      <w:lang w:val="en-US" w:eastAsia="zh-CN"/>
                    </w:rPr>
                    <w:t>2</w:t>
                  </w:r>
                </w:p>
              </w:tc>
              <w:tc>
                <w:tcPr>
                  <w:tcW w:w="983" w:type="dxa"/>
                  <w:tcBorders>
                    <w:tl2br w:val="nil"/>
                    <w:tr2bl w:val="nil"/>
                  </w:tcBorders>
                  <w:vAlign w:val="center"/>
                </w:tcPr>
                <w:p w14:paraId="0FE1DFEA">
                  <w:pPr>
                    <w:widowControl/>
                    <w:jc w:val="center"/>
                    <w:rPr>
                      <w:rFonts w:hint="eastAsia" w:ascii="Times New Roman" w:hAnsi="Times New Roman" w:eastAsia="宋体" w:cs="Times New Roman"/>
                      <w:bCs/>
                      <w:color w:val="auto"/>
                      <w:spacing w:val="0"/>
                      <w:kern w:val="0"/>
                      <w:position w:val="0"/>
                      <w:sz w:val="21"/>
                      <w:szCs w:val="21"/>
                      <w:highlight w:val="none"/>
                      <w:lang w:eastAsia="zh-CN"/>
                    </w:rPr>
                  </w:pPr>
                  <w:r>
                    <w:rPr>
                      <w:rFonts w:hint="eastAsia" w:cs="Times New Roman"/>
                      <w:color w:val="auto"/>
                      <w:spacing w:val="0"/>
                      <w:position w:val="0"/>
                      <w:sz w:val="21"/>
                      <w:szCs w:val="21"/>
                      <w:highlight w:val="none"/>
                      <w:lang w:val="en-US" w:eastAsia="zh-CN"/>
                    </w:rPr>
                    <w:t>/</w:t>
                  </w:r>
                </w:p>
              </w:tc>
            </w:tr>
            <w:tr w14:paraId="1B53D9F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restart"/>
                  <w:tcBorders>
                    <w:tl2br w:val="nil"/>
                    <w:tr2bl w:val="nil"/>
                  </w:tcBorders>
                  <w:vAlign w:val="center"/>
                </w:tcPr>
                <w:p w14:paraId="06B695DE">
                  <w:pPr>
                    <w:widowControl/>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仓储</w:t>
                  </w:r>
                  <w:r>
                    <w:rPr>
                      <w:rFonts w:hint="eastAsia" w:ascii="Times New Roman" w:hAnsi="Times New Roman" w:eastAsia="宋体" w:cs="Times New Roman"/>
                      <w:color w:val="auto"/>
                      <w:spacing w:val="0"/>
                      <w:kern w:val="0"/>
                      <w:position w:val="0"/>
                      <w:sz w:val="21"/>
                      <w:szCs w:val="21"/>
                      <w:highlight w:val="none"/>
                    </w:rPr>
                    <w:t>工程</w:t>
                  </w:r>
                </w:p>
              </w:tc>
              <w:tc>
                <w:tcPr>
                  <w:tcW w:w="2161" w:type="dxa"/>
                  <w:gridSpan w:val="3"/>
                  <w:tcBorders>
                    <w:tl2br w:val="nil"/>
                    <w:tr2bl w:val="nil"/>
                  </w:tcBorders>
                  <w:vAlign w:val="center"/>
                </w:tcPr>
                <w:p w14:paraId="41EA0F4A">
                  <w:pPr>
                    <w:widowControl/>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bCs/>
                      <w:color w:val="auto"/>
                      <w:spacing w:val="0"/>
                      <w:kern w:val="0"/>
                      <w:position w:val="0"/>
                      <w:sz w:val="21"/>
                      <w:szCs w:val="21"/>
                      <w:highlight w:val="none"/>
                      <w:vertAlign w:val="baseline"/>
                      <w:lang w:val="en-US" w:eastAsia="zh-CN"/>
                    </w:rPr>
                    <w:t>化学品</w:t>
                  </w:r>
                  <w:r>
                    <w:rPr>
                      <w:rFonts w:hint="eastAsia" w:ascii="Times New Roman" w:hAnsi="Times New Roman" w:eastAsia="宋体" w:cs="Times New Roman"/>
                      <w:color w:val="auto"/>
                      <w:spacing w:val="0"/>
                      <w:kern w:val="0"/>
                      <w:position w:val="0"/>
                      <w:sz w:val="21"/>
                      <w:szCs w:val="21"/>
                      <w:highlight w:val="none"/>
                    </w:rPr>
                    <w:t>仓库</w:t>
                  </w:r>
                </w:p>
              </w:tc>
              <w:tc>
                <w:tcPr>
                  <w:tcW w:w="4489" w:type="dxa"/>
                  <w:tcBorders>
                    <w:tl2br w:val="nil"/>
                    <w:tr2bl w:val="nil"/>
                  </w:tcBorders>
                  <w:vAlign w:val="center"/>
                </w:tcPr>
                <w:p w14:paraId="47212CC8">
                  <w:pPr>
                    <w:widowControl/>
                    <w:jc w:val="both"/>
                    <w:rPr>
                      <w:rFonts w:hint="default" w:ascii="Times New Roman" w:hAnsi="Times New Roman" w:eastAsia="宋体" w:cs="Times New Roman"/>
                      <w:color w:val="auto"/>
                      <w:spacing w:val="0"/>
                      <w:kern w:val="0"/>
                      <w:position w:val="0"/>
                      <w:sz w:val="21"/>
                      <w:szCs w:val="21"/>
                      <w:highlight w:val="none"/>
                      <w:lang w:val="en-US"/>
                    </w:rPr>
                  </w:pPr>
                  <w:r>
                    <w:rPr>
                      <w:rFonts w:hint="eastAsia" w:ascii="Times New Roman" w:hAnsi="Times New Roman" w:eastAsia="宋体" w:cs="Times New Roman"/>
                      <w:color w:val="auto"/>
                      <w:spacing w:val="0"/>
                      <w:kern w:val="0"/>
                      <w:position w:val="0"/>
                      <w:sz w:val="21"/>
                      <w:szCs w:val="21"/>
                      <w:highlight w:val="none"/>
                      <w:lang w:val="en-US" w:eastAsia="zh-CN"/>
                    </w:rPr>
                    <w:t>位于</w:t>
                  </w:r>
                  <w:r>
                    <w:rPr>
                      <w:rFonts w:hint="eastAsia" w:cs="Times New Roman"/>
                      <w:color w:val="auto"/>
                      <w:spacing w:val="0"/>
                      <w:kern w:val="0"/>
                      <w:position w:val="0"/>
                      <w:sz w:val="21"/>
                      <w:szCs w:val="21"/>
                      <w:highlight w:val="none"/>
                      <w:lang w:val="en-US" w:eastAsia="zh-CN"/>
                    </w:rPr>
                    <w:t>租赁厂房西北侧</w:t>
                  </w:r>
                  <w:r>
                    <w:rPr>
                      <w:rFonts w:hint="eastAsia" w:ascii="Times New Roman" w:hAnsi="Times New Roman" w:eastAsia="宋体" w:cs="Times New Roman"/>
                      <w:color w:val="auto"/>
                      <w:spacing w:val="0"/>
                      <w:kern w:val="0"/>
                      <w:position w:val="0"/>
                      <w:sz w:val="21"/>
                      <w:szCs w:val="21"/>
                      <w:highlight w:val="none"/>
                      <w:lang w:val="en-US" w:eastAsia="zh-CN"/>
                    </w:rPr>
                    <w:t>，</w:t>
                  </w:r>
                  <w:r>
                    <w:rPr>
                      <w:rFonts w:hint="eastAsia" w:ascii="Times New Roman" w:hAnsi="Times New Roman" w:eastAsia="宋体" w:cs="Times New Roman"/>
                      <w:color w:val="auto"/>
                      <w:spacing w:val="0"/>
                      <w:kern w:val="0"/>
                      <w:position w:val="0"/>
                      <w:sz w:val="21"/>
                      <w:szCs w:val="21"/>
                      <w:highlight w:val="none"/>
                    </w:rPr>
                    <w:t>面积</w:t>
                  </w:r>
                  <w:r>
                    <w:rPr>
                      <w:rFonts w:hint="eastAsia" w:ascii="Times New Roman" w:hAnsi="Times New Roman" w:eastAsia="宋体" w:cs="Times New Roman"/>
                      <w:color w:val="auto"/>
                      <w:spacing w:val="0"/>
                      <w:kern w:val="0"/>
                      <w:position w:val="0"/>
                      <w:sz w:val="21"/>
                      <w:szCs w:val="21"/>
                      <w:highlight w:val="none"/>
                      <w:lang w:val="en-US" w:eastAsia="zh-CN"/>
                    </w:rPr>
                    <w:t>为</w:t>
                  </w:r>
                  <w:r>
                    <w:rPr>
                      <w:rFonts w:hint="eastAsia" w:cs="Times New Roman"/>
                      <w:color w:val="auto"/>
                      <w:spacing w:val="0"/>
                      <w:kern w:val="0"/>
                      <w:position w:val="0"/>
                      <w:sz w:val="21"/>
                      <w:szCs w:val="21"/>
                      <w:highlight w:val="none"/>
                      <w:lang w:val="en-US" w:eastAsia="zh-CN"/>
                    </w:rPr>
                    <w:t>10</w:t>
                  </w:r>
                  <w:r>
                    <w:rPr>
                      <w:rFonts w:ascii="Times New Roman" w:hAnsi="Times New Roman" w:eastAsia="宋体" w:cs="Times New Roman"/>
                      <w:color w:val="auto"/>
                      <w:spacing w:val="0"/>
                      <w:kern w:val="0"/>
                      <w:position w:val="0"/>
                      <w:sz w:val="21"/>
                      <w:szCs w:val="21"/>
                      <w:highlight w:val="none"/>
                    </w:rPr>
                    <w:t>m</w:t>
                  </w:r>
                  <w:r>
                    <w:rPr>
                      <w:rFonts w:ascii="Times New Roman" w:hAnsi="Times New Roman" w:eastAsia="宋体" w:cs="Times New Roman"/>
                      <w:color w:val="auto"/>
                      <w:spacing w:val="0"/>
                      <w:kern w:val="0"/>
                      <w:position w:val="0"/>
                      <w:sz w:val="21"/>
                      <w:szCs w:val="21"/>
                      <w:highlight w:val="none"/>
                      <w:vertAlign w:val="superscript"/>
                    </w:rPr>
                    <w:t>2</w:t>
                  </w:r>
                  <w:r>
                    <w:rPr>
                      <w:rFonts w:hint="eastAsia" w:ascii="Times New Roman" w:hAnsi="Times New Roman" w:eastAsia="宋体" w:cs="Times New Roman"/>
                      <w:bCs/>
                      <w:color w:val="auto"/>
                      <w:spacing w:val="0"/>
                      <w:kern w:val="0"/>
                      <w:position w:val="0"/>
                      <w:sz w:val="21"/>
                      <w:szCs w:val="21"/>
                      <w:highlight w:val="none"/>
                      <w:vertAlign w:val="baseline"/>
                      <w:lang w:eastAsia="zh-CN"/>
                    </w:rPr>
                    <w:t>，</w:t>
                  </w:r>
                  <w:r>
                    <w:rPr>
                      <w:rFonts w:hint="eastAsia" w:ascii="Times New Roman" w:hAnsi="Times New Roman" w:eastAsia="宋体" w:cs="Times New Roman"/>
                      <w:bCs/>
                      <w:color w:val="auto"/>
                      <w:spacing w:val="0"/>
                      <w:kern w:val="0"/>
                      <w:position w:val="0"/>
                      <w:sz w:val="21"/>
                      <w:szCs w:val="21"/>
                      <w:highlight w:val="none"/>
                      <w:vertAlign w:val="baseline"/>
                      <w:lang w:val="en-US" w:eastAsia="zh-CN"/>
                    </w:rPr>
                    <w:t>作为储存</w:t>
                  </w:r>
                  <w:r>
                    <w:rPr>
                      <w:rFonts w:hint="eastAsia" w:cs="Times New Roman"/>
                      <w:color w:val="auto"/>
                      <w:spacing w:val="0"/>
                      <w:position w:val="0"/>
                      <w:highlight w:val="none"/>
                      <w:lang w:val="en-US" w:eastAsia="zh-CN"/>
                    </w:rPr>
                    <w:t>油性漆、稀释剂、固化剂、水性漆</w:t>
                  </w:r>
                  <w:r>
                    <w:rPr>
                      <w:rFonts w:hint="eastAsia" w:ascii="Times New Roman" w:hAnsi="Times New Roman" w:eastAsia="宋体" w:cs="Times New Roman"/>
                      <w:bCs/>
                      <w:color w:val="auto"/>
                      <w:spacing w:val="0"/>
                      <w:kern w:val="0"/>
                      <w:position w:val="0"/>
                      <w:sz w:val="21"/>
                      <w:szCs w:val="21"/>
                      <w:highlight w:val="none"/>
                      <w:vertAlign w:val="baseline"/>
                      <w:lang w:val="en-US" w:eastAsia="zh-CN"/>
                    </w:rPr>
                    <w:t>等化学品</w:t>
                  </w:r>
                </w:p>
              </w:tc>
              <w:tc>
                <w:tcPr>
                  <w:tcW w:w="983" w:type="dxa"/>
                  <w:tcBorders>
                    <w:tl2br w:val="nil"/>
                    <w:tr2bl w:val="nil"/>
                  </w:tcBorders>
                  <w:vAlign w:val="center"/>
                </w:tcPr>
                <w:p w14:paraId="5684670C">
                  <w:pPr>
                    <w:widowControl/>
                    <w:jc w:val="center"/>
                    <w:rPr>
                      <w:rFonts w:hint="eastAsia" w:ascii="Times New Roman" w:hAnsi="Times New Roman" w:eastAsia="宋体" w:cs="Times New Roman"/>
                      <w:bCs/>
                      <w:color w:val="auto"/>
                      <w:spacing w:val="0"/>
                      <w:kern w:val="0"/>
                      <w:position w:val="0"/>
                      <w:sz w:val="21"/>
                      <w:szCs w:val="21"/>
                      <w:highlight w:val="none"/>
                      <w:lang w:eastAsia="zh-CN"/>
                    </w:rPr>
                  </w:pPr>
                  <w:r>
                    <w:rPr>
                      <w:rFonts w:hint="eastAsia" w:cs="Times New Roman"/>
                      <w:color w:val="auto"/>
                      <w:spacing w:val="0"/>
                      <w:position w:val="0"/>
                      <w:sz w:val="21"/>
                      <w:szCs w:val="21"/>
                      <w:highlight w:val="none"/>
                      <w:lang w:val="en-US" w:eastAsia="zh-CN"/>
                    </w:rPr>
                    <w:t>/</w:t>
                  </w:r>
                </w:p>
              </w:tc>
            </w:tr>
            <w:tr w14:paraId="68614E5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63FA3E37">
                  <w:pPr>
                    <w:widowControl/>
                    <w:jc w:val="center"/>
                    <w:rPr>
                      <w:rFonts w:ascii="Times New Roman" w:hAnsi="Times New Roman" w:eastAsia="宋体" w:cs="Times New Roman"/>
                      <w:color w:val="auto"/>
                      <w:spacing w:val="0"/>
                      <w:kern w:val="0"/>
                      <w:position w:val="0"/>
                      <w:sz w:val="21"/>
                      <w:szCs w:val="21"/>
                      <w:highlight w:val="none"/>
                    </w:rPr>
                  </w:pPr>
                </w:p>
              </w:tc>
              <w:tc>
                <w:tcPr>
                  <w:tcW w:w="2161" w:type="dxa"/>
                  <w:gridSpan w:val="3"/>
                  <w:tcBorders>
                    <w:tl2br w:val="nil"/>
                    <w:tr2bl w:val="nil"/>
                  </w:tcBorders>
                  <w:vAlign w:val="center"/>
                </w:tcPr>
                <w:p w14:paraId="44320F48">
                  <w:pPr>
                    <w:widowControl/>
                    <w:jc w:val="center"/>
                    <w:rPr>
                      <w:rFonts w:hint="eastAsia" w:ascii="Times New Roman" w:hAnsi="Times New Roman" w:eastAsia="宋体" w:cs="Times New Roman"/>
                      <w:color w:val="auto"/>
                      <w:spacing w:val="0"/>
                      <w:kern w:val="0"/>
                      <w:position w:val="0"/>
                      <w:sz w:val="21"/>
                      <w:szCs w:val="21"/>
                      <w:highlight w:val="none"/>
                      <w:lang w:eastAsia="zh-CN"/>
                    </w:rPr>
                  </w:pPr>
                  <w:r>
                    <w:rPr>
                      <w:rFonts w:hint="eastAsia" w:ascii="Times New Roman" w:hAnsi="Times New Roman" w:eastAsia="宋体" w:cs="Times New Roman"/>
                      <w:color w:val="auto"/>
                      <w:spacing w:val="0"/>
                      <w:kern w:val="0"/>
                      <w:position w:val="0"/>
                      <w:sz w:val="21"/>
                      <w:szCs w:val="21"/>
                      <w:highlight w:val="none"/>
                    </w:rPr>
                    <w:t>成品</w:t>
                  </w:r>
                  <w:r>
                    <w:rPr>
                      <w:rFonts w:hint="eastAsia" w:ascii="Times New Roman" w:hAnsi="Times New Roman" w:eastAsia="宋体" w:cs="Times New Roman"/>
                      <w:color w:val="auto"/>
                      <w:spacing w:val="0"/>
                      <w:kern w:val="0"/>
                      <w:position w:val="0"/>
                      <w:sz w:val="21"/>
                      <w:szCs w:val="21"/>
                      <w:highlight w:val="none"/>
                      <w:lang w:val="en-US" w:eastAsia="zh-CN"/>
                    </w:rPr>
                    <w:t>仓库</w:t>
                  </w:r>
                </w:p>
              </w:tc>
              <w:tc>
                <w:tcPr>
                  <w:tcW w:w="4489" w:type="dxa"/>
                  <w:tcBorders>
                    <w:tl2br w:val="nil"/>
                    <w:tr2bl w:val="nil"/>
                  </w:tcBorders>
                  <w:vAlign w:val="center"/>
                </w:tcPr>
                <w:p w14:paraId="35D95AAB">
                  <w:pPr>
                    <w:widowControl/>
                    <w:jc w:val="center"/>
                    <w:rPr>
                      <w:rFonts w:hint="default" w:ascii="Times New Roman" w:hAnsi="Times New Roman" w:eastAsia="宋体" w:cs="Times New Roman"/>
                      <w:bCs/>
                      <w:color w:val="auto"/>
                      <w:spacing w:val="0"/>
                      <w:kern w:val="0"/>
                      <w:position w:val="0"/>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rPr>
                    <w:t>位于</w:t>
                  </w:r>
                  <w:r>
                    <w:rPr>
                      <w:rFonts w:hint="eastAsia" w:cs="Times New Roman"/>
                      <w:color w:val="auto"/>
                      <w:spacing w:val="0"/>
                      <w:kern w:val="0"/>
                      <w:position w:val="0"/>
                      <w:sz w:val="21"/>
                      <w:szCs w:val="21"/>
                      <w:highlight w:val="none"/>
                      <w:lang w:val="en-US" w:eastAsia="zh-CN"/>
                    </w:rPr>
                    <w:t>租赁厂房北侧</w:t>
                  </w:r>
                  <w:r>
                    <w:rPr>
                      <w:rFonts w:hint="eastAsia" w:ascii="Times New Roman" w:hAnsi="Times New Roman" w:eastAsia="宋体" w:cs="Times New Roman"/>
                      <w:bCs/>
                      <w:color w:val="auto"/>
                      <w:spacing w:val="0"/>
                      <w:kern w:val="0"/>
                      <w:position w:val="0"/>
                      <w:sz w:val="21"/>
                      <w:szCs w:val="21"/>
                      <w:highlight w:val="none"/>
                      <w:lang w:val="en-US" w:eastAsia="zh-CN"/>
                    </w:rPr>
                    <w:t>，面积为</w:t>
                  </w:r>
                  <w:r>
                    <w:rPr>
                      <w:rFonts w:hint="eastAsia" w:cs="Times New Roman"/>
                      <w:bCs/>
                      <w:color w:val="auto"/>
                      <w:spacing w:val="0"/>
                      <w:kern w:val="0"/>
                      <w:position w:val="0"/>
                      <w:sz w:val="21"/>
                      <w:szCs w:val="21"/>
                      <w:highlight w:val="none"/>
                      <w:lang w:val="en-US" w:eastAsia="zh-CN"/>
                    </w:rPr>
                    <w:t>40</w:t>
                  </w:r>
                  <w:r>
                    <w:rPr>
                      <w:rFonts w:hint="eastAsia" w:ascii="Times New Roman" w:hAnsi="Times New Roman" w:eastAsia="宋体" w:cs="Times New Roman"/>
                      <w:bCs/>
                      <w:color w:val="auto"/>
                      <w:spacing w:val="0"/>
                      <w:kern w:val="0"/>
                      <w:position w:val="0"/>
                      <w:sz w:val="21"/>
                      <w:szCs w:val="21"/>
                      <w:highlight w:val="none"/>
                      <w:vertAlign w:val="baseline"/>
                      <w:lang w:val="en-US" w:eastAsia="zh-CN"/>
                    </w:rPr>
                    <w:t>m</w:t>
                  </w:r>
                  <w:r>
                    <w:rPr>
                      <w:rFonts w:hint="eastAsia" w:ascii="Times New Roman" w:hAnsi="Times New Roman" w:eastAsia="宋体" w:cs="Times New Roman"/>
                      <w:bCs/>
                      <w:color w:val="auto"/>
                      <w:spacing w:val="0"/>
                      <w:kern w:val="0"/>
                      <w:position w:val="0"/>
                      <w:sz w:val="21"/>
                      <w:szCs w:val="21"/>
                      <w:highlight w:val="none"/>
                      <w:vertAlign w:val="superscript"/>
                      <w:lang w:val="en-US" w:eastAsia="zh-CN"/>
                    </w:rPr>
                    <w:t>2</w:t>
                  </w:r>
                </w:p>
              </w:tc>
              <w:tc>
                <w:tcPr>
                  <w:tcW w:w="983" w:type="dxa"/>
                  <w:tcBorders>
                    <w:tl2br w:val="nil"/>
                    <w:tr2bl w:val="nil"/>
                  </w:tcBorders>
                  <w:vAlign w:val="center"/>
                </w:tcPr>
                <w:p w14:paraId="7C348DDE">
                  <w:pPr>
                    <w:widowControl/>
                    <w:jc w:val="center"/>
                    <w:rPr>
                      <w:rFonts w:hint="eastAsia" w:ascii="Times New Roman" w:hAnsi="Times New Roman" w:eastAsia="宋体" w:cs="Times New Roman"/>
                      <w:bCs/>
                      <w:color w:val="auto"/>
                      <w:spacing w:val="0"/>
                      <w:kern w:val="0"/>
                      <w:position w:val="0"/>
                      <w:sz w:val="21"/>
                      <w:szCs w:val="21"/>
                      <w:highlight w:val="none"/>
                      <w:lang w:eastAsia="zh-CN"/>
                    </w:rPr>
                  </w:pPr>
                  <w:r>
                    <w:rPr>
                      <w:rFonts w:hint="eastAsia" w:cs="Times New Roman"/>
                      <w:color w:val="auto"/>
                      <w:spacing w:val="0"/>
                      <w:position w:val="0"/>
                      <w:sz w:val="21"/>
                      <w:szCs w:val="21"/>
                      <w:highlight w:val="none"/>
                      <w:lang w:val="en-US" w:eastAsia="zh-CN"/>
                    </w:rPr>
                    <w:t>/</w:t>
                  </w:r>
                </w:p>
              </w:tc>
            </w:tr>
            <w:tr w14:paraId="449F21D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6CA18F6F">
                  <w:pPr>
                    <w:widowControl/>
                    <w:jc w:val="center"/>
                    <w:rPr>
                      <w:rFonts w:ascii="Times New Roman" w:hAnsi="Times New Roman" w:eastAsia="宋体" w:cs="Times New Roman"/>
                      <w:color w:val="auto"/>
                      <w:spacing w:val="0"/>
                      <w:kern w:val="0"/>
                      <w:position w:val="0"/>
                      <w:sz w:val="21"/>
                      <w:szCs w:val="21"/>
                      <w:highlight w:val="none"/>
                    </w:rPr>
                  </w:pPr>
                </w:p>
              </w:tc>
              <w:tc>
                <w:tcPr>
                  <w:tcW w:w="2161" w:type="dxa"/>
                  <w:gridSpan w:val="3"/>
                  <w:tcBorders>
                    <w:tl2br w:val="nil"/>
                    <w:tr2bl w:val="nil"/>
                  </w:tcBorders>
                  <w:vAlign w:val="center"/>
                </w:tcPr>
                <w:p w14:paraId="6869EAF8">
                  <w:pPr>
                    <w:widowControl/>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eastAsia" w:cs="Times New Roman"/>
                      <w:color w:val="auto"/>
                      <w:spacing w:val="0"/>
                      <w:kern w:val="0"/>
                      <w:position w:val="0"/>
                      <w:sz w:val="21"/>
                      <w:szCs w:val="21"/>
                      <w:highlight w:val="none"/>
                      <w:lang w:val="en-US" w:eastAsia="zh-CN"/>
                    </w:rPr>
                    <w:t>成品区</w:t>
                  </w:r>
                </w:p>
              </w:tc>
              <w:tc>
                <w:tcPr>
                  <w:tcW w:w="4489" w:type="dxa"/>
                  <w:tcBorders>
                    <w:tl2br w:val="nil"/>
                    <w:tr2bl w:val="nil"/>
                  </w:tcBorders>
                  <w:vAlign w:val="center"/>
                </w:tcPr>
                <w:p w14:paraId="51BB6E3F">
                  <w:pPr>
                    <w:widowControl/>
                    <w:jc w:val="center"/>
                    <w:rPr>
                      <w:rFonts w:hint="eastAsia"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rPr>
                    <w:t>位于</w:t>
                  </w:r>
                  <w:r>
                    <w:rPr>
                      <w:rFonts w:hint="eastAsia" w:cs="Times New Roman"/>
                      <w:color w:val="auto"/>
                      <w:spacing w:val="0"/>
                      <w:kern w:val="0"/>
                      <w:position w:val="0"/>
                      <w:sz w:val="21"/>
                      <w:szCs w:val="21"/>
                      <w:highlight w:val="none"/>
                      <w:lang w:val="en-US" w:eastAsia="zh-CN"/>
                    </w:rPr>
                    <w:t>租赁厂房西南侧</w:t>
                  </w:r>
                  <w:r>
                    <w:rPr>
                      <w:rFonts w:hint="eastAsia" w:ascii="Times New Roman" w:hAnsi="Times New Roman" w:eastAsia="宋体" w:cs="Times New Roman"/>
                      <w:bCs/>
                      <w:color w:val="auto"/>
                      <w:spacing w:val="0"/>
                      <w:kern w:val="0"/>
                      <w:position w:val="0"/>
                      <w:sz w:val="21"/>
                      <w:szCs w:val="21"/>
                      <w:highlight w:val="none"/>
                      <w:lang w:val="en-US" w:eastAsia="zh-CN"/>
                    </w:rPr>
                    <w:t>，面积为</w:t>
                  </w:r>
                  <w:r>
                    <w:rPr>
                      <w:rFonts w:hint="eastAsia" w:cs="Times New Roman"/>
                      <w:bCs/>
                      <w:color w:val="auto"/>
                      <w:spacing w:val="0"/>
                      <w:kern w:val="0"/>
                      <w:position w:val="0"/>
                      <w:sz w:val="21"/>
                      <w:szCs w:val="21"/>
                      <w:highlight w:val="none"/>
                      <w:lang w:val="en-US" w:eastAsia="zh-CN"/>
                    </w:rPr>
                    <w:t>120</w:t>
                  </w:r>
                  <w:r>
                    <w:rPr>
                      <w:rFonts w:hint="eastAsia" w:ascii="Times New Roman" w:hAnsi="Times New Roman" w:eastAsia="宋体" w:cs="Times New Roman"/>
                      <w:bCs/>
                      <w:color w:val="auto"/>
                      <w:spacing w:val="0"/>
                      <w:kern w:val="0"/>
                      <w:position w:val="0"/>
                      <w:sz w:val="21"/>
                      <w:szCs w:val="21"/>
                      <w:highlight w:val="none"/>
                      <w:vertAlign w:val="baseline"/>
                      <w:lang w:val="en-US" w:eastAsia="zh-CN"/>
                    </w:rPr>
                    <w:t>m</w:t>
                  </w:r>
                  <w:r>
                    <w:rPr>
                      <w:rFonts w:hint="eastAsia" w:ascii="Times New Roman" w:hAnsi="Times New Roman" w:eastAsia="宋体" w:cs="Times New Roman"/>
                      <w:bCs/>
                      <w:color w:val="auto"/>
                      <w:spacing w:val="0"/>
                      <w:kern w:val="0"/>
                      <w:position w:val="0"/>
                      <w:sz w:val="21"/>
                      <w:szCs w:val="21"/>
                      <w:highlight w:val="none"/>
                      <w:vertAlign w:val="superscript"/>
                      <w:lang w:val="en-US" w:eastAsia="zh-CN"/>
                    </w:rPr>
                    <w:t>2</w:t>
                  </w:r>
                </w:p>
              </w:tc>
              <w:tc>
                <w:tcPr>
                  <w:tcW w:w="983" w:type="dxa"/>
                  <w:tcBorders>
                    <w:tl2br w:val="nil"/>
                    <w:tr2bl w:val="nil"/>
                  </w:tcBorders>
                  <w:vAlign w:val="center"/>
                </w:tcPr>
                <w:p w14:paraId="38C4C90F">
                  <w:pPr>
                    <w:widowControl/>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r w14:paraId="0623B00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2503EB02">
                  <w:pPr>
                    <w:widowControl/>
                    <w:jc w:val="center"/>
                    <w:rPr>
                      <w:rFonts w:ascii="Times New Roman" w:hAnsi="Times New Roman" w:eastAsia="宋体" w:cs="Times New Roman"/>
                      <w:color w:val="auto"/>
                      <w:spacing w:val="0"/>
                      <w:kern w:val="0"/>
                      <w:position w:val="0"/>
                      <w:sz w:val="21"/>
                      <w:szCs w:val="21"/>
                      <w:highlight w:val="none"/>
                    </w:rPr>
                  </w:pPr>
                </w:p>
              </w:tc>
              <w:tc>
                <w:tcPr>
                  <w:tcW w:w="2161" w:type="dxa"/>
                  <w:gridSpan w:val="3"/>
                  <w:tcBorders>
                    <w:tl2br w:val="nil"/>
                    <w:tr2bl w:val="nil"/>
                  </w:tcBorders>
                  <w:vAlign w:val="center"/>
                </w:tcPr>
                <w:p w14:paraId="31F5F3B2">
                  <w:pPr>
                    <w:widowControl/>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rPr>
                    <w:t>原料</w:t>
                  </w:r>
                  <w:r>
                    <w:rPr>
                      <w:rFonts w:hint="eastAsia" w:cs="Times New Roman"/>
                      <w:color w:val="auto"/>
                      <w:spacing w:val="0"/>
                      <w:kern w:val="0"/>
                      <w:position w:val="0"/>
                      <w:sz w:val="21"/>
                      <w:szCs w:val="21"/>
                      <w:highlight w:val="none"/>
                      <w:lang w:val="en-US" w:eastAsia="zh-CN"/>
                    </w:rPr>
                    <w:t>区</w:t>
                  </w:r>
                </w:p>
              </w:tc>
              <w:tc>
                <w:tcPr>
                  <w:tcW w:w="4489" w:type="dxa"/>
                  <w:tcBorders>
                    <w:tl2br w:val="nil"/>
                    <w:tr2bl w:val="nil"/>
                  </w:tcBorders>
                  <w:vAlign w:val="center"/>
                </w:tcPr>
                <w:p w14:paraId="5131A2D8">
                  <w:pPr>
                    <w:widowControl/>
                    <w:jc w:val="center"/>
                    <w:rPr>
                      <w:rFonts w:hint="default" w:ascii="Times New Roman" w:hAnsi="Times New Roman" w:eastAsia="宋体" w:cs="Times New Roman"/>
                      <w:bCs/>
                      <w:color w:val="auto"/>
                      <w:spacing w:val="0"/>
                      <w:kern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rPr>
                    <w:t>位于</w:t>
                  </w:r>
                  <w:r>
                    <w:rPr>
                      <w:rFonts w:hint="eastAsia" w:cs="Times New Roman"/>
                      <w:color w:val="auto"/>
                      <w:spacing w:val="0"/>
                      <w:kern w:val="0"/>
                      <w:position w:val="0"/>
                      <w:sz w:val="21"/>
                      <w:szCs w:val="21"/>
                      <w:highlight w:val="none"/>
                      <w:lang w:val="en-US" w:eastAsia="zh-CN"/>
                    </w:rPr>
                    <w:t>租赁厂房南侧</w:t>
                  </w:r>
                  <w:r>
                    <w:rPr>
                      <w:rFonts w:hint="eastAsia" w:ascii="Times New Roman" w:hAnsi="Times New Roman" w:eastAsia="宋体" w:cs="Times New Roman"/>
                      <w:bCs/>
                      <w:color w:val="auto"/>
                      <w:spacing w:val="0"/>
                      <w:kern w:val="0"/>
                      <w:position w:val="0"/>
                      <w:sz w:val="21"/>
                      <w:szCs w:val="21"/>
                      <w:highlight w:val="none"/>
                      <w:lang w:val="en-US" w:eastAsia="zh-CN"/>
                    </w:rPr>
                    <w:t>，面积为</w:t>
                  </w:r>
                  <w:r>
                    <w:rPr>
                      <w:rFonts w:hint="eastAsia" w:cs="Times New Roman"/>
                      <w:bCs/>
                      <w:color w:val="auto"/>
                      <w:spacing w:val="0"/>
                      <w:kern w:val="0"/>
                      <w:position w:val="0"/>
                      <w:sz w:val="21"/>
                      <w:szCs w:val="21"/>
                      <w:highlight w:val="none"/>
                      <w:lang w:val="en-US" w:eastAsia="zh-CN"/>
                    </w:rPr>
                    <w:t>180</w:t>
                  </w:r>
                  <w:r>
                    <w:rPr>
                      <w:rFonts w:hint="eastAsia" w:ascii="Times New Roman" w:hAnsi="Times New Roman" w:eastAsia="宋体" w:cs="Times New Roman"/>
                      <w:bCs/>
                      <w:color w:val="auto"/>
                      <w:spacing w:val="0"/>
                      <w:kern w:val="0"/>
                      <w:position w:val="0"/>
                      <w:sz w:val="21"/>
                      <w:szCs w:val="21"/>
                      <w:highlight w:val="none"/>
                      <w:vertAlign w:val="baseline"/>
                      <w:lang w:val="en-US" w:eastAsia="zh-CN"/>
                    </w:rPr>
                    <w:t>m</w:t>
                  </w:r>
                  <w:r>
                    <w:rPr>
                      <w:rFonts w:hint="eastAsia" w:ascii="Times New Roman" w:hAnsi="Times New Roman" w:eastAsia="宋体" w:cs="Times New Roman"/>
                      <w:bCs/>
                      <w:color w:val="auto"/>
                      <w:spacing w:val="0"/>
                      <w:kern w:val="0"/>
                      <w:position w:val="0"/>
                      <w:sz w:val="21"/>
                      <w:szCs w:val="21"/>
                      <w:highlight w:val="none"/>
                      <w:vertAlign w:val="superscript"/>
                      <w:lang w:val="en-US" w:eastAsia="zh-CN"/>
                    </w:rPr>
                    <w:t>2</w:t>
                  </w:r>
                </w:p>
              </w:tc>
              <w:tc>
                <w:tcPr>
                  <w:tcW w:w="983" w:type="dxa"/>
                  <w:tcBorders>
                    <w:tl2br w:val="nil"/>
                    <w:tr2bl w:val="nil"/>
                  </w:tcBorders>
                  <w:vAlign w:val="center"/>
                </w:tcPr>
                <w:p w14:paraId="15681683">
                  <w:pPr>
                    <w:widowControl/>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r w14:paraId="00177F4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restart"/>
                  <w:tcBorders>
                    <w:tl2br w:val="nil"/>
                    <w:tr2bl w:val="nil"/>
                  </w:tcBorders>
                  <w:vAlign w:val="center"/>
                </w:tcPr>
                <w:p w14:paraId="6FBD9C2C">
                  <w:pPr>
                    <w:widowControl/>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rPr>
                    <w:t>环保工程</w:t>
                  </w:r>
                </w:p>
              </w:tc>
              <w:tc>
                <w:tcPr>
                  <w:tcW w:w="723" w:type="dxa"/>
                  <w:vMerge w:val="restart"/>
                  <w:tcBorders>
                    <w:tl2br w:val="nil"/>
                    <w:tr2bl w:val="nil"/>
                  </w:tcBorders>
                  <w:vAlign w:val="center"/>
                </w:tcPr>
                <w:p w14:paraId="21597D09">
                  <w:pPr>
                    <w:widowControl/>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rPr>
                    <w:t>废水</w:t>
                  </w:r>
                </w:p>
              </w:tc>
              <w:tc>
                <w:tcPr>
                  <w:tcW w:w="1438" w:type="dxa"/>
                  <w:gridSpan w:val="2"/>
                  <w:tcBorders>
                    <w:tl2br w:val="nil"/>
                    <w:tr2bl w:val="nil"/>
                  </w:tcBorders>
                  <w:vAlign w:val="center"/>
                </w:tcPr>
                <w:p w14:paraId="2A4E1194">
                  <w:pPr>
                    <w:widowControl/>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rPr>
                    <w:t>生活污水</w:t>
                  </w:r>
                </w:p>
              </w:tc>
              <w:tc>
                <w:tcPr>
                  <w:tcW w:w="4489" w:type="dxa"/>
                  <w:tcBorders>
                    <w:tl2br w:val="nil"/>
                    <w:tr2bl w:val="nil"/>
                  </w:tcBorders>
                  <w:vAlign w:val="center"/>
                </w:tcPr>
                <w:p w14:paraId="77D76166">
                  <w:pPr>
                    <w:widowControl/>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rPr>
                    <w:t>生活污水</w:t>
                  </w:r>
                  <w:r>
                    <w:rPr>
                      <w:rFonts w:hint="eastAsia" w:ascii="Times New Roman" w:hAnsi="Times New Roman" w:eastAsia="宋体" w:cs="Times New Roman"/>
                      <w:color w:val="auto"/>
                      <w:spacing w:val="0"/>
                      <w:position w:val="0"/>
                      <w:sz w:val="21"/>
                      <w:szCs w:val="21"/>
                      <w:highlight w:val="none"/>
                      <w:lang w:eastAsia="zh-CN"/>
                    </w:rPr>
                    <w:t>经化粪池（25m</w:t>
                  </w:r>
                  <w:r>
                    <w:rPr>
                      <w:rFonts w:hint="eastAsia" w:ascii="Times New Roman" w:hAnsi="Times New Roman" w:eastAsia="宋体" w:cs="Times New Roman"/>
                      <w:color w:val="auto"/>
                      <w:spacing w:val="0"/>
                      <w:position w:val="0"/>
                      <w:sz w:val="21"/>
                      <w:szCs w:val="21"/>
                      <w:highlight w:val="none"/>
                      <w:vertAlign w:val="superscript"/>
                      <w:lang w:eastAsia="zh-CN"/>
                    </w:rPr>
                    <w:t>3</w:t>
                  </w:r>
                  <w:r>
                    <w:rPr>
                      <w:rFonts w:hint="eastAsia" w:ascii="Times New Roman" w:hAnsi="Times New Roman" w:eastAsia="宋体" w:cs="Times New Roman"/>
                      <w:color w:val="auto"/>
                      <w:spacing w:val="0"/>
                      <w:position w:val="0"/>
                      <w:sz w:val="21"/>
                      <w:szCs w:val="21"/>
                      <w:highlight w:val="none"/>
                      <w:lang w:eastAsia="zh-CN"/>
                    </w:rPr>
                    <w:t>/d）处理后，</w:t>
                  </w:r>
                  <w:r>
                    <w:rPr>
                      <w:rFonts w:hint="eastAsia" w:ascii="Times New Roman" w:hAnsi="Times New Roman" w:eastAsia="宋体" w:cs="Times New Roman"/>
                      <w:color w:val="auto"/>
                      <w:spacing w:val="0"/>
                      <w:position w:val="0"/>
                      <w:sz w:val="21"/>
                      <w:szCs w:val="21"/>
                      <w:highlight w:val="none"/>
                      <w:lang w:val="en-US" w:eastAsia="zh-CN"/>
                    </w:rPr>
                    <w:t>通过市政污水管网</w:t>
                  </w:r>
                  <w:r>
                    <w:rPr>
                      <w:rFonts w:hint="eastAsia" w:ascii="Times New Roman" w:hAnsi="Times New Roman" w:eastAsia="宋体" w:cs="Times New Roman"/>
                      <w:color w:val="auto"/>
                      <w:spacing w:val="0"/>
                      <w:kern w:val="0"/>
                      <w:position w:val="0"/>
                      <w:sz w:val="21"/>
                      <w:szCs w:val="21"/>
                      <w:highlight w:val="none"/>
                    </w:rPr>
                    <w:t>排入</w:t>
                  </w:r>
                  <w:r>
                    <w:rPr>
                      <w:rFonts w:hint="eastAsia" w:ascii="Times New Roman" w:hAnsi="Times New Roman" w:eastAsia="宋体" w:cs="Times New Roman"/>
                      <w:color w:val="auto"/>
                      <w:spacing w:val="0"/>
                      <w:kern w:val="0"/>
                      <w:position w:val="0"/>
                      <w:sz w:val="21"/>
                      <w:szCs w:val="21"/>
                      <w:highlight w:val="none"/>
                      <w:lang w:eastAsia="zh-CN"/>
                    </w:rPr>
                    <w:t>闽侯县城关污水处理厂</w:t>
                  </w:r>
                </w:p>
              </w:tc>
              <w:tc>
                <w:tcPr>
                  <w:tcW w:w="983" w:type="dxa"/>
                  <w:tcBorders>
                    <w:tl2br w:val="nil"/>
                    <w:tr2bl w:val="nil"/>
                  </w:tcBorders>
                  <w:vAlign w:val="center"/>
                </w:tcPr>
                <w:p w14:paraId="6B4BD063">
                  <w:pPr>
                    <w:widowControl/>
                    <w:jc w:val="center"/>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bCs/>
                      <w:color w:val="auto"/>
                      <w:spacing w:val="0"/>
                      <w:kern w:val="0"/>
                      <w:position w:val="0"/>
                      <w:sz w:val="21"/>
                      <w:szCs w:val="21"/>
                      <w:highlight w:val="none"/>
                      <w:lang w:eastAsia="zh-CN"/>
                    </w:rPr>
                    <w:t>依托出租方</w:t>
                  </w:r>
                </w:p>
              </w:tc>
            </w:tr>
            <w:tr w14:paraId="73EA539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25E5A9FF">
                  <w:pPr>
                    <w:widowControl/>
                    <w:jc w:val="center"/>
                    <w:rPr>
                      <w:rFonts w:hint="eastAsia" w:ascii="Times New Roman" w:hAnsi="Times New Roman" w:eastAsia="宋体" w:cs="Times New Roman"/>
                      <w:color w:val="auto"/>
                      <w:spacing w:val="0"/>
                      <w:kern w:val="0"/>
                      <w:position w:val="0"/>
                      <w:sz w:val="21"/>
                      <w:szCs w:val="21"/>
                      <w:highlight w:val="none"/>
                    </w:rPr>
                  </w:pPr>
                </w:p>
              </w:tc>
              <w:tc>
                <w:tcPr>
                  <w:tcW w:w="723" w:type="dxa"/>
                  <w:vMerge w:val="continue"/>
                  <w:tcBorders>
                    <w:tl2br w:val="nil"/>
                    <w:tr2bl w:val="nil"/>
                  </w:tcBorders>
                  <w:vAlign w:val="center"/>
                </w:tcPr>
                <w:p w14:paraId="2F699149">
                  <w:pPr>
                    <w:widowControl/>
                    <w:jc w:val="center"/>
                    <w:rPr>
                      <w:rFonts w:hint="eastAsia" w:ascii="Times New Roman" w:hAnsi="Times New Roman" w:eastAsia="宋体" w:cs="Times New Roman"/>
                      <w:color w:val="auto"/>
                      <w:spacing w:val="0"/>
                      <w:kern w:val="0"/>
                      <w:position w:val="0"/>
                      <w:sz w:val="21"/>
                      <w:szCs w:val="21"/>
                      <w:highlight w:val="none"/>
                    </w:rPr>
                  </w:pPr>
                </w:p>
              </w:tc>
              <w:tc>
                <w:tcPr>
                  <w:tcW w:w="521" w:type="dxa"/>
                  <w:vMerge w:val="restart"/>
                  <w:tcBorders>
                    <w:tl2br w:val="nil"/>
                    <w:tr2bl w:val="nil"/>
                  </w:tcBorders>
                  <w:vAlign w:val="center"/>
                </w:tcPr>
                <w:p w14:paraId="25EC842F">
                  <w:pPr>
                    <w:widowControl/>
                    <w:jc w:val="center"/>
                    <w:rPr>
                      <w:rFonts w:hint="eastAsia" w:ascii="Times New Roman" w:hAnsi="Times New Roman" w:eastAsia="宋体" w:cs="Times New Roman"/>
                      <w:color w:val="auto"/>
                      <w:spacing w:val="0"/>
                      <w:kern w:val="0"/>
                      <w:position w:val="0"/>
                      <w:sz w:val="21"/>
                      <w:szCs w:val="21"/>
                      <w:highlight w:val="none"/>
                      <w:lang w:eastAsia="zh-CN"/>
                    </w:rPr>
                  </w:pPr>
                  <w:r>
                    <w:rPr>
                      <w:rFonts w:hint="eastAsia" w:ascii="Times New Roman" w:hAnsi="Times New Roman" w:eastAsia="宋体" w:cs="Times New Roman"/>
                      <w:color w:val="auto"/>
                      <w:spacing w:val="0"/>
                      <w:kern w:val="0"/>
                      <w:position w:val="0"/>
                      <w:sz w:val="21"/>
                      <w:szCs w:val="21"/>
                      <w:highlight w:val="none"/>
                      <w:lang w:eastAsia="zh-CN"/>
                    </w:rPr>
                    <w:t>生产废水</w:t>
                  </w:r>
                </w:p>
              </w:tc>
              <w:tc>
                <w:tcPr>
                  <w:tcW w:w="917" w:type="dxa"/>
                  <w:tcBorders>
                    <w:tl2br w:val="nil"/>
                    <w:tr2bl w:val="nil"/>
                  </w:tcBorders>
                  <w:vAlign w:val="center"/>
                </w:tcPr>
                <w:p w14:paraId="293BE0DF">
                  <w:pPr>
                    <w:widowControl/>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水帘气旋</w:t>
                  </w:r>
                </w:p>
              </w:tc>
              <w:tc>
                <w:tcPr>
                  <w:tcW w:w="4489" w:type="dxa"/>
                  <w:tcBorders>
                    <w:tl2br w:val="nil"/>
                    <w:tr2bl w:val="nil"/>
                  </w:tcBorders>
                  <w:vAlign w:val="center"/>
                </w:tcPr>
                <w:p w14:paraId="4B7B77EC">
                  <w:pPr>
                    <w:widowControl/>
                    <w:jc w:val="both"/>
                    <w:rPr>
                      <w:rFonts w:hint="default"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lang w:eastAsia="zh-CN"/>
                    </w:rPr>
                    <w:t>水帘气旋废液</w:t>
                  </w:r>
                  <w:r>
                    <w:rPr>
                      <w:rFonts w:hint="eastAsia"/>
                      <w:color w:val="auto"/>
                      <w:kern w:val="0"/>
                      <w:sz w:val="21"/>
                      <w:szCs w:val="21"/>
                      <w:highlight w:val="none"/>
                    </w:rPr>
                    <w:t>经</w:t>
                  </w:r>
                  <w:r>
                    <w:rPr>
                      <w:rFonts w:hint="eastAsia"/>
                      <w:color w:val="auto"/>
                      <w:sz w:val="21"/>
                      <w:szCs w:val="21"/>
                      <w:highlight w:val="none"/>
                    </w:rPr>
                    <w:t>“调节池+絮凝沉淀+压滤+清水池”</w:t>
                  </w:r>
                  <w:r>
                    <w:rPr>
                      <w:rFonts w:hint="eastAsia" w:cs="Times New Roman"/>
                      <w:color w:val="auto"/>
                      <w:spacing w:val="0"/>
                      <w:position w:val="0"/>
                      <w:sz w:val="21"/>
                      <w:szCs w:val="21"/>
                      <w:highlight w:val="none"/>
                      <w:lang w:eastAsia="zh-CN"/>
                    </w:rPr>
                    <w:t>（</w:t>
                  </w:r>
                  <w:r>
                    <w:rPr>
                      <w:rFonts w:hint="eastAsia"/>
                      <w:color w:val="auto"/>
                      <w:sz w:val="21"/>
                      <w:szCs w:val="21"/>
                      <w:highlight w:val="none"/>
                      <w:lang w:val="en-US" w:eastAsia="zh-CN"/>
                    </w:rPr>
                    <w:t>10</w:t>
                  </w:r>
                  <w:r>
                    <w:rPr>
                      <w:rFonts w:hint="eastAsia" w:ascii="Times New Roman" w:hAnsi="Times New Roman" w:eastAsia="宋体"/>
                      <w:color w:val="auto"/>
                      <w:sz w:val="21"/>
                      <w:szCs w:val="21"/>
                      <w:highlight w:val="none"/>
                      <w:lang w:val="en-US" w:eastAsia="zh-CN"/>
                    </w:rPr>
                    <w:t>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lang w:val="en-US" w:eastAsia="zh-CN"/>
                    </w:rPr>
                    <w:t>/d</w:t>
                  </w:r>
                  <w:r>
                    <w:rPr>
                      <w:rFonts w:hint="eastAsia" w:cs="Times New Roman"/>
                      <w:color w:val="auto"/>
                      <w:spacing w:val="0"/>
                      <w:position w:val="0"/>
                      <w:sz w:val="21"/>
                      <w:szCs w:val="21"/>
                      <w:highlight w:val="none"/>
                      <w:lang w:eastAsia="zh-CN"/>
                    </w:rPr>
                    <w:t>）</w:t>
                  </w:r>
                  <w:r>
                    <w:rPr>
                      <w:rFonts w:hint="eastAsia"/>
                      <w:color w:val="auto"/>
                      <w:kern w:val="0"/>
                      <w:sz w:val="21"/>
                      <w:szCs w:val="21"/>
                      <w:highlight w:val="none"/>
                    </w:rPr>
                    <w:t>处理后循环使用，</w:t>
                  </w:r>
                  <w:r>
                    <w:rPr>
                      <w:rFonts w:hint="eastAsia"/>
                      <w:color w:val="auto"/>
                      <w:kern w:val="0"/>
                      <w:sz w:val="21"/>
                      <w:szCs w:val="21"/>
                      <w:highlight w:val="none"/>
                      <w:lang w:eastAsia="zh-CN"/>
                    </w:rPr>
                    <w:t>一年更换</w:t>
                  </w:r>
                  <w:r>
                    <w:rPr>
                      <w:rFonts w:hint="eastAsia"/>
                      <w:color w:val="auto"/>
                      <w:kern w:val="0"/>
                      <w:sz w:val="21"/>
                      <w:szCs w:val="21"/>
                      <w:highlight w:val="none"/>
                      <w:lang w:val="en-US" w:eastAsia="zh-CN"/>
                    </w:rPr>
                    <w:t>一次</w:t>
                  </w:r>
                  <w:r>
                    <w:rPr>
                      <w:rFonts w:hint="eastAsia"/>
                      <w:color w:val="auto"/>
                      <w:kern w:val="0"/>
                      <w:sz w:val="21"/>
                      <w:szCs w:val="21"/>
                      <w:highlight w:val="none"/>
                    </w:rPr>
                    <w:t>做危废</w:t>
                  </w:r>
                  <w:r>
                    <w:rPr>
                      <w:rFonts w:hint="eastAsia"/>
                      <w:color w:val="auto"/>
                      <w:kern w:val="0"/>
                      <w:sz w:val="21"/>
                      <w:szCs w:val="21"/>
                      <w:highlight w:val="none"/>
                      <w:lang w:eastAsia="zh-CN"/>
                    </w:rPr>
                    <w:t>，</w:t>
                  </w:r>
                  <w:r>
                    <w:rPr>
                      <w:rFonts w:hint="eastAsia"/>
                      <w:color w:val="auto"/>
                      <w:kern w:val="0"/>
                      <w:sz w:val="21"/>
                      <w:szCs w:val="21"/>
                      <w:highlight w:val="none"/>
                      <w:lang w:val="en-US" w:eastAsia="zh-CN"/>
                    </w:rPr>
                    <w:t>废水处理设施位于厂房北侧</w:t>
                  </w:r>
                </w:p>
              </w:tc>
              <w:tc>
                <w:tcPr>
                  <w:tcW w:w="983" w:type="dxa"/>
                  <w:tcBorders>
                    <w:tl2br w:val="nil"/>
                    <w:tr2bl w:val="nil"/>
                  </w:tcBorders>
                  <w:vAlign w:val="center"/>
                </w:tcPr>
                <w:p w14:paraId="24BBD2B1">
                  <w:pPr>
                    <w:widowControl/>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r w14:paraId="2384010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3476D575">
                  <w:pPr>
                    <w:widowControl/>
                    <w:jc w:val="center"/>
                    <w:rPr>
                      <w:rFonts w:hint="eastAsia" w:ascii="Times New Roman" w:hAnsi="Times New Roman" w:eastAsia="宋体" w:cs="Times New Roman"/>
                      <w:color w:val="auto"/>
                      <w:spacing w:val="0"/>
                      <w:kern w:val="0"/>
                      <w:position w:val="0"/>
                      <w:sz w:val="21"/>
                      <w:szCs w:val="21"/>
                      <w:highlight w:val="none"/>
                    </w:rPr>
                  </w:pPr>
                </w:p>
              </w:tc>
              <w:tc>
                <w:tcPr>
                  <w:tcW w:w="723" w:type="dxa"/>
                  <w:vMerge w:val="continue"/>
                  <w:tcBorders>
                    <w:tl2br w:val="nil"/>
                    <w:tr2bl w:val="nil"/>
                  </w:tcBorders>
                  <w:vAlign w:val="center"/>
                </w:tcPr>
                <w:p w14:paraId="1BBC5FB6">
                  <w:pPr>
                    <w:widowControl/>
                    <w:jc w:val="center"/>
                    <w:rPr>
                      <w:rFonts w:hint="eastAsia" w:ascii="Times New Roman" w:hAnsi="Times New Roman" w:eastAsia="宋体" w:cs="Times New Roman"/>
                      <w:color w:val="auto"/>
                      <w:spacing w:val="0"/>
                      <w:kern w:val="0"/>
                      <w:position w:val="0"/>
                      <w:sz w:val="21"/>
                      <w:szCs w:val="21"/>
                      <w:highlight w:val="none"/>
                    </w:rPr>
                  </w:pPr>
                </w:p>
              </w:tc>
              <w:tc>
                <w:tcPr>
                  <w:tcW w:w="521" w:type="dxa"/>
                  <w:vMerge w:val="continue"/>
                  <w:tcBorders>
                    <w:tl2br w:val="nil"/>
                    <w:tr2bl w:val="nil"/>
                  </w:tcBorders>
                  <w:vAlign w:val="center"/>
                </w:tcPr>
                <w:p w14:paraId="551AA430">
                  <w:pPr>
                    <w:widowControl/>
                    <w:jc w:val="center"/>
                    <w:rPr>
                      <w:rFonts w:hint="eastAsia" w:ascii="Times New Roman" w:hAnsi="Times New Roman" w:eastAsia="宋体" w:cs="Times New Roman"/>
                      <w:color w:val="auto"/>
                      <w:spacing w:val="0"/>
                      <w:kern w:val="0"/>
                      <w:position w:val="0"/>
                      <w:sz w:val="21"/>
                      <w:szCs w:val="21"/>
                      <w:highlight w:val="none"/>
                      <w:lang w:eastAsia="zh-CN"/>
                    </w:rPr>
                  </w:pPr>
                </w:p>
              </w:tc>
              <w:tc>
                <w:tcPr>
                  <w:tcW w:w="917" w:type="dxa"/>
                  <w:tcBorders>
                    <w:tl2br w:val="nil"/>
                    <w:tr2bl w:val="nil"/>
                  </w:tcBorders>
                  <w:vAlign w:val="center"/>
                </w:tcPr>
                <w:p w14:paraId="16D47044">
                  <w:pPr>
                    <w:widowControl/>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喷枪清洗用水</w:t>
                  </w:r>
                </w:p>
              </w:tc>
              <w:tc>
                <w:tcPr>
                  <w:tcW w:w="4489" w:type="dxa"/>
                  <w:tcBorders>
                    <w:tl2br w:val="nil"/>
                    <w:tr2bl w:val="nil"/>
                  </w:tcBorders>
                  <w:vAlign w:val="center"/>
                </w:tcPr>
                <w:p w14:paraId="7EC7F1CD">
                  <w:pPr>
                    <w:widowControl/>
                    <w:jc w:val="both"/>
                    <w:rPr>
                      <w:rFonts w:hint="eastAsia"/>
                      <w:color w:val="auto"/>
                      <w:sz w:val="21"/>
                      <w:szCs w:val="21"/>
                      <w:highlight w:val="none"/>
                      <w:lang w:eastAsia="zh-CN"/>
                    </w:rPr>
                  </w:pPr>
                  <w:r>
                    <w:rPr>
                      <w:rFonts w:hint="eastAsia" w:ascii="Times New Roman" w:hAnsi="Times New Roman"/>
                      <w:color w:val="auto"/>
                      <w:sz w:val="21"/>
                      <w:szCs w:val="21"/>
                      <w:highlight w:val="none"/>
                    </w:rPr>
                    <w:t>喷枪清洗废液作为危险废物委托有资质单位处置</w:t>
                  </w:r>
                </w:p>
              </w:tc>
              <w:tc>
                <w:tcPr>
                  <w:tcW w:w="983" w:type="dxa"/>
                  <w:tcBorders>
                    <w:tl2br w:val="nil"/>
                    <w:tr2bl w:val="nil"/>
                  </w:tcBorders>
                  <w:vAlign w:val="center"/>
                </w:tcPr>
                <w:p w14:paraId="4B2D0512">
                  <w:pPr>
                    <w:widowControl/>
                    <w:jc w:val="center"/>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r w14:paraId="4834915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2D231923">
                  <w:pPr>
                    <w:widowControl/>
                    <w:jc w:val="center"/>
                    <w:rPr>
                      <w:rFonts w:ascii="Times New Roman" w:hAnsi="Times New Roman" w:eastAsia="宋体" w:cs="Times New Roman"/>
                      <w:color w:val="auto"/>
                      <w:spacing w:val="0"/>
                      <w:kern w:val="0"/>
                      <w:position w:val="0"/>
                      <w:sz w:val="21"/>
                      <w:szCs w:val="21"/>
                      <w:highlight w:val="none"/>
                    </w:rPr>
                  </w:pPr>
                </w:p>
              </w:tc>
              <w:tc>
                <w:tcPr>
                  <w:tcW w:w="723" w:type="dxa"/>
                  <w:tcBorders>
                    <w:tl2br w:val="nil"/>
                    <w:tr2bl w:val="nil"/>
                  </w:tcBorders>
                  <w:vAlign w:val="center"/>
                </w:tcPr>
                <w:p w14:paraId="6AAE93D4">
                  <w:pPr>
                    <w:widowControl/>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rPr>
                    <w:t>废气</w:t>
                  </w:r>
                </w:p>
              </w:tc>
              <w:tc>
                <w:tcPr>
                  <w:tcW w:w="1438" w:type="dxa"/>
                  <w:gridSpan w:val="2"/>
                  <w:tcBorders>
                    <w:tl2br w:val="nil"/>
                    <w:tr2bl w:val="nil"/>
                  </w:tcBorders>
                  <w:vAlign w:val="center"/>
                </w:tcPr>
                <w:p w14:paraId="207D001C">
                  <w:pPr>
                    <w:pStyle w:val="11"/>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rPr>
                    <w:t>调漆、喷漆、晾干废气</w:t>
                  </w:r>
                </w:p>
              </w:tc>
              <w:tc>
                <w:tcPr>
                  <w:tcW w:w="4489" w:type="dxa"/>
                  <w:tcBorders>
                    <w:tl2br w:val="nil"/>
                    <w:tr2bl w:val="nil"/>
                  </w:tcBorders>
                  <w:vAlign w:val="center"/>
                </w:tcPr>
                <w:p w14:paraId="1C5C23C9">
                  <w:pPr>
                    <w:widowControl/>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调漆、喷漆废气经水帘柜处理后，与晾干废气一同经集气装置负压收集后再引入“</w:t>
                  </w:r>
                  <w:r>
                    <w:rPr>
                      <w:rFonts w:hint="eastAsia" w:ascii="Times New Roman" w:hAnsi="Times New Roman" w:eastAsia="宋体" w:cs="Times New Roman"/>
                      <w:color w:val="auto"/>
                      <w:sz w:val="21"/>
                      <w:szCs w:val="21"/>
                      <w:highlight w:val="none"/>
                      <w:lang w:eastAsia="zh-CN"/>
                    </w:rPr>
                    <w:t>气旋塔+过滤棉+</w:t>
                  </w:r>
                  <w:r>
                    <w:rPr>
                      <w:rFonts w:hint="eastAsia" w:cs="Times New Roman"/>
                      <w:color w:val="auto"/>
                      <w:sz w:val="21"/>
                      <w:szCs w:val="21"/>
                      <w:highlight w:val="none"/>
                      <w:lang w:eastAsia="zh-CN"/>
                    </w:rPr>
                    <w:t>二级活性炭吸附装置</w:t>
                  </w:r>
                  <w:r>
                    <w:rPr>
                      <w:rFonts w:hint="eastAsia" w:ascii="Times New Roman" w:hAnsi="Times New Roman" w:eastAsia="宋体" w:cs="Times New Roman"/>
                      <w:color w:val="auto"/>
                      <w:sz w:val="21"/>
                      <w:szCs w:val="21"/>
                      <w:highlight w:val="none"/>
                    </w:rPr>
                    <w:t>”处理后，通过25m高排气筒（DA00</w:t>
                  </w: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rPr>
                    <w:t>）排放</w:t>
                  </w:r>
                </w:p>
              </w:tc>
              <w:tc>
                <w:tcPr>
                  <w:tcW w:w="983" w:type="dxa"/>
                  <w:tcBorders>
                    <w:tl2br w:val="nil"/>
                    <w:tr2bl w:val="nil"/>
                  </w:tcBorders>
                  <w:vAlign w:val="center"/>
                </w:tcPr>
                <w:p w14:paraId="2AC2EDAA">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废气治理设施位于厂房楼顶北侧中心位置</w:t>
                  </w:r>
                </w:p>
              </w:tc>
            </w:tr>
            <w:tr w14:paraId="377483A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0E7578CB">
                  <w:pPr>
                    <w:widowControl/>
                    <w:jc w:val="center"/>
                    <w:rPr>
                      <w:rFonts w:ascii="Times New Roman" w:hAnsi="Times New Roman" w:eastAsia="宋体" w:cs="Times New Roman"/>
                      <w:color w:val="auto"/>
                      <w:spacing w:val="0"/>
                      <w:kern w:val="0"/>
                      <w:position w:val="0"/>
                      <w:sz w:val="21"/>
                      <w:szCs w:val="21"/>
                      <w:highlight w:val="none"/>
                    </w:rPr>
                  </w:pPr>
                </w:p>
              </w:tc>
              <w:tc>
                <w:tcPr>
                  <w:tcW w:w="2161" w:type="dxa"/>
                  <w:gridSpan w:val="3"/>
                  <w:tcBorders>
                    <w:tl2br w:val="nil"/>
                    <w:tr2bl w:val="nil"/>
                  </w:tcBorders>
                  <w:vAlign w:val="center"/>
                </w:tcPr>
                <w:p w14:paraId="2704270D">
                  <w:pPr>
                    <w:widowControl/>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rPr>
                    <w:t>噪声</w:t>
                  </w:r>
                </w:p>
              </w:tc>
              <w:tc>
                <w:tcPr>
                  <w:tcW w:w="4489" w:type="dxa"/>
                  <w:tcBorders>
                    <w:tl2br w:val="nil"/>
                    <w:tr2bl w:val="nil"/>
                  </w:tcBorders>
                  <w:vAlign w:val="center"/>
                </w:tcPr>
                <w:p w14:paraId="0B03CA47">
                  <w:pPr>
                    <w:keepNext w:val="0"/>
                    <w:keepLines w:val="0"/>
                    <w:widowControl/>
                    <w:suppressLineNumbers w:val="0"/>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color w:val="auto"/>
                      <w:spacing w:val="0"/>
                      <w:kern w:val="0"/>
                      <w:sz w:val="21"/>
                      <w:szCs w:val="21"/>
                      <w:highlight w:val="none"/>
                      <w:lang w:val="en-US" w:eastAsia="zh-CN" w:bidi="ar"/>
                    </w:rPr>
                    <w:t>选用低噪声设备，减震、墙体隔声</w:t>
                  </w:r>
                </w:p>
              </w:tc>
              <w:tc>
                <w:tcPr>
                  <w:tcW w:w="983" w:type="dxa"/>
                  <w:tcBorders>
                    <w:tl2br w:val="nil"/>
                    <w:tr2bl w:val="nil"/>
                  </w:tcBorders>
                  <w:vAlign w:val="center"/>
                </w:tcPr>
                <w:p w14:paraId="08845038">
                  <w:pPr>
                    <w:widowControl/>
                    <w:jc w:val="center"/>
                    <w:rPr>
                      <w:rFonts w:hint="eastAsia" w:ascii="Times New Roman" w:hAnsi="Times New Roman" w:eastAsia="宋体" w:cs="Times New Roman"/>
                      <w:color w:val="auto"/>
                      <w:spacing w:val="0"/>
                      <w:kern w:val="0"/>
                      <w:position w:val="0"/>
                      <w:sz w:val="21"/>
                      <w:szCs w:val="21"/>
                      <w:highlight w:val="none"/>
                    </w:rPr>
                  </w:pPr>
                  <w:r>
                    <w:rPr>
                      <w:rFonts w:hint="eastAsia" w:cs="Times New Roman"/>
                      <w:color w:val="auto"/>
                      <w:spacing w:val="0"/>
                      <w:position w:val="0"/>
                      <w:sz w:val="21"/>
                      <w:szCs w:val="21"/>
                      <w:highlight w:val="none"/>
                      <w:lang w:val="en-US" w:eastAsia="zh-CN"/>
                    </w:rPr>
                    <w:t>/</w:t>
                  </w:r>
                </w:p>
              </w:tc>
            </w:tr>
            <w:tr w14:paraId="79AC800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09E465C9">
                  <w:pPr>
                    <w:widowControl/>
                    <w:jc w:val="center"/>
                    <w:rPr>
                      <w:rFonts w:ascii="Times New Roman" w:hAnsi="Times New Roman" w:eastAsia="宋体" w:cs="Times New Roman"/>
                      <w:color w:val="auto"/>
                      <w:spacing w:val="0"/>
                      <w:kern w:val="0"/>
                      <w:position w:val="0"/>
                      <w:sz w:val="21"/>
                      <w:szCs w:val="21"/>
                      <w:highlight w:val="none"/>
                    </w:rPr>
                  </w:pPr>
                </w:p>
              </w:tc>
              <w:tc>
                <w:tcPr>
                  <w:tcW w:w="723" w:type="dxa"/>
                  <w:vMerge w:val="restart"/>
                  <w:tcBorders>
                    <w:tl2br w:val="nil"/>
                    <w:tr2bl w:val="nil"/>
                  </w:tcBorders>
                  <w:vAlign w:val="center"/>
                </w:tcPr>
                <w:p w14:paraId="1DF55B07">
                  <w:pPr>
                    <w:widowControl/>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rPr>
                    <w:t>固废</w:t>
                  </w:r>
                </w:p>
              </w:tc>
              <w:tc>
                <w:tcPr>
                  <w:tcW w:w="1438" w:type="dxa"/>
                  <w:gridSpan w:val="2"/>
                  <w:tcBorders>
                    <w:tl2br w:val="nil"/>
                    <w:tr2bl w:val="nil"/>
                  </w:tcBorders>
                  <w:vAlign w:val="center"/>
                </w:tcPr>
                <w:p w14:paraId="5E5F05E2">
                  <w:pPr>
                    <w:widowControl/>
                    <w:jc w:val="center"/>
                    <w:rPr>
                      <w:rFonts w:hint="eastAsia" w:ascii="Times New Roman" w:hAnsi="Times New Roman" w:eastAsia="宋体" w:cs="Times New Roman"/>
                      <w:color w:val="auto"/>
                      <w:spacing w:val="0"/>
                      <w:kern w:val="0"/>
                      <w:position w:val="0"/>
                      <w:sz w:val="21"/>
                      <w:szCs w:val="21"/>
                      <w:highlight w:val="none"/>
                      <w:lang w:eastAsia="zh-CN"/>
                    </w:rPr>
                  </w:pPr>
                  <w:r>
                    <w:rPr>
                      <w:rFonts w:hint="eastAsia" w:cs="Times New Roman"/>
                      <w:color w:val="auto"/>
                      <w:spacing w:val="0"/>
                      <w:kern w:val="0"/>
                      <w:position w:val="0"/>
                      <w:sz w:val="21"/>
                      <w:szCs w:val="21"/>
                      <w:highlight w:val="none"/>
                      <w:lang w:eastAsia="zh-CN"/>
                    </w:rPr>
                    <w:t>一般固废间</w:t>
                  </w:r>
                </w:p>
              </w:tc>
              <w:tc>
                <w:tcPr>
                  <w:tcW w:w="4489" w:type="dxa"/>
                  <w:tcBorders>
                    <w:tl2br w:val="nil"/>
                    <w:tr2bl w:val="nil"/>
                  </w:tcBorders>
                  <w:vAlign w:val="center"/>
                </w:tcPr>
                <w:p w14:paraId="1BB75A7C">
                  <w:pPr>
                    <w:widowControl/>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eastAsia" w:cs="Times New Roman"/>
                      <w:color w:val="auto"/>
                      <w:spacing w:val="0"/>
                      <w:kern w:val="0"/>
                      <w:position w:val="0"/>
                      <w:sz w:val="21"/>
                      <w:szCs w:val="21"/>
                      <w:highlight w:val="none"/>
                      <w:lang w:val="en-US" w:eastAsia="zh-CN"/>
                    </w:rPr>
                    <w:t>位于租赁厂房西北侧</w:t>
                  </w:r>
                  <w:r>
                    <w:rPr>
                      <w:rFonts w:hint="eastAsia" w:ascii="Times New Roman" w:hAnsi="Times New Roman" w:eastAsia="宋体" w:cs="Times New Roman"/>
                      <w:color w:val="auto"/>
                      <w:spacing w:val="0"/>
                      <w:kern w:val="0"/>
                      <w:position w:val="0"/>
                      <w:sz w:val="21"/>
                      <w:szCs w:val="21"/>
                      <w:highlight w:val="none"/>
                      <w:lang w:val="en-US" w:eastAsia="zh-CN"/>
                    </w:rPr>
                    <w:t>，面积</w:t>
                  </w:r>
                  <w:r>
                    <w:rPr>
                      <w:rFonts w:hint="eastAsia" w:cs="Times New Roman"/>
                      <w:color w:val="auto"/>
                      <w:spacing w:val="0"/>
                      <w:kern w:val="0"/>
                      <w:position w:val="0"/>
                      <w:sz w:val="21"/>
                      <w:szCs w:val="21"/>
                      <w:highlight w:val="none"/>
                      <w:lang w:val="en-US" w:eastAsia="zh-CN"/>
                    </w:rPr>
                    <w:t>为5</w:t>
                  </w:r>
                  <w:r>
                    <w:rPr>
                      <w:rFonts w:hint="eastAsia" w:ascii="Times New Roman" w:hAnsi="Times New Roman" w:eastAsia="宋体" w:cs="Times New Roman"/>
                      <w:color w:val="auto"/>
                      <w:spacing w:val="0"/>
                      <w:kern w:val="0"/>
                      <w:position w:val="0"/>
                      <w:sz w:val="21"/>
                      <w:szCs w:val="21"/>
                      <w:highlight w:val="none"/>
                      <w:lang w:val="en-US" w:eastAsia="zh-CN"/>
                    </w:rPr>
                    <w:t>m</w:t>
                  </w:r>
                  <w:r>
                    <w:rPr>
                      <w:rFonts w:ascii="Times New Roman" w:hAnsi="Times New Roman" w:eastAsia="宋体" w:cs="Times New Roman"/>
                      <w:color w:val="auto"/>
                      <w:spacing w:val="0"/>
                      <w:kern w:val="0"/>
                      <w:position w:val="0"/>
                      <w:sz w:val="21"/>
                      <w:szCs w:val="21"/>
                      <w:highlight w:val="none"/>
                      <w:vertAlign w:val="superscript"/>
                    </w:rPr>
                    <w:t>2</w:t>
                  </w:r>
                  <w:r>
                    <w:rPr>
                      <w:rFonts w:hint="eastAsia" w:ascii="Times New Roman" w:hAnsi="Times New Roman" w:eastAsia="宋体" w:cs="Times New Roman"/>
                      <w:color w:val="auto"/>
                      <w:spacing w:val="0"/>
                      <w:kern w:val="0"/>
                      <w:position w:val="0"/>
                      <w:sz w:val="21"/>
                      <w:szCs w:val="21"/>
                      <w:highlight w:val="none"/>
                      <w:vertAlign w:val="baseline"/>
                      <w:lang w:val="en-US" w:eastAsia="zh-CN"/>
                    </w:rPr>
                    <w:t>。</w:t>
                  </w:r>
                </w:p>
              </w:tc>
              <w:tc>
                <w:tcPr>
                  <w:tcW w:w="983" w:type="dxa"/>
                  <w:tcBorders>
                    <w:tl2br w:val="nil"/>
                    <w:tr2bl w:val="nil"/>
                  </w:tcBorders>
                  <w:vAlign w:val="center"/>
                </w:tcPr>
                <w:p w14:paraId="57B14CD4">
                  <w:pPr>
                    <w:widowControl/>
                    <w:jc w:val="center"/>
                    <w:rPr>
                      <w:rFonts w:hint="eastAsia" w:ascii="Times New Roman" w:hAnsi="Times New Roman" w:eastAsia="宋体" w:cs="Times New Roman"/>
                      <w:color w:val="auto"/>
                      <w:spacing w:val="0"/>
                      <w:kern w:val="0"/>
                      <w:position w:val="0"/>
                      <w:sz w:val="21"/>
                      <w:szCs w:val="21"/>
                      <w:highlight w:val="none"/>
                    </w:rPr>
                  </w:pPr>
                  <w:r>
                    <w:rPr>
                      <w:rFonts w:hint="eastAsia" w:cs="Times New Roman"/>
                      <w:color w:val="auto"/>
                      <w:spacing w:val="0"/>
                      <w:position w:val="0"/>
                      <w:sz w:val="21"/>
                      <w:szCs w:val="21"/>
                      <w:highlight w:val="none"/>
                      <w:lang w:val="en-US" w:eastAsia="zh-CN"/>
                    </w:rPr>
                    <w:t>/</w:t>
                  </w:r>
                </w:p>
              </w:tc>
            </w:tr>
            <w:tr w14:paraId="7D0AC6C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4BB4B389">
                  <w:pPr>
                    <w:widowControl/>
                    <w:jc w:val="center"/>
                    <w:rPr>
                      <w:rFonts w:ascii="Times New Roman" w:hAnsi="Times New Roman" w:eastAsia="宋体" w:cs="Times New Roman"/>
                      <w:color w:val="auto"/>
                      <w:spacing w:val="0"/>
                      <w:kern w:val="0"/>
                      <w:position w:val="0"/>
                      <w:sz w:val="21"/>
                      <w:szCs w:val="21"/>
                      <w:highlight w:val="none"/>
                    </w:rPr>
                  </w:pPr>
                </w:p>
              </w:tc>
              <w:tc>
                <w:tcPr>
                  <w:tcW w:w="723" w:type="dxa"/>
                  <w:vMerge w:val="continue"/>
                  <w:tcBorders>
                    <w:tl2br w:val="nil"/>
                    <w:tr2bl w:val="nil"/>
                  </w:tcBorders>
                  <w:vAlign w:val="center"/>
                </w:tcPr>
                <w:p w14:paraId="4F056F9A">
                  <w:pPr>
                    <w:widowControl/>
                    <w:jc w:val="center"/>
                    <w:rPr>
                      <w:rFonts w:ascii="Times New Roman" w:hAnsi="Times New Roman" w:eastAsia="宋体" w:cs="Times New Roman"/>
                      <w:color w:val="auto"/>
                      <w:spacing w:val="0"/>
                      <w:kern w:val="0"/>
                      <w:position w:val="0"/>
                      <w:sz w:val="21"/>
                      <w:szCs w:val="21"/>
                      <w:highlight w:val="none"/>
                    </w:rPr>
                  </w:pPr>
                </w:p>
              </w:tc>
              <w:tc>
                <w:tcPr>
                  <w:tcW w:w="1438" w:type="dxa"/>
                  <w:gridSpan w:val="2"/>
                  <w:tcBorders>
                    <w:tl2br w:val="nil"/>
                    <w:tr2bl w:val="nil"/>
                  </w:tcBorders>
                  <w:vAlign w:val="center"/>
                </w:tcPr>
                <w:p w14:paraId="0D70CCAA">
                  <w:pPr>
                    <w:widowControl/>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rPr>
                    <w:t>危废</w:t>
                  </w:r>
                  <w:r>
                    <w:rPr>
                      <w:rFonts w:hint="eastAsia" w:cs="Times New Roman"/>
                      <w:color w:val="auto"/>
                      <w:spacing w:val="0"/>
                      <w:kern w:val="0"/>
                      <w:position w:val="0"/>
                      <w:sz w:val="21"/>
                      <w:szCs w:val="21"/>
                      <w:highlight w:val="none"/>
                      <w:lang w:val="en-US" w:eastAsia="zh-CN"/>
                    </w:rPr>
                    <w:t>暂存间</w:t>
                  </w:r>
                </w:p>
              </w:tc>
              <w:tc>
                <w:tcPr>
                  <w:tcW w:w="4489" w:type="dxa"/>
                  <w:tcBorders>
                    <w:tl2br w:val="nil"/>
                    <w:tr2bl w:val="nil"/>
                  </w:tcBorders>
                  <w:vAlign w:val="center"/>
                </w:tcPr>
                <w:p w14:paraId="1E880E51">
                  <w:pPr>
                    <w:widowControl/>
                    <w:jc w:val="center"/>
                    <w:rPr>
                      <w:rFonts w:hint="default" w:ascii="Times New Roman" w:hAnsi="Times New Roman" w:eastAsia="宋体" w:cs="Times New Roman"/>
                      <w:color w:val="auto"/>
                      <w:spacing w:val="0"/>
                      <w:kern w:val="0"/>
                      <w:position w:val="0"/>
                      <w:sz w:val="21"/>
                      <w:szCs w:val="21"/>
                      <w:highlight w:val="none"/>
                      <w:lang w:val="en-US"/>
                    </w:rPr>
                  </w:pPr>
                  <w:r>
                    <w:rPr>
                      <w:rFonts w:hint="eastAsia" w:ascii="Times New Roman" w:hAnsi="Times New Roman" w:eastAsia="宋体" w:cs="Times New Roman"/>
                      <w:color w:val="auto"/>
                      <w:spacing w:val="0"/>
                      <w:kern w:val="0"/>
                      <w:position w:val="0"/>
                      <w:sz w:val="21"/>
                      <w:szCs w:val="21"/>
                      <w:highlight w:val="none"/>
                      <w:lang w:val="en-US" w:eastAsia="zh-CN"/>
                    </w:rPr>
                    <w:t>位于</w:t>
                  </w:r>
                  <w:r>
                    <w:rPr>
                      <w:rFonts w:hint="eastAsia" w:cs="Times New Roman"/>
                      <w:color w:val="auto"/>
                      <w:spacing w:val="0"/>
                      <w:kern w:val="0"/>
                      <w:position w:val="0"/>
                      <w:sz w:val="21"/>
                      <w:szCs w:val="21"/>
                      <w:highlight w:val="none"/>
                      <w:lang w:val="en-US" w:eastAsia="zh-CN"/>
                    </w:rPr>
                    <w:t>租赁</w:t>
                  </w:r>
                  <w:r>
                    <w:rPr>
                      <w:rFonts w:hint="eastAsia" w:ascii="Times New Roman" w:hAnsi="Times New Roman" w:eastAsia="宋体" w:cs="Times New Roman"/>
                      <w:color w:val="auto"/>
                      <w:spacing w:val="0"/>
                      <w:kern w:val="0"/>
                      <w:position w:val="0"/>
                      <w:sz w:val="21"/>
                      <w:szCs w:val="21"/>
                      <w:highlight w:val="none"/>
                      <w:lang w:val="en-US" w:eastAsia="zh-CN"/>
                    </w:rPr>
                    <w:t>东北侧，面积为</w:t>
                  </w:r>
                  <w:r>
                    <w:rPr>
                      <w:rFonts w:hint="eastAsia" w:cs="Times New Roman"/>
                      <w:color w:val="auto"/>
                      <w:spacing w:val="0"/>
                      <w:kern w:val="0"/>
                      <w:position w:val="0"/>
                      <w:sz w:val="21"/>
                      <w:szCs w:val="21"/>
                      <w:highlight w:val="none"/>
                      <w:lang w:val="en-US" w:eastAsia="zh-CN"/>
                    </w:rPr>
                    <w:t>22m</w:t>
                  </w:r>
                  <w:r>
                    <w:rPr>
                      <w:rFonts w:ascii="Times New Roman" w:hAnsi="Times New Roman" w:eastAsia="宋体" w:cs="Times New Roman"/>
                      <w:color w:val="auto"/>
                      <w:spacing w:val="0"/>
                      <w:kern w:val="0"/>
                      <w:position w:val="0"/>
                      <w:sz w:val="21"/>
                      <w:szCs w:val="21"/>
                      <w:highlight w:val="none"/>
                      <w:vertAlign w:val="superscript"/>
                    </w:rPr>
                    <w:t>2</w:t>
                  </w:r>
                  <w:r>
                    <w:rPr>
                      <w:rFonts w:hint="eastAsia" w:ascii="Times New Roman" w:hAnsi="Times New Roman" w:eastAsia="宋体" w:cs="Times New Roman"/>
                      <w:color w:val="auto"/>
                      <w:spacing w:val="0"/>
                      <w:kern w:val="0"/>
                      <w:position w:val="0"/>
                      <w:sz w:val="21"/>
                      <w:szCs w:val="21"/>
                      <w:highlight w:val="none"/>
                      <w:vertAlign w:val="baseline"/>
                      <w:lang w:eastAsia="zh-CN"/>
                    </w:rPr>
                    <w:t>。</w:t>
                  </w:r>
                </w:p>
              </w:tc>
              <w:tc>
                <w:tcPr>
                  <w:tcW w:w="983" w:type="dxa"/>
                  <w:tcBorders>
                    <w:tl2br w:val="nil"/>
                    <w:tr2bl w:val="nil"/>
                  </w:tcBorders>
                  <w:vAlign w:val="center"/>
                </w:tcPr>
                <w:p w14:paraId="48BAF9EC">
                  <w:pPr>
                    <w:widowControl/>
                    <w:jc w:val="center"/>
                    <w:rPr>
                      <w:rFonts w:hint="eastAsia" w:ascii="Times New Roman" w:hAnsi="Times New Roman" w:eastAsia="宋体" w:cs="Times New Roman"/>
                      <w:color w:val="auto"/>
                      <w:spacing w:val="0"/>
                      <w:kern w:val="0"/>
                      <w:position w:val="0"/>
                      <w:sz w:val="21"/>
                      <w:szCs w:val="21"/>
                      <w:highlight w:val="none"/>
                    </w:rPr>
                  </w:pPr>
                  <w:r>
                    <w:rPr>
                      <w:rFonts w:hint="eastAsia" w:cs="Times New Roman"/>
                      <w:color w:val="auto"/>
                      <w:spacing w:val="0"/>
                      <w:position w:val="0"/>
                      <w:sz w:val="21"/>
                      <w:szCs w:val="21"/>
                      <w:highlight w:val="none"/>
                      <w:lang w:val="en-US" w:eastAsia="zh-CN"/>
                    </w:rPr>
                    <w:t>/</w:t>
                  </w:r>
                </w:p>
              </w:tc>
            </w:tr>
            <w:tr w14:paraId="4D3806B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55F1B4FA">
                  <w:pPr>
                    <w:widowControl/>
                    <w:jc w:val="center"/>
                    <w:rPr>
                      <w:rFonts w:ascii="Times New Roman" w:hAnsi="Times New Roman" w:eastAsia="宋体" w:cs="Times New Roman"/>
                      <w:color w:val="auto"/>
                      <w:spacing w:val="0"/>
                      <w:kern w:val="0"/>
                      <w:position w:val="0"/>
                      <w:sz w:val="21"/>
                      <w:szCs w:val="21"/>
                      <w:highlight w:val="none"/>
                    </w:rPr>
                  </w:pPr>
                </w:p>
              </w:tc>
              <w:tc>
                <w:tcPr>
                  <w:tcW w:w="723" w:type="dxa"/>
                  <w:vMerge w:val="continue"/>
                  <w:tcBorders>
                    <w:tl2br w:val="nil"/>
                    <w:tr2bl w:val="nil"/>
                  </w:tcBorders>
                  <w:vAlign w:val="center"/>
                </w:tcPr>
                <w:p w14:paraId="312D3064">
                  <w:pPr>
                    <w:widowControl/>
                    <w:jc w:val="center"/>
                    <w:rPr>
                      <w:rFonts w:ascii="Times New Roman" w:hAnsi="Times New Roman" w:eastAsia="宋体" w:cs="Times New Roman"/>
                      <w:color w:val="auto"/>
                      <w:spacing w:val="0"/>
                      <w:kern w:val="0"/>
                      <w:position w:val="0"/>
                      <w:sz w:val="21"/>
                      <w:szCs w:val="21"/>
                      <w:highlight w:val="none"/>
                    </w:rPr>
                  </w:pPr>
                </w:p>
              </w:tc>
              <w:tc>
                <w:tcPr>
                  <w:tcW w:w="1438" w:type="dxa"/>
                  <w:gridSpan w:val="2"/>
                  <w:tcBorders>
                    <w:tl2br w:val="nil"/>
                    <w:tr2bl w:val="nil"/>
                  </w:tcBorders>
                  <w:vAlign w:val="center"/>
                </w:tcPr>
                <w:p w14:paraId="1FB90C03">
                  <w:pPr>
                    <w:widowControl/>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rPr>
                    <w:t>生活垃圾</w:t>
                  </w:r>
                </w:p>
              </w:tc>
              <w:tc>
                <w:tcPr>
                  <w:tcW w:w="4489" w:type="dxa"/>
                  <w:tcBorders>
                    <w:tl2br w:val="nil"/>
                    <w:tr2bl w:val="nil"/>
                  </w:tcBorders>
                  <w:vAlign w:val="center"/>
                </w:tcPr>
                <w:p w14:paraId="121FF10D">
                  <w:pPr>
                    <w:keepNext w:val="0"/>
                    <w:keepLines w:val="0"/>
                    <w:widowControl/>
                    <w:suppressLineNumbers w:val="0"/>
                    <w:jc w:val="center"/>
                    <w:rPr>
                      <w:rFonts w:hint="eastAsia" w:ascii="Times New Roman" w:hAnsi="Times New Roman" w:eastAsia="宋体" w:cs="Times New Roman"/>
                      <w:color w:val="auto"/>
                      <w:spacing w:val="0"/>
                      <w:kern w:val="0"/>
                      <w:position w:val="0"/>
                      <w:sz w:val="21"/>
                      <w:szCs w:val="21"/>
                      <w:highlight w:val="none"/>
                      <w:lang w:eastAsia="zh-CN"/>
                    </w:rPr>
                  </w:pPr>
                  <w:r>
                    <w:rPr>
                      <w:rFonts w:hint="eastAsia" w:ascii="Times New Roman" w:hAnsi="Times New Roman" w:eastAsia="宋体" w:cs="Times New Roman"/>
                      <w:color w:val="auto"/>
                      <w:spacing w:val="0"/>
                      <w:kern w:val="0"/>
                      <w:sz w:val="21"/>
                      <w:szCs w:val="21"/>
                      <w:highlight w:val="none"/>
                      <w:lang w:val="en-US" w:eastAsia="zh-CN" w:bidi="ar"/>
                    </w:rPr>
                    <w:t>生活垃圾由垃圾桶收集，环卫部门清运</w:t>
                  </w:r>
                </w:p>
              </w:tc>
              <w:tc>
                <w:tcPr>
                  <w:tcW w:w="983" w:type="dxa"/>
                  <w:tcBorders>
                    <w:tl2br w:val="nil"/>
                    <w:tr2bl w:val="nil"/>
                  </w:tcBorders>
                  <w:vAlign w:val="center"/>
                </w:tcPr>
                <w:p w14:paraId="6523E80A">
                  <w:pPr>
                    <w:widowControl/>
                    <w:jc w:val="center"/>
                    <w:rPr>
                      <w:rFonts w:hint="eastAsia" w:ascii="Times New Roman" w:hAnsi="Times New Roman" w:eastAsia="宋体" w:cs="Times New Roman"/>
                      <w:color w:val="auto"/>
                      <w:spacing w:val="0"/>
                      <w:kern w:val="0"/>
                      <w:position w:val="0"/>
                      <w:sz w:val="21"/>
                      <w:szCs w:val="21"/>
                      <w:highlight w:val="none"/>
                      <w:lang w:eastAsia="zh-CN"/>
                    </w:rPr>
                  </w:pPr>
                  <w:r>
                    <w:rPr>
                      <w:rFonts w:hint="eastAsia" w:cs="Times New Roman"/>
                      <w:color w:val="auto"/>
                      <w:spacing w:val="0"/>
                      <w:position w:val="0"/>
                      <w:sz w:val="21"/>
                      <w:szCs w:val="21"/>
                      <w:highlight w:val="none"/>
                      <w:lang w:val="en-US" w:eastAsia="zh-CN"/>
                    </w:rPr>
                    <w:t>/</w:t>
                  </w:r>
                </w:p>
              </w:tc>
            </w:tr>
            <w:tr w14:paraId="4EE9F52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71DCC7C1">
                  <w:pPr>
                    <w:widowControl/>
                    <w:jc w:val="center"/>
                    <w:rPr>
                      <w:rFonts w:ascii="Times New Roman" w:hAnsi="Times New Roman" w:eastAsia="宋体" w:cs="Times New Roman"/>
                      <w:color w:val="auto"/>
                      <w:spacing w:val="0"/>
                      <w:kern w:val="0"/>
                      <w:position w:val="0"/>
                      <w:sz w:val="21"/>
                      <w:szCs w:val="21"/>
                      <w:highlight w:val="none"/>
                    </w:rPr>
                  </w:pPr>
                </w:p>
              </w:tc>
              <w:tc>
                <w:tcPr>
                  <w:tcW w:w="723" w:type="dxa"/>
                  <w:vMerge w:val="restart"/>
                  <w:tcBorders>
                    <w:tl2br w:val="nil"/>
                    <w:tr2bl w:val="nil"/>
                  </w:tcBorders>
                  <w:vAlign w:val="center"/>
                </w:tcPr>
                <w:p w14:paraId="503B1E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pacing w:val="0"/>
                      <w:kern w:val="0"/>
                      <w:position w:val="0"/>
                      <w:sz w:val="21"/>
                      <w:szCs w:val="21"/>
                      <w:highlight w:val="none"/>
                    </w:rPr>
                  </w:pPr>
                  <w:r>
                    <w:rPr>
                      <w:color w:val="auto"/>
                      <w:sz w:val="21"/>
                      <w:szCs w:val="21"/>
                      <w:highlight w:val="none"/>
                    </w:rPr>
                    <w:t>土壤及地下水污染防治措施</w:t>
                  </w:r>
                </w:p>
              </w:tc>
              <w:tc>
                <w:tcPr>
                  <w:tcW w:w="1438" w:type="dxa"/>
                  <w:gridSpan w:val="2"/>
                  <w:tcBorders>
                    <w:tl2br w:val="nil"/>
                    <w:tr2bl w:val="nil"/>
                  </w:tcBorders>
                  <w:vAlign w:val="center"/>
                </w:tcPr>
                <w:p w14:paraId="3EA5D922">
                  <w:pPr>
                    <w:pStyle w:val="28"/>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Times New Roman" w:hAnsi="Times New Roman" w:eastAsia="宋体" w:cs="Times New Roman"/>
                      <w:color w:val="auto"/>
                      <w:spacing w:val="0"/>
                      <w:kern w:val="0"/>
                      <w:position w:val="0"/>
                      <w:sz w:val="21"/>
                      <w:szCs w:val="21"/>
                      <w:highlight w:val="none"/>
                    </w:rPr>
                  </w:pPr>
                  <w:r>
                    <w:rPr>
                      <w:color w:val="auto"/>
                      <w:szCs w:val="21"/>
                      <w:highlight w:val="none"/>
                    </w:rPr>
                    <w:t>重点防渗区</w:t>
                  </w:r>
                </w:p>
              </w:tc>
              <w:tc>
                <w:tcPr>
                  <w:tcW w:w="4489" w:type="dxa"/>
                  <w:tcBorders>
                    <w:tl2br w:val="nil"/>
                    <w:tr2bl w:val="nil"/>
                  </w:tcBorders>
                  <w:vAlign w:val="center"/>
                </w:tcPr>
                <w:p w14:paraId="21F8BF20">
                  <w:pPr>
                    <w:keepNext w:val="0"/>
                    <w:keepLines w:val="0"/>
                    <w:pageBreakBefore w:val="0"/>
                    <w:widowControl/>
                    <w:kinsoku/>
                    <w:wordWrap/>
                    <w:overflowPunct w:val="0"/>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position w:val="0"/>
                      <w:sz w:val="21"/>
                      <w:szCs w:val="21"/>
                      <w:highlight w:val="none"/>
                      <w:vertAlign w:val="baseline"/>
                      <w:lang w:val="en-US" w:eastAsia="zh-CN"/>
                    </w:rPr>
                    <w:t>化学品仓库</w:t>
                  </w:r>
                  <w:r>
                    <w:rPr>
                      <w:rFonts w:hint="eastAsia" w:ascii="Times New Roman" w:hAnsi="Times New Roman" w:eastAsia="宋体" w:cs="Times New Roman"/>
                      <w:color w:val="auto"/>
                      <w:spacing w:val="0"/>
                      <w:highlight w:val="none"/>
                      <w:lang w:eastAsia="zh-CN"/>
                    </w:rPr>
                    <w:t>、</w:t>
                  </w:r>
                  <w:r>
                    <w:rPr>
                      <w:rFonts w:hint="eastAsia" w:cs="Times New Roman"/>
                      <w:color w:val="auto"/>
                      <w:spacing w:val="0"/>
                      <w:highlight w:val="none"/>
                      <w:lang w:val="en-US" w:eastAsia="zh-CN"/>
                    </w:rPr>
                    <w:t>面漆晾干房、底漆晾干房</w:t>
                  </w:r>
                  <w:r>
                    <w:rPr>
                      <w:rFonts w:hint="eastAsia" w:ascii="Times New Roman" w:hAnsi="Times New Roman" w:eastAsia="宋体" w:cs="Times New Roman"/>
                      <w:color w:val="auto"/>
                      <w:spacing w:val="0"/>
                      <w:highlight w:val="none"/>
                      <w:lang w:val="en-US" w:eastAsia="zh-CN"/>
                    </w:rPr>
                    <w:t>、</w:t>
                  </w:r>
                  <w:r>
                    <w:rPr>
                      <w:rFonts w:hint="eastAsia" w:cs="Times New Roman"/>
                      <w:color w:val="auto"/>
                      <w:spacing w:val="0"/>
                      <w:position w:val="0"/>
                      <w:sz w:val="21"/>
                      <w:szCs w:val="21"/>
                      <w:highlight w:val="none"/>
                      <w:vertAlign w:val="baseline"/>
                      <w:lang w:val="en-US" w:eastAsia="zh-CN"/>
                    </w:rPr>
                    <w:t>危废暂存</w:t>
                  </w:r>
                  <w:r>
                    <w:rPr>
                      <w:rFonts w:hint="eastAsia" w:ascii="Times New Roman" w:hAnsi="Times New Roman" w:eastAsia="宋体" w:cs="Times New Roman"/>
                      <w:color w:val="auto"/>
                      <w:spacing w:val="0"/>
                      <w:position w:val="0"/>
                      <w:sz w:val="21"/>
                      <w:szCs w:val="21"/>
                      <w:highlight w:val="none"/>
                      <w:vertAlign w:val="baseline"/>
                      <w:lang w:val="en-US" w:eastAsia="zh-CN"/>
                    </w:rPr>
                    <w:t>间、</w:t>
                  </w:r>
                  <w:r>
                    <w:rPr>
                      <w:rFonts w:hint="eastAsia" w:ascii="Times New Roman" w:hAnsi="Times New Roman" w:eastAsia="宋体" w:cs="Times New Roman"/>
                      <w:color w:val="auto"/>
                      <w:spacing w:val="0"/>
                      <w:kern w:val="0"/>
                      <w:sz w:val="21"/>
                      <w:szCs w:val="21"/>
                      <w:highlight w:val="none"/>
                      <w:lang w:val="en-US" w:eastAsia="zh-CN" w:bidi="ar"/>
                    </w:rPr>
                    <w:t>废水处理设施</w:t>
                  </w:r>
                  <w:r>
                    <w:rPr>
                      <w:rFonts w:hint="eastAsia"/>
                      <w:color w:val="auto"/>
                      <w:szCs w:val="21"/>
                      <w:highlight w:val="none"/>
                      <w:lang w:val="en-US" w:eastAsia="zh-CN"/>
                    </w:rPr>
                    <w:t>、车间涉及化学品区域</w:t>
                  </w:r>
                  <w:r>
                    <w:rPr>
                      <w:rFonts w:hint="eastAsia" w:eastAsia="宋体"/>
                      <w:color w:val="auto"/>
                      <w:kern w:val="0"/>
                      <w:sz w:val="21"/>
                      <w:szCs w:val="21"/>
                      <w:highlight w:val="none"/>
                      <w:lang w:eastAsia="zh-CN" w:bidi="ar"/>
                    </w:rPr>
                    <w:t>等效黏土防渗层Mb≥6.0m，K≤1</w:t>
                  </w:r>
                  <w:r>
                    <w:rPr>
                      <w:rFonts w:hint="default" w:ascii="Times New Roman" w:hAnsi="Times New Roman" w:eastAsia="宋体" w:cs="Times New Roman"/>
                      <w:color w:val="auto"/>
                      <w:kern w:val="0"/>
                      <w:sz w:val="21"/>
                      <w:szCs w:val="21"/>
                      <w:highlight w:val="none"/>
                      <w:lang w:eastAsia="zh-CN" w:bidi="ar"/>
                    </w:rPr>
                    <w:t>×</w:t>
                  </w:r>
                  <w:r>
                    <w:rPr>
                      <w:rFonts w:hint="eastAsia" w:eastAsia="宋体"/>
                      <w:color w:val="auto"/>
                      <w:kern w:val="0"/>
                      <w:sz w:val="21"/>
                      <w:szCs w:val="21"/>
                      <w:highlight w:val="none"/>
                      <w:lang w:eastAsia="zh-CN" w:bidi="ar"/>
                    </w:rPr>
                    <w:t>10</w:t>
                  </w:r>
                  <w:r>
                    <w:rPr>
                      <w:rFonts w:hint="eastAsia" w:eastAsia="宋体"/>
                      <w:color w:val="auto"/>
                      <w:kern w:val="0"/>
                      <w:sz w:val="21"/>
                      <w:szCs w:val="21"/>
                      <w:highlight w:val="none"/>
                      <w:vertAlign w:val="superscript"/>
                      <w:lang w:eastAsia="zh-CN" w:bidi="ar"/>
                    </w:rPr>
                    <w:t>-7</w:t>
                  </w:r>
                  <w:r>
                    <w:rPr>
                      <w:rFonts w:hint="eastAsia" w:eastAsia="宋体"/>
                      <w:color w:val="auto"/>
                      <w:kern w:val="0"/>
                      <w:sz w:val="21"/>
                      <w:szCs w:val="21"/>
                      <w:highlight w:val="none"/>
                      <w:lang w:eastAsia="zh-CN" w:bidi="ar"/>
                    </w:rPr>
                    <w:t>cm/s；</w:t>
                  </w:r>
                </w:p>
              </w:tc>
              <w:tc>
                <w:tcPr>
                  <w:tcW w:w="983" w:type="dxa"/>
                  <w:tcBorders>
                    <w:tl2br w:val="nil"/>
                    <w:tr2bl w:val="nil"/>
                  </w:tcBorders>
                  <w:vAlign w:val="center"/>
                </w:tcPr>
                <w:p w14:paraId="1D232F50">
                  <w:pPr>
                    <w:widowControl/>
                    <w:jc w:val="center"/>
                    <w:rPr>
                      <w:rFonts w:hint="eastAsia"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r w14:paraId="3311DB5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38790F3F">
                  <w:pPr>
                    <w:widowControl/>
                    <w:jc w:val="center"/>
                    <w:rPr>
                      <w:rFonts w:ascii="Times New Roman" w:hAnsi="Times New Roman" w:eastAsia="宋体" w:cs="Times New Roman"/>
                      <w:color w:val="auto"/>
                      <w:spacing w:val="0"/>
                      <w:kern w:val="0"/>
                      <w:position w:val="0"/>
                      <w:sz w:val="21"/>
                      <w:szCs w:val="21"/>
                      <w:highlight w:val="none"/>
                    </w:rPr>
                  </w:pPr>
                </w:p>
              </w:tc>
              <w:tc>
                <w:tcPr>
                  <w:tcW w:w="723" w:type="dxa"/>
                  <w:vMerge w:val="continue"/>
                  <w:tcBorders>
                    <w:tl2br w:val="nil"/>
                    <w:tr2bl w:val="nil"/>
                  </w:tcBorders>
                  <w:vAlign w:val="center"/>
                </w:tcPr>
                <w:p w14:paraId="5D21E7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pacing w:val="0"/>
                      <w:kern w:val="0"/>
                      <w:position w:val="0"/>
                      <w:sz w:val="21"/>
                      <w:szCs w:val="21"/>
                      <w:highlight w:val="none"/>
                    </w:rPr>
                  </w:pPr>
                </w:p>
              </w:tc>
              <w:tc>
                <w:tcPr>
                  <w:tcW w:w="1438" w:type="dxa"/>
                  <w:gridSpan w:val="2"/>
                  <w:tcBorders>
                    <w:tl2br w:val="nil"/>
                    <w:tr2bl w:val="nil"/>
                  </w:tcBorders>
                  <w:vAlign w:val="center"/>
                </w:tcPr>
                <w:p w14:paraId="26C69D3B">
                  <w:pPr>
                    <w:pStyle w:val="28"/>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Times New Roman" w:hAnsi="Times New Roman" w:eastAsia="宋体" w:cs="Times New Roman"/>
                      <w:color w:val="auto"/>
                      <w:spacing w:val="0"/>
                      <w:kern w:val="0"/>
                      <w:position w:val="0"/>
                      <w:sz w:val="21"/>
                      <w:szCs w:val="21"/>
                      <w:highlight w:val="none"/>
                    </w:rPr>
                  </w:pPr>
                  <w:r>
                    <w:rPr>
                      <w:color w:val="auto"/>
                      <w:szCs w:val="21"/>
                      <w:highlight w:val="none"/>
                    </w:rPr>
                    <w:t>一般防渗区</w:t>
                  </w:r>
                </w:p>
              </w:tc>
              <w:tc>
                <w:tcPr>
                  <w:tcW w:w="4489" w:type="dxa"/>
                  <w:tcBorders>
                    <w:tl2br w:val="nil"/>
                    <w:tr2bl w:val="nil"/>
                  </w:tcBorders>
                  <w:vAlign w:val="center"/>
                </w:tcPr>
                <w:p w14:paraId="580FDABA">
                  <w:pPr>
                    <w:keepNext w:val="0"/>
                    <w:keepLines w:val="0"/>
                    <w:pageBreakBefore w:val="0"/>
                    <w:widowControl/>
                    <w:kinsoku/>
                    <w:wordWrap/>
                    <w:overflowPunct w:val="0"/>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ar"/>
                    </w:rPr>
                  </w:pPr>
                  <w:r>
                    <w:rPr>
                      <w:rFonts w:hint="eastAsia"/>
                      <w:color w:val="auto"/>
                      <w:sz w:val="21"/>
                      <w:szCs w:val="21"/>
                      <w:highlight w:val="none"/>
                      <w:lang w:val="en-US" w:eastAsia="zh-CN"/>
                    </w:rPr>
                    <w:t>一般</w:t>
                  </w:r>
                  <w:r>
                    <w:rPr>
                      <w:color w:val="auto"/>
                      <w:sz w:val="21"/>
                      <w:szCs w:val="21"/>
                      <w:highlight w:val="none"/>
                    </w:rPr>
                    <w:t>生产车间、</w:t>
                  </w:r>
                  <w:r>
                    <w:rPr>
                      <w:rFonts w:hint="eastAsia"/>
                      <w:color w:val="auto"/>
                      <w:sz w:val="21"/>
                      <w:szCs w:val="21"/>
                      <w:highlight w:val="none"/>
                      <w:lang w:val="en-US" w:eastAsia="zh-CN"/>
                    </w:rPr>
                    <w:t>组装区、成品仓库、</w:t>
                  </w:r>
                  <w:r>
                    <w:rPr>
                      <w:color w:val="auto"/>
                      <w:sz w:val="21"/>
                      <w:szCs w:val="21"/>
                      <w:highlight w:val="none"/>
                    </w:rPr>
                    <w:t>成品</w:t>
                  </w:r>
                  <w:r>
                    <w:rPr>
                      <w:rFonts w:hint="eastAsia"/>
                      <w:color w:val="auto"/>
                      <w:sz w:val="21"/>
                      <w:szCs w:val="21"/>
                      <w:highlight w:val="none"/>
                    </w:rPr>
                    <w:t>区</w:t>
                  </w:r>
                  <w:r>
                    <w:rPr>
                      <w:color w:val="auto"/>
                      <w:sz w:val="21"/>
                      <w:szCs w:val="21"/>
                      <w:highlight w:val="none"/>
                    </w:rPr>
                    <w:t>、</w:t>
                  </w:r>
                  <w:r>
                    <w:rPr>
                      <w:rFonts w:hint="eastAsia" w:ascii="Times New Roman" w:hAnsi="Times New Roman" w:eastAsia="宋体"/>
                      <w:color w:val="auto"/>
                      <w:sz w:val="21"/>
                      <w:szCs w:val="21"/>
                      <w:highlight w:val="none"/>
                      <w:lang w:val="en-US" w:eastAsia="zh-CN"/>
                    </w:rPr>
                    <w:t>原料</w:t>
                  </w:r>
                  <w:r>
                    <w:rPr>
                      <w:rFonts w:hint="eastAsia"/>
                      <w:color w:val="auto"/>
                      <w:sz w:val="21"/>
                      <w:szCs w:val="21"/>
                      <w:highlight w:val="none"/>
                      <w:lang w:val="en-US" w:eastAsia="zh-CN"/>
                    </w:rPr>
                    <w:t>区、</w:t>
                  </w:r>
                  <w:r>
                    <w:rPr>
                      <w:rFonts w:hint="eastAsia"/>
                      <w:color w:val="auto"/>
                      <w:sz w:val="21"/>
                      <w:szCs w:val="21"/>
                      <w:highlight w:val="none"/>
                    </w:rPr>
                    <w:t>一般</w:t>
                  </w:r>
                  <w:r>
                    <w:rPr>
                      <w:color w:val="auto"/>
                      <w:sz w:val="21"/>
                      <w:szCs w:val="21"/>
                      <w:highlight w:val="none"/>
                    </w:rPr>
                    <w:t>固废间</w:t>
                  </w:r>
                  <w:r>
                    <w:rPr>
                      <w:rFonts w:hint="eastAsia"/>
                      <w:color w:val="auto"/>
                      <w:sz w:val="21"/>
                      <w:szCs w:val="21"/>
                      <w:highlight w:val="none"/>
                    </w:rPr>
                    <w:t>、</w:t>
                  </w:r>
                  <w:r>
                    <w:rPr>
                      <w:color w:val="auto"/>
                      <w:sz w:val="21"/>
                      <w:szCs w:val="21"/>
                      <w:highlight w:val="none"/>
                    </w:rPr>
                    <w:t>化粪池</w:t>
                  </w:r>
                  <w:r>
                    <w:rPr>
                      <w:rFonts w:hint="eastAsia"/>
                      <w:color w:val="auto"/>
                      <w:kern w:val="0"/>
                      <w:sz w:val="21"/>
                      <w:szCs w:val="21"/>
                      <w:highlight w:val="none"/>
                      <w:lang w:bidi="ar"/>
                    </w:rPr>
                    <w:t>及配套管网</w:t>
                  </w:r>
                  <w:r>
                    <w:rPr>
                      <w:rFonts w:hint="eastAsia"/>
                      <w:color w:val="auto"/>
                      <w:kern w:val="0"/>
                      <w:sz w:val="21"/>
                      <w:szCs w:val="21"/>
                      <w:highlight w:val="none"/>
                      <w:lang w:eastAsia="zh-CN" w:bidi="ar"/>
                    </w:rPr>
                    <w:t>等效黏土防渗层Mb≥1.5m，K≤1</w:t>
                  </w:r>
                  <w:r>
                    <w:rPr>
                      <w:rFonts w:hint="default" w:ascii="Times New Roman" w:hAnsi="Times New Roman" w:cs="Times New Roman"/>
                      <w:color w:val="auto"/>
                      <w:kern w:val="0"/>
                      <w:sz w:val="21"/>
                      <w:szCs w:val="21"/>
                      <w:highlight w:val="none"/>
                      <w:lang w:eastAsia="zh-CN" w:bidi="ar"/>
                    </w:rPr>
                    <w:t>×</w:t>
                  </w:r>
                  <w:r>
                    <w:rPr>
                      <w:rFonts w:hint="eastAsia"/>
                      <w:color w:val="auto"/>
                      <w:kern w:val="0"/>
                      <w:sz w:val="21"/>
                      <w:szCs w:val="21"/>
                      <w:highlight w:val="none"/>
                      <w:lang w:eastAsia="zh-CN" w:bidi="ar"/>
                    </w:rPr>
                    <w:t>10</w:t>
                  </w:r>
                  <w:r>
                    <w:rPr>
                      <w:rFonts w:hint="eastAsia"/>
                      <w:color w:val="auto"/>
                      <w:kern w:val="0"/>
                      <w:sz w:val="21"/>
                      <w:szCs w:val="21"/>
                      <w:highlight w:val="none"/>
                      <w:vertAlign w:val="superscript"/>
                      <w:lang w:eastAsia="zh-CN" w:bidi="ar"/>
                    </w:rPr>
                    <w:t>-7</w:t>
                  </w:r>
                  <w:r>
                    <w:rPr>
                      <w:rFonts w:hint="eastAsia"/>
                      <w:color w:val="auto"/>
                      <w:kern w:val="0"/>
                      <w:sz w:val="21"/>
                      <w:szCs w:val="21"/>
                      <w:highlight w:val="none"/>
                      <w:lang w:eastAsia="zh-CN" w:bidi="ar"/>
                    </w:rPr>
                    <w:t>cm/s</w:t>
                  </w:r>
                </w:p>
              </w:tc>
              <w:tc>
                <w:tcPr>
                  <w:tcW w:w="983" w:type="dxa"/>
                  <w:tcBorders>
                    <w:tl2br w:val="nil"/>
                    <w:tr2bl w:val="nil"/>
                  </w:tcBorders>
                  <w:vAlign w:val="center"/>
                </w:tcPr>
                <w:p w14:paraId="607D9073">
                  <w:pPr>
                    <w:widowControl/>
                    <w:jc w:val="center"/>
                    <w:rPr>
                      <w:rFonts w:hint="eastAsia"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r w14:paraId="2A6E894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1BC1BD0F">
                  <w:pPr>
                    <w:widowControl/>
                    <w:jc w:val="center"/>
                    <w:rPr>
                      <w:rFonts w:ascii="Times New Roman" w:hAnsi="Times New Roman" w:eastAsia="宋体" w:cs="Times New Roman"/>
                      <w:color w:val="auto"/>
                      <w:spacing w:val="0"/>
                      <w:kern w:val="0"/>
                      <w:position w:val="0"/>
                      <w:sz w:val="21"/>
                      <w:szCs w:val="21"/>
                      <w:highlight w:val="none"/>
                    </w:rPr>
                  </w:pPr>
                </w:p>
              </w:tc>
              <w:tc>
                <w:tcPr>
                  <w:tcW w:w="723" w:type="dxa"/>
                  <w:vMerge w:val="continue"/>
                  <w:tcBorders>
                    <w:tl2br w:val="nil"/>
                    <w:tr2bl w:val="nil"/>
                  </w:tcBorders>
                  <w:vAlign w:val="center"/>
                </w:tcPr>
                <w:p w14:paraId="6447D6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olor w:val="auto"/>
                      <w:spacing w:val="0"/>
                      <w:kern w:val="0"/>
                      <w:position w:val="0"/>
                      <w:sz w:val="21"/>
                      <w:szCs w:val="21"/>
                      <w:highlight w:val="none"/>
                    </w:rPr>
                  </w:pPr>
                </w:p>
              </w:tc>
              <w:tc>
                <w:tcPr>
                  <w:tcW w:w="1438" w:type="dxa"/>
                  <w:gridSpan w:val="2"/>
                  <w:tcBorders>
                    <w:tl2br w:val="nil"/>
                    <w:tr2bl w:val="nil"/>
                  </w:tcBorders>
                  <w:vAlign w:val="center"/>
                </w:tcPr>
                <w:p w14:paraId="1C1277A3">
                  <w:pPr>
                    <w:pStyle w:val="28"/>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color w:val="auto"/>
                      <w:szCs w:val="21"/>
                      <w:highlight w:val="none"/>
                    </w:rPr>
                  </w:pPr>
                  <w:r>
                    <w:rPr>
                      <w:color w:val="auto"/>
                      <w:szCs w:val="21"/>
                      <w:highlight w:val="none"/>
                    </w:rPr>
                    <w:t>非污染</w:t>
                  </w:r>
                </w:p>
                <w:p w14:paraId="25F8B02F">
                  <w:pPr>
                    <w:pStyle w:val="28"/>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pacing w:val="0"/>
                      <w:kern w:val="0"/>
                      <w:position w:val="0"/>
                      <w:sz w:val="21"/>
                      <w:szCs w:val="21"/>
                      <w:highlight w:val="none"/>
                    </w:rPr>
                  </w:pPr>
                  <w:r>
                    <w:rPr>
                      <w:color w:val="auto"/>
                      <w:szCs w:val="21"/>
                      <w:highlight w:val="none"/>
                    </w:rPr>
                    <w:t>防治区</w:t>
                  </w:r>
                </w:p>
              </w:tc>
              <w:tc>
                <w:tcPr>
                  <w:tcW w:w="4489" w:type="dxa"/>
                  <w:tcBorders>
                    <w:tl2br w:val="nil"/>
                    <w:tr2bl w:val="nil"/>
                  </w:tcBorders>
                  <w:vAlign w:val="center"/>
                </w:tcPr>
                <w:p w14:paraId="41E78408">
                  <w:pPr>
                    <w:keepNext w:val="0"/>
                    <w:keepLines w:val="0"/>
                    <w:pageBreakBefore w:val="0"/>
                    <w:widowControl/>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ar"/>
                    </w:rPr>
                  </w:pPr>
                  <w:r>
                    <w:rPr>
                      <w:color w:val="auto"/>
                      <w:sz w:val="21"/>
                      <w:szCs w:val="21"/>
                      <w:highlight w:val="none"/>
                    </w:rPr>
                    <w:t>办公</w:t>
                  </w:r>
                  <w:r>
                    <w:rPr>
                      <w:rFonts w:hint="eastAsia"/>
                      <w:color w:val="auto"/>
                      <w:sz w:val="21"/>
                      <w:szCs w:val="21"/>
                      <w:highlight w:val="none"/>
                      <w:lang w:val="en-US" w:eastAsia="zh-CN"/>
                    </w:rPr>
                    <w:t>区</w:t>
                  </w:r>
                  <w:r>
                    <w:rPr>
                      <w:color w:val="auto"/>
                      <w:sz w:val="21"/>
                      <w:szCs w:val="21"/>
                      <w:highlight w:val="none"/>
                    </w:rPr>
                    <w:t>、厂房道路</w:t>
                  </w:r>
                  <w:r>
                    <w:rPr>
                      <w:rFonts w:hint="eastAsia"/>
                      <w:color w:val="auto"/>
                      <w:sz w:val="21"/>
                      <w:szCs w:val="21"/>
                      <w:highlight w:val="none"/>
                      <w:lang w:eastAsia="zh-CN"/>
                    </w:rPr>
                    <w:t>一般地面硬化</w:t>
                  </w:r>
                </w:p>
              </w:tc>
              <w:tc>
                <w:tcPr>
                  <w:tcW w:w="983" w:type="dxa"/>
                  <w:tcBorders>
                    <w:tl2br w:val="nil"/>
                    <w:tr2bl w:val="nil"/>
                  </w:tcBorders>
                  <w:vAlign w:val="center"/>
                </w:tcPr>
                <w:p w14:paraId="4BF4F75D">
                  <w:pPr>
                    <w:widowControl/>
                    <w:jc w:val="center"/>
                    <w:rPr>
                      <w:rFonts w:hint="eastAsia"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r w14:paraId="03760C4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15E8510F">
                  <w:pPr>
                    <w:widowControl/>
                    <w:jc w:val="center"/>
                    <w:rPr>
                      <w:rFonts w:ascii="Times New Roman" w:hAnsi="Times New Roman" w:eastAsia="宋体" w:cs="Times New Roman"/>
                      <w:color w:val="auto"/>
                      <w:spacing w:val="0"/>
                      <w:kern w:val="0"/>
                      <w:position w:val="0"/>
                      <w:sz w:val="21"/>
                      <w:szCs w:val="21"/>
                      <w:highlight w:val="none"/>
                    </w:rPr>
                  </w:pPr>
                </w:p>
              </w:tc>
              <w:tc>
                <w:tcPr>
                  <w:tcW w:w="2161" w:type="dxa"/>
                  <w:gridSpan w:val="3"/>
                  <w:tcBorders>
                    <w:tl2br w:val="nil"/>
                    <w:tr2bl w:val="nil"/>
                  </w:tcBorders>
                  <w:vAlign w:val="center"/>
                </w:tcPr>
                <w:p w14:paraId="6F99666D">
                  <w:pPr>
                    <w:pStyle w:val="28"/>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color w:val="auto"/>
                      <w:szCs w:val="21"/>
                      <w:highlight w:val="none"/>
                    </w:rPr>
                  </w:pPr>
                  <w:r>
                    <w:rPr>
                      <w:rFonts w:hint="eastAsia"/>
                      <w:color w:val="auto"/>
                      <w:highlight w:val="none"/>
                    </w:rPr>
                    <w:t>风险防范系统</w:t>
                  </w:r>
                </w:p>
              </w:tc>
              <w:tc>
                <w:tcPr>
                  <w:tcW w:w="4489" w:type="dxa"/>
                  <w:tcBorders>
                    <w:tl2br w:val="nil"/>
                    <w:tr2bl w:val="nil"/>
                  </w:tcBorders>
                  <w:vAlign w:val="center"/>
                </w:tcPr>
                <w:p w14:paraId="272F0FE7">
                  <w:pPr>
                    <w:keepNext w:val="0"/>
                    <w:keepLines w:val="0"/>
                    <w:pageBreakBefore w:val="0"/>
                    <w:widowControl/>
                    <w:kinsoku/>
                    <w:wordWrap/>
                    <w:overflowPunct w:val="0"/>
                    <w:topLinePunct w:val="0"/>
                    <w:autoSpaceDE/>
                    <w:autoSpaceDN/>
                    <w:bidi w:val="0"/>
                    <w:adjustRightInd w:val="0"/>
                    <w:snapToGrid w:val="0"/>
                    <w:spacing w:line="240" w:lineRule="auto"/>
                    <w:ind w:left="0" w:leftChars="0" w:firstLine="0" w:firstLineChars="0"/>
                    <w:jc w:val="both"/>
                    <w:textAlignment w:val="auto"/>
                    <w:rPr>
                      <w:color w:val="auto"/>
                      <w:sz w:val="21"/>
                      <w:szCs w:val="21"/>
                      <w:highlight w:val="none"/>
                    </w:rPr>
                  </w:pPr>
                  <w:r>
                    <w:rPr>
                      <w:rFonts w:hint="eastAsia"/>
                      <w:color w:val="auto"/>
                      <w:sz w:val="21"/>
                      <w:szCs w:val="21"/>
                      <w:highlight w:val="none"/>
                    </w:rPr>
                    <w:t>厂房配套消防桶、消防栓及灭火器等应急设备</w:t>
                  </w:r>
                  <w:r>
                    <w:rPr>
                      <w:rFonts w:hint="eastAsia"/>
                      <w:color w:val="auto"/>
                      <w:sz w:val="21"/>
                      <w:szCs w:val="21"/>
                      <w:highlight w:val="none"/>
                      <w:lang w:val="en-US" w:eastAsia="zh-CN"/>
                    </w:rPr>
                    <w:t>，</w:t>
                  </w:r>
                  <w:r>
                    <w:rPr>
                      <w:rFonts w:ascii="Times New Roman" w:hAnsi="Times New Roman" w:eastAsia="宋体" w:cs="Times New Roman"/>
                      <w:color w:val="auto"/>
                      <w:spacing w:val="0"/>
                      <w:position w:val="0"/>
                      <w:sz w:val="21"/>
                      <w:szCs w:val="21"/>
                      <w:highlight w:val="none"/>
                    </w:rPr>
                    <w:t>配备</w:t>
                  </w:r>
                  <w:r>
                    <w:rPr>
                      <w:rFonts w:hint="eastAsia" w:cs="Times New Roman"/>
                      <w:color w:val="auto"/>
                      <w:spacing w:val="0"/>
                      <w:position w:val="0"/>
                      <w:sz w:val="21"/>
                      <w:szCs w:val="21"/>
                      <w:highlight w:val="none"/>
                      <w:lang w:val="en-US" w:eastAsia="zh-CN"/>
                    </w:rPr>
                    <w:t>有</w:t>
                  </w:r>
                  <w:r>
                    <w:rPr>
                      <w:rFonts w:ascii="Times New Roman" w:hAnsi="Times New Roman" w:eastAsia="宋体" w:cs="Times New Roman"/>
                      <w:color w:val="auto"/>
                      <w:spacing w:val="0"/>
                      <w:position w:val="0"/>
                      <w:sz w:val="21"/>
                      <w:szCs w:val="21"/>
                      <w:highlight w:val="none"/>
                    </w:rPr>
                    <w:t>应急救援人员</w:t>
                  </w:r>
                  <w:r>
                    <w:rPr>
                      <w:rFonts w:hint="eastAsia" w:cs="Times New Roman"/>
                      <w:color w:val="auto"/>
                      <w:spacing w:val="0"/>
                      <w:position w:val="0"/>
                      <w:sz w:val="21"/>
                      <w:szCs w:val="21"/>
                      <w:highlight w:val="none"/>
                      <w:lang w:eastAsia="zh-CN"/>
                    </w:rPr>
                    <w:t>，</w:t>
                  </w:r>
                  <w:r>
                    <w:rPr>
                      <w:rFonts w:hint="eastAsia" w:cs="Times New Roman"/>
                      <w:color w:val="auto"/>
                      <w:spacing w:val="0"/>
                      <w:position w:val="0"/>
                      <w:sz w:val="21"/>
                      <w:szCs w:val="21"/>
                      <w:highlight w:val="none"/>
                      <w:lang w:val="en-US" w:eastAsia="zh-CN"/>
                    </w:rPr>
                    <w:t>生产车间、危废暂存间、化学品仓库</w:t>
                  </w:r>
                  <w:r>
                    <w:rPr>
                      <w:rFonts w:hint="eastAsia" w:ascii="Times New Roman" w:hAnsi="Times New Roman" w:eastAsia="宋体" w:cs="Times New Roman"/>
                      <w:color w:val="auto"/>
                      <w:sz w:val="21"/>
                      <w:szCs w:val="21"/>
                      <w:highlight w:val="none"/>
                    </w:rPr>
                    <w:t>地面均已做防渗硬化处理</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设置围堰、备置</w:t>
                  </w:r>
                  <w:r>
                    <w:rPr>
                      <w:rFonts w:hint="eastAsia" w:ascii="Times New Roman" w:hAnsi="Times New Roman" w:eastAsia="宋体" w:cs="Times New Roman"/>
                      <w:color w:val="auto"/>
                      <w:sz w:val="21"/>
                      <w:szCs w:val="21"/>
                      <w:highlight w:val="none"/>
                    </w:rPr>
                    <w:t>应急堵漏物资</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应急砂袋、吸油毡、收集桶、移动式抽水泵、防渗软管等</w:t>
                  </w:r>
                  <w:r>
                    <w:rPr>
                      <w:rFonts w:hint="eastAsia" w:cs="Times New Roman"/>
                      <w:color w:val="auto"/>
                      <w:sz w:val="21"/>
                      <w:szCs w:val="21"/>
                      <w:highlight w:val="none"/>
                      <w:lang w:eastAsia="zh-CN"/>
                    </w:rPr>
                    <w:t>）、</w:t>
                  </w:r>
                  <w:r>
                    <w:rPr>
                      <w:rFonts w:hAnsi="宋体" w:eastAsia="宋体"/>
                      <w:color w:val="auto"/>
                      <w:sz w:val="21"/>
                      <w:szCs w:val="21"/>
                      <w:highlight w:val="none"/>
                    </w:rPr>
                    <w:t>设置泄漏液体收集装置</w:t>
                  </w:r>
                  <w:r>
                    <w:rPr>
                      <w:rFonts w:hint="eastAsia" w:hAnsi="宋体"/>
                      <w:color w:val="auto"/>
                      <w:sz w:val="21"/>
                      <w:szCs w:val="21"/>
                      <w:highlight w:val="none"/>
                      <w:lang w:eastAsia="zh-CN"/>
                    </w:rPr>
                    <w:t>，</w:t>
                  </w:r>
                  <w:r>
                    <w:rPr>
                      <w:rFonts w:hint="eastAsia" w:cs="Times New Roman"/>
                      <w:color w:val="auto"/>
                      <w:spacing w:val="0"/>
                      <w:position w:val="0"/>
                      <w:sz w:val="21"/>
                      <w:szCs w:val="21"/>
                      <w:highlight w:val="none"/>
                      <w:lang w:val="en-US" w:eastAsia="zh-CN"/>
                    </w:rPr>
                    <w:t>发生泄漏事故时，立即停止生产，切断车间电源，第一时间对泄漏物料、消防废水进行围挡拦截，控制污染废水在封闭厂房内部，防止废水无序漫流。</w:t>
                  </w:r>
                </w:p>
              </w:tc>
              <w:tc>
                <w:tcPr>
                  <w:tcW w:w="983" w:type="dxa"/>
                  <w:tcBorders>
                    <w:tl2br w:val="nil"/>
                    <w:tr2bl w:val="nil"/>
                  </w:tcBorders>
                  <w:vAlign w:val="center"/>
                </w:tcPr>
                <w:p w14:paraId="2059AF59">
                  <w:pPr>
                    <w:widowControl/>
                    <w:jc w:val="center"/>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r w14:paraId="653D0DF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restart"/>
                  <w:tcBorders>
                    <w:tl2br w:val="nil"/>
                    <w:tr2bl w:val="nil"/>
                  </w:tcBorders>
                  <w:vAlign w:val="center"/>
                </w:tcPr>
                <w:p w14:paraId="5AD28BE4">
                  <w:pPr>
                    <w:widowControl/>
                    <w:jc w:val="center"/>
                    <w:rPr>
                      <w:rFonts w:ascii="Times New Roman" w:hAnsi="Times New Roman" w:eastAsia="宋体" w:cs="Times New Roman"/>
                      <w:color w:val="auto"/>
                      <w:spacing w:val="0"/>
                      <w:kern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rPr>
                    <w:t>公用工程</w:t>
                  </w:r>
                </w:p>
              </w:tc>
              <w:tc>
                <w:tcPr>
                  <w:tcW w:w="2161" w:type="dxa"/>
                  <w:gridSpan w:val="3"/>
                  <w:tcBorders>
                    <w:tl2br w:val="nil"/>
                    <w:tr2bl w:val="nil"/>
                  </w:tcBorders>
                  <w:vAlign w:val="center"/>
                </w:tcPr>
                <w:p w14:paraId="00A514EA">
                  <w:pPr>
                    <w:widowControl/>
                    <w:jc w:val="center"/>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rPr>
                    <w:t>供电系统</w:t>
                  </w:r>
                </w:p>
              </w:tc>
              <w:tc>
                <w:tcPr>
                  <w:tcW w:w="4489" w:type="dxa"/>
                  <w:tcBorders>
                    <w:tl2br w:val="nil"/>
                    <w:tr2bl w:val="nil"/>
                  </w:tcBorders>
                  <w:vAlign w:val="center"/>
                </w:tcPr>
                <w:p w14:paraId="0657019B">
                  <w:pPr>
                    <w:widowControl/>
                    <w:jc w:val="center"/>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rPr>
                    <w:t>由市政供电管网统一供给</w:t>
                  </w:r>
                </w:p>
              </w:tc>
              <w:tc>
                <w:tcPr>
                  <w:tcW w:w="983" w:type="dxa"/>
                  <w:tcBorders>
                    <w:tl2br w:val="nil"/>
                    <w:tr2bl w:val="nil"/>
                  </w:tcBorders>
                  <w:vAlign w:val="center"/>
                </w:tcPr>
                <w:p w14:paraId="13407B15">
                  <w:pPr>
                    <w:widowControl/>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position w:val="0"/>
                      <w:sz w:val="21"/>
                      <w:szCs w:val="21"/>
                      <w:highlight w:val="none"/>
                      <w:lang w:val="en-US" w:eastAsia="zh-CN"/>
                    </w:rPr>
                    <w:t>/</w:t>
                  </w:r>
                </w:p>
              </w:tc>
            </w:tr>
            <w:tr w14:paraId="471AC52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63145984">
                  <w:pPr>
                    <w:widowControl/>
                    <w:jc w:val="center"/>
                    <w:rPr>
                      <w:rFonts w:ascii="Times New Roman" w:hAnsi="Times New Roman" w:eastAsia="宋体" w:cs="Times New Roman"/>
                      <w:color w:val="auto"/>
                      <w:spacing w:val="0"/>
                      <w:kern w:val="0"/>
                      <w:position w:val="0"/>
                      <w:sz w:val="21"/>
                      <w:szCs w:val="21"/>
                      <w:highlight w:val="none"/>
                    </w:rPr>
                  </w:pPr>
                </w:p>
              </w:tc>
              <w:tc>
                <w:tcPr>
                  <w:tcW w:w="2161" w:type="dxa"/>
                  <w:gridSpan w:val="3"/>
                  <w:tcBorders>
                    <w:tl2br w:val="nil"/>
                    <w:tr2bl w:val="nil"/>
                  </w:tcBorders>
                  <w:vAlign w:val="center"/>
                </w:tcPr>
                <w:p w14:paraId="32DE6B7D">
                  <w:pPr>
                    <w:widowControl/>
                    <w:jc w:val="center"/>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rPr>
                    <w:t>给水系统</w:t>
                  </w:r>
                </w:p>
              </w:tc>
              <w:tc>
                <w:tcPr>
                  <w:tcW w:w="4489" w:type="dxa"/>
                  <w:tcBorders>
                    <w:tl2br w:val="nil"/>
                    <w:tr2bl w:val="nil"/>
                  </w:tcBorders>
                  <w:vAlign w:val="center"/>
                </w:tcPr>
                <w:p w14:paraId="34B82C3B">
                  <w:pPr>
                    <w:widowControl/>
                    <w:jc w:val="center"/>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rPr>
                    <w:t>由市政自来水管网统一供给</w:t>
                  </w:r>
                </w:p>
              </w:tc>
              <w:tc>
                <w:tcPr>
                  <w:tcW w:w="983" w:type="dxa"/>
                  <w:tcBorders>
                    <w:tl2br w:val="nil"/>
                    <w:tr2bl w:val="nil"/>
                  </w:tcBorders>
                  <w:vAlign w:val="center"/>
                </w:tcPr>
                <w:p w14:paraId="29097E14">
                  <w:pPr>
                    <w:widowControl/>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position w:val="0"/>
                      <w:sz w:val="21"/>
                      <w:szCs w:val="21"/>
                      <w:highlight w:val="none"/>
                      <w:lang w:val="en-US" w:eastAsia="zh-CN"/>
                    </w:rPr>
                    <w:t>/</w:t>
                  </w:r>
                </w:p>
              </w:tc>
            </w:tr>
            <w:tr w14:paraId="24D36D4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7C3752C5">
                  <w:pPr>
                    <w:widowControl/>
                    <w:jc w:val="center"/>
                    <w:rPr>
                      <w:rFonts w:ascii="Times New Roman" w:hAnsi="Times New Roman" w:eastAsia="宋体" w:cs="Times New Roman"/>
                      <w:color w:val="auto"/>
                      <w:spacing w:val="0"/>
                      <w:kern w:val="0"/>
                      <w:position w:val="0"/>
                      <w:sz w:val="21"/>
                      <w:szCs w:val="21"/>
                      <w:highlight w:val="none"/>
                    </w:rPr>
                  </w:pPr>
                </w:p>
              </w:tc>
              <w:tc>
                <w:tcPr>
                  <w:tcW w:w="2161" w:type="dxa"/>
                  <w:gridSpan w:val="3"/>
                  <w:tcBorders>
                    <w:tl2br w:val="nil"/>
                    <w:tr2bl w:val="nil"/>
                  </w:tcBorders>
                  <w:vAlign w:val="center"/>
                </w:tcPr>
                <w:p w14:paraId="174EF3B5">
                  <w:pPr>
                    <w:widowControl/>
                    <w:jc w:val="center"/>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rPr>
                    <w:t>排水系统</w:t>
                  </w:r>
                </w:p>
              </w:tc>
              <w:tc>
                <w:tcPr>
                  <w:tcW w:w="4489" w:type="dxa"/>
                  <w:tcBorders>
                    <w:tl2br w:val="nil"/>
                    <w:tr2bl w:val="nil"/>
                  </w:tcBorders>
                  <w:vAlign w:val="center"/>
                </w:tcPr>
                <w:p w14:paraId="70DDE445">
                  <w:pPr>
                    <w:widowControl/>
                    <w:jc w:val="center"/>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rPr>
                    <w:t>雨污分流</w:t>
                  </w:r>
                </w:p>
              </w:tc>
              <w:tc>
                <w:tcPr>
                  <w:tcW w:w="983" w:type="dxa"/>
                  <w:tcBorders>
                    <w:tl2br w:val="nil"/>
                    <w:tr2bl w:val="nil"/>
                  </w:tcBorders>
                  <w:vAlign w:val="center"/>
                </w:tcPr>
                <w:p w14:paraId="0DA3EF17">
                  <w:pPr>
                    <w:widowControl/>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position w:val="0"/>
                      <w:sz w:val="21"/>
                      <w:szCs w:val="21"/>
                      <w:highlight w:val="none"/>
                      <w:lang w:val="en-US" w:eastAsia="zh-CN"/>
                    </w:rPr>
                    <w:t>/</w:t>
                  </w:r>
                </w:p>
              </w:tc>
            </w:tr>
            <w:tr w14:paraId="5FF9AF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132633A8">
                  <w:pPr>
                    <w:widowControl/>
                    <w:jc w:val="center"/>
                    <w:rPr>
                      <w:rFonts w:ascii="Times New Roman" w:hAnsi="Times New Roman" w:eastAsia="宋体" w:cs="Times New Roman"/>
                      <w:color w:val="auto"/>
                      <w:spacing w:val="0"/>
                      <w:kern w:val="0"/>
                      <w:position w:val="0"/>
                      <w:sz w:val="21"/>
                      <w:szCs w:val="21"/>
                      <w:highlight w:val="none"/>
                    </w:rPr>
                  </w:pPr>
                </w:p>
              </w:tc>
              <w:tc>
                <w:tcPr>
                  <w:tcW w:w="2161" w:type="dxa"/>
                  <w:gridSpan w:val="3"/>
                  <w:tcBorders>
                    <w:tl2br w:val="nil"/>
                    <w:tr2bl w:val="nil"/>
                  </w:tcBorders>
                  <w:vAlign w:val="center"/>
                </w:tcPr>
                <w:p w14:paraId="7E8AA31F">
                  <w:pPr>
                    <w:widowControl/>
                    <w:jc w:val="center"/>
                    <w:rPr>
                      <w:rFonts w:hint="eastAsia" w:ascii="Times New Roman" w:hAnsi="Times New Roman" w:eastAsia="宋体" w:cs="Times New Roman"/>
                      <w:color w:val="auto"/>
                      <w:spacing w:val="0"/>
                      <w:kern w:val="0"/>
                      <w:position w:val="0"/>
                      <w:sz w:val="21"/>
                      <w:szCs w:val="21"/>
                      <w:highlight w:val="none"/>
                      <w:lang w:val="en-US" w:eastAsia="zh-CN"/>
                    </w:rPr>
                  </w:pPr>
                  <w:r>
                    <w:rPr>
                      <w:rFonts w:hint="eastAsia" w:cs="Times New Roman"/>
                      <w:color w:val="auto"/>
                      <w:spacing w:val="0"/>
                      <w:kern w:val="0"/>
                      <w:position w:val="0"/>
                      <w:sz w:val="21"/>
                      <w:szCs w:val="21"/>
                      <w:highlight w:val="none"/>
                      <w:lang w:val="en-US" w:eastAsia="zh-CN"/>
                    </w:rPr>
                    <w:t>供气</w:t>
                  </w:r>
                </w:p>
              </w:tc>
              <w:tc>
                <w:tcPr>
                  <w:tcW w:w="4489" w:type="dxa"/>
                  <w:tcBorders>
                    <w:tl2br w:val="nil"/>
                    <w:tr2bl w:val="nil"/>
                  </w:tcBorders>
                  <w:vAlign w:val="center"/>
                </w:tcPr>
                <w:p w14:paraId="3EE835A8">
                  <w:pPr>
                    <w:widowControl/>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eastAsia" w:cs="Times New Roman"/>
                      <w:color w:val="auto"/>
                      <w:spacing w:val="0"/>
                      <w:kern w:val="0"/>
                      <w:position w:val="0"/>
                      <w:sz w:val="21"/>
                      <w:szCs w:val="21"/>
                      <w:highlight w:val="none"/>
                      <w:lang w:val="en-US" w:eastAsia="zh-CN"/>
                    </w:rPr>
                    <w:t>空压机位于租赁厂房东南侧</w:t>
                  </w:r>
                </w:p>
              </w:tc>
              <w:tc>
                <w:tcPr>
                  <w:tcW w:w="983" w:type="dxa"/>
                  <w:tcBorders>
                    <w:tl2br w:val="nil"/>
                    <w:tr2bl w:val="nil"/>
                  </w:tcBorders>
                  <w:vAlign w:val="center"/>
                </w:tcPr>
                <w:p w14:paraId="7F720A9D">
                  <w:pPr>
                    <w:widowControl/>
                    <w:jc w:val="center"/>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position w:val="0"/>
                      <w:sz w:val="21"/>
                      <w:szCs w:val="21"/>
                      <w:highlight w:val="none"/>
                      <w:lang w:val="en-US" w:eastAsia="zh-CN"/>
                    </w:rPr>
                    <w:t>/</w:t>
                  </w:r>
                </w:p>
              </w:tc>
            </w:tr>
          </w:tbl>
          <w:p w14:paraId="5FC433F0">
            <w:pPr>
              <w:autoSpaceDE w:val="0"/>
              <w:autoSpaceDN w:val="0"/>
              <w:adjustRightInd w:val="0"/>
              <w:snapToGrid w:val="0"/>
              <w:spacing w:before="120" w:beforeLines="50" w:line="360" w:lineRule="auto"/>
              <w:jc w:val="left"/>
              <w:rPr>
                <w:rFonts w:hint="eastAsia" w:ascii="Times New Roman" w:hAnsi="Times New Roman" w:eastAsia="宋体" w:cs="Times New Roman"/>
                <w:b/>
                <w:bCs/>
                <w:color w:val="auto"/>
                <w:spacing w:val="0"/>
                <w:kern w:val="0"/>
                <w:position w:val="0"/>
                <w:sz w:val="24"/>
                <w:highlight w:val="none"/>
              </w:rPr>
            </w:pPr>
            <w:r>
              <w:rPr>
                <w:rFonts w:hint="eastAsia" w:ascii="Times New Roman" w:hAnsi="Times New Roman" w:eastAsia="宋体" w:cs="Times New Roman"/>
                <w:b/>
                <w:bCs/>
                <w:color w:val="auto"/>
                <w:spacing w:val="0"/>
                <w:kern w:val="0"/>
                <w:position w:val="0"/>
                <w:sz w:val="24"/>
                <w:highlight w:val="none"/>
              </w:rPr>
              <w:t>2.4 主要产品和产能</w:t>
            </w:r>
          </w:p>
          <w:p w14:paraId="677F116C">
            <w:pPr>
              <w:widowControl/>
              <w:snapToGrid w:val="0"/>
              <w:spacing w:line="360" w:lineRule="auto"/>
              <w:ind w:firstLine="480" w:firstLineChars="200"/>
              <w:rPr>
                <w:rFonts w:hint="eastAsia" w:ascii="Times New Roman" w:hAnsi="Times New Roman" w:eastAsia="宋体" w:cs="Times New Roman"/>
                <w:b/>
                <w:color w:val="auto"/>
                <w:spacing w:val="0"/>
                <w:position w:val="0"/>
                <w:sz w:val="24"/>
                <w:highlight w:val="none"/>
              </w:rPr>
            </w:pPr>
            <w:r>
              <w:rPr>
                <w:rFonts w:ascii="Times New Roman" w:hAnsi="Times New Roman" w:eastAsia="宋体" w:cs="Times New Roman"/>
                <w:color w:val="auto"/>
                <w:spacing w:val="0"/>
                <w:position w:val="0"/>
                <w:sz w:val="24"/>
                <w:highlight w:val="none"/>
              </w:rPr>
              <w:t>项目</w:t>
            </w:r>
            <w:r>
              <w:rPr>
                <w:rFonts w:hint="eastAsia" w:cs="Times New Roman"/>
                <w:color w:val="auto"/>
                <w:spacing w:val="0"/>
                <w:position w:val="0"/>
                <w:sz w:val="24"/>
                <w:szCs w:val="32"/>
                <w:highlight w:val="none"/>
                <w:lang w:val="en-US" w:eastAsia="zh-CN"/>
              </w:rPr>
              <w:t>迁建前与迁建后</w:t>
            </w:r>
            <w:r>
              <w:rPr>
                <w:rFonts w:ascii="Times New Roman" w:hAnsi="Times New Roman" w:eastAsia="宋体" w:cs="Times New Roman"/>
                <w:color w:val="auto"/>
                <w:spacing w:val="0"/>
                <w:position w:val="0"/>
                <w:sz w:val="24"/>
                <w:highlight w:val="none"/>
              </w:rPr>
              <w:t>产品和</w:t>
            </w:r>
            <w:r>
              <w:rPr>
                <w:rFonts w:hint="eastAsia" w:ascii="Times New Roman" w:hAnsi="Times New Roman" w:eastAsia="宋体" w:cs="Times New Roman"/>
                <w:color w:val="auto"/>
                <w:spacing w:val="0"/>
                <w:position w:val="0"/>
                <w:sz w:val="24"/>
                <w:highlight w:val="none"/>
              </w:rPr>
              <w:t>产能</w:t>
            </w:r>
            <w:r>
              <w:rPr>
                <w:rFonts w:hint="eastAsia" w:ascii="Times New Roman" w:hAnsi="Times New Roman" w:eastAsia="宋体" w:cs="Times New Roman"/>
                <w:color w:val="auto"/>
                <w:spacing w:val="0"/>
                <w:position w:val="0"/>
                <w:sz w:val="24"/>
                <w:highlight w:val="none"/>
                <w:lang w:val="en-US" w:eastAsia="zh-CN"/>
              </w:rPr>
              <w:t>变化情况</w:t>
            </w:r>
            <w:r>
              <w:rPr>
                <w:rFonts w:ascii="Times New Roman" w:hAnsi="Times New Roman" w:eastAsia="宋体" w:cs="Times New Roman"/>
                <w:color w:val="auto"/>
                <w:spacing w:val="0"/>
                <w:position w:val="0"/>
                <w:sz w:val="24"/>
                <w:highlight w:val="none"/>
              </w:rPr>
              <w:t>详见表</w:t>
            </w:r>
            <w:r>
              <w:rPr>
                <w:rFonts w:ascii="Times New Roman" w:hAnsi="Times New Roman" w:eastAsia="宋体" w:cs="Times New Roman"/>
                <w:color w:val="auto"/>
                <w:spacing w:val="0"/>
                <w:position w:val="0"/>
                <w:sz w:val="24"/>
                <w:szCs w:val="32"/>
                <w:highlight w:val="none"/>
              </w:rPr>
              <w:t>2</w:t>
            </w:r>
            <w:r>
              <w:rPr>
                <w:rFonts w:hint="eastAsia" w:ascii="Times New Roman" w:hAnsi="Times New Roman" w:eastAsia="宋体" w:cs="Times New Roman"/>
                <w:color w:val="auto"/>
                <w:spacing w:val="0"/>
                <w:position w:val="0"/>
                <w:sz w:val="24"/>
                <w:szCs w:val="32"/>
                <w:highlight w:val="none"/>
                <w:lang w:val="en-US" w:eastAsia="zh-CN"/>
              </w:rPr>
              <w:t>.4-1</w:t>
            </w:r>
            <w:r>
              <w:rPr>
                <w:rFonts w:hint="eastAsia" w:ascii="Times New Roman" w:hAnsi="Times New Roman" w:eastAsia="宋体" w:cs="Times New Roman"/>
                <w:color w:val="auto"/>
                <w:spacing w:val="0"/>
                <w:position w:val="0"/>
                <w:sz w:val="24"/>
                <w:szCs w:val="32"/>
                <w:highlight w:val="none"/>
              </w:rPr>
              <w:t>。</w:t>
            </w:r>
          </w:p>
          <w:p w14:paraId="3EDF3A69">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eastAsia="宋体" w:cs="Times New Roman"/>
                <w:color w:val="auto"/>
                <w:spacing w:val="0"/>
                <w:highlight w:val="none"/>
              </w:rPr>
            </w:pPr>
            <w:r>
              <w:rPr>
                <w:rFonts w:hint="eastAsia" w:ascii="Times New Roman" w:hAnsi="Times New Roman" w:eastAsia="宋体" w:cs="Times New Roman"/>
                <w:b/>
                <w:color w:val="auto"/>
                <w:spacing w:val="0"/>
                <w:position w:val="0"/>
                <w:sz w:val="24"/>
                <w:szCs w:val="24"/>
                <w:highlight w:val="none"/>
              </w:rPr>
              <w:t>表</w:t>
            </w:r>
            <w:r>
              <w:rPr>
                <w:rFonts w:ascii="Times New Roman" w:hAnsi="Times New Roman" w:eastAsia="宋体" w:cs="Times New Roman"/>
                <w:b/>
                <w:color w:val="auto"/>
                <w:spacing w:val="0"/>
                <w:position w:val="0"/>
                <w:sz w:val="24"/>
                <w:szCs w:val="24"/>
                <w:highlight w:val="none"/>
              </w:rPr>
              <w:t>2</w:t>
            </w:r>
            <w:r>
              <w:rPr>
                <w:rFonts w:hint="eastAsia" w:ascii="Times New Roman" w:hAnsi="Times New Roman" w:eastAsia="宋体" w:cs="Times New Roman"/>
                <w:b/>
                <w:color w:val="auto"/>
                <w:spacing w:val="0"/>
                <w:position w:val="0"/>
                <w:sz w:val="24"/>
                <w:szCs w:val="24"/>
                <w:highlight w:val="none"/>
                <w:lang w:val="en-US" w:eastAsia="zh-CN"/>
              </w:rPr>
              <w:t>.4-1</w:t>
            </w:r>
            <w:r>
              <w:rPr>
                <w:rFonts w:hint="eastAsia" w:ascii="Times New Roman" w:hAnsi="Times New Roman" w:eastAsia="宋体" w:cs="Times New Roman"/>
                <w:b/>
                <w:color w:val="auto"/>
                <w:spacing w:val="0"/>
                <w:position w:val="0"/>
                <w:sz w:val="24"/>
                <w:szCs w:val="24"/>
                <w:highlight w:val="none"/>
              </w:rPr>
              <w:t xml:space="preserve"> 项目产品规模一览表</w:t>
            </w:r>
          </w:p>
          <w:tbl>
            <w:tblPr>
              <w:tblStyle w:val="2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1675"/>
              <w:gridCol w:w="1675"/>
              <w:gridCol w:w="1675"/>
              <w:gridCol w:w="1681"/>
            </w:tblGrid>
            <w:tr w14:paraId="36742E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2" w:type="dxa"/>
                  <w:tcBorders>
                    <w:tl2br w:val="nil"/>
                    <w:tr2bl w:val="nil"/>
                  </w:tcBorders>
                  <w:vAlign w:val="center"/>
                </w:tcPr>
                <w:p w14:paraId="7A3CC7AD">
                  <w:pPr>
                    <w:widowControl/>
                    <w:jc w:val="center"/>
                    <w:rPr>
                      <w:rFonts w:ascii="Times New Roman" w:hAnsi="Times New Roman" w:eastAsia="宋体" w:cs="Times New Roman"/>
                      <w:b/>
                      <w:bCs/>
                      <w:color w:val="auto"/>
                      <w:spacing w:val="0"/>
                      <w:kern w:val="0"/>
                      <w:position w:val="0"/>
                      <w:szCs w:val="21"/>
                      <w:highlight w:val="none"/>
                    </w:rPr>
                  </w:pPr>
                  <w:r>
                    <w:rPr>
                      <w:rFonts w:hint="eastAsia" w:ascii="Times New Roman" w:hAnsi="Times New Roman" w:eastAsia="宋体" w:cs="Times New Roman"/>
                      <w:b/>
                      <w:bCs/>
                      <w:color w:val="auto"/>
                      <w:spacing w:val="0"/>
                      <w:kern w:val="0"/>
                      <w:position w:val="0"/>
                      <w:szCs w:val="21"/>
                      <w:highlight w:val="none"/>
                    </w:rPr>
                    <w:t>产品名称</w:t>
                  </w:r>
                </w:p>
              </w:tc>
              <w:tc>
                <w:tcPr>
                  <w:tcW w:w="1612" w:type="dxa"/>
                  <w:tcBorders>
                    <w:tl2br w:val="nil"/>
                    <w:tr2bl w:val="nil"/>
                  </w:tcBorders>
                  <w:vAlign w:val="center"/>
                </w:tcPr>
                <w:p w14:paraId="2DE1A2CC">
                  <w:pPr>
                    <w:widowControl/>
                    <w:jc w:val="center"/>
                    <w:rPr>
                      <w:rFonts w:ascii="Times New Roman" w:hAnsi="Times New Roman" w:eastAsia="宋体" w:cs="Times New Roman"/>
                      <w:b/>
                      <w:bCs/>
                      <w:color w:val="auto"/>
                      <w:spacing w:val="0"/>
                      <w:kern w:val="0"/>
                      <w:position w:val="0"/>
                      <w:szCs w:val="21"/>
                      <w:highlight w:val="none"/>
                    </w:rPr>
                  </w:pPr>
                  <w:r>
                    <w:rPr>
                      <w:rFonts w:hint="eastAsia" w:ascii="Times New Roman" w:hAnsi="Times New Roman" w:eastAsia="宋体" w:cs="Times New Roman"/>
                      <w:b/>
                      <w:bCs/>
                      <w:color w:val="auto"/>
                      <w:spacing w:val="0"/>
                      <w:kern w:val="0"/>
                      <w:position w:val="0"/>
                      <w:szCs w:val="21"/>
                      <w:highlight w:val="none"/>
                    </w:rPr>
                    <w:t>单位</w:t>
                  </w:r>
                </w:p>
              </w:tc>
              <w:tc>
                <w:tcPr>
                  <w:tcW w:w="1612" w:type="dxa"/>
                  <w:tcBorders>
                    <w:tl2br w:val="nil"/>
                    <w:tr2bl w:val="nil"/>
                  </w:tcBorders>
                  <w:vAlign w:val="center"/>
                </w:tcPr>
                <w:p w14:paraId="26C5727E">
                  <w:pPr>
                    <w:widowControl/>
                    <w:jc w:val="center"/>
                    <w:rPr>
                      <w:rFonts w:ascii="Times New Roman" w:hAnsi="Times New Roman" w:eastAsia="宋体" w:cs="Times New Roman"/>
                      <w:b/>
                      <w:bCs/>
                      <w:color w:val="auto"/>
                      <w:spacing w:val="0"/>
                      <w:kern w:val="0"/>
                      <w:position w:val="0"/>
                      <w:szCs w:val="21"/>
                      <w:highlight w:val="none"/>
                    </w:rPr>
                  </w:pPr>
                  <w:r>
                    <w:rPr>
                      <w:rFonts w:hint="eastAsia" w:cs="Times New Roman"/>
                      <w:b/>
                      <w:bCs/>
                      <w:color w:val="auto"/>
                      <w:spacing w:val="0"/>
                      <w:kern w:val="0"/>
                      <w:position w:val="0"/>
                      <w:szCs w:val="21"/>
                      <w:highlight w:val="none"/>
                      <w:lang w:val="en-US" w:eastAsia="zh-CN"/>
                    </w:rPr>
                    <w:t>迁建</w:t>
                  </w:r>
                  <w:r>
                    <w:rPr>
                      <w:rFonts w:hint="eastAsia" w:ascii="Times New Roman" w:hAnsi="Times New Roman" w:eastAsia="宋体" w:cs="Times New Roman"/>
                      <w:b/>
                      <w:bCs/>
                      <w:color w:val="auto"/>
                      <w:spacing w:val="0"/>
                      <w:kern w:val="0"/>
                      <w:position w:val="0"/>
                      <w:szCs w:val="21"/>
                      <w:highlight w:val="none"/>
                      <w:lang w:val="en-US" w:eastAsia="zh-CN"/>
                    </w:rPr>
                    <w:t>前</w:t>
                  </w:r>
                  <w:r>
                    <w:rPr>
                      <w:rFonts w:hint="eastAsia" w:ascii="Times New Roman" w:hAnsi="Times New Roman" w:eastAsia="宋体" w:cs="Times New Roman"/>
                      <w:b/>
                      <w:bCs/>
                      <w:color w:val="auto"/>
                      <w:spacing w:val="0"/>
                      <w:kern w:val="0"/>
                      <w:position w:val="0"/>
                      <w:szCs w:val="21"/>
                      <w:highlight w:val="none"/>
                    </w:rPr>
                    <w:t>规模</w:t>
                  </w:r>
                </w:p>
              </w:tc>
              <w:tc>
                <w:tcPr>
                  <w:tcW w:w="1612" w:type="dxa"/>
                  <w:tcBorders>
                    <w:tl2br w:val="nil"/>
                    <w:tr2bl w:val="nil"/>
                  </w:tcBorders>
                  <w:vAlign w:val="center"/>
                </w:tcPr>
                <w:p w14:paraId="4FA95E08">
                  <w:pPr>
                    <w:widowControl/>
                    <w:jc w:val="center"/>
                    <w:rPr>
                      <w:rFonts w:hint="eastAsia" w:ascii="Times New Roman" w:hAnsi="Times New Roman" w:eastAsia="宋体" w:cs="Times New Roman"/>
                      <w:b/>
                      <w:bCs/>
                      <w:color w:val="auto"/>
                      <w:spacing w:val="0"/>
                      <w:kern w:val="0"/>
                      <w:position w:val="0"/>
                      <w:szCs w:val="21"/>
                      <w:highlight w:val="none"/>
                    </w:rPr>
                  </w:pPr>
                  <w:r>
                    <w:rPr>
                      <w:rFonts w:hint="eastAsia" w:cs="Times New Roman"/>
                      <w:b/>
                      <w:bCs/>
                      <w:color w:val="auto"/>
                      <w:spacing w:val="0"/>
                      <w:kern w:val="0"/>
                      <w:position w:val="0"/>
                      <w:szCs w:val="21"/>
                      <w:highlight w:val="none"/>
                      <w:lang w:val="en-US" w:eastAsia="zh-CN"/>
                    </w:rPr>
                    <w:t>迁建</w:t>
                  </w:r>
                  <w:r>
                    <w:rPr>
                      <w:rFonts w:hint="eastAsia" w:ascii="Times New Roman" w:hAnsi="Times New Roman" w:eastAsia="宋体" w:cs="Times New Roman"/>
                      <w:b/>
                      <w:bCs/>
                      <w:color w:val="auto"/>
                      <w:spacing w:val="0"/>
                      <w:kern w:val="0"/>
                      <w:position w:val="0"/>
                      <w:szCs w:val="21"/>
                      <w:highlight w:val="none"/>
                      <w:lang w:val="en-US" w:eastAsia="zh-CN"/>
                    </w:rPr>
                    <w:t>后</w:t>
                  </w:r>
                  <w:r>
                    <w:rPr>
                      <w:rFonts w:hint="eastAsia" w:ascii="Times New Roman" w:hAnsi="Times New Roman" w:eastAsia="宋体" w:cs="Times New Roman"/>
                      <w:b/>
                      <w:bCs/>
                      <w:color w:val="auto"/>
                      <w:spacing w:val="0"/>
                      <w:kern w:val="0"/>
                      <w:position w:val="0"/>
                      <w:szCs w:val="21"/>
                      <w:highlight w:val="none"/>
                    </w:rPr>
                    <w:t>规模</w:t>
                  </w:r>
                </w:p>
              </w:tc>
              <w:tc>
                <w:tcPr>
                  <w:tcW w:w="1616" w:type="dxa"/>
                  <w:tcBorders>
                    <w:tl2br w:val="nil"/>
                    <w:tr2bl w:val="nil"/>
                  </w:tcBorders>
                  <w:vAlign w:val="center"/>
                </w:tcPr>
                <w:p w14:paraId="1B6A3DF7">
                  <w:pPr>
                    <w:widowControl/>
                    <w:jc w:val="center"/>
                    <w:rPr>
                      <w:rFonts w:hint="default" w:ascii="Times New Roman" w:hAnsi="Times New Roman" w:eastAsia="宋体" w:cs="Times New Roman"/>
                      <w:b/>
                      <w:bCs/>
                      <w:color w:val="auto"/>
                      <w:spacing w:val="0"/>
                      <w:kern w:val="0"/>
                      <w:position w:val="0"/>
                      <w:szCs w:val="21"/>
                      <w:highlight w:val="none"/>
                      <w:lang w:val="en-US" w:eastAsia="zh-CN"/>
                    </w:rPr>
                  </w:pPr>
                  <w:r>
                    <w:rPr>
                      <w:rFonts w:hint="eastAsia" w:ascii="Times New Roman" w:hAnsi="Times New Roman" w:eastAsia="宋体" w:cs="Times New Roman"/>
                      <w:b/>
                      <w:bCs/>
                      <w:color w:val="auto"/>
                      <w:spacing w:val="0"/>
                      <w:kern w:val="0"/>
                      <w:position w:val="0"/>
                      <w:szCs w:val="21"/>
                      <w:highlight w:val="none"/>
                      <w:lang w:val="en-US" w:eastAsia="zh-CN"/>
                    </w:rPr>
                    <w:t>变</w:t>
                  </w:r>
                  <w:r>
                    <w:rPr>
                      <w:rFonts w:hint="eastAsia" w:cs="Times New Roman"/>
                      <w:b/>
                      <w:bCs/>
                      <w:color w:val="auto"/>
                      <w:spacing w:val="0"/>
                      <w:kern w:val="0"/>
                      <w:position w:val="0"/>
                      <w:szCs w:val="21"/>
                      <w:highlight w:val="none"/>
                      <w:lang w:val="en-US" w:eastAsia="zh-CN"/>
                    </w:rPr>
                    <w:t>化</w:t>
                  </w:r>
                  <w:r>
                    <w:rPr>
                      <w:rFonts w:hint="eastAsia" w:ascii="Times New Roman" w:hAnsi="Times New Roman" w:eastAsia="宋体" w:cs="Times New Roman"/>
                      <w:b/>
                      <w:bCs/>
                      <w:color w:val="auto"/>
                      <w:spacing w:val="0"/>
                      <w:kern w:val="0"/>
                      <w:position w:val="0"/>
                      <w:szCs w:val="21"/>
                      <w:highlight w:val="none"/>
                      <w:lang w:val="en-US" w:eastAsia="zh-CN"/>
                    </w:rPr>
                    <w:t>情况</w:t>
                  </w:r>
                </w:p>
              </w:tc>
            </w:tr>
            <w:tr w14:paraId="151E62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2" w:type="dxa"/>
                  <w:tcBorders>
                    <w:tl2br w:val="nil"/>
                    <w:tr2bl w:val="nil"/>
                  </w:tcBorders>
                  <w:vAlign w:val="center"/>
                </w:tcPr>
                <w:p w14:paraId="2596805D">
                  <w:pPr>
                    <w:widowControl/>
                    <w:jc w:val="center"/>
                    <w:rPr>
                      <w:rFonts w:ascii="Times New Roman" w:hAnsi="Times New Roman" w:eastAsia="宋体" w:cs="Times New Roman"/>
                      <w:color w:val="auto"/>
                      <w:spacing w:val="0"/>
                      <w:kern w:val="0"/>
                      <w:position w:val="0"/>
                      <w:szCs w:val="21"/>
                      <w:highlight w:val="none"/>
                    </w:rPr>
                  </w:pPr>
                  <w:r>
                    <w:rPr>
                      <w:rFonts w:hint="eastAsia" w:cs="Times New Roman"/>
                      <w:color w:val="auto"/>
                      <w:spacing w:val="0"/>
                      <w:kern w:val="0"/>
                      <w:szCs w:val="21"/>
                      <w:highlight w:val="none"/>
                      <w:lang w:val="en-US" w:eastAsia="zh-CN"/>
                    </w:rPr>
                    <w:t>木质屏风</w:t>
                  </w:r>
                </w:p>
              </w:tc>
              <w:tc>
                <w:tcPr>
                  <w:tcW w:w="1612" w:type="dxa"/>
                  <w:tcBorders>
                    <w:tl2br w:val="nil"/>
                    <w:tr2bl w:val="nil"/>
                  </w:tcBorders>
                  <w:vAlign w:val="center"/>
                </w:tcPr>
                <w:p w14:paraId="473AB613">
                  <w:pPr>
                    <w:widowControl/>
                    <w:jc w:val="center"/>
                    <w:rPr>
                      <w:rFonts w:ascii="Times New Roman" w:hAnsi="Times New Roman" w:eastAsia="宋体" w:cs="Times New Roman"/>
                      <w:color w:val="auto"/>
                      <w:spacing w:val="0"/>
                      <w:kern w:val="0"/>
                      <w:position w:val="0"/>
                      <w:szCs w:val="21"/>
                      <w:highlight w:val="none"/>
                    </w:rPr>
                  </w:pPr>
                  <w:r>
                    <w:rPr>
                      <w:rFonts w:hint="eastAsia" w:cs="Times New Roman"/>
                      <w:color w:val="auto"/>
                      <w:spacing w:val="0"/>
                      <w:kern w:val="0"/>
                      <w:position w:val="0"/>
                      <w:szCs w:val="21"/>
                      <w:highlight w:val="none"/>
                      <w:lang w:val="en-US" w:eastAsia="zh-CN"/>
                    </w:rPr>
                    <w:t>个</w:t>
                  </w:r>
                  <w:r>
                    <w:rPr>
                      <w:rFonts w:hint="eastAsia" w:ascii="Times New Roman" w:hAnsi="Times New Roman" w:eastAsia="宋体" w:cs="Times New Roman"/>
                      <w:color w:val="auto"/>
                      <w:spacing w:val="0"/>
                      <w:kern w:val="0"/>
                      <w:position w:val="0"/>
                      <w:szCs w:val="21"/>
                      <w:highlight w:val="none"/>
                    </w:rPr>
                    <w:t>/年</w:t>
                  </w:r>
                </w:p>
              </w:tc>
              <w:tc>
                <w:tcPr>
                  <w:tcW w:w="1612" w:type="dxa"/>
                  <w:tcBorders>
                    <w:tl2br w:val="nil"/>
                    <w:tr2bl w:val="nil"/>
                  </w:tcBorders>
                  <w:vAlign w:val="center"/>
                </w:tcPr>
                <w:p w14:paraId="5A4B8FF1">
                  <w:pPr>
                    <w:widowControl/>
                    <w:jc w:val="center"/>
                    <w:rPr>
                      <w:rFonts w:hint="default" w:ascii="Times New Roman" w:hAnsi="Times New Roman" w:eastAsia="宋体" w:cs="Times New Roman"/>
                      <w:color w:val="auto"/>
                      <w:spacing w:val="0"/>
                      <w:kern w:val="0"/>
                      <w:position w:val="0"/>
                      <w:szCs w:val="21"/>
                      <w:highlight w:val="none"/>
                      <w:lang w:val="en-US" w:eastAsia="zh-CN"/>
                    </w:rPr>
                  </w:pPr>
                  <w:r>
                    <w:rPr>
                      <w:rFonts w:hint="eastAsia" w:cs="Times New Roman"/>
                      <w:color w:val="auto"/>
                      <w:spacing w:val="0"/>
                      <w:kern w:val="0"/>
                      <w:position w:val="0"/>
                      <w:szCs w:val="21"/>
                      <w:highlight w:val="none"/>
                      <w:lang w:val="en-US" w:eastAsia="zh-CN"/>
                    </w:rPr>
                    <w:t>4800</w:t>
                  </w:r>
                </w:p>
              </w:tc>
              <w:tc>
                <w:tcPr>
                  <w:tcW w:w="1612" w:type="dxa"/>
                  <w:tcBorders>
                    <w:tl2br w:val="nil"/>
                    <w:tr2bl w:val="nil"/>
                  </w:tcBorders>
                  <w:vAlign w:val="center"/>
                </w:tcPr>
                <w:p w14:paraId="1FB6DB95">
                  <w:pPr>
                    <w:widowControl/>
                    <w:jc w:val="center"/>
                    <w:rPr>
                      <w:rFonts w:hint="default" w:ascii="Times New Roman" w:hAnsi="Times New Roman" w:eastAsia="宋体" w:cs="Times New Roman"/>
                      <w:color w:val="auto"/>
                      <w:spacing w:val="0"/>
                      <w:kern w:val="0"/>
                      <w:position w:val="0"/>
                      <w:szCs w:val="21"/>
                      <w:highlight w:val="none"/>
                      <w:lang w:val="en-US" w:eastAsia="zh-CN"/>
                    </w:rPr>
                  </w:pPr>
                  <w:r>
                    <w:rPr>
                      <w:rFonts w:hint="eastAsia" w:cs="Times New Roman"/>
                      <w:color w:val="auto"/>
                      <w:spacing w:val="0"/>
                      <w:kern w:val="0"/>
                      <w:position w:val="0"/>
                      <w:szCs w:val="21"/>
                      <w:highlight w:val="none"/>
                      <w:lang w:val="en-US" w:eastAsia="zh-CN"/>
                    </w:rPr>
                    <w:t>4800</w:t>
                  </w:r>
                </w:p>
              </w:tc>
              <w:tc>
                <w:tcPr>
                  <w:tcW w:w="1616" w:type="dxa"/>
                  <w:tcBorders>
                    <w:tl2br w:val="nil"/>
                    <w:tr2bl w:val="nil"/>
                  </w:tcBorders>
                  <w:vAlign w:val="center"/>
                </w:tcPr>
                <w:p w14:paraId="5F607611">
                  <w:pPr>
                    <w:widowControl/>
                    <w:jc w:val="center"/>
                    <w:rPr>
                      <w:rFonts w:hint="default" w:ascii="Times New Roman" w:hAnsi="Times New Roman" w:eastAsia="宋体" w:cs="Times New Roman"/>
                      <w:color w:val="auto"/>
                      <w:spacing w:val="0"/>
                      <w:kern w:val="0"/>
                      <w:position w:val="0"/>
                      <w:szCs w:val="21"/>
                      <w:highlight w:val="none"/>
                      <w:lang w:val="en-US" w:eastAsia="zh-CN"/>
                    </w:rPr>
                  </w:pPr>
                  <w:r>
                    <w:rPr>
                      <w:rFonts w:hint="eastAsia" w:cs="Times New Roman"/>
                      <w:color w:val="auto"/>
                      <w:spacing w:val="0"/>
                      <w:kern w:val="0"/>
                      <w:position w:val="0"/>
                      <w:szCs w:val="21"/>
                      <w:highlight w:val="none"/>
                      <w:lang w:val="en-US" w:eastAsia="zh-CN"/>
                    </w:rPr>
                    <w:t>0</w:t>
                  </w:r>
                </w:p>
              </w:tc>
            </w:tr>
          </w:tbl>
          <w:p w14:paraId="4069476F">
            <w:pPr>
              <w:autoSpaceDE w:val="0"/>
              <w:autoSpaceDN w:val="0"/>
              <w:adjustRightInd w:val="0"/>
              <w:snapToGrid w:val="0"/>
              <w:spacing w:before="120" w:beforeLines="50" w:line="360" w:lineRule="auto"/>
              <w:jc w:val="left"/>
              <w:rPr>
                <w:rFonts w:hint="eastAsia" w:ascii="Times New Roman" w:hAnsi="Times New Roman" w:eastAsia="宋体" w:cs="Times New Roman"/>
                <w:b/>
                <w:bCs/>
                <w:color w:val="auto"/>
                <w:spacing w:val="0"/>
                <w:kern w:val="0"/>
                <w:position w:val="0"/>
                <w:sz w:val="24"/>
                <w:highlight w:val="none"/>
              </w:rPr>
            </w:pPr>
            <w:r>
              <w:rPr>
                <w:rFonts w:hint="eastAsia" w:ascii="Times New Roman" w:hAnsi="Times New Roman" w:eastAsia="宋体" w:cs="Times New Roman"/>
                <w:b/>
                <w:bCs/>
                <w:color w:val="auto"/>
                <w:spacing w:val="0"/>
                <w:kern w:val="0"/>
                <w:position w:val="0"/>
                <w:sz w:val="24"/>
                <w:highlight w:val="none"/>
              </w:rPr>
              <w:t>2.5</w:t>
            </w:r>
            <w:bookmarkStart w:id="15" w:name="_Toc9168"/>
            <w:bookmarkStart w:id="16" w:name="_Toc27869"/>
            <w:bookmarkStart w:id="17" w:name="_Toc4752"/>
            <w:bookmarkStart w:id="18" w:name="_Toc2853"/>
            <w:bookmarkStart w:id="19" w:name="_Toc11935"/>
            <w:bookmarkStart w:id="20" w:name="_Toc11328"/>
            <w:bookmarkStart w:id="21" w:name="_Toc26638"/>
            <w:r>
              <w:rPr>
                <w:rFonts w:hint="eastAsia" w:ascii="Times New Roman" w:hAnsi="Times New Roman" w:eastAsia="宋体" w:cs="Times New Roman"/>
                <w:b/>
                <w:bCs/>
                <w:color w:val="auto"/>
                <w:spacing w:val="0"/>
                <w:kern w:val="0"/>
                <w:position w:val="0"/>
                <w:sz w:val="24"/>
                <w:highlight w:val="none"/>
              </w:rPr>
              <w:t>主要生产设施及设施参数</w:t>
            </w:r>
            <w:bookmarkEnd w:id="15"/>
            <w:bookmarkEnd w:id="16"/>
            <w:bookmarkEnd w:id="17"/>
            <w:bookmarkEnd w:id="18"/>
            <w:bookmarkEnd w:id="19"/>
            <w:bookmarkEnd w:id="20"/>
            <w:bookmarkEnd w:id="21"/>
          </w:p>
          <w:p w14:paraId="651C6B96">
            <w:pPr>
              <w:widowControl/>
              <w:snapToGrid w:val="0"/>
              <w:spacing w:line="360" w:lineRule="auto"/>
              <w:ind w:firstLine="480" w:firstLineChars="200"/>
              <w:rPr>
                <w:rFonts w:hint="eastAsia" w:ascii="Times New Roman" w:hAnsi="Times New Roman" w:eastAsia="宋体" w:cs="Times New Roman"/>
                <w:color w:val="auto"/>
                <w:spacing w:val="0"/>
                <w:position w:val="0"/>
                <w:sz w:val="24"/>
                <w:szCs w:val="32"/>
                <w:highlight w:val="none"/>
                <w:lang w:val="en-US" w:eastAsia="zh-CN"/>
              </w:rPr>
            </w:pPr>
            <w:r>
              <w:rPr>
                <w:rFonts w:hint="eastAsia" w:cs="Times New Roman"/>
                <w:color w:val="auto"/>
                <w:spacing w:val="0"/>
                <w:position w:val="0"/>
                <w:sz w:val="24"/>
                <w:highlight w:val="none"/>
                <w:lang w:val="en-US" w:eastAsia="zh-CN"/>
              </w:rPr>
              <w:t>迁建</w:t>
            </w:r>
            <w:r>
              <w:rPr>
                <w:rFonts w:hint="eastAsia" w:ascii="Times New Roman" w:hAnsi="Times New Roman" w:eastAsia="宋体" w:cs="Times New Roman"/>
                <w:color w:val="auto"/>
                <w:spacing w:val="0"/>
                <w:position w:val="0"/>
                <w:sz w:val="24"/>
                <w:highlight w:val="none"/>
                <w:lang w:val="en-US" w:eastAsia="zh-CN"/>
              </w:rPr>
              <w:t>后</w:t>
            </w:r>
            <w:r>
              <w:rPr>
                <w:rFonts w:hint="eastAsia" w:ascii="Times New Roman" w:hAnsi="Times New Roman" w:eastAsia="宋体" w:cs="Times New Roman"/>
                <w:color w:val="auto"/>
                <w:spacing w:val="0"/>
                <w:position w:val="0"/>
                <w:sz w:val="24"/>
                <w:highlight w:val="none"/>
              </w:rPr>
              <w:t>项目主要生产设备详见表</w:t>
            </w:r>
            <w:r>
              <w:rPr>
                <w:rFonts w:hint="eastAsia" w:ascii="Times New Roman" w:hAnsi="Times New Roman" w:eastAsia="宋体" w:cs="Times New Roman"/>
                <w:color w:val="auto"/>
                <w:spacing w:val="0"/>
                <w:position w:val="0"/>
                <w:sz w:val="24"/>
                <w:szCs w:val="32"/>
                <w:highlight w:val="none"/>
              </w:rPr>
              <w:t>2</w:t>
            </w:r>
            <w:r>
              <w:rPr>
                <w:rFonts w:hint="eastAsia" w:ascii="Times New Roman" w:hAnsi="Times New Roman" w:eastAsia="宋体" w:cs="Times New Roman"/>
                <w:color w:val="auto"/>
                <w:spacing w:val="0"/>
                <w:position w:val="0"/>
                <w:sz w:val="24"/>
                <w:szCs w:val="32"/>
                <w:highlight w:val="none"/>
                <w:lang w:val="en-US" w:eastAsia="zh-CN"/>
              </w:rPr>
              <w:t>.5-1</w:t>
            </w:r>
            <w:r>
              <w:rPr>
                <w:rFonts w:hint="eastAsia" w:ascii="Times New Roman" w:hAnsi="Times New Roman" w:eastAsia="宋体" w:cs="Times New Roman"/>
                <w:color w:val="auto"/>
                <w:spacing w:val="0"/>
                <w:position w:val="0"/>
                <w:sz w:val="24"/>
                <w:szCs w:val="32"/>
                <w:highlight w:val="none"/>
                <w:lang w:eastAsia="zh-CN"/>
              </w:rPr>
              <w:t>，</w:t>
            </w:r>
            <w:r>
              <w:rPr>
                <w:rFonts w:hint="eastAsia" w:cs="Times New Roman"/>
                <w:color w:val="auto"/>
                <w:spacing w:val="0"/>
                <w:position w:val="0"/>
                <w:sz w:val="24"/>
                <w:szCs w:val="32"/>
                <w:highlight w:val="none"/>
                <w:lang w:val="en-US" w:eastAsia="zh-CN"/>
              </w:rPr>
              <w:t>迁建</w:t>
            </w:r>
            <w:r>
              <w:rPr>
                <w:rFonts w:hint="eastAsia" w:ascii="Times New Roman" w:hAnsi="Times New Roman" w:eastAsia="宋体" w:cs="Times New Roman"/>
                <w:color w:val="auto"/>
                <w:spacing w:val="0"/>
                <w:position w:val="0"/>
                <w:sz w:val="24"/>
                <w:szCs w:val="32"/>
                <w:highlight w:val="none"/>
                <w:lang w:val="en-US" w:eastAsia="zh-CN"/>
              </w:rPr>
              <w:t>前</w:t>
            </w:r>
            <w:r>
              <w:rPr>
                <w:rFonts w:hint="eastAsia" w:cs="Times New Roman"/>
                <w:color w:val="auto"/>
                <w:spacing w:val="0"/>
                <w:position w:val="0"/>
                <w:sz w:val="24"/>
                <w:szCs w:val="32"/>
                <w:highlight w:val="none"/>
                <w:lang w:val="en-US" w:eastAsia="zh-CN"/>
              </w:rPr>
              <w:t>与迁建</w:t>
            </w:r>
            <w:r>
              <w:rPr>
                <w:rFonts w:hint="eastAsia" w:ascii="Times New Roman" w:hAnsi="Times New Roman" w:eastAsia="宋体" w:cs="Times New Roman"/>
                <w:color w:val="auto"/>
                <w:spacing w:val="0"/>
                <w:position w:val="0"/>
                <w:sz w:val="24"/>
                <w:szCs w:val="32"/>
                <w:highlight w:val="none"/>
                <w:lang w:val="en-US" w:eastAsia="zh-CN"/>
              </w:rPr>
              <w:t>后设备变化详见表2.5-2。</w:t>
            </w:r>
          </w:p>
          <w:p w14:paraId="456F29B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4"/>
                <w:szCs w:val="32"/>
                <w:highlight w:val="none"/>
                <w:lang w:val="en-US" w:eastAsia="zh-CN"/>
              </w:rPr>
            </w:pPr>
            <w:r>
              <w:rPr>
                <w:rFonts w:hint="eastAsia" w:ascii="Times New Roman" w:hAnsi="Times New Roman" w:eastAsia="宋体" w:cs="Times New Roman"/>
                <w:b/>
                <w:bCs/>
                <w:color w:val="auto"/>
                <w:spacing w:val="0"/>
                <w:position w:val="0"/>
                <w:sz w:val="24"/>
                <w:szCs w:val="32"/>
                <w:highlight w:val="none"/>
                <w:lang w:val="en-US" w:eastAsia="zh-CN"/>
              </w:rPr>
              <w:t>表2.5-1 项目主要生产设备一览表</w:t>
            </w:r>
          </w:p>
          <w:tbl>
            <w:tblPr>
              <w:tblStyle w:val="2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9"/>
              <w:gridCol w:w="916"/>
              <w:gridCol w:w="916"/>
              <w:gridCol w:w="1778"/>
              <w:gridCol w:w="1871"/>
              <w:gridCol w:w="2211"/>
            </w:tblGrid>
            <w:tr w14:paraId="045CA3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9" w:type="dxa"/>
                  <w:tcBorders>
                    <w:tl2br w:val="nil"/>
                    <w:tr2bl w:val="nil"/>
                  </w:tcBorders>
                  <w:noWrap w:val="0"/>
                  <w:vAlign w:val="center"/>
                </w:tcPr>
                <w:p w14:paraId="3B942FF9">
                  <w:pPr>
                    <w:pStyle w:val="14"/>
                    <w:spacing w:after="0"/>
                    <w:ind w:left="0" w:leftChars="0"/>
                    <w:jc w:val="center"/>
                    <w:rPr>
                      <w:rFonts w:hint="default" w:ascii="Times New Roman" w:hAnsi="Times New Roman" w:eastAsia="宋体" w:cs="Times New Roman"/>
                      <w:b/>
                      <w:bCs w:val="0"/>
                      <w:color w:val="auto"/>
                      <w:spacing w:val="0"/>
                      <w:kern w:val="0"/>
                      <w:position w:val="0"/>
                      <w:sz w:val="21"/>
                      <w:szCs w:val="21"/>
                      <w:highlight w:val="none"/>
                    </w:rPr>
                  </w:pPr>
                  <w:bookmarkStart w:id="22" w:name="_Toc1169"/>
                  <w:bookmarkStart w:id="23" w:name="_Toc16747"/>
                  <w:r>
                    <w:rPr>
                      <w:rFonts w:hint="eastAsia" w:ascii="Times New Roman" w:hAnsi="Times New Roman" w:eastAsia="宋体" w:cs="Times New Roman"/>
                      <w:b/>
                      <w:bCs w:val="0"/>
                      <w:color w:val="auto"/>
                      <w:spacing w:val="0"/>
                      <w:kern w:val="0"/>
                      <w:position w:val="0"/>
                      <w:sz w:val="21"/>
                      <w:szCs w:val="21"/>
                      <w:highlight w:val="none"/>
                      <w:lang w:eastAsia="zh-CN"/>
                    </w:rPr>
                    <w:t>序号</w:t>
                  </w:r>
                </w:p>
              </w:tc>
              <w:tc>
                <w:tcPr>
                  <w:tcW w:w="1832" w:type="dxa"/>
                  <w:gridSpan w:val="2"/>
                  <w:tcBorders>
                    <w:tl2br w:val="nil"/>
                    <w:tr2bl w:val="nil"/>
                  </w:tcBorders>
                  <w:noWrap w:val="0"/>
                  <w:vAlign w:val="center"/>
                </w:tcPr>
                <w:p w14:paraId="0EC97722">
                  <w:pPr>
                    <w:pStyle w:val="14"/>
                    <w:spacing w:after="0"/>
                    <w:ind w:left="0" w:leftChars="0"/>
                    <w:jc w:val="center"/>
                    <w:rPr>
                      <w:rFonts w:hint="default" w:ascii="Times New Roman" w:hAnsi="Times New Roman" w:eastAsia="宋体" w:cs="Times New Roman"/>
                      <w:b/>
                      <w:bCs w:val="0"/>
                      <w:color w:val="auto"/>
                      <w:spacing w:val="0"/>
                      <w:kern w:val="0"/>
                      <w:position w:val="0"/>
                      <w:sz w:val="21"/>
                      <w:szCs w:val="21"/>
                      <w:highlight w:val="none"/>
                    </w:rPr>
                  </w:pPr>
                  <w:r>
                    <w:rPr>
                      <w:rFonts w:hint="default" w:ascii="Times New Roman" w:hAnsi="Times New Roman" w:eastAsia="宋体" w:cs="Times New Roman"/>
                      <w:b/>
                      <w:bCs w:val="0"/>
                      <w:color w:val="auto"/>
                      <w:spacing w:val="0"/>
                      <w:kern w:val="0"/>
                      <w:position w:val="0"/>
                      <w:sz w:val="21"/>
                      <w:szCs w:val="21"/>
                      <w:highlight w:val="none"/>
                    </w:rPr>
                    <w:t>设备名称</w:t>
                  </w:r>
                </w:p>
              </w:tc>
              <w:tc>
                <w:tcPr>
                  <w:tcW w:w="1778" w:type="dxa"/>
                  <w:tcBorders>
                    <w:tl2br w:val="nil"/>
                    <w:tr2bl w:val="nil"/>
                  </w:tcBorders>
                  <w:noWrap w:val="0"/>
                  <w:vAlign w:val="center"/>
                </w:tcPr>
                <w:p w14:paraId="4CCC40AF">
                  <w:pPr>
                    <w:pStyle w:val="14"/>
                    <w:spacing w:after="0"/>
                    <w:ind w:left="0" w:leftChars="0"/>
                    <w:jc w:val="center"/>
                    <w:rPr>
                      <w:rFonts w:hint="eastAsia" w:ascii="Times New Roman" w:hAnsi="Times New Roman" w:eastAsia="宋体" w:cs="Times New Roman"/>
                      <w:b/>
                      <w:bCs w:val="0"/>
                      <w:color w:val="auto"/>
                      <w:spacing w:val="0"/>
                      <w:kern w:val="0"/>
                      <w:position w:val="0"/>
                      <w:sz w:val="21"/>
                      <w:szCs w:val="21"/>
                      <w:highlight w:val="none"/>
                      <w:lang w:val="en-US" w:eastAsia="zh-CN"/>
                    </w:rPr>
                  </w:pPr>
                  <w:r>
                    <w:rPr>
                      <w:rFonts w:hint="default" w:ascii="Times New Roman" w:hAnsi="Times New Roman" w:eastAsia="宋体" w:cs="Times New Roman"/>
                      <w:b/>
                      <w:bCs w:val="0"/>
                      <w:color w:val="auto"/>
                      <w:spacing w:val="0"/>
                      <w:kern w:val="0"/>
                      <w:position w:val="0"/>
                      <w:sz w:val="21"/>
                      <w:szCs w:val="21"/>
                      <w:highlight w:val="none"/>
                    </w:rPr>
                    <w:t>设备数量</w:t>
                  </w:r>
                </w:p>
              </w:tc>
              <w:tc>
                <w:tcPr>
                  <w:tcW w:w="1871" w:type="dxa"/>
                  <w:tcBorders>
                    <w:tl2br w:val="nil"/>
                    <w:tr2bl w:val="nil"/>
                  </w:tcBorders>
                  <w:noWrap w:val="0"/>
                  <w:vAlign w:val="center"/>
                </w:tcPr>
                <w:p w14:paraId="4F7CE012">
                  <w:pPr>
                    <w:pStyle w:val="14"/>
                    <w:spacing w:after="0"/>
                    <w:ind w:left="0" w:leftChars="0"/>
                    <w:jc w:val="center"/>
                    <w:rPr>
                      <w:rFonts w:hint="default" w:ascii="Times New Roman" w:hAnsi="Times New Roman" w:eastAsia="宋体" w:cs="Times New Roman"/>
                      <w:b/>
                      <w:bCs w:val="0"/>
                      <w:color w:val="auto"/>
                      <w:spacing w:val="0"/>
                      <w:kern w:val="0"/>
                      <w:position w:val="0"/>
                      <w:sz w:val="21"/>
                      <w:szCs w:val="21"/>
                      <w:highlight w:val="none"/>
                      <w:lang w:val="en-US" w:eastAsia="zh-CN"/>
                    </w:rPr>
                  </w:pPr>
                  <w:r>
                    <w:rPr>
                      <w:rFonts w:hint="default" w:ascii="Times New Roman" w:hAnsi="Times New Roman" w:eastAsia="宋体" w:cs="Times New Roman"/>
                      <w:b/>
                      <w:bCs w:val="0"/>
                      <w:color w:val="auto"/>
                      <w:spacing w:val="0"/>
                      <w:kern w:val="0"/>
                      <w:position w:val="0"/>
                      <w:sz w:val="21"/>
                      <w:szCs w:val="21"/>
                      <w:highlight w:val="none"/>
                      <w:lang w:eastAsia="zh-CN"/>
                    </w:rPr>
                    <w:t>规格</w:t>
                  </w:r>
                  <w:r>
                    <w:rPr>
                      <w:rFonts w:hint="default" w:ascii="Times New Roman" w:hAnsi="Times New Roman" w:eastAsia="宋体" w:cs="Times New Roman"/>
                      <w:b/>
                      <w:bCs w:val="0"/>
                      <w:color w:val="auto"/>
                      <w:spacing w:val="0"/>
                      <w:kern w:val="0"/>
                      <w:position w:val="0"/>
                      <w:sz w:val="21"/>
                      <w:szCs w:val="21"/>
                      <w:highlight w:val="none"/>
                      <w:lang w:val="en-US" w:eastAsia="zh-CN"/>
                    </w:rPr>
                    <w:t>（型号）</w:t>
                  </w:r>
                </w:p>
              </w:tc>
              <w:tc>
                <w:tcPr>
                  <w:tcW w:w="2211" w:type="dxa"/>
                  <w:tcBorders>
                    <w:tl2br w:val="nil"/>
                    <w:tr2bl w:val="nil"/>
                  </w:tcBorders>
                  <w:noWrap w:val="0"/>
                  <w:vAlign w:val="center"/>
                </w:tcPr>
                <w:p w14:paraId="02A68BF9">
                  <w:pPr>
                    <w:pStyle w:val="14"/>
                    <w:spacing w:after="0"/>
                    <w:ind w:left="0" w:leftChars="0"/>
                    <w:jc w:val="center"/>
                    <w:rPr>
                      <w:rFonts w:hint="default" w:ascii="Times New Roman" w:hAnsi="Times New Roman" w:eastAsia="宋体" w:cs="Times New Roman"/>
                      <w:b/>
                      <w:bCs w:val="0"/>
                      <w:color w:val="auto"/>
                      <w:spacing w:val="0"/>
                      <w:kern w:val="0"/>
                      <w:position w:val="0"/>
                      <w:sz w:val="21"/>
                      <w:szCs w:val="21"/>
                      <w:highlight w:val="none"/>
                      <w:lang w:eastAsia="zh-CN"/>
                    </w:rPr>
                  </w:pPr>
                  <w:r>
                    <w:rPr>
                      <w:rFonts w:hint="default" w:ascii="Times New Roman" w:hAnsi="Times New Roman" w:eastAsia="宋体" w:cs="Times New Roman"/>
                      <w:b/>
                      <w:bCs w:val="0"/>
                      <w:color w:val="auto"/>
                      <w:spacing w:val="0"/>
                      <w:kern w:val="0"/>
                      <w:position w:val="0"/>
                      <w:sz w:val="21"/>
                      <w:szCs w:val="21"/>
                      <w:highlight w:val="none"/>
                      <w:lang w:eastAsia="zh-CN"/>
                    </w:rPr>
                    <w:t>备注</w:t>
                  </w:r>
                </w:p>
              </w:tc>
            </w:tr>
            <w:tr w14:paraId="5F784D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9" w:type="dxa"/>
                  <w:tcBorders>
                    <w:tl2br w:val="nil"/>
                    <w:tr2bl w:val="nil"/>
                  </w:tcBorders>
                  <w:noWrap w:val="0"/>
                  <w:vAlign w:val="center"/>
                </w:tcPr>
                <w:p w14:paraId="61007B2E">
                  <w:pPr>
                    <w:pStyle w:val="14"/>
                    <w:spacing w:after="0"/>
                    <w:ind w:left="0" w:leftChars="0"/>
                    <w:jc w:val="center"/>
                    <w:rPr>
                      <w:rFonts w:hint="default" w:ascii="Times New Roman" w:hAnsi="Times New Roman" w:eastAsia="宋体" w:cs="Times New Roman"/>
                      <w:bCs/>
                      <w:color w:val="auto"/>
                      <w:spacing w:val="0"/>
                      <w:kern w:val="0"/>
                      <w:position w:val="0"/>
                      <w:sz w:val="21"/>
                      <w:szCs w:val="21"/>
                      <w:highlight w:val="none"/>
                    </w:rPr>
                  </w:pPr>
                  <w:r>
                    <w:rPr>
                      <w:rFonts w:hint="default" w:ascii="Times New Roman" w:hAnsi="Times New Roman" w:eastAsia="宋体" w:cs="Times New Roman"/>
                      <w:bCs/>
                      <w:color w:val="auto"/>
                      <w:spacing w:val="0"/>
                      <w:kern w:val="0"/>
                      <w:position w:val="0"/>
                      <w:sz w:val="21"/>
                      <w:szCs w:val="21"/>
                      <w:highlight w:val="none"/>
                    </w:rPr>
                    <w:t>1</w:t>
                  </w:r>
                </w:p>
              </w:tc>
              <w:tc>
                <w:tcPr>
                  <w:tcW w:w="1832" w:type="dxa"/>
                  <w:gridSpan w:val="2"/>
                  <w:tcBorders>
                    <w:tl2br w:val="nil"/>
                    <w:tr2bl w:val="nil"/>
                  </w:tcBorders>
                  <w:noWrap w:val="0"/>
                  <w:vAlign w:val="center"/>
                </w:tcPr>
                <w:p w14:paraId="12F8D8C6">
                  <w:pPr>
                    <w:widowControl/>
                    <w:spacing w:line="240" w:lineRule="auto"/>
                    <w:jc w:val="center"/>
                    <w:textAlignment w:val="center"/>
                    <w:rPr>
                      <w:rFonts w:hint="default" w:ascii="Times New Roman" w:hAnsi="Times New Roman" w:eastAsia="宋体" w:cs="Times New Roman"/>
                      <w:b w:val="0"/>
                      <w:bCs w:val="0"/>
                      <w:color w:val="auto"/>
                      <w:spacing w:val="0"/>
                      <w:kern w:val="0"/>
                      <w:position w:val="0"/>
                      <w:sz w:val="21"/>
                      <w:szCs w:val="21"/>
                      <w:highlight w:val="none"/>
                      <w:lang w:val="en-US" w:eastAsia="zh-CN"/>
                    </w:rPr>
                  </w:pPr>
                </w:p>
              </w:tc>
              <w:tc>
                <w:tcPr>
                  <w:tcW w:w="1778" w:type="dxa"/>
                  <w:tcBorders>
                    <w:tl2br w:val="nil"/>
                    <w:tr2bl w:val="nil"/>
                  </w:tcBorders>
                  <w:noWrap w:val="0"/>
                  <w:vAlign w:val="center"/>
                </w:tcPr>
                <w:p w14:paraId="05673C00">
                  <w:pPr>
                    <w:widowControl/>
                    <w:spacing w:line="240" w:lineRule="auto"/>
                    <w:jc w:val="center"/>
                    <w:textAlignment w:val="center"/>
                    <w:rPr>
                      <w:rFonts w:hint="default" w:ascii="Times New Roman" w:hAnsi="Times New Roman" w:eastAsia="宋体" w:cs="Times New Roman"/>
                      <w:b w:val="0"/>
                      <w:bCs w:val="0"/>
                      <w:color w:val="auto"/>
                      <w:spacing w:val="0"/>
                      <w:kern w:val="0"/>
                      <w:position w:val="0"/>
                      <w:sz w:val="21"/>
                      <w:szCs w:val="21"/>
                      <w:highlight w:val="none"/>
                      <w:lang w:val="en-US" w:eastAsia="zh-CN"/>
                    </w:rPr>
                  </w:pPr>
                </w:p>
              </w:tc>
              <w:tc>
                <w:tcPr>
                  <w:tcW w:w="1871" w:type="dxa"/>
                  <w:tcBorders>
                    <w:tl2br w:val="nil"/>
                    <w:tr2bl w:val="nil"/>
                  </w:tcBorders>
                  <w:noWrap w:val="0"/>
                  <w:vAlign w:val="center"/>
                </w:tcPr>
                <w:p w14:paraId="3C88FCB9">
                  <w:pPr>
                    <w:keepNext w:val="0"/>
                    <w:keepLines w:val="0"/>
                    <w:widowControl/>
                    <w:suppressLineNumbers w:val="0"/>
                    <w:jc w:val="center"/>
                    <w:rPr>
                      <w:rFonts w:hint="default" w:ascii="Times New Roman" w:hAnsi="Times New Roman" w:eastAsia="宋体" w:cs="Times New Roman"/>
                      <w:b w:val="0"/>
                      <w:bCs w:val="0"/>
                      <w:color w:val="auto"/>
                      <w:spacing w:val="0"/>
                      <w:kern w:val="0"/>
                      <w:position w:val="0"/>
                      <w:sz w:val="21"/>
                      <w:szCs w:val="21"/>
                      <w:highlight w:val="none"/>
                      <w:lang w:val="en-US" w:eastAsia="zh-CN"/>
                    </w:rPr>
                  </w:pPr>
                </w:p>
              </w:tc>
              <w:tc>
                <w:tcPr>
                  <w:tcW w:w="2211" w:type="dxa"/>
                  <w:tcBorders>
                    <w:tl2br w:val="nil"/>
                    <w:tr2bl w:val="nil"/>
                  </w:tcBorders>
                  <w:noWrap w:val="0"/>
                  <w:vAlign w:val="center"/>
                </w:tcPr>
                <w:p w14:paraId="38EE5956">
                  <w:pPr>
                    <w:widowControl/>
                    <w:spacing w:line="240" w:lineRule="auto"/>
                    <w:jc w:val="center"/>
                    <w:textAlignment w:val="center"/>
                    <w:rPr>
                      <w:rFonts w:hint="default" w:ascii="Times New Roman" w:hAnsi="Times New Roman" w:eastAsia="宋体" w:cs="Times New Roman"/>
                      <w:bCs/>
                      <w:color w:val="auto"/>
                      <w:spacing w:val="0"/>
                      <w:kern w:val="0"/>
                      <w:position w:val="0"/>
                      <w:sz w:val="21"/>
                      <w:szCs w:val="21"/>
                      <w:highlight w:val="none"/>
                      <w:lang w:val="en-US" w:eastAsia="zh-CN"/>
                    </w:rPr>
                  </w:pPr>
                </w:p>
              </w:tc>
            </w:tr>
            <w:tr w14:paraId="2522E0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9" w:type="dxa"/>
                  <w:tcBorders>
                    <w:tl2br w:val="nil"/>
                    <w:tr2bl w:val="nil"/>
                  </w:tcBorders>
                  <w:noWrap w:val="0"/>
                  <w:vAlign w:val="center"/>
                </w:tcPr>
                <w:p w14:paraId="7C69083E">
                  <w:pPr>
                    <w:pStyle w:val="14"/>
                    <w:spacing w:after="0"/>
                    <w:ind w:left="0" w:leftChars="0"/>
                    <w:jc w:val="center"/>
                    <w:rPr>
                      <w:rFonts w:hint="default" w:ascii="Times New Roman" w:hAnsi="Times New Roman" w:eastAsia="宋体" w:cs="Times New Roman"/>
                      <w:bCs/>
                      <w:color w:val="auto"/>
                      <w:spacing w:val="0"/>
                      <w:kern w:val="0"/>
                      <w:position w:val="0"/>
                      <w:sz w:val="21"/>
                      <w:szCs w:val="21"/>
                      <w:highlight w:val="none"/>
                      <w:lang w:val="en-US" w:eastAsia="zh-CN" w:bidi="ar-SA"/>
                    </w:rPr>
                  </w:pPr>
                  <w:r>
                    <w:rPr>
                      <w:rFonts w:hint="default" w:ascii="Times New Roman" w:hAnsi="Times New Roman" w:eastAsia="宋体" w:cs="Times New Roman"/>
                      <w:bCs/>
                      <w:color w:val="auto"/>
                      <w:spacing w:val="0"/>
                      <w:kern w:val="0"/>
                      <w:position w:val="0"/>
                      <w:sz w:val="21"/>
                      <w:szCs w:val="21"/>
                      <w:highlight w:val="none"/>
                    </w:rPr>
                    <w:t>2</w:t>
                  </w:r>
                </w:p>
              </w:tc>
              <w:tc>
                <w:tcPr>
                  <w:tcW w:w="1832" w:type="dxa"/>
                  <w:gridSpan w:val="2"/>
                  <w:tcBorders>
                    <w:tl2br w:val="nil"/>
                    <w:tr2bl w:val="nil"/>
                  </w:tcBorders>
                  <w:shd w:val="clear" w:color="auto" w:fill="auto"/>
                  <w:noWrap w:val="0"/>
                  <w:vAlign w:val="center"/>
                </w:tcPr>
                <w:p w14:paraId="563A6D70">
                  <w:pPr>
                    <w:spacing w:line="240" w:lineRule="auto"/>
                    <w:jc w:val="center"/>
                    <w:rPr>
                      <w:rFonts w:hint="default" w:ascii="Times New Roman" w:hAnsi="Times New Roman" w:eastAsia="宋体" w:cs="Times New Roman"/>
                      <w:b w:val="0"/>
                      <w:bCs w:val="0"/>
                      <w:color w:val="auto"/>
                      <w:spacing w:val="0"/>
                      <w:kern w:val="0"/>
                      <w:position w:val="0"/>
                      <w:sz w:val="21"/>
                      <w:szCs w:val="21"/>
                      <w:highlight w:val="none"/>
                      <w:lang w:val="en-US" w:eastAsia="zh-CN" w:bidi="ar-SA"/>
                    </w:rPr>
                  </w:pPr>
                </w:p>
              </w:tc>
              <w:tc>
                <w:tcPr>
                  <w:tcW w:w="1778" w:type="dxa"/>
                  <w:tcBorders>
                    <w:tl2br w:val="nil"/>
                    <w:tr2bl w:val="nil"/>
                  </w:tcBorders>
                  <w:shd w:val="clear" w:color="auto" w:fill="auto"/>
                  <w:noWrap w:val="0"/>
                  <w:vAlign w:val="center"/>
                </w:tcPr>
                <w:p w14:paraId="7D3FF216">
                  <w:pPr>
                    <w:widowControl/>
                    <w:spacing w:line="240" w:lineRule="auto"/>
                    <w:jc w:val="center"/>
                    <w:textAlignment w:val="center"/>
                    <w:rPr>
                      <w:rFonts w:hint="default" w:ascii="Times New Roman" w:hAnsi="Times New Roman" w:eastAsia="宋体" w:cs="Times New Roman"/>
                      <w:b w:val="0"/>
                      <w:bCs w:val="0"/>
                      <w:color w:val="auto"/>
                      <w:spacing w:val="0"/>
                      <w:kern w:val="0"/>
                      <w:position w:val="0"/>
                      <w:sz w:val="21"/>
                      <w:szCs w:val="21"/>
                      <w:highlight w:val="none"/>
                      <w:lang w:val="en-US" w:eastAsia="zh-CN" w:bidi="ar-SA"/>
                    </w:rPr>
                  </w:pPr>
                </w:p>
              </w:tc>
              <w:tc>
                <w:tcPr>
                  <w:tcW w:w="1871" w:type="dxa"/>
                  <w:tcBorders>
                    <w:tl2br w:val="nil"/>
                    <w:tr2bl w:val="nil"/>
                  </w:tcBorders>
                  <w:shd w:val="clear" w:color="auto" w:fill="auto"/>
                  <w:noWrap w:val="0"/>
                  <w:vAlign w:val="center"/>
                </w:tcPr>
                <w:p w14:paraId="5DB88489">
                  <w:pPr>
                    <w:widowControl/>
                    <w:spacing w:line="240" w:lineRule="auto"/>
                    <w:jc w:val="center"/>
                    <w:textAlignment w:val="center"/>
                    <w:rPr>
                      <w:rFonts w:hint="default" w:ascii="Times New Roman" w:hAnsi="Times New Roman" w:eastAsia="宋体" w:cs="Times New Roman"/>
                      <w:b w:val="0"/>
                      <w:bCs w:val="0"/>
                      <w:color w:val="auto"/>
                      <w:spacing w:val="0"/>
                      <w:kern w:val="0"/>
                      <w:position w:val="0"/>
                      <w:sz w:val="21"/>
                      <w:szCs w:val="21"/>
                      <w:highlight w:val="none"/>
                      <w:lang w:val="en-US" w:eastAsia="zh-CN" w:bidi="ar-SA"/>
                    </w:rPr>
                  </w:pPr>
                </w:p>
              </w:tc>
              <w:tc>
                <w:tcPr>
                  <w:tcW w:w="2211" w:type="dxa"/>
                  <w:tcBorders>
                    <w:tl2br w:val="nil"/>
                    <w:tr2bl w:val="nil"/>
                  </w:tcBorders>
                  <w:shd w:val="clear" w:color="auto" w:fill="auto"/>
                  <w:noWrap w:val="0"/>
                  <w:vAlign w:val="center"/>
                </w:tcPr>
                <w:p w14:paraId="796B3240">
                  <w:pPr>
                    <w:widowControl/>
                    <w:spacing w:line="240" w:lineRule="auto"/>
                    <w:jc w:val="center"/>
                    <w:textAlignment w:val="center"/>
                    <w:rPr>
                      <w:rFonts w:hint="default" w:ascii="Times New Roman" w:hAnsi="Times New Roman" w:eastAsia="宋体" w:cs="Times New Roman"/>
                      <w:bCs/>
                      <w:color w:val="auto"/>
                      <w:spacing w:val="0"/>
                      <w:kern w:val="0"/>
                      <w:position w:val="0"/>
                      <w:sz w:val="21"/>
                      <w:szCs w:val="21"/>
                      <w:highlight w:val="none"/>
                      <w:lang w:val="en-US" w:eastAsia="zh-CN" w:bidi="ar-SA"/>
                    </w:rPr>
                  </w:pPr>
                </w:p>
              </w:tc>
            </w:tr>
            <w:tr w14:paraId="5692C5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9" w:type="dxa"/>
                  <w:tcBorders>
                    <w:tl2br w:val="nil"/>
                    <w:tr2bl w:val="nil"/>
                  </w:tcBorders>
                  <w:noWrap w:val="0"/>
                  <w:vAlign w:val="center"/>
                </w:tcPr>
                <w:p w14:paraId="20986894">
                  <w:pPr>
                    <w:pStyle w:val="14"/>
                    <w:spacing w:after="0"/>
                    <w:ind w:left="0" w:leftChars="0"/>
                    <w:jc w:val="center"/>
                    <w:rPr>
                      <w:rFonts w:hint="default" w:ascii="Times New Roman" w:hAnsi="Times New Roman" w:eastAsia="宋体" w:cs="Times New Roman"/>
                      <w:bCs/>
                      <w:color w:val="auto"/>
                      <w:spacing w:val="0"/>
                      <w:kern w:val="0"/>
                      <w:position w:val="0"/>
                      <w:sz w:val="21"/>
                      <w:szCs w:val="21"/>
                      <w:highlight w:val="none"/>
                      <w:lang w:val="en-US" w:eastAsia="zh-CN" w:bidi="ar-SA"/>
                    </w:rPr>
                  </w:pPr>
                  <w:r>
                    <w:rPr>
                      <w:rFonts w:hint="default" w:ascii="Times New Roman" w:hAnsi="Times New Roman" w:eastAsia="宋体" w:cs="Times New Roman"/>
                      <w:bCs/>
                      <w:color w:val="auto"/>
                      <w:spacing w:val="0"/>
                      <w:kern w:val="0"/>
                      <w:position w:val="0"/>
                      <w:sz w:val="21"/>
                      <w:szCs w:val="21"/>
                      <w:highlight w:val="none"/>
                    </w:rPr>
                    <w:t>3</w:t>
                  </w:r>
                </w:p>
              </w:tc>
              <w:tc>
                <w:tcPr>
                  <w:tcW w:w="1832" w:type="dxa"/>
                  <w:gridSpan w:val="2"/>
                  <w:tcBorders>
                    <w:tl2br w:val="nil"/>
                    <w:tr2bl w:val="nil"/>
                  </w:tcBorders>
                  <w:shd w:val="clear" w:color="auto" w:fill="auto"/>
                  <w:noWrap w:val="0"/>
                  <w:vAlign w:val="center"/>
                </w:tcPr>
                <w:p w14:paraId="6AA0F86E">
                  <w:pPr>
                    <w:spacing w:line="240" w:lineRule="auto"/>
                    <w:jc w:val="center"/>
                    <w:rPr>
                      <w:rFonts w:hint="default" w:ascii="Times New Roman" w:hAnsi="Times New Roman" w:eastAsia="宋体" w:cs="Times New Roman"/>
                      <w:b w:val="0"/>
                      <w:bCs w:val="0"/>
                      <w:color w:val="auto"/>
                      <w:spacing w:val="0"/>
                      <w:kern w:val="2"/>
                      <w:position w:val="0"/>
                      <w:sz w:val="21"/>
                      <w:szCs w:val="21"/>
                      <w:highlight w:val="none"/>
                      <w:lang w:val="en-US" w:eastAsia="zh-CN" w:bidi="ar-SA"/>
                    </w:rPr>
                  </w:pPr>
                </w:p>
              </w:tc>
              <w:tc>
                <w:tcPr>
                  <w:tcW w:w="1778" w:type="dxa"/>
                  <w:tcBorders>
                    <w:tl2br w:val="nil"/>
                    <w:tr2bl w:val="nil"/>
                  </w:tcBorders>
                  <w:shd w:val="clear" w:color="auto" w:fill="auto"/>
                  <w:noWrap w:val="0"/>
                  <w:vAlign w:val="center"/>
                </w:tcPr>
                <w:p w14:paraId="59B94DFF">
                  <w:pPr>
                    <w:widowControl/>
                    <w:spacing w:line="240" w:lineRule="auto"/>
                    <w:jc w:val="center"/>
                    <w:textAlignment w:val="center"/>
                    <w:rPr>
                      <w:rFonts w:hint="default" w:ascii="Times New Roman" w:hAnsi="Times New Roman" w:eastAsia="宋体" w:cs="Times New Roman"/>
                      <w:b w:val="0"/>
                      <w:bCs w:val="0"/>
                      <w:color w:val="auto"/>
                      <w:spacing w:val="0"/>
                      <w:kern w:val="0"/>
                      <w:position w:val="0"/>
                      <w:sz w:val="21"/>
                      <w:szCs w:val="21"/>
                      <w:highlight w:val="none"/>
                      <w:lang w:val="en-US" w:eastAsia="zh-CN" w:bidi="ar-SA"/>
                    </w:rPr>
                  </w:pPr>
                </w:p>
              </w:tc>
              <w:tc>
                <w:tcPr>
                  <w:tcW w:w="1871" w:type="dxa"/>
                  <w:tcBorders>
                    <w:tl2br w:val="nil"/>
                    <w:tr2bl w:val="nil"/>
                  </w:tcBorders>
                  <w:shd w:val="clear" w:color="auto" w:fill="auto"/>
                  <w:noWrap w:val="0"/>
                  <w:vAlign w:val="center"/>
                </w:tcPr>
                <w:p w14:paraId="5E02BD8F">
                  <w:pPr>
                    <w:widowControl/>
                    <w:spacing w:line="240" w:lineRule="auto"/>
                    <w:jc w:val="center"/>
                    <w:textAlignment w:val="center"/>
                    <w:rPr>
                      <w:rFonts w:hint="default" w:ascii="Times New Roman" w:hAnsi="Times New Roman" w:eastAsia="宋体" w:cs="Times New Roman"/>
                      <w:b w:val="0"/>
                      <w:bCs w:val="0"/>
                      <w:color w:val="auto"/>
                      <w:spacing w:val="0"/>
                      <w:kern w:val="0"/>
                      <w:position w:val="0"/>
                      <w:sz w:val="21"/>
                      <w:szCs w:val="21"/>
                      <w:highlight w:val="none"/>
                      <w:lang w:val="en-US" w:eastAsia="zh-CN" w:bidi="ar-SA"/>
                    </w:rPr>
                  </w:pPr>
                </w:p>
              </w:tc>
              <w:tc>
                <w:tcPr>
                  <w:tcW w:w="2211" w:type="dxa"/>
                  <w:tcBorders>
                    <w:tl2br w:val="nil"/>
                    <w:tr2bl w:val="nil"/>
                  </w:tcBorders>
                  <w:shd w:val="clear" w:color="auto" w:fill="auto"/>
                  <w:noWrap w:val="0"/>
                  <w:vAlign w:val="center"/>
                </w:tcPr>
                <w:p w14:paraId="442E7686">
                  <w:pPr>
                    <w:widowControl/>
                    <w:spacing w:line="240" w:lineRule="auto"/>
                    <w:jc w:val="center"/>
                    <w:textAlignment w:val="center"/>
                    <w:rPr>
                      <w:rFonts w:hint="default" w:ascii="Times New Roman" w:hAnsi="Times New Roman" w:eastAsia="宋体" w:cs="Times New Roman"/>
                      <w:bCs/>
                      <w:color w:val="auto"/>
                      <w:spacing w:val="0"/>
                      <w:kern w:val="0"/>
                      <w:position w:val="0"/>
                      <w:sz w:val="21"/>
                      <w:szCs w:val="21"/>
                      <w:highlight w:val="none"/>
                      <w:lang w:val="en-US" w:eastAsia="zh-CN" w:bidi="ar-SA"/>
                    </w:rPr>
                  </w:pPr>
                </w:p>
              </w:tc>
            </w:tr>
            <w:tr w14:paraId="5EAF61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9" w:type="dxa"/>
                  <w:vMerge w:val="restart"/>
                  <w:tcBorders>
                    <w:tl2br w:val="nil"/>
                    <w:tr2bl w:val="nil"/>
                  </w:tcBorders>
                  <w:noWrap w:val="0"/>
                  <w:vAlign w:val="center"/>
                </w:tcPr>
                <w:p w14:paraId="1D0CD45A">
                  <w:pPr>
                    <w:pStyle w:val="14"/>
                    <w:spacing w:after="0"/>
                    <w:ind w:left="0" w:leftChars="0"/>
                    <w:jc w:val="center"/>
                    <w:rPr>
                      <w:rFonts w:hint="default" w:cs="Times New Roman"/>
                      <w:bCs/>
                      <w:color w:val="auto"/>
                      <w:spacing w:val="0"/>
                      <w:kern w:val="0"/>
                      <w:position w:val="0"/>
                      <w:sz w:val="21"/>
                      <w:szCs w:val="21"/>
                      <w:highlight w:val="none"/>
                      <w:lang w:val="en-US" w:eastAsia="zh-CN"/>
                    </w:rPr>
                  </w:pPr>
                  <w:r>
                    <w:rPr>
                      <w:rFonts w:hint="eastAsia" w:cs="Times New Roman"/>
                      <w:bCs/>
                      <w:color w:val="auto"/>
                      <w:spacing w:val="0"/>
                      <w:kern w:val="0"/>
                      <w:position w:val="0"/>
                      <w:sz w:val="21"/>
                      <w:szCs w:val="21"/>
                      <w:highlight w:val="none"/>
                      <w:lang w:val="en-US" w:eastAsia="zh-CN"/>
                    </w:rPr>
                    <w:t>4</w:t>
                  </w:r>
                </w:p>
              </w:tc>
              <w:tc>
                <w:tcPr>
                  <w:tcW w:w="916" w:type="dxa"/>
                  <w:vMerge w:val="restart"/>
                  <w:tcBorders>
                    <w:tl2br w:val="nil"/>
                    <w:tr2bl w:val="nil"/>
                  </w:tcBorders>
                  <w:shd w:val="clear" w:color="auto" w:fill="auto"/>
                  <w:noWrap w:val="0"/>
                  <w:vAlign w:val="center"/>
                </w:tcPr>
                <w:p w14:paraId="5985A54B">
                  <w:pPr>
                    <w:spacing w:line="240" w:lineRule="auto"/>
                    <w:jc w:val="center"/>
                    <w:rPr>
                      <w:rFonts w:hint="default" w:cs="Times New Roman"/>
                      <w:b w:val="0"/>
                      <w:bCs w:val="0"/>
                      <w:color w:val="auto"/>
                      <w:spacing w:val="0"/>
                      <w:kern w:val="2"/>
                      <w:position w:val="0"/>
                      <w:sz w:val="21"/>
                      <w:szCs w:val="21"/>
                      <w:highlight w:val="none"/>
                      <w:lang w:val="en-US" w:eastAsia="zh-CN" w:bidi="ar-SA"/>
                    </w:rPr>
                  </w:pPr>
                </w:p>
              </w:tc>
              <w:tc>
                <w:tcPr>
                  <w:tcW w:w="916" w:type="dxa"/>
                  <w:tcBorders>
                    <w:tl2br w:val="nil"/>
                    <w:tr2bl w:val="nil"/>
                  </w:tcBorders>
                  <w:shd w:val="clear" w:color="auto" w:fill="auto"/>
                  <w:noWrap w:val="0"/>
                  <w:vAlign w:val="center"/>
                </w:tcPr>
                <w:p w14:paraId="5061EDE8">
                  <w:pPr>
                    <w:spacing w:line="240" w:lineRule="auto"/>
                    <w:jc w:val="center"/>
                    <w:rPr>
                      <w:rFonts w:hint="eastAsia" w:cs="Times New Roman"/>
                      <w:b w:val="0"/>
                      <w:bCs w:val="0"/>
                      <w:color w:val="auto"/>
                      <w:spacing w:val="0"/>
                      <w:kern w:val="2"/>
                      <w:position w:val="0"/>
                      <w:sz w:val="21"/>
                      <w:szCs w:val="21"/>
                      <w:highlight w:val="none"/>
                      <w:lang w:val="en-US" w:eastAsia="zh-CN" w:bidi="ar-SA"/>
                    </w:rPr>
                  </w:pPr>
                </w:p>
              </w:tc>
              <w:tc>
                <w:tcPr>
                  <w:tcW w:w="1778" w:type="dxa"/>
                  <w:tcBorders>
                    <w:tl2br w:val="nil"/>
                    <w:tr2bl w:val="nil"/>
                  </w:tcBorders>
                  <w:shd w:val="clear" w:color="auto" w:fill="auto"/>
                  <w:noWrap w:val="0"/>
                  <w:vAlign w:val="center"/>
                </w:tcPr>
                <w:p w14:paraId="630D4116">
                  <w:pPr>
                    <w:widowControl/>
                    <w:spacing w:line="240" w:lineRule="auto"/>
                    <w:jc w:val="center"/>
                    <w:textAlignment w:val="center"/>
                    <w:rPr>
                      <w:rFonts w:hint="default" w:cs="Times New Roman"/>
                      <w:b w:val="0"/>
                      <w:bCs w:val="0"/>
                      <w:color w:val="auto"/>
                      <w:spacing w:val="0"/>
                      <w:kern w:val="0"/>
                      <w:position w:val="0"/>
                      <w:sz w:val="21"/>
                      <w:szCs w:val="21"/>
                      <w:highlight w:val="none"/>
                      <w:lang w:val="en-US" w:eastAsia="zh-CN" w:bidi="ar-SA"/>
                    </w:rPr>
                  </w:pPr>
                </w:p>
              </w:tc>
              <w:tc>
                <w:tcPr>
                  <w:tcW w:w="1871" w:type="dxa"/>
                  <w:tcBorders>
                    <w:tl2br w:val="nil"/>
                    <w:tr2bl w:val="nil"/>
                  </w:tcBorders>
                  <w:shd w:val="clear" w:color="auto" w:fill="auto"/>
                  <w:noWrap w:val="0"/>
                  <w:vAlign w:val="center"/>
                </w:tcPr>
                <w:p w14:paraId="27E8BAB5">
                  <w:pPr>
                    <w:widowControl/>
                    <w:spacing w:line="240" w:lineRule="auto"/>
                    <w:jc w:val="center"/>
                    <w:textAlignment w:val="center"/>
                    <w:rPr>
                      <w:rFonts w:hint="default" w:cs="Times New Roman"/>
                      <w:b w:val="0"/>
                      <w:bCs w:val="0"/>
                      <w:color w:val="auto"/>
                      <w:spacing w:val="0"/>
                      <w:kern w:val="0"/>
                      <w:position w:val="0"/>
                      <w:sz w:val="21"/>
                      <w:szCs w:val="21"/>
                      <w:highlight w:val="none"/>
                      <w:lang w:val="en-US" w:eastAsia="zh-CN" w:bidi="ar-SA"/>
                    </w:rPr>
                  </w:pPr>
                </w:p>
              </w:tc>
              <w:tc>
                <w:tcPr>
                  <w:tcW w:w="2211" w:type="dxa"/>
                  <w:tcBorders>
                    <w:tl2br w:val="nil"/>
                    <w:tr2bl w:val="nil"/>
                  </w:tcBorders>
                  <w:shd w:val="clear" w:color="auto" w:fill="auto"/>
                  <w:noWrap w:val="0"/>
                  <w:vAlign w:val="center"/>
                </w:tcPr>
                <w:p w14:paraId="6C9B7AD9">
                  <w:pPr>
                    <w:widowControl/>
                    <w:spacing w:line="240" w:lineRule="auto"/>
                    <w:jc w:val="center"/>
                    <w:textAlignment w:val="center"/>
                    <w:rPr>
                      <w:rFonts w:hint="default" w:ascii="Times New Roman" w:hAnsi="Times New Roman" w:eastAsia="宋体" w:cs="Times New Roman"/>
                      <w:bCs/>
                      <w:color w:val="auto"/>
                      <w:spacing w:val="0"/>
                      <w:kern w:val="0"/>
                      <w:position w:val="0"/>
                      <w:sz w:val="21"/>
                      <w:szCs w:val="21"/>
                      <w:highlight w:val="none"/>
                      <w:lang w:val="en-US" w:eastAsia="zh-CN"/>
                    </w:rPr>
                  </w:pPr>
                </w:p>
              </w:tc>
            </w:tr>
            <w:tr w14:paraId="02EA5B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9" w:type="dxa"/>
                  <w:vMerge w:val="continue"/>
                  <w:tcBorders>
                    <w:tl2br w:val="nil"/>
                    <w:tr2bl w:val="nil"/>
                  </w:tcBorders>
                  <w:noWrap w:val="0"/>
                  <w:vAlign w:val="center"/>
                </w:tcPr>
                <w:p w14:paraId="4D31DA4B">
                  <w:pPr>
                    <w:pStyle w:val="14"/>
                    <w:spacing w:after="0"/>
                    <w:ind w:left="0" w:leftChars="0"/>
                    <w:jc w:val="center"/>
                    <w:rPr>
                      <w:rFonts w:hint="default" w:cs="Times New Roman"/>
                      <w:bCs/>
                      <w:color w:val="auto"/>
                      <w:spacing w:val="0"/>
                      <w:kern w:val="0"/>
                      <w:position w:val="0"/>
                      <w:sz w:val="21"/>
                      <w:szCs w:val="21"/>
                      <w:highlight w:val="none"/>
                      <w:lang w:val="en-US" w:eastAsia="zh-CN"/>
                    </w:rPr>
                  </w:pPr>
                </w:p>
              </w:tc>
              <w:tc>
                <w:tcPr>
                  <w:tcW w:w="916" w:type="dxa"/>
                  <w:vMerge w:val="continue"/>
                  <w:tcBorders>
                    <w:tl2br w:val="nil"/>
                    <w:tr2bl w:val="nil"/>
                  </w:tcBorders>
                  <w:shd w:val="clear" w:color="auto" w:fill="auto"/>
                  <w:noWrap w:val="0"/>
                  <w:vAlign w:val="center"/>
                </w:tcPr>
                <w:p w14:paraId="3DCF589C">
                  <w:pPr>
                    <w:spacing w:line="240" w:lineRule="auto"/>
                    <w:jc w:val="center"/>
                    <w:rPr>
                      <w:rFonts w:hint="default" w:cs="Times New Roman"/>
                      <w:b w:val="0"/>
                      <w:bCs w:val="0"/>
                      <w:color w:val="auto"/>
                      <w:spacing w:val="0"/>
                      <w:kern w:val="2"/>
                      <w:position w:val="0"/>
                      <w:sz w:val="21"/>
                      <w:szCs w:val="21"/>
                      <w:highlight w:val="none"/>
                      <w:lang w:val="en-US" w:eastAsia="zh-CN" w:bidi="ar-SA"/>
                    </w:rPr>
                  </w:pPr>
                </w:p>
              </w:tc>
              <w:tc>
                <w:tcPr>
                  <w:tcW w:w="916" w:type="dxa"/>
                  <w:tcBorders>
                    <w:tl2br w:val="nil"/>
                    <w:tr2bl w:val="nil"/>
                  </w:tcBorders>
                  <w:shd w:val="clear" w:color="auto" w:fill="auto"/>
                  <w:noWrap w:val="0"/>
                  <w:vAlign w:val="center"/>
                </w:tcPr>
                <w:p w14:paraId="68ABF0F5">
                  <w:pPr>
                    <w:spacing w:line="240" w:lineRule="auto"/>
                    <w:jc w:val="center"/>
                    <w:rPr>
                      <w:rFonts w:hint="eastAsia" w:cs="Times New Roman"/>
                      <w:b w:val="0"/>
                      <w:bCs w:val="0"/>
                      <w:color w:val="auto"/>
                      <w:spacing w:val="0"/>
                      <w:kern w:val="2"/>
                      <w:position w:val="0"/>
                      <w:sz w:val="21"/>
                      <w:szCs w:val="21"/>
                      <w:highlight w:val="none"/>
                      <w:lang w:val="en-US" w:eastAsia="zh-CN" w:bidi="ar-SA"/>
                    </w:rPr>
                  </w:pPr>
                </w:p>
              </w:tc>
              <w:tc>
                <w:tcPr>
                  <w:tcW w:w="1778" w:type="dxa"/>
                  <w:tcBorders>
                    <w:tl2br w:val="nil"/>
                    <w:tr2bl w:val="nil"/>
                  </w:tcBorders>
                  <w:shd w:val="clear" w:color="auto" w:fill="auto"/>
                  <w:noWrap w:val="0"/>
                  <w:vAlign w:val="center"/>
                </w:tcPr>
                <w:p w14:paraId="4A3F06EE">
                  <w:pPr>
                    <w:widowControl/>
                    <w:spacing w:line="240" w:lineRule="auto"/>
                    <w:jc w:val="center"/>
                    <w:textAlignment w:val="center"/>
                    <w:rPr>
                      <w:rFonts w:hint="eastAsia" w:cs="Times New Roman"/>
                      <w:b w:val="0"/>
                      <w:bCs w:val="0"/>
                      <w:color w:val="auto"/>
                      <w:spacing w:val="0"/>
                      <w:kern w:val="0"/>
                      <w:position w:val="0"/>
                      <w:sz w:val="21"/>
                      <w:szCs w:val="21"/>
                      <w:highlight w:val="none"/>
                      <w:lang w:val="en-US" w:eastAsia="zh-CN" w:bidi="ar-SA"/>
                    </w:rPr>
                  </w:pPr>
                </w:p>
              </w:tc>
              <w:tc>
                <w:tcPr>
                  <w:tcW w:w="1871" w:type="dxa"/>
                  <w:tcBorders>
                    <w:tl2br w:val="nil"/>
                    <w:tr2bl w:val="nil"/>
                  </w:tcBorders>
                  <w:shd w:val="clear" w:color="auto" w:fill="auto"/>
                  <w:noWrap w:val="0"/>
                  <w:vAlign w:val="center"/>
                </w:tcPr>
                <w:p w14:paraId="0FE22EA5">
                  <w:pPr>
                    <w:widowControl/>
                    <w:spacing w:line="240" w:lineRule="auto"/>
                    <w:jc w:val="center"/>
                    <w:textAlignment w:val="center"/>
                    <w:rPr>
                      <w:rFonts w:hint="eastAsia" w:cs="Times New Roman"/>
                      <w:b w:val="0"/>
                      <w:bCs w:val="0"/>
                      <w:color w:val="auto"/>
                      <w:spacing w:val="0"/>
                      <w:kern w:val="0"/>
                      <w:position w:val="0"/>
                      <w:sz w:val="21"/>
                      <w:szCs w:val="21"/>
                      <w:highlight w:val="none"/>
                      <w:lang w:val="en-US" w:eastAsia="zh-CN" w:bidi="ar-SA"/>
                    </w:rPr>
                  </w:pPr>
                </w:p>
              </w:tc>
              <w:tc>
                <w:tcPr>
                  <w:tcW w:w="2211" w:type="dxa"/>
                  <w:tcBorders>
                    <w:tl2br w:val="nil"/>
                    <w:tr2bl w:val="nil"/>
                  </w:tcBorders>
                  <w:shd w:val="clear" w:color="auto" w:fill="auto"/>
                  <w:noWrap w:val="0"/>
                  <w:vAlign w:val="center"/>
                </w:tcPr>
                <w:p w14:paraId="6A89E630">
                  <w:pPr>
                    <w:widowControl/>
                    <w:spacing w:line="240" w:lineRule="auto"/>
                    <w:jc w:val="center"/>
                    <w:textAlignment w:val="center"/>
                    <w:rPr>
                      <w:rFonts w:hint="default" w:ascii="Times New Roman" w:hAnsi="Times New Roman" w:eastAsia="宋体" w:cs="Times New Roman"/>
                      <w:bCs/>
                      <w:color w:val="auto"/>
                      <w:spacing w:val="0"/>
                      <w:kern w:val="0"/>
                      <w:position w:val="0"/>
                      <w:sz w:val="21"/>
                      <w:szCs w:val="21"/>
                      <w:highlight w:val="none"/>
                      <w:lang w:val="en-US" w:eastAsia="zh-CN"/>
                    </w:rPr>
                  </w:pPr>
                </w:p>
              </w:tc>
            </w:tr>
            <w:bookmarkEnd w:id="22"/>
            <w:bookmarkEnd w:id="23"/>
          </w:tbl>
          <w:p w14:paraId="1B66869D">
            <w:pPr>
              <w:keepNext w:val="0"/>
              <w:keepLines w:val="0"/>
              <w:pageBreakBefore w:val="0"/>
              <w:widowControl/>
              <w:kinsoku/>
              <w:wordWrap/>
              <w:overflowPunct/>
              <w:topLinePunct w:val="0"/>
              <w:autoSpaceDE/>
              <w:autoSpaceDN/>
              <w:bidi w:val="0"/>
              <w:adjustRightInd/>
              <w:snapToGrid w:val="0"/>
              <w:spacing w:before="157" w:beforeLines="50" w:line="240" w:lineRule="auto"/>
              <w:jc w:val="center"/>
              <w:textAlignment w:val="auto"/>
              <w:rPr>
                <w:rFonts w:hint="eastAsia" w:ascii="Times New Roman" w:hAnsi="Times New Roman" w:eastAsia="宋体" w:cs="Times New Roman"/>
                <w:b/>
                <w:bCs/>
                <w:color w:val="auto"/>
                <w:spacing w:val="0"/>
                <w:kern w:val="0"/>
                <w:position w:val="0"/>
                <w:sz w:val="24"/>
                <w:highlight w:val="none"/>
                <w:lang w:val="en-US" w:eastAsia="zh-CN"/>
              </w:rPr>
            </w:pPr>
            <w:r>
              <w:rPr>
                <w:rFonts w:hint="eastAsia" w:ascii="Times New Roman" w:hAnsi="Times New Roman" w:eastAsia="宋体" w:cs="Times New Roman"/>
                <w:b/>
                <w:bCs/>
                <w:color w:val="auto"/>
                <w:spacing w:val="0"/>
                <w:kern w:val="0"/>
                <w:position w:val="0"/>
                <w:sz w:val="24"/>
                <w:highlight w:val="none"/>
                <w:lang w:val="en-US" w:eastAsia="zh-CN"/>
              </w:rPr>
              <w:t>表2.5-2</w:t>
            </w:r>
            <w:r>
              <w:rPr>
                <w:rFonts w:hint="eastAsia" w:cs="Times New Roman"/>
                <w:b/>
                <w:bCs/>
                <w:color w:val="auto"/>
                <w:spacing w:val="0"/>
                <w:kern w:val="0"/>
                <w:position w:val="0"/>
                <w:sz w:val="24"/>
                <w:highlight w:val="none"/>
                <w:lang w:val="en-US" w:eastAsia="zh-CN"/>
              </w:rPr>
              <w:t>迁建前与迁建后</w:t>
            </w:r>
            <w:r>
              <w:rPr>
                <w:rFonts w:hint="eastAsia" w:ascii="Times New Roman" w:hAnsi="Times New Roman" w:eastAsia="宋体" w:cs="Times New Roman"/>
                <w:b/>
                <w:bCs/>
                <w:color w:val="auto"/>
                <w:spacing w:val="0"/>
                <w:kern w:val="0"/>
                <w:position w:val="0"/>
                <w:sz w:val="24"/>
                <w:highlight w:val="none"/>
                <w:lang w:val="en-US" w:eastAsia="zh-CN"/>
              </w:rPr>
              <w:t>设备变化一览表</w:t>
            </w:r>
          </w:p>
          <w:tbl>
            <w:tblPr>
              <w:tblStyle w:val="2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885"/>
              <w:gridCol w:w="2353"/>
              <w:gridCol w:w="2060"/>
              <w:gridCol w:w="1381"/>
            </w:tblGrid>
            <w:tr w14:paraId="3D813A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tcBorders>
                    <w:tl2br w:val="nil"/>
                    <w:tr2bl w:val="nil"/>
                  </w:tcBorders>
                  <w:noWrap w:val="0"/>
                  <w:vAlign w:val="center"/>
                </w:tcPr>
                <w:p w14:paraId="27B5A2A1">
                  <w:pPr>
                    <w:pStyle w:val="14"/>
                    <w:spacing w:after="0"/>
                    <w:ind w:left="0" w:leftChars="0"/>
                    <w:jc w:val="center"/>
                    <w:rPr>
                      <w:rFonts w:hint="default" w:ascii="Times New Roman" w:hAnsi="Times New Roman" w:eastAsia="宋体" w:cs="Times New Roman"/>
                      <w:b/>
                      <w:bCs w:val="0"/>
                      <w:color w:val="auto"/>
                      <w:spacing w:val="0"/>
                      <w:kern w:val="0"/>
                      <w:position w:val="0"/>
                      <w:sz w:val="21"/>
                      <w:szCs w:val="21"/>
                      <w:highlight w:val="none"/>
                    </w:rPr>
                  </w:pPr>
                  <w:r>
                    <w:rPr>
                      <w:rFonts w:hint="eastAsia" w:ascii="Times New Roman" w:hAnsi="Times New Roman" w:eastAsia="宋体" w:cs="Times New Roman"/>
                      <w:b/>
                      <w:bCs w:val="0"/>
                      <w:color w:val="auto"/>
                      <w:spacing w:val="0"/>
                      <w:kern w:val="0"/>
                      <w:position w:val="0"/>
                      <w:sz w:val="21"/>
                      <w:szCs w:val="21"/>
                      <w:highlight w:val="none"/>
                      <w:lang w:eastAsia="zh-CN"/>
                    </w:rPr>
                    <w:t>序号</w:t>
                  </w:r>
                </w:p>
              </w:tc>
              <w:tc>
                <w:tcPr>
                  <w:tcW w:w="1885" w:type="dxa"/>
                  <w:tcBorders>
                    <w:tl2br w:val="nil"/>
                    <w:tr2bl w:val="nil"/>
                  </w:tcBorders>
                  <w:shd w:val="clear" w:color="auto" w:fill="auto"/>
                  <w:noWrap w:val="0"/>
                  <w:vAlign w:val="center"/>
                </w:tcPr>
                <w:p w14:paraId="138CD3A7">
                  <w:pPr>
                    <w:pStyle w:val="14"/>
                    <w:spacing w:after="0"/>
                    <w:ind w:left="0" w:leftChars="0"/>
                    <w:jc w:val="center"/>
                    <w:rPr>
                      <w:rFonts w:hint="default" w:ascii="Times New Roman" w:hAnsi="Times New Roman" w:eastAsia="宋体" w:cs="Times New Roman"/>
                      <w:b/>
                      <w:bCs w:val="0"/>
                      <w:color w:val="auto"/>
                      <w:spacing w:val="0"/>
                      <w:kern w:val="0"/>
                      <w:position w:val="0"/>
                      <w:sz w:val="21"/>
                      <w:szCs w:val="21"/>
                      <w:highlight w:val="none"/>
                      <w:lang w:val="en-US" w:eastAsia="zh-CN" w:bidi="ar-SA"/>
                    </w:rPr>
                  </w:pPr>
                  <w:r>
                    <w:rPr>
                      <w:rFonts w:hint="eastAsia" w:ascii="Times New Roman" w:hAnsi="Times New Roman" w:eastAsia="宋体" w:cs="Times New Roman"/>
                      <w:b/>
                      <w:bCs w:val="0"/>
                      <w:color w:val="auto"/>
                      <w:spacing w:val="0"/>
                      <w:kern w:val="0"/>
                      <w:position w:val="0"/>
                      <w:sz w:val="21"/>
                      <w:szCs w:val="21"/>
                      <w:highlight w:val="none"/>
                      <w:lang w:val="en-US" w:eastAsia="zh-CN"/>
                    </w:rPr>
                    <w:t>设备名称</w:t>
                  </w:r>
                </w:p>
              </w:tc>
              <w:tc>
                <w:tcPr>
                  <w:tcW w:w="2353" w:type="dxa"/>
                  <w:tcBorders>
                    <w:tl2br w:val="nil"/>
                    <w:tr2bl w:val="nil"/>
                  </w:tcBorders>
                  <w:shd w:val="clear" w:color="auto" w:fill="auto"/>
                  <w:noWrap w:val="0"/>
                  <w:vAlign w:val="center"/>
                </w:tcPr>
                <w:p w14:paraId="566A49F7">
                  <w:pPr>
                    <w:pStyle w:val="14"/>
                    <w:spacing w:after="0"/>
                    <w:ind w:left="0" w:leftChars="0"/>
                    <w:jc w:val="center"/>
                    <w:rPr>
                      <w:rFonts w:hint="default" w:ascii="Times New Roman" w:hAnsi="Times New Roman" w:eastAsia="宋体" w:cs="Times New Roman"/>
                      <w:b/>
                      <w:bCs w:val="0"/>
                      <w:color w:val="auto"/>
                      <w:spacing w:val="0"/>
                      <w:kern w:val="0"/>
                      <w:position w:val="0"/>
                      <w:sz w:val="21"/>
                      <w:szCs w:val="21"/>
                      <w:highlight w:val="none"/>
                      <w:lang w:val="en-US" w:eastAsia="zh-CN" w:bidi="ar-SA"/>
                    </w:rPr>
                  </w:pPr>
                  <w:r>
                    <w:rPr>
                      <w:rFonts w:hint="eastAsia" w:cs="Times New Roman"/>
                      <w:b/>
                      <w:bCs w:val="0"/>
                      <w:color w:val="auto"/>
                      <w:spacing w:val="0"/>
                      <w:kern w:val="0"/>
                      <w:position w:val="0"/>
                      <w:sz w:val="21"/>
                      <w:szCs w:val="21"/>
                      <w:highlight w:val="none"/>
                      <w:lang w:val="en-US" w:eastAsia="zh-CN"/>
                    </w:rPr>
                    <w:t>迁建</w:t>
                  </w:r>
                  <w:r>
                    <w:rPr>
                      <w:rFonts w:hint="eastAsia" w:ascii="Times New Roman" w:hAnsi="Times New Roman" w:eastAsia="宋体" w:cs="Times New Roman"/>
                      <w:b/>
                      <w:bCs w:val="0"/>
                      <w:color w:val="auto"/>
                      <w:spacing w:val="0"/>
                      <w:kern w:val="0"/>
                      <w:position w:val="0"/>
                      <w:sz w:val="21"/>
                      <w:szCs w:val="21"/>
                      <w:highlight w:val="none"/>
                      <w:lang w:val="en-US" w:eastAsia="zh-CN"/>
                    </w:rPr>
                    <w:t>前设备数量</w:t>
                  </w:r>
                </w:p>
              </w:tc>
              <w:tc>
                <w:tcPr>
                  <w:tcW w:w="2060" w:type="dxa"/>
                  <w:tcBorders>
                    <w:tl2br w:val="nil"/>
                    <w:tr2bl w:val="nil"/>
                  </w:tcBorders>
                  <w:shd w:val="clear" w:color="auto" w:fill="auto"/>
                  <w:noWrap w:val="0"/>
                  <w:vAlign w:val="center"/>
                </w:tcPr>
                <w:p w14:paraId="3FA3419E">
                  <w:pPr>
                    <w:pStyle w:val="14"/>
                    <w:spacing w:after="0"/>
                    <w:ind w:left="0" w:leftChars="0"/>
                    <w:jc w:val="center"/>
                    <w:rPr>
                      <w:rFonts w:hint="eastAsia" w:ascii="Times New Roman" w:hAnsi="Times New Roman" w:eastAsia="宋体" w:cs="Times New Roman"/>
                      <w:b/>
                      <w:bCs w:val="0"/>
                      <w:color w:val="auto"/>
                      <w:spacing w:val="0"/>
                      <w:kern w:val="0"/>
                      <w:position w:val="0"/>
                      <w:sz w:val="21"/>
                      <w:szCs w:val="21"/>
                      <w:highlight w:val="none"/>
                      <w:lang w:val="en-US" w:eastAsia="zh-CN" w:bidi="ar-SA"/>
                    </w:rPr>
                  </w:pPr>
                  <w:r>
                    <w:rPr>
                      <w:rFonts w:hint="eastAsia" w:cs="Times New Roman"/>
                      <w:b/>
                      <w:bCs w:val="0"/>
                      <w:color w:val="auto"/>
                      <w:spacing w:val="0"/>
                      <w:kern w:val="0"/>
                      <w:position w:val="0"/>
                      <w:sz w:val="21"/>
                      <w:szCs w:val="21"/>
                      <w:highlight w:val="none"/>
                      <w:lang w:val="en-US" w:eastAsia="zh-CN"/>
                    </w:rPr>
                    <w:t>迁建</w:t>
                  </w:r>
                  <w:r>
                    <w:rPr>
                      <w:rFonts w:hint="eastAsia" w:ascii="Times New Roman" w:hAnsi="Times New Roman" w:eastAsia="宋体" w:cs="Times New Roman"/>
                      <w:b/>
                      <w:bCs w:val="0"/>
                      <w:color w:val="auto"/>
                      <w:spacing w:val="0"/>
                      <w:kern w:val="0"/>
                      <w:position w:val="0"/>
                      <w:sz w:val="21"/>
                      <w:szCs w:val="21"/>
                      <w:highlight w:val="none"/>
                      <w:lang w:val="en-US" w:eastAsia="zh-CN"/>
                    </w:rPr>
                    <w:t>后</w:t>
                  </w:r>
                  <w:r>
                    <w:rPr>
                      <w:rFonts w:hint="default" w:ascii="Times New Roman" w:hAnsi="Times New Roman" w:eastAsia="宋体" w:cs="Times New Roman"/>
                      <w:b/>
                      <w:bCs w:val="0"/>
                      <w:color w:val="auto"/>
                      <w:spacing w:val="0"/>
                      <w:kern w:val="0"/>
                      <w:position w:val="0"/>
                      <w:sz w:val="21"/>
                      <w:szCs w:val="21"/>
                      <w:highlight w:val="none"/>
                    </w:rPr>
                    <w:t>设备数量</w:t>
                  </w:r>
                </w:p>
              </w:tc>
              <w:tc>
                <w:tcPr>
                  <w:tcW w:w="1381" w:type="dxa"/>
                  <w:tcBorders>
                    <w:tl2br w:val="nil"/>
                    <w:tr2bl w:val="nil"/>
                  </w:tcBorders>
                  <w:noWrap w:val="0"/>
                  <w:vAlign w:val="center"/>
                </w:tcPr>
                <w:p w14:paraId="676D7623">
                  <w:pPr>
                    <w:pStyle w:val="14"/>
                    <w:spacing w:after="0"/>
                    <w:ind w:left="0" w:leftChars="0"/>
                    <w:jc w:val="center"/>
                    <w:rPr>
                      <w:rFonts w:hint="default" w:ascii="Times New Roman" w:hAnsi="Times New Roman" w:eastAsia="宋体" w:cs="Times New Roman"/>
                      <w:b/>
                      <w:bCs w:val="0"/>
                      <w:color w:val="auto"/>
                      <w:spacing w:val="0"/>
                      <w:kern w:val="0"/>
                      <w:position w:val="0"/>
                      <w:sz w:val="21"/>
                      <w:szCs w:val="21"/>
                      <w:highlight w:val="none"/>
                      <w:lang w:eastAsia="zh-CN"/>
                    </w:rPr>
                  </w:pPr>
                  <w:r>
                    <w:rPr>
                      <w:rFonts w:hint="eastAsia" w:ascii="Times New Roman" w:hAnsi="Times New Roman" w:eastAsia="宋体" w:cs="Times New Roman"/>
                      <w:b/>
                      <w:bCs w:val="0"/>
                      <w:color w:val="auto"/>
                      <w:spacing w:val="0"/>
                      <w:kern w:val="0"/>
                      <w:position w:val="0"/>
                      <w:sz w:val="21"/>
                      <w:szCs w:val="21"/>
                      <w:highlight w:val="none"/>
                      <w:lang w:val="en-US" w:eastAsia="zh-CN"/>
                    </w:rPr>
                    <w:t>变化情况</w:t>
                  </w:r>
                </w:p>
              </w:tc>
            </w:tr>
            <w:tr w14:paraId="7FEC66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tcBorders>
                    <w:tl2br w:val="nil"/>
                    <w:tr2bl w:val="nil"/>
                  </w:tcBorders>
                  <w:noWrap w:val="0"/>
                  <w:vAlign w:val="center"/>
                </w:tcPr>
                <w:p w14:paraId="6BB53ADE">
                  <w:pPr>
                    <w:pStyle w:val="14"/>
                    <w:spacing w:after="0"/>
                    <w:ind w:left="0" w:leftChars="0"/>
                    <w:jc w:val="center"/>
                    <w:rPr>
                      <w:rFonts w:hint="default" w:ascii="Times New Roman" w:hAnsi="Times New Roman" w:eastAsia="宋体" w:cs="Times New Roman"/>
                      <w:bCs/>
                      <w:color w:val="auto"/>
                      <w:spacing w:val="0"/>
                      <w:kern w:val="0"/>
                      <w:position w:val="0"/>
                      <w:sz w:val="21"/>
                      <w:szCs w:val="21"/>
                      <w:highlight w:val="none"/>
                    </w:rPr>
                  </w:pPr>
                  <w:r>
                    <w:rPr>
                      <w:rFonts w:hint="default" w:ascii="Times New Roman" w:hAnsi="Times New Roman" w:eastAsia="宋体" w:cs="Times New Roman"/>
                      <w:bCs/>
                      <w:color w:val="auto"/>
                      <w:spacing w:val="0"/>
                      <w:kern w:val="0"/>
                      <w:position w:val="0"/>
                      <w:sz w:val="21"/>
                      <w:szCs w:val="21"/>
                      <w:highlight w:val="none"/>
                    </w:rPr>
                    <w:t>1</w:t>
                  </w:r>
                </w:p>
              </w:tc>
              <w:tc>
                <w:tcPr>
                  <w:tcW w:w="1885" w:type="dxa"/>
                  <w:tcBorders>
                    <w:tl2br w:val="nil"/>
                    <w:tr2bl w:val="nil"/>
                  </w:tcBorders>
                  <w:shd w:val="clear" w:color="auto" w:fill="auto"/>
                  <w:noWrap w:val="0"/>
                  <w:vAlign w:val="center"/>
                </w:tcPr>
                <w:p w14:paraId="6EBD24BA">
                  <w:pPr>
                    <w:widowControl/>
                    <w:spacing w:line="240" w:lineRule="auto"/>
                    <w:jc w:val="center"/>
                    <w:textAlignment w:val="center"/>
                    <w:rPr>
                      <w:rFonts w:hint="default" w:ascii="Times New Roman" w:hAnsi="Times New Roman" w:eastAsia="宋体" w:cs="Times New Roman"/>
                      <w:bCs/>
                      <w:color w:val="auto"/>
                      <w:spacing w:val="0"/>
                      <w:kern w:val="0"/>
                      <w:position w:val="0"/>
                      <w:sz w:val="21"/>
                      <w:szCs w:val="21"/>
                      <w:highlight w:val="none"/>
                      <w:lang w:val="en-US" w:eastAsia="zh-CN" w:bidi="ar-SA"/>
                    </w:rPr>
                  </w:pPr>
                </w:p>
              </w:tc>
              <w:tc>
                <w:tcPr>
                  <w:tcW w:w="2353" w:type="dxa"/>
                  <w:tcBorders>
                    <w:tl2br w:val="nil"/>
                    <w:tr2bl w:val="nil"/>
                  </w:tcBorders>
                  <w:shd w:val="clear" w:color="auto" w:fill="auto"/>
                  <w:noWrap w:val="0"/>
                  <w:vAlign w:val="center"/>
                </w:tcPr>
                <w:p w14:paraId="3FE60A93">
                  <w:pPr>
                    <w:widowControl/>
                    <w:jc w:val="center"/>
                    <w:textAlignment w:val="center"/>
                    <w:rPr>
                      <w:rFonts w:hint="default" w:ascii="Times New Roman" w:hAnsi="Times New Roman" w:eastAsia="宋体" w:cs="Times New Roman"/>
                      <w:bCs/>
                      <w:color w:val="auto"/>
                      <w:spacing w:val="0"/>
                      <w:kern w:val="0"/>
                      <w:position w:val="0"/>
                      <w:sz w:val="21"/>
                      <w:szCs w:val="21"/>
                      <w:highlight w:val="none"/>
                      <w:lang w:val="en-US" w:eastAsia="zh-CN" w:bidi="ar-SA"/>
                    </w:rPr>
                  </w:pPr>
                </w:p>
              </w:tc>
              <w:tc>
                <w:tcPr>
                  <w:tcW w:w="2060" w:type="dxa"/>
                  <w:tcBorders>
                    <w:tl2br w:val="nil"/>
                    <w:tr2bl w:val="nil"/>
                  </w:tcBorders>
                  <w:shd w:val="clear" w:color="auto" w:fill="auto"/>
                  <w:noWrap w:val="0"/>
                  <w:vAlign w:val="center"/>
                </w:tcPr>
                <w:p w14:paraId="4BE45EE6">
                  <w:pPr>
                    <w:widowControl/>
                    <w:spacing w:line="240" w:lineRule="auto"/>
                    <w:jc w:val="center"/>
                    <w:textAlignment w:val="center"/>
                    <w:rPr>
                      <w:rFonts w:hint="eastAsia" w:ascii="Times New Roman" w:hAnsi="Times New Roman" w:eastAsia="宋体" w:cs="Times New Roman"/>
                      <w:bCs/>
                      <w:color w:val="auto"/>
                      <w:spacing w:val="0"/>
                      <w:kern w:val="0"/>
                      <w:position w:val="0"/>
                      <w:sz w:val="21"/>
                      <w:szCs w:val="21"/>
                      <w:highlight w:val="none"/>
                      <w:lang w:val="en-US" w:eastAsia="zh-CN" w:bidi="ar-SA"/>
                    </w:rPr>
                  </w:pPr>
                </w:p>
              </w:tc>
              <w:tc>
                <w:tcPr>
                  <w:tcW w:w="1381" w:type="dxa"/>
                  <w:tcBorders>
                    <w:tl2br w:val="nil"/>
                    <w:tr2bl w:val="nil"/>
                  </w:tcBorders>
                  <w:shd w:val="clear" w:color="auto" w:fill="auto"/>
                  <w:noWrap w:val="0"/>
                  <w:vAlign w:val="center"/>
                </w:tcPr>
                <w:p w14:paraId="559232B1">
                  <w:pPr>
                    <w:widowControl/>
                    <w:jc w:val="center"/>
                    <w:textAlignment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p>
              </w:tc>
            </w:tr>
            <w:tr w14:paraId="7F492D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tcBorders>
                    <w:tl2br w:val="nil"/>
                    <w:tr2bl w:val="nil"/>
                  </w:tcBorders>
                  <w:noWrap w:val="0"/>
                  <w:vAlign w:val="center"/>
                </w:tcPr>
                <w:p w14:paraId="5DCB36C0">
                  <w:pPr>
                    <w:pStyle w:val="14"/>
                    <w:spacing w:after="0"/>
                    <w:ind w:left="0" w:leftChars="0"/>
                    <w:jc w:val="center"/>
                    <w:rPr>
                      <w:rFonts w:hint="default" w:ascii="Times New Roman" w:hAnsi="Times New Roman" w:eastAsia="宋体" w:cs="Times New Roman"/>
                      <w:bCs/>
                      <w:color w:val="auto"/>
                      <w:spacing w:val="0"/>
                      <w:kern w:val="0"/>
                      <w:position w:val="0"/>
                      <w:sz w:val="21"/>
                      <w:szCs w:val="21"/>
                      <w:highlight w:val="none"/>
                      <w:lang w:val="en-US" w:eastAsia="zh-CN" w:bidi="ar-SA"/>
                    </w:rPr>
                  </w:pPr>
                  <w:r>
                    <w:rPr>
                      <w:rFonts w:hint="default" w:ascii="Times New Roman" w:hAnsi="Times New Roman" w:eastAsia="宋体" w:cs="Times New Roman"/>
                      <w:bCs/>
                      <w:color w:val="auto"/>
                      <w:spacing w:val="0"/>
                      <w:kern w:val="0"/>
                      <w:position w:val="0"/>
                      <w:sz w:val="21"/>
                      <w:szCs w:val="21"/>
                      <w:highlight w:val="none"/>
                    </w:rPr>
                    <w:t>2</w:t>
                  </w:r>
                </w:p>
              </w:tc>
              <w:tc>
                <w:tcPr>
                  <w:tcW w:w="1885" w:type="dxa"/>
                  <w:tcBorders>
                    <w:tl2br w:val="nil"/>
                    <w:tr2bl w:val="nil"/>
                  </w:tcBorders>
                  <w:shd w:val="clear" w:color="auto" w:fill="auto"/>
                  <w:noWrap w:val="0"/>
                  <w:vAlign w:val="center"/>
                </w:tcPr>
                <w:p w14:paraId="15B72C72">
                  <w:pPr>
                    <w:spacing w:line="240" w:lineRule="auto"/>
                    <w:jc w:val="center"/>
                    <w:rPr>
                      <w:rFonts w:hint="default" w:ascii="Times New Roman" w:hAnsi="Times New Roman" w:eastAsia="宋体" w:cs="Times New Roman"/>
                      <w:bCs/>
                      <w:color w:val="auto"/>
                      <w:spacing w:val="0"/>
                      <w:kern w:val="0"/>
                      <w:position w:val="0"/>
                      <w:sz w:val="21"/>
                      <w:szCs w:val="21"/>
                      <w:highlight w:val="none"/>
                      <w:lang w:val="en-US" w:eastAsia="zh-CN" w:bidi="ar-SA"/>
                    </w:rPr>
                  </w:pPr>
                </w:p>
              </w:tc>
              <w:tc>
                <w:tcPr>
                  <w:tcW w:w="2353" w:type="dxa"/>
                  <w:tcBorders>
                    <w:tl2br w:val="nil"/>
                    <w:tr2bl w:val="nil"/>
                  </w:tcBorders>
                  <w:shd w:val="clear" w:color="auto" w:fill="auto"/>
                  <w:noWrap w:val="0"/>
                  <w:vAlign w:val="center"/>
                </w:tcPr>
                <w:p w14:paraId="45985708">
                  <w:pPr>
                    <w:widowControl/>
                    <w:jc w:val="center"/>
                    <w:textAlignment w:val="center"/>
                    <w:rPr>
                      <w:rFonts w:hint="default" w:ascii="Times New Roman" w:hAnsi="Times New Roman" w:eastAsia="宋体" w:cs="Times New Roman"/>
                      <w:bCs/>
                      <w:color w:val="auto"/>
                      <w:spacing w:val="0"/>
                      <w:kern w:val="0"/>
                      <w:position w:val="0"/>
                      <w:sz w:val="21"/>
                      <w:szCs w:val="21"/>
                      <w:highlight w:val="none"/>
                      <w:lang w:val="en-US" w:eastAsia="zh-CN" w:bidi="ar-SA"/>
                    </w:rPr>
                  </w:pPr>
                </w:p>
              </w:tc>
              <w:tc>
                <w:tcPr>
                  <w:tcW w:w="2060" w:type="dxa"/>
                  <w:tcBorders>
                    <w:tl2br w:val="nil"/>
                    <w:tr2bl w:val="nil"/>
                  </w:tcBorders>
                  <w:shd w:val="clear" w:color="auto" w:fill="auto"/>
                  <w:noWrap w:val="0"/>
                  <w:vAlign w:val="center"/>
                </w:tcPr>
                <w:p w14:paraId="115DE6C3">
                  <w:pPr>
                    <w:widowControl/>
                    <w:spacing w:line="240" w:lineRule="auto"/>
                    <w:jc w:val="center"/>
                    <w:textAlignment w:val="center"/>
                    <w:rPr>
                      <w:rFonts w:hint="eastAsia" w:ascii="Times New Roman" w:hAnsi="Times New Roman" w:eastAsia="宋体" w:cs="Times New Roman"/>
                      <w:bCs/>
                      <w:color w:val="auto"/>
                      <w:spacing w:val="0"/>
                      <w:kern w:val="0"/>
                      <w:position w:val="0"/>
                      <w:sz w:val="21"/>
                      <w:szCs w:val="21"/>
                      <w:highlight w:val="none"/>
                      <w:lang w:val="en-US" w:eastAsia="zh-CN" w:bidi="ar-SA"/>
                    </w:rPr>
                  </w:pPr>
                </w:p>
              </w:tc>
              <w:tc>
                <w:tcPr>
                  <w:tcW w:w="1381" w:type="dxa"/>
                  <w:tcBorders>
                    <w:tl2br w:val="nil"/>
                    <w:tr2bl w:val="nil"/>
                  </w:tcBorders>
                  <w:shd w:val="clear" w:color="auto" w:fill="auto"/>
                  <w:noWrap w:val="0"/>
                  <w:vAlign w:val="center"/>
                </w:tcPr>
                <w:p w14:paraId="328F39D4">
                  <w:pPr>
                    <w:widowControl/>
                    <w:jc w:val="center"/>
                    <w:textAlignment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p>
              </w:tc>
            </w:tr>
            <w:tr w14:paraId="4A72A2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tcBorders>
                    <w:tl2br w:val="nil"/>
                    <w:tr2bl w:val="nil"/>
                  </w:tcBorders>
                  <w:noWrap w:val="0"/>
                  <w:vAlign w:val="center"/>
                </w:tcPr>
                <w:p w14:paraId="0C0780C6">
                  <w:pPr>
                    <w:pStyle w:val="14"/>
                    <w:spacing w:after="0"/>
                    <w:ind w:left="0" w:leftChars="0"/>
                    <w:jc w:val="center"/>
                    <w:rPr>
                      <w:rFonts w:hint="default" w:ascii="Times New Roman" w:hAnsi="Times New Roman" w:eastAsia="宋体" w:cs="Times New Roman"/>
                      <w:bCs/>
                      <w:color w:val="auto"/>
                      <w:spacing w:val="0"/>
                      <w:kern w:val="0"/>
                      <w:position w:val="0"/>
                      <w:sz w:val="21"/>
                      <w:szCs w:val="21"/>
                      <w:highlight w:val="none"/>
                      <w:lang w:val="en-US" w:eastAsia="zh-CN" w:bidi="ar-SA"/>
                    </w:rPr>
                  </w:pPr>
                  <w:r>
                    <w:rPr>
                      <w:rFonts w:hint="default" w:ascii="Times New Roman" w:hAnsi="Times New Roman" w:eastAsia="宋体" w:cs="Times New Roman"/>
                      <w:bCs/>
                      <w:color w:val="auto"/>
                      <w:spacing w:val="0"/>
                      <w:kern w:val="0"/>
                      <w:position w:val="0"/>
                      <w:sz w:val="21"/>
                      <w:szCs w:val="21"/>
                      <w:highlight w:val="none"/>
                    </w:rPr>
                    <w:t>3</w:t>
                  </w:r>
                </w:p>
              </w:tc>
              <w:tc>
                <w:tcPr>
                  <w:tcW w:w="1885" w:type="dxa"/>
                  <w:tcBorders>
                    <w:tl2br w:val="nil"/>
                    <w:tr2bl w:val="nil"/>
                  </w:tcBorders>
                  <w:shd w:val="clear" w:color="auto" w:fill="auto"/>
                  <w:noWrap w:val="0"/>
                  <w:vAlign w:val="center"/>
                </w:tcPr>
                <w:p w14:paraId="164E0788">
                  <w:pPr>
                    <w:widowControl/>
                    <w:spacing w:line="240" w:lineRule="auto"/>
                    <w:jc w:val="center"/>
                    <w:textAlignment w:val="center"/>
                    <w:rPr>
                      <w:rFonts w:hint="default" w:ascii="Times New Roman" w:hAnsi="Times New Roman" w:eastAsia="宋体" w:cs="Times New Roman"/>
                      <w:bCs/>
                      <w:color w:val="auto"/>
                      <w:spacing w:val="0"/>
                      <w:kern w:val="0"/>
                      <w:position w:val="0"/>
                      <w:sz w:val="21"/>
                      <w:szCs w:val="21"/>
                      <w:highlight w:val="none"/>
                      <w:lang w:val="en-US" w:eastAsia="zh-CN" w:bidi="ar-SA"/>
                    </w:rPr>
                  </w:pPr>
                </w:p>
              </w:tc>
              <w:tc>
                <w:tcPr>
                  <w:tcW w:w="2353" w:type="dxa"/>
                  <w:tcBorders>
                    <w:tl2br w:val="nil"/>
                    <w:tr2bl w:val="nil"/>
                  </w:tcBorders>
                  <w:shd w:val="clear" w:color="auto" w:fill="auto"/>
                  <w:noWrap w:val="0"/>
                  <w:vAlign w:val="center"/>
                </w:tcPr>
                <w:p w14:paraId="42A94787">
                  <w:pPr>
                    <w:widowControl/>
                    <w:jc w:val="center"/>
                    <w:textAlignment w:val="center"/>
                    <w:rPr>
                      <w:rFonts w:hint="default" w:ascii="Times New Roman" w:hAnsi="Times New Roman" w:eastAsia="宋体" w:cs="Times New Roman"/>
                      <w:bCs/>
                      <w:color w:val="auto"/>
                      <w:spacing w:val="0"/>
                      <w:kern w:val="0"/>
                      <w:position w:val="0"/>
                      <w:sz w:val="21"/>
                      <w:szCs w:val="21"/>
                      <w:highlight w:val="none"/>
                      <w:lang w:val="en-US" w:eastAsia="zh-CN" w:bidi="ar-SA"/>
                    </w:rPr>
                  </w:pPr>
                </w:p>
              </w:tc>
              <w:tc>
                <w:tcPr>
                  <w:tcW w:w="2060" w:type="dxa"/>
                  <w:tcBorders>
                    <w:tl2br w:val="nil"/>
                    <w:tr2bl w:val="nil"/>
                  </w:tcBorders>
                  <w:shd w:val="clear" w:color="auto" w:fill="auto"/>
                  <w:noWrap w:val="0"/>
                  <w:vAlign w:val="center"/>
                </w:tcPr>
                <w:p w14:paraId="3151091B">
                  <w:pPr>
                    <w:widowControl/>
                    <w:spacing w:line="240" w:lineRule="auto"/>
                    <w:jc w:val="center"/>
                    <w:textAlignment w:val="center"/>
                    <w:rPr>
                      <w:rFonts w:hint="eastAsia" w:ascii="Times New Roman" w:hAnsi="Times New Roman" w:eastAsia="宋体" w:cs="Times New Roman"/>
                      <w:bCs/>
                      <w:color w:val="auto"/>
                      <w:spacing w:val="0"/>
                      <w:kern w:val="0"/>
                      <w:position w:val="0"/>
                      <w:sz w:val="21"/>
                      <w:szCs w:val="21"/>
                      <w:highlight w:val="none"/>
                      <w:lang w:val="en-US" w:eastAsia="zh-CN" w:bidi="ar-SA"/>
                    </w:rPr>
                  </w:pPr>
                </w:p>
              </w:tc>
              <w:tc>
                <w:tcPr>
                  <w:tcW w:w="1381" w:type="dxa"/>
                  <w:tcBorders>
                    <w:tl2br w:val="nil"/>
                    <w:tr2bl w:val="nil"/>
                  </w:tcBorders>
                  <w:shd w:val="clear" w:color="auto" w:fill="auto"/>
                  <w:noWrap w:val="0"/>
                  <w:vAlign w:val="center"/>
                </w:tcPr>
                <w:p w14:paraId="006A5BC7">
                  <w:pPr>
                    <w:widowControl/>
                    <w:jc w:val="center"/>
                    <w:textAlignment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p>
              </w:tc>
            </w:tr>
            <w:tr w14:paraId="1F5BA8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tcBorders>
                    <w:tl2br w:val="nil"/>
                    <w:tr2bl w:val="nil"/>
                  </w:tcBorders>
                  <w:noWrap w:val="0"/>
                  <w:vAlign w:val="center"/>
                </w:tcPr>
                <w:p w14:paraId="1A8B5E55">
                  <w:pPr>
                    <w:pStyle w:val="14"/>
                    <w:spacing w:after="0"/>
                    <w:ind w:left="0" w:leftChars="0"/>
                    <w:jc w:val="center"/>
                    <w:rPr>
                      <w:rFonts w:hint="default" w:ascii="Times New Roman" w:hAnsi="Times New Roman" w:eastAsia="宋体" w:cs="Times New Roman"/>
                      <w:bCs/>
                      <w:color w:val="auto"/>
                      <w:spacing w:val="0"/>
                      <w:kern w:val="0"/>
                      <w:position w:val="0"/>
                      <w:sz w:val="21"/>
                      <w:szCs w:val="21"/>
                      <w:highlight w:val="none"/>
                      <w:lang w:val="en-US" w:eastAsia="zh-CN" w:bidi="ar-SA"/>
                    </w:rPr>
                  </w:pPr>
                  <w:r>
                    <w:rPr>
                      <w:rFonts w:hint="default" w:ascii="Times New Roman" w:hAnsi="Times New Roman" w:eastAsia="宋体" w:cs="Times New Roman"/>
                      <w:bCs/>
                      <w:color w:val="auto"/>
                      <w:spacing w:val="0"/>
                      <w:kern w:val="0"/>
                      <w:position w:val="0"/>
                      <w:sz w:val="21"/>
                      <w:szCs w:val="21"/>
                      <w:highlight w:val="none"/>
                    </w:rPr>
                    <w:t>4</w:t>
                  </w:r>
                </w:p>
              </w:tc>
              <w:tc>
                <w:tcPr>
                  <w:tcW w:w="1885" w:type="dxa"/>
                  <w:tcBorders>
                    <w:tl2br w:val="nil"/>
                    <w:tr2bl w:val="nil"/>
                  </w:tcBorders>
                  <w:shd w:val="clear" w:color="auto" w:fill="auto"/>
                  <w:noWrap w:val="0"/>
                  <w:vAlign w:val="center"/>
                </w:tcPr>
                <w:p w14:paraId="6CBE6E15">
                  <w:pPr>
                    <w:spacing w:line="240" w:lineRule="auto"/>
                    <w:jc w:val="center"/>
                    <w:rPr>
                      <w:rFonts w:hint="default" w:ascii="Times New Roman" w:hAnsi="Times New Roman" w:eastAsia="宋体" w:cs="Times New Roman"/>
                      <w:bCs/>
                      <w:color w:val="auto"/>
                      <w:spacing w:val="0"/>
                      <w:kern w:val="0"/>
                      <w:position w:val="0"/>
                      <w:sz w:val="21"/>
                      <w:szCs w:val="21"/>
                      <w:highlight w:val="none"/>
                      <w:lang w:val="en-US" w:eastAsia="zh-CN" w:bidi="ar-SA"/>
                    </w:rPr>
                  </w:pPr>
                </w:p>
              </w:tc>
              <w:tc>
                <w:tcPr>
                  <w:tcW w:w="2353" w:type="dxa"/>
                  <w:tcBorders>
                    <w:tl2br w:val="nil"/>
                    <w:tr2bl w:val="nil"/>
                  </w:tcBorders>
                  <w:shd w:val="clear" w:color="auto" w:fill="auto"/>
                  <w:noWrap w:val="0"/>
                  <w:vAlign w:val="center"/>
                </w:tcPr>
                <w:p w14:paraId="298B69F2">
                  <w:pPr>
                    <w:widowControl/>
                    <w:jc w:val="center"/>
                    <w:textAlignment w:val="center"/>
                    <w:rPr>
                      <w:rFonts w:hint="default" w:ascii="Times New Roman" w:hAnsi="Times New Roman" w:eastAsia="宋体" w:cs="Times New Roman"/>
                      <w:bCs/>
                      <w:color w:val="auto"/>
                      <w:spacing w:val="0"/>
                      <w:kern w:val="0"/>
                      <w:position w:val="0"/>
                      <w:sz w:val="21"/>
                      <w:szCs w:val="21"/>
                      <w:highlight w:val="none"/>
                      <w:lang w:val="en-US" w:eastAsia="zh-CN" w:bidi="ar-SA"/>
                    </w:rPr>
                  </w:pPr>
                </w:p>
              </w:tc>
              <w:tc>
                <w:tcPr>
                  <w:tcW w:w="2060" w:type="dxa"/>
                  <w:tcBorders>
                    <w:tl2br w:val="nil"/>
                    <w:tr2bl w:val="nil"/>
                  </w:tcBorders>
                  <w:shd w:val="clear" w:color="auto" w:fill="auto"/>
                  <w:noWrap w:val="0"/>
                  <w:vAlign w:val="center"/>
                </w:tcPr>
                <w:p w14:paraId="0CC49A64">
                  <w:pPr>
                    <w:widowControl/>
                    <w:spacing w:line="240" w:lineRule="auto"/>
                    <w:jc w:val="center"/>
                    <w:textAlignment w:val="center"/>
                    <w:rPr>
                      <w:rFonts w:hint="default" w:ascii="Times New Roman" w:hAnsi="Times New Roman" w:eastAsia="宋体" w:cs="Times New Roman"/>
                      <w:bCs/>
                      <w:color w:val="auto"/>
                      <w:spacing w:val="0"/>
                      <w:kern w:val="0"/>
                      <w:position w:val="0"/>
                      <w:sz w:val="21"/>
                      <w:szCs w:val="21"/>
                      <w:highlight w:val="none"/>
                      <w:lang w:val="en-US" w:eastAsia="zh-CN" w:bidi="ar-SA"/>
                    </w:rPr>
                  </w:pPr>
                </w:p>
              </w:tc>
              <w:tc>
                <w:tcPr>
                  <w:tcW w:w="1381" w:type="dxa"/>
                  <w:tcBorders>
                    <w:tl2br w:val="nil"/>
                    <w:tr2bl w:val="nil"/>
                  </w:tcBorders>
                  <w:shd w:val="clear" w:color="auto" w:fill="auto"/>
                  <w:noWrap w:val="0"/>
                  <w:vAlign w:val="center"/>
                </w:tcPr>
                <w:p w14:paraId="2B6E84F0">
                  <w:pPr>
                    <w:widowControl/>
                    <w:jc w:val="center"/>
                    <w:textAlignment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p>
              </w:tc>
            </w:tr>
            <w:tr w14:paraId="5E8B5F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tcBorders>
                    <w:tl2br w:val="nil"/>
                    <w:tr2bl w:val="nil"/>
                  </w:tcBorders>
                  <w:noWrap w:val="0"/>
                  <w:vAlign w:val="center"/>
                </w:tcPr>
                <w:p w14:paraId="48039840">
                  <w:pPr>
                    <w:pStyle w:val="14"/>
                    <w:spacing w:after="0"/>
                    <w:ind w:left="0" w:leftChars="0"/>
                    <w:jc w:val="center"/>
                    <w:rPr>
                      <w:rFonts w:hint="default" w:ascii="Times New Roman" w:hAnsi="Times New Roman" w:eastAsia="宋体" w:cs="Times New Roman"/>
                      <w:bCs/>
                      <w:color w:val="auto"/>
                      <w:spacing w:val="0"/>
                      <w:kern w:val="0"/>
                      <w:position w:val="0"/>
                      <w:sz w:val="21"/>
                      <w:szCs w:val="21"/>
                      <w:highlight w:val="none"/>
                      <w:lang w:val="en-US" w:eastAsia="zh-CN" w:bidi="ar-SA"/>
                    </w:rPr>
                  </w:pPr>
                  <w:r>
                    <w:rPr>
                      <w:rFonts w:hint="default" w:ascii="Times New Roman" w:hAnsi="Times New Roman" w:eastAsia="宋体" w:cs="Times New Roman"/>
                      <w:bCs/>
                      <w:color w:val="auto"/>
                      <w:spacing w:val="0"/>
                      <w:kern w:val="0"/>
                      <w:position w:val="0"/>
                      <w:sz w:val="21"/>
                      <w:szCs w:val="21"/>
                      <w:highlight w:val="none"/>
                    </w:rPr>
                    <w:t>5</w:t>
                  </w:r>
                </w:p>
              </w:tc>
              <w:tc>
                <w:tcPr>
                  <w:tcW w:w="1885" w:type="dxa"/>
                  <w:tcBorders>
                    <w:tl2br w:val="nil"/>
                    <w:tr2bl w:val="nil"/>
                  </w:tcBorders>
                  <w:shd w:val="clear" w:color="auto" w:fill="auto"/>
                  <w:noWrap w:val="0"/>
                  <w:vAlign w:val="center"/>
                </w:tcPr>
                <w:p w14:paraId="1C12D0D9">
                  <w:pPr>
                    <w:spacing w:line="240" w:lineRule="auto"/>
                    <w:jc w:val="center"/>
                    <w:rPr>
                      <w:rFonts w:hint="default" w:ascii="Times New Roman" w:hAnsi="Times New Roman" w:eastAsia="宋体" w:cs="Times New Roman"/>
                      <w:bCs/>
                      <w:color w:val="auto"/>
                      <w:spacing w:val="0"/>
                      <w:kern w:val="0"/>
                      <w:position w:val="0"/>
                      <w:sz w:val="21"/>
                      <w:szCs w:val="21"/>
                      <w:highlight w:val="none"/>
                      <w:lang w:val="en-US" w:eastAsia="zh-CN" w:bidi="ar-SA"/>
                    </w:rPr>
                  </w:pPr>
                </w:p>
              </w:tc>
              <w:tc>
                <w:tcPr>
                  <w:tcW w:w="2353" w:type="dxa"/>
                  <w:tcBorders>
                    <w:tl2br w:val="nil"/>
                    <w:tr2bl w:val="nil"/>
                  </w:tcBorders>
                  <w:shd w:val="clear" w:color="auto" w:fill="auto"/>
                  <w:noWrap w:val="0"/>
                  <w:vAlign w:val="center"/>
                </w:tcPr>
                <w:p w14:paraId="58ED62E1">
                  <w:pPr>
                    <w:widowControl/>
                    <w:spacing w:line="240" w:lineRule="auto"/>
                    <w:jc w:val="center"/>
                    <w:textAlignment w:val="center"/>
                    <w:rPr>
                      <w:rFonts w:hint="default" w:ascii="Times New Roman" w:hAnsi="Times New Roman" w:eastAsia="宋体" w:cs="Times New Roman"/>
                      <w:bCs/>
                      <w:color w:val="auto"/>
                      <w:spacing w:val="0"/>
                      <w:kern w:val="0"/>
                      <w:position w:val="0"/>
                      <w:sz w:val="21"/>
                      <w:szCs w:val="21"/>
                      <w:highlight w:val="none"/>
                      <w:lang w:val="en-US" w:eastAsia="zh-CN" w:bidi="ar-SA"/>
                    </w:rPr>
                  </w:pPr>
                </w:p>
              </w:tc>
              <w:tc>
                <w:tcPr>
                  <w:tcW w:w="2060" w:type="dxa"/>
                  <w:tcBorders>
                    <w:tl2br w:val="nil"/>
                    <w:tr2bl w:val="nil"/>
                  </w:tcBorders>
                  <w:shd w:val="clear" w:color="auto" w:fill="auto"/>
                  <w:noWrap w:val="0"/>
                  <w:vAlign w:val="center"/>
                </w:tcPr>
                <w:p w14:paraId="2EF66B18">
                  <w:pPr>
                    <w:widowControl/>
                    <w:spacing w:line="240" w:lineRule="auto"/>
                    <w:jc w:val="center"/>
                    <w:textAlignment w:val="center"/>
                    <w:rPr>
                      <w:rFonts w:hint="eastAsia" w:ascii="Times New Roman" w:hAnsi="Times New Roman" w:eastAsia="宋体" w:cs="Times New Roman"/>
                      <w:bCs/>
                      <w:color w:val="auto"/>
                      <w:spacing w:val="0"/>
                      <w:kern w:val="0"/>
                      <w:position w:val="0"/>
                      <w:sz w:val="21"/>
                      <w:szCs w:val="21"/>
                      <w:highlight w:val="none"/>
                      <w:lang w:val="en-US" w:eastAsia="zh-CN" w:bidi="ar-SA"/>
                    </w:rPr>
                  </w:pPr>
                </w:p>
              </w:tc>
              <w:tc>
                <w:tcPr>
                  <w:tcW w:w="1381" w:type="dxa"/>
                  <w:tcBorders>
                    <w:tl2br w:val="nil"/>
                    <w:tr2bl w:val="nil"/>
                  </w:tcBorders>
                  <w:shd w:val="clear" w:color="auto" w:fill="auto"/>
                  <w:noWrap w:val="0"/>
                  <w:vAlign w:val="center"/>
                </w:tcPr>
                <w:p w14:paraId="56B682C6">
                  <w:pPr>
                    <w:widowControl/>
                    <w:jc w:val="center"/>
                    <w:textAlignment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p>
              </w:tc>
            </w:tr>
          </w:tbl>
          <w:p w14:paraId="24EFF396">
            <w:pPr>
              <w:keepNext w:val="0"/>
              <w:keepLines w:val="0"/>
              <w:pageBreakBefore w:val="0"/>
              <w:widowControl/>
              <w:kinsoku/>
              <w:wordWrap/>
              <w:overflowPunct/>
              <w:topLinePunct w:val="0"/>
              <w:autoSpaceDE/>
              <w:autoSpaceDN/>
              <w:bidi w:val="0"/>
              <w:adjustRightInd/>
              <w:snapToGrid w:val="0"/>
              <w:spacing w:before="157" w:beforeLines="50" w:line="360" w:lineRule="auto"/>
              <w:textAlignment w:val="auto"/>
              <w:rPr>
                <w:rFonts w:hint="eastAsia" w:ascii="Times New Roman" w:hAnsi="Times New Roman" w:eastAsia="宋体" w:cs="Times New Roman"/>
                <w:b/>
                <w:bCs/>
                <w:color w:val="auto"/>
                <w:spacing w:val="0"/>
                <w:kern w:val="0"/>
                <w:position w:val="0"/>
                <w:sz w:val="24"/>
                <w:highlight w:val="none"/>
              </w:rPr>
            </w:pPr>
            <w:r>
              <w:rPr>
                <w:rFonts w:hint="eastAsia" w:ascii="Times New Roman" w:hAnsi="Times New Roman" w:eastAsia="宋体" w:cs="Times New Roman"/>
                <w:b/>
                <w:bCs/>
                <w:color w:val="auto"/>
                <w:spacing w:val="0"/>
                <w:kern w:val="0"/>
                <w:position w:val="0"/>
                <w:sz w:val="24"/>
                <w:highlight w:val="none"/>
              </w:rPr>
              <w:t>2.6主要原辅材料及能源消耗</w:t>
            </w:r>
          </w:p>
          <w:p w14:paraId="6B6019B9">
            <w:pPr>
              <w:widowControl/>
              <w:snapToGrid w:val="0"/>
              <w:spacing w:line="360" w:lineRule="auto"/>
              <w:ind w:firstLine="480" w:firstLineChars="200"/>
              <w:rPr>
                <w:rFonts w:hint="eastAsia" w:ascii="Times New Roman" w:hAnsi="Times New Roman" w:eastAsia="宋体" w:cs="Times New Roman"/>
                <w:color w:val="auto"/>
                <w:spacing w:val="0"/>
                <w:position w:val="0"/>
                <w:sz w:val="24"/>
                <w:szCs w:val="32"/>
                <w:highlight w:val="none"/>
              </w:rPr>
            </w:pPr>
            <w:r>
              <w:rPr>
                <w:rFonts w:hint="eastAsia" w:cs="Times New Roman"/>
                <w:color w:val="auto"/>
                <w:spacing w:val="0"/>
                <w:position w:val="0"/>
                <w:sz w:val="24"/>
                <w:highlight w:val="none"/>
                <w:lang w:val="en-US" w:eastAsia="zh-CN"/>
              </w:rPr>
              <w:t>迁建</w:t>
            </w:r>
            <w:r>
              <w:rPr>
                <w:rFonts w:hint="eastAsia" w:ascii="Times New Roman" w:hAnsi="Times New Roman" w:eastAsia="宋体" w:cs="Times New Roman"/>
                <w:color w:val="auto"/>
                <w:spacing w:val="0"/>
                <w:position w:val="0"/>
                <w:sz w:val="24"/>
                <w:highlight w:val="none"/>
                <w:lang w:val="en-US" w:eastAsia="zh-CN"/>
              </w:rPr>
              <w:t>后</w:t>
            </w:r>
            <w:r>
              <w:rPr>
                <w:rFonts w:hint="eastAsia" w:ascii="Times New Roman" w:hAnsi="Times New Roman" w:eastAsia="宋体" w:cs="Times New Roman"/>
                <w:color w:val="auto"/>
                <w:spacing w:val="0"/>
                <w:position w:val="0"/>
                <w:sz w:val="24"/>
                <w:szCs w:val="32"/>
                <w:highlight w:val="none"/>
              </w:rPr>
              <w:t>项目原辅材料、资源及能源消耗情况见表</w:t>
            </w:r>
            <w:r>
              <w:rPr>
                <w:rFonts w:ascii="Times New Roman" w:hAnsi="Times New Roman" w:eastAsia="宋体" w:cs="Times New Roman"/>
                <w:color w:val="auto"/>
                <w:spacing w:val="0"/>
                <w:position w:val="0"/>
                <w:sz w:val="24"/>
                <w:szCs w:val="32"/>
                <w:highlight w:val="none"/>
              </w:rPr>
              <w:t>2</w:t>
            </w:r>
            <w:r>
              <w:rPr>
                <w:rFonts w:hint="eastAsia" w:ascii="Times New Roman" w:hAnsi="Times New Roman" w:eastAsia="宋体" w:cs="Times New Roman"/>
                <w:color w:val="auto"/>
                <w:spacing w:val="0"/>
                <w:position w:val="0"/>
                <w:sz w:val="24"/>
                <w:szCs w:val="32"/>
                <w:highlight w:val="none"/>
                <w:lang w:val="en-US" w:eastAsia="zh-CN"/>
              </w:rPr>
              <w:t>.6-1，</w:t>
            </w:r>
            <w:r>
              <w:rPr>
                <w:rFonts w:hint="eastAsia" w:cs="Times New Roman"/>
                <w:color w:val="auto"/>
                <w:spacing w:val="0"/>
                <w:position w:val="0"/>
                <w:sz w:val="24"/>
                <w:highlight w:val="none"/>
                <w:lang w:val="en-US" w:eastAsia="zh-CN"/>
              </w:rPr>
              <w:t>迁建</w:t>
            </w:r>
            <w:r>
              <w:rPr>
                <w:rFonts w:hint="eastAsia" w:ascii="Times New Roman" w:hAnsi="Times New Roman" w:eastAsia="宋体" w:cs="Times New Roman"/>
                <w:color w:val="auto"/>
                <w:spacing w:val="0"/>
                <w:position w:val="0"/>
                <w:sz w:val="24"/>
                <w:highlight w:val="none"/>
                <w:lang w:val="en-US" w:eastAsia="zh-CN"/>
              </w:rPr>
              <w:t>前</w:t>
            </w:r>
            <w:r>
              <w:rPr>
                <w:rFonts w:hint="eastAsia" w:cs="Times New Roman"/>
                <w:color w:val="auto"/>
                <w:spacing w:val="0"/>
                <w:position w:val="0"/>
                <w:sz w:val="24"/>
                <w:highlight w:val="none"/>
                <w:lang w:val="en-US" w:eastAsia="zh-CN"/>
              </w:rPr>
              <w:t>与迁建</w:t>
            </w:r>
            <w:r>
              <w:rPr>
                <w:rFonts w:hint="eastAsia" w:ascii="Times New Roman" w:hAnsi="Times New Roman" w:eastAsia="宋体" w:cs="Times New Roman"/>
                <w:color w:val="auto"/>
                <w:spacing w:val="0"/>
                <w:position w:val="0"/>
                <w:sz w:val="24"/>
                <w:highlight w:val="none"/>
                <w:lang w:val="en-US" w:eastAsia="zh-CN"/>
              </w:rPr>
              <w:t>后项目</w:t>
            </w:r>
            <w:r>
              <w:rPr>
                <w:rFonts w:hint="eastAsia" w:ascii="Times New Roman" w:hAnsi="Times New Roman" w:eastAsia="宋体" w:cs="Times New Roman"/>
                <w:color w:val="auto"/>
                <w:spacing w:val="0"/>
                <w:position w:val="0"/>
                <w:sz w:val="24"/>
                <w:szCs w:val="32"/>
                <w:highlight w:val="none"/>
              </w:rPr>
              <w:t>原辅材料、资源及能源</w:t>
            </w:r>
            <w:r>
              <w:rPr>
                <w:rFonts w:hint="eastAsia" w:ascii="Times New Roman" w:hAnsi="Times New Roman" w:eastAsia="宋体" w:cs="Times New Roman"/>
                <w:color w:val="auto"/>
                <w:spacing w:val="0"/>
                <w:position w:val="0"/>
                <w:sz w:val="24"/>
                <w:szCs w:val="32"/>
                <w:highlight w:val="none"/>
                <w:lang w:val="en-US" w:eastAsia="zh-CN"/>
              </w:rPr>
              <w:t>变化</w:t>
            </w:r>
            <w:r>
              <w:rPr>
                <w:rFonts w:hint="eastAsia" w:ascii="Times New Roman" w:hAnsi="Times New Roman" w:eastAsia="宋体" w:cs="Times New Roman"/>
                <w:color w:val="auto"/>
                <w:spacing w:val="0"/>
                <w:position w:val="0"/>
                <w:sz w:val="24"/>
                <w:szCs w:val="32"/>
                <w:highlight w:val="none"/>
              </w:rPr>
              <w:t>情况见表</w:t>
            </w:r>
            <w:r>
              <w:rPr>
                <w:rFonts w:ascii="Times New Roman" w:hAnsi="Times New Roman" w:eastAsia="宋体" w:cs="Times New Roman"/>
                <w:color w:val="auto"/>
                <w:spacing w:val="0"/>
                <w:position w:val="0"/>
                <w:sz w:val="24"/>
                <w:szCs w:val="32"/>
                <w:highlight w:val="none"/>
              </w:rPr>
              <w:t>2</w:t>
            </w:r>
            <w:r>
              <w:rPr>
                <w:rFonts w:hint="eastAsia" w:ascii="Times New Roman" w:hAnsi="Times New Roman" w:eastAsia="宋体" w:cs="Times New Roman"/>
                <w:color w:val="auto"/>
                <w:spacing w:val="0"/>
                <w:position w:val="0"/>
                <w:sz w:val="24"/>
                <w:szCs w:val="32"/>
                <w:highlight w:val="none"/>
                <w:lang w:val="en-US" w:eastAsia="zh-CN"/>
              </w:rPr>
              <w:t>.6-2，主要原辅材料理化性质详见表2.6-3</w:t>
            </w:r>
            <w:r>
              <w:rPr>
                <w:rFonts w:hint="eastAsia" w:ascii="Times New Roman" w:hAnsi="Times New Roman" w:eastAsia="宋体" w:cs="Times New Roman"/>
                <w:color w:val="auto"/>
                <w:spacing w:val="0"/>
                <w:position w:val="0"/>
                <w:sz w:val="24"/>
                <w:szCs w:val="32"/>
                <w:highlight w:val="none"/>
              </w:rPr>
              <w:t>。</w:t>
            </w:r>
          </w:p>
          <w:p w14:paraId="097AFBBF">
            <w:pPr>
              <w:widowControl/>
              <w:jc w:val="center"/>
              <w:rPr>
                <w:rFonts w:hint="eastAsia" w:ascii="Times New Roman" w:hAnsi="Times New Roman" w:eastAsia="宋体" w:cs="Times New Roman"/>
                <w:b/>
                <w:color w:val="auto"/>
                <w:spacing w:val="0"/>
                <w:position w:val="0"/>
                <w:sz w:val="24"/>
                <w:highlight w:val="none"/>
              </w:rPr>
            </w:pPr>
            <w:r>
              <w:rPr>
                <w:rFonts w:hint="eastAsia" w:ascii="Times New Roman" w:hAnsi="Times New Roman" w:eastAsia="宋体" w:cs="Times New Roman"/>
                <w:b/>
                <w:color w:val="auto"/>
                <w:spacing w:val="0"/>
                <w:position w:val="0"/>
                <w:sz w:val="24"/>
                <w:highlight w:val="none"/>
              </w:rPr>
              <w:t>表</w:t>
            </w:r>
            <w:r>
              <w:rPr>
                <w:rFonts w:ascii="Times New Roman" w:hAnsi="Times New Roman" w:eastAsia="宋体" w:cs="Times New Roman"/>
                <w:b/>
                <w:color w:val="auto"/>
                <w:spacing w:val="0"/>
                <w:position w:val="0"/>
                <w:sz w:val="24"/>
                <w:highlight w:val="none"/>
              </w:rPr>
              <w:t>2</w:t>
            </w:r>
            <w:r>
              <w:rPr>
                <w:rFonts w:hint="eastAsia" w:ascii="Times New Roman" w:hAnsi="Times New Roman" w:eastAsia="宋体" w:cs="Times New Roman"/>
                <w:b/>
                <w:color w:val="auto"/>
                <w:spacing w:val="0"/>
                <w:position w:val="0"/>
                <w:sz w:val="24"/>
                <w:highlight w:val="none"/>
                <w:lang w:val="en-US" w:eastAsia="zh-CN"/>
              </w:rPr>
              <w:t xml:space="preserve">.6-1 </w:t>
            </w:r>
            <w:r>
              <w:rPr>
                <w:rFonts w:hint="eastAsia" w:cs="Times New Roman"/>
                <w:b/>
                <w:color w:val="auto"/>
                <w:spacing w:val="0"/>
                <w:position w:val="0"/>
                <w:sz w:val="24"/>
                <w:highlight w:val="none"/>
                <w:lang w:val="en-US" w:eastAsia="zh-CN"/>
              </w:rPr>
              <w:t>迁建</w:t>
            </w:r>
            <w:r>
              <w:rPr>
                <w:rFonts w:hint="eastAsia" w:ascii="Times New Roman" w:hAnsi="Times New Roman" w:eastAsia="宋体" w:cs="Times New Roman"/>
                <w:b/>
                <w:color w:val="auto"/>
                <w:spacing w:val="0"/>
                <w:position w:val="0"/>
                <w:sz w:val="24"/>
                <w:highlight w:val="none"/>
                <w:lang w:val="en-US" w:eastAsia="zh-CN"/>
              </w:rPr>
              <w:t>后</w:t>
            </w:r>
            <w:r>
              <w:rPr>
                <w:rFonts w:hint="eastAsia" w:ascii="Times New Roman" w:hAnsi="Times New Roman" w:eastAsia="宋体" w:cs="Times New Roman"/>
                <w:b/>
                <w:color w:val="auto"/>
                <w:spacing w:val="0"/>
                <w:position w:val="0"/>
                <w:sz w:val="24"/>
                <w:highlight w:val="none"/>
              </w:rPr>
              <w:t>原辅材料及能源消耗情况一览表</w:t>
            </w:r>
          </w:p>
          <w:tbl>
            <w:tblPr>
              <w:tblStyle w:val="2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4"/>
              <w:gridCol w:w="1324"/>
              <w:gridCol w:w="650"/>
              <w:gridCol w:w="1097"/>
              <w:gridCol w:w="1177"/>
              <w:gridCol w:w="993"/>
              <w:gridCol w:w="1516"/>
              <w:gridCol w:w="1300"/>
            </w:tblGrid>
            <w:tr w14:paraId="394D48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1" w:type="dxa"/>
                  <w:gridSpan w:val="8"/>
                  <w:tcBorders>
                    <w:tl2br w:val="nil"/>
                    <w:tr2bl w:val="nil"/>
                  </w:tcBorders>
                  <w:tcMar>
                    <w:left w:w="57" w:type="dxa"/>
                    <w:right w:w="57" w:type="dxa"/>
                  </w:tcMar>
                  <w:vAlign w:val="center"/>
                </w:tcPr>
                <w:p w14:paraId="271908B3">
                  <w:pPr>
                    <w:keepNext w:val="0"/>
                    <w:keepLines w:val="0"/>
                    <w:widowControl/>
                    <w:suppressLineNumbers w:val="0"/>
                    <w:jc w:val="center"/>
                    <w:rPr>
                      <w:rFonts w:hint="eastAsia" w:ascii="Times New Roman" w:hAnsi="Times New Roman" w:eastAsia="宋体" w:cs="Times New Roman"/>
                      <w:b/>
                      <w:bCs/>
                      <w:color w:val="auto"/>
                      <w:spacing w:val="0"/>
                      <w:kern w:val="0"/>
                      <w:position w:val="0"/>
                      <w:sz w:val="21"/>
                      <w:szCs w:val="21"/>
                      <w:highlight w:val="none"/>
                      <w:lang w:val="en-US" w:eastAsia="zh-CN" w:bidi="ar"/>
                    </w:rPr>
                  </w:pPr>
                  <w:r>
                    <w:rPr>
                      <w:rFonts w:hint="eastAsia" w:ascii="Times New Roman" w:hAnsi="Times New Roman" w:eastAsia="宋体" w:cs="Times New Roman"/>
                      <w:b/>
                      <w:bCs/>
                      <w:color w:val="auto"/>
                      <w:spacing w:val="0"/>
                      <w:kern w:val="0"/>
                      <w:position w:val="0"/>
                      <w:sz w:val="21"/>
                      <w:szCs w:val="21"/>
                      <w:highlight w:val="none"/>
                      <w:lang w:val="en-US" w:eastAsia="zh-CN" w:bidi="ar"/>
                    </w:rPr>
                    <w:t>主要原辅材料情况</w:t>
                  </w:r>
                </w:p>
              </w:tc>
            </w:tr>
            <w:tr w14:paraId="1BFF93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dxa"/>
                  <w:tcBorders>
                    <w:tl2br w:val="nil"/>
                    <w:tr2bl w:val="nil"/>
                  </w:tcBorders>
                  <w:tcMar>
                    <w:left w:w="57" w:type="dxa"/>
                    <w:right w:w="57" w:type="dxa"/>
                  </w:tcMar>
                  <w:vAlign w:val="center"/>
                </w:tcPr>
                <w:p w14:paraId="0E9BF2BC">
                  <w:pPr>
                    <w:widowControl/>
                    <w:jc w:val="center"/>
                    <w:rPr>
                      <w:rFonts w:hint="default" w:ascii="Times New Roman" w:hAnsi="Times New Roman" w:eastAsia="宋体" w:cs="Times New Roman"/>
                      <w:b/>
                      <w:bCs w:val="0"/>
                      <w:color w:val="auto"/>
                      <w:spacing w:val="0"/>
                      <w:kern w:val="0"/>
                      <w:position w:val="0"/>
                      <w:sz w:val="21"/>
                      <w:szCs w:val="21"/>
                      <w:highlight w:val="none"/>
                    </w:rPr>
                  </w:pPr>
                  <w:r>
                    <w:rPr>
                      <w:rFonts w:hint="default" w:ascii="Times New Roman" w:hAnsi="Times New Roman" w:eastAsia="宋体" w:cs="Times New Roman"/>
                      <w:b/>
                      <w:bCs w:val="0"/>
                      <w:color w:val="auto"/>
                      <w:spacing w:val="0"/>
                      <w:kern w:val="0"/>
                      <w:position w:val="0"/>
                      <w:sz w:val="21"/>
                      <w:szCs w:val="21"/>
                      <w:highlight w:val="none"/>
                    </w:rPr>
                    <w:t>序号</w:t>
                  </w:r>
                </w:p>
              </w:tc>
              <w:tc>
                <w:tcPr>
                  <w:tcW w:w="1324" w:type="dxa"/>
                  <w:tcBorders>
                    <w:tl2br w:val="nil"/>
                    <w:tr2bl w:val="nil"/>
                  </w:tcBorders>
                  <w:tcMar>
                    <w:left w:w="57" w:type="dxa"/>
                    <w:right w:w="57" w:type="dxa"/>
                  </w:tcMar>
                  <w:vAlign w:val="center"/>
                </w:tcPr>
                <w:p w14:paraId="063B59C3">
                  <w:pPr>
                    <w:keepNext w:val="0"/>
                    <w:keepLines w:val="0"/>
                    <w:widowControl/>
                    <w:suppressLineNumbers w:val="0"/>
                    <w:jc w:val="center"/>
                    <w:rPr>
                      <w:rFonts w:hint="default" w:ascii="Times New Roman" w:hAnsi="Times New Roman" w:eastAsia="宋体" w:cs="Times New Roman"/>
                      <w:b/>
                      <w:bCs w:val="0"/>
                      <w:color w:val="auto"/>
                      <w:spacing w:val="0"/>
                      <w:kern w:val="0"/>
                      <w:position w:val="0"/>
                      <w:sz w:val="21"/>
                      <w:szCs w:val="21"/>
                      <w:highlight w:val="none"/>
                    </w:rPr>
                  </w:pPr>
                  <w:r>
                    <w:rPr>
                      <w:rFonts w:hint="eastAsia" w:ascii="Times New Roman" w:hAnsi="Times New Roman" w:eastAsia="宋体" w:cs="Times New Roman"/>
                      <w:b/>
                      <w:bCs w:val="0"/>
                      <w:color w:val="auto"/>
                      <w:spacing w:val="0"/>
                      <w:kern w:val="0"/>
                      <w:position w:val="0"/>
                      <w:sz w:val="21"/>
                      <w:szCs w:val="21"/>
                      <w:highlight w:val="none"/>
                      <w:lang w:val="en-US" w:eastAsia="zh-CN" w:bidi="ar"/>
                    </w:rPr>
                    <w:t>主要原辅材料名称</w:t>
                  </w:r>
                </w:p>
              </w:tc>
              <w:tc>
                <w:tcPr>
                  <w:tcW w:w="650" w:type="dxa"/>
                  <w:tcBorders>
                    <w:tl2br w:val="nil"/>
                    <w:tr2bl w:val="nil"/>
                  </w:tcBorders>
                  <w:tcMar>
                    <w:left w:w="57" w:type="dxa"/>
                    <w:right w:w="57" w:type="dxa"/>
                  </w:tcMar>
                  <w:vAlign w:val="center"/>
                </w:tcPr>
                <w:p w14:paraId="6A72A5DB">
                  <w:pPr>
                    <w:keepNext w:val="0"/>
                    <w:keepLines w:val="0"/>
                    <w:widowControl/>
                    <w:suppressLineNumbers w:val="0"/>
                    <w:jc w:val="center"/>
                    <w:rPr>
                      <w:rFonts w:hint="default" w:ascii="Times New Roman" w:hAnsi="Times New Roman" w:eastAsia="宋体" w:cs="Times New Roman"/>
                      <w:b/>
                      <w:bCs w:val="0"/>
                      <w:color w:val="auto"/>
                      <w:spacing w:val="0"/>
                      <w:kern w:val="0"/>
                      <w:position w:val="0"/>
                      <w:sz w:val="21"/>
                      <w:szCs w:val="21"/>
                      <w:highlight w:val="none"/>
                    </w:rPr>
                  </w:pPr>
                  <w:r>
                    <w:rPr>
                      <w:rFonts w:hint="eastAsia" w:ascii="Times New Roman" w:hAnsi="Times New Roman" w:eastAsia="宋体" w:cs="Times New Roman"/>
                      <w:b/>
                      <w:bCs w:val="0"/>
                      <w:color w:val="auto"/>
                      <w:spacing w:val="0"/>
                      <w:kern w:val="0"/>
                      <w:position w:val="0"/>
                      <w:sz w:val="21"/>
                      <w:szCs w:val="21"/>
                      <w:highlight w:val="none"/>
                      <w:lang w:val="en-US" w:eastAsia="zh-CN" w:bidi="ar"/>
                    </w:rPr>
                    <w:t>性状</w:t>
                  </w:r>
                </w:p>
              </w:tc>
              <w:tc>
                <w:tcPr>
                  <w:tcW w:w="1097" w:type="dxa"/>
                  <w:tcBorders>
                    <w:tl2br w:val="nil"/>
                    <w:tr2bl w:val="nil"/>
                  </w:tcBorders>
                  <w:tcMar>
                    <w:left w:w="57" w:type="dxa"/>
                    <w:right w:w="57" w:type="dxa"/>
                  </w:tcMar>
                  <w:vAlign w:val="center"/>
                </w:tcPr>
                <w:p w14:paraId="5DD85455">
                  <w:pPr>
                    <w:widowControl/>
                    <w:jc w:val="center"/>
                    <w:rPr>
                      <w:rFonts w:hint="default" w:ascii="Times New Roman" w:hAnsi="Times New Roman" w:eastAsia="宋体" w:cs="Times New Roman"/>
                      <w:b/>
                      <w:bCs w:val="0"/>
                      <w:color w:val="auto"/>
                      <w:spacing w:val="0"/>
                      <w:kern w:val="0"/>
                      <w:position w:val="0"/>
                      <w:sz w:val="21"/>
                      <w:szCs w:val="21"/>
                      <w:highlight w:val="none"/>
                    </w:rPr>
                  </w:pPr>
                  <w:r>
                    <w:rPr>
                      <w:rFonts w:hint="default" w:ascii="Times New Roman" w:hAnsi="Times New Roman" w:eastAsia="宋体" w:cs="Times New Roman"/>
                      <w:b/>
                      <w:bCs w:val="0"/>
                      <w:color w:val="auto"/>
                      <w:spacing w:val="0"/>
                      <w:kern w:val="0"/>
                      <w:position w:val="0"/>
                      <w:sz w:val="21"/>
                      <w:szCs w:val="21"/>
                      <w:highlight w:val="none"/>
                    </w:rPr>
                    <w:t>年用量</w:t>
                  </w:r>
                </w:p>
                <w:p w14:paraId="52604330">
                  <w:pPr>
                    <w:widowControl/>
                    <w:jc w:val="center"/>
                    <w:rPr>
                      <w:rFonts w:hint="default" w:ascii="Times New Roman" w:hAnsi="Times New Roman" w:eastAsia="宋体" w:cs="Times New Roman"/>
                      <w:b/>
                      <w:bCs w:val="0"/>
                      <w:color w:val="auto"/>
                      <w:spacing w:val="0"/>
                      <w:kern w:val="0"/>
                      <w:position w:val="0"/>
                      <w:sz w:val="21"/>
                      <w:szCs w:val="21"/>
                      <w:highlight w:val="none"/>
                    </w:rPr>
                  </w:pPr>
                  <w:r>
                    <w:rPr>
                      <w:rFonts w:hint="default" w:ascii="Times New Roman" w:hAnsi="Times New Roman" w:eastAsia="宋体" w:cs="Times New Roman"/>
                      <w:b/>
                      <w:bCs w:val="0"/>
                      <w:color w:val="auto"/>
                      <w:spacing w:val="0"/>
                      <w:kern w:val="0"/>
                      <w:position w:val="0"/>
                      <w:sz w:val="21"/>
                      <w:szCs w:val="21"/>
                      <w:highlight w:val="none"/>
                      <w:lang w:eastAsia="zh-CN"/>
                    </w:rPr>
                    <w:t>（t/a）</w:t>
                  </w:r>
                </w:p>
              </w:tc>
              <w:tc>
                <w:tcPr>
                  <w:tcW w:w="1177" w:type="dxa"/>
                  <w:tcBorders>
                    <w:tl2br w:val="nil"/>
                    <w:tr2bl w:val="nil"/>
                  </w:tcBorders>
                  <w:tcMar>
                    <w:left w:w="57" w:type="dxa"/>
                    <w:right w:w="57" w:type="dxa"/>
                  </w:tcMar>
                  <w:vAlign w:val="center"/>
                </w:tcPr>
                <w:p w14:paraId="22B1FCB7">
                  <w:pPr>
                    <w:keepNext w:val="0"/>
                    <w:keepLines w:val="0"/>
                    <w:widowControl/>
                    <w:suppressLineNumbers w:val="0"/>
                    <w:jc w:val="center"/>
                    <w:rPr>
                      <w:rFonts w:hint="eastAsia" w:ascii="Times New Roman" w:hAnsi="Times New Roman" w:eastAsia="宋体" w:cs="Times New Roman"/>
                      <w:b/>
                      <w:bCs w:val="0"/>
                      <w:color w:val="auto"/>
                      <w:spacing w:val="0"/>
                      <w:kern w:val="0"/>
                      <w:position w:val="0"/>
                      <w:sz w:val="21"/>
                      <w:szCs w:val="21"/>
                      <w:highlight w:val="none"/>
                      <w:lang w:val="en-US" w:eastAsia="zh-CN" w:bidi="ar"/>
                    </w:rPr>
                  </w:pPr>
                  <w:r>
                    <w:rPr>
                      <w:rFonts w:hint="eastAsia" w:ascii="Times New Roman" w:hAnsi="Times New Roman" w:eastAsia="宋体" w:cs="Times New Roman"/>
                      <w:b/>
                      <w:bCs w:val="0"/>
                      <w:color w:val="auto"/>
                      <w:spacing w:val="0"/>
                      <w:kern w:val="0"/>
                      <w:position w:val="0"/>
                      <w:sz w:val="21"/>
                      <w:szCs w:val="21"/>
                      <w:highlight w:val="none"/>
                      <w:lang w:val="en-US" w:eastAsia="zh-CN" w:bidi="ar"/>
                    </w:rPr>
                    <w:t>最大贮存量</w:t>
                  </w:r>
                </w:p>
                <w:p w14:paraId="20E2869B">
                  <w:pPr>
                    <w:keepNext w:val="0"/>
                    <w:keepLines w:val="0"/>
                    <w:widowControl/>
                    <w:suppressLineNumbers w:val="0"/>
                    <w:jc w:val="center"/>
                    <w:rPr>
                      <w:rFonts w:hint="default" w:ascii="Times New Roman" w:hAnsi="Times New Roman" w:eastAsia="宋体" w:cs="Times New Roman"/>
                      <w:b/>
                      <w:bCs w:val="0"/>
                      <w:color w:val="auto"/>
                      <w:spacing w:val="0"/>
                      <w:kern w:val="0"/>
                      <w:position w:val="0"/>
                      <w:sz w:val="21"/>
                      <w:szCs w:val="21"/>
                      <w:highlight w:val="none"/>
                    </w:rPr>
                  </w:pPr>
                  <w:r>
                    <w:rPr>
                      <w:rFonts w:hint="default" w:ascii="Times New Roman" w:hAnsi="Times New Roman" w:eastAsia="宋体" w:cs="Times New Roman"/>
                      <w:b/>
                      <w:bCs w:val="0"/>
                      <w:color w:val="auto"/>
                      <w:spacing w:val="0"/>
                      <w:kern w:val="0"/>
                      <w:position w:val="0"/>
                      <w:sz w:val="21"/>
                      <w:szCs w:val="21"/>
                      <w:highlight w:val="none"/>
                      <w:lang w:eastAsia="zh-CN"/>
                    </w:rPr>
                    <w:t>（t/a）</w:t>
                  </w:r>
                </w:p>
              </w:tc>
              <w:tc>
                <w:tcPr>
                  <w:tcW w:w="993" w:type="dxa"/>
                  <w:tcBorders>
                    <w:tl2br w:val="nil"/>
                    <w:tr2bl w:val="nil"/>
                  </w:tcBorders>
                  <w:tcMar>
                    <w:left w:w="57" w:type="dxa"/>
                    <w:right w:w="57" w:type="dxa"/>
                  </w:tcMar>
                  <w:vAlign w:val="center"/>
                </w:tcPr>
                <w:p w14:paraId="51656991">
                  <w:pPr>
                    <w:keepNext w:val="0"/>
                    <w:keepLines w:val="0"/>
                    <w:widowControl/>
                    <w:suppressLineNumbers w:val="0"/>
                    <w:jc w:val="center"/>
                    <w:rPr>
                      <w:rFonts w:hint="default" w:ascii="Times New Roman" w:hAnsi="Times New Roman" w:eastAsia="宋体" w:cs="Times New Roman"/>
                      <w:b/>
                      <w:bCs w:val="0"/>
                      <w:color w:val="auto"/>
                      <w:spacing w:val="0"/>
                      <w:kern w:val="0"/>
                      <w:position w:val="0"/>
                      <w:sz w:val="21"/>
                      <w:szCs w:val="21"/>
                      <w:highlight w:val="none"/>
                      <w:lang w:val="en-US" w:eastAsia="zh-CN" w:bidi="ar"/>
                    </w:rPr>
                  </w:pPr>
                  <w:r>
                    <w:rPr>
                      <w:rFonts w:ascii="Times New Roman" w:hAnsi="Times New Roman" w:eastAsia="宋体" w:cs="Times New Roman"/>
                      <w:b/>
                      <w:bCs w:val="0"/>
                      <w:color w:val="auto"/>
                      <w:spacing w:val="0"/>
                      <w:position w:val="0"/>
                      <w:sz w:val="21"/>
                      <w:szCs w:val="21"/>
                      <w:highlight w:val="none"/>
                    </w:rPr>
                    <w:t>包装方式</w:t>
                  </w:r>
                </w:p>
              </w:tc>
              <w:tc>
                <w:tcPr>
                  <w:tcW w:w="1516" w:type="dxa"/>
                  <w:tcBorders>
                    <w:tl2br w:val="nil"/>
                    <w:tr2bl w:val="nil"/>
                  </w:tcBorders>
                  <w:tcMar>
                    <w:left w:w="57" w:type="dxa"/>
                    <w:right w:w="57" w:type="dxa"/>
                  </w:tcMar>
                  <w:vAlign w:val="center"/>
                </w:tcPr>
                <w:p w14:paraId="1FAFC2FB">
                  <w:pPr>
                    <w:keepNext w:val="0"/>
                    <w:keepLines w:val="0"/>
                    <w:widowControl/>
                    <w:suppressLineNumbers w:val="0"/>
                    <w:jc w:val="center"/>
                    <w:rPr>
                      <w:rFonts w:hint="eastAsia" w:ascii="Times New Roman" w:hAnsi="Times New Roman" w:eastAsia="宋体" w:cs="Times New Roman"/>
                      <w:b/>
                      <w:bCs w:val="0"/>
                      <w:color w:val="auto"/>
                      <w:spacing w:val="0"/>
                      <w:position w:val="0"/>
                      <w:sz w:val="21"/>
                      <w:szCs w:val="21"/>
                      <w:highlight w:val="none"/>
                      <w:lang w:val="en-US" w:eastAsia="zh-CN"/>
                    </w:rPr>
                  </w:pPr>
                  <w:r>
                    <w:rPr>
                      <w:rFonts w:hint="eastAsia" w:cs="Times New Roman"/>
                      <w:b/>
                      <w:bCs w:val="0"/>
                      <w:color w:val="auto"/>
                      <w:spacing w:val="0"/>
                      <w:position w:val="0"/>
                      <w:sz w:val="21"/>
                      <w:szCs w:val="21"/>
                      <w:highlight w:val="none"/>
                      <w:lang w:val="en-US" w:eastAsia="zh-CN"/>
                    </w:rPr>
                    <w:t>储存场所</w:t>
                  </w:r>
                </w:p>
              </w:tc>
              <w:tc>
                <w:tcPr>
                  <w:tcW w:w="1300" w:type="dxa"/>
                  <w:tcBorders>
                    <w:tl2br w:val="nil"/>
                    <w:tr2bl w:val="nil"/>
                  </w:tcBorders>
                  <w:tcMar>
                    <w:left w:w="57" w:type="dxa"/>
                    <w:right w:w="57" w:type="dxa"/>
                  </w:tcMar>
                  <w:vAlign w:val="center"/>
                </w:tcPr>
                <w:p w14:paraId="3F066BDF">
                  <w:pPr>
                    <w:keepNext w:val="0"/>
                    <w:keepLines w:val="0"/>
                    <w:widowControl/>
                    <w:suppressLineNumbers w:val="0"/>
                    <w:jc w:val="center"/>
                    <w:rPr>
                      <w:rFonts w:hint="default" w:ascii="Times New Roman" w:hAnsi="Times New Roman" w:eastAsia="宋体" w:cs="Times New Roman"/>
                      <w:b/>
                      <w:bCs w:val="0"/>
                      <w:color w:val="auto"/>
                      <w:spacing w:val="0"/>
                      <w:position w:val="0"/>
                      <w:sz w:val="21"/>
                      <w:szCs w:val="21"/>
                      <w:highlight w:val="none"/>
                      <w:lang w:val="en-US" w:eastAsia="zh-CN"/>
                    </w:rPr>
                  </w:pPr>
                  <w:r>
                    <w:rPr>
                      <w:rFonts w:hint="eastAsia" w:ascii="Times New Roman" w:hAnsi="Times New Roman" w:eastAsia="宋体" w:cs="Times New Roman"/>
                      <w:b/>
                      <w:bCs w:val="0"/>
                      <w:color w:val="auto"/>
                      <w:spacing w:val="0"/>
                      <w:position w:val="0"/>
                      <w:sz w:val="21"/>
                      <w:szCs w:val="21"/>
                      <w:highlight w:val="none"/>
                      <w:lang w:val="en-US" w:eastAsia="zh-CN"/>
                    </w:rPr>
                    <w:t>备注</w:t>
                  </w:r>
                </w:p>
              </w:tc>
            </w:tr>
            <w:tr w14:paraId="3D07AA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dxa"/>
                  <w:tcBorders>
                    <w:tl2br w:val="nil"/>
                    <w:tr2bl w:val="nil"/>
                  </w:tcBorders>
                  <w:tcMar>
                    <w:left w:w="57" w:type="dxa"/>
                    <w:right w:w="57" w:type="dxa"/>
                  </w:tcMar>
                  <w:vAlign w:val="center"/>
                </w:tcPr>
                <w:p w14:paraId="764E2093">
                  <w:pPr>
                    <w:widowControl/>
                    <w:jc w:val="center"/>
                    <w:rPr>
                      <w:rFonts w:hint="default" w:ascii="Times New Roman" w:hAnsi="Times New Roman" w:eastAsia="宋体" w:cs="Times New Roman"/>
                      <w:b w:val="0"/>
                      <w:bCs/>
                      <w:color w:val="auto"/>
                      <w:spacing w:val="0"/>
                      <w:kern w:val="0"/>
                      <w:position w:val="0"/>
                      <w:sz w:val="21"/>
                      <w:szCs w:val="21"/>
                      <w:highlight w:val="none"/>
                    </w:rPr>
                  </w:pPr>
                  <w:r>
                    <w:rPr>
                      <w:rFonts w:hint="default" w:ascii="Times New Roman" w:hAnsi="Times New Roman" w:eastAsia="宋体" w:cs="Times New Roman"/>
                      <w:b w:val="0"/>
                      <w:bCs/>
                      <w:color w:val="auto"/>
                      <w:spacing w:val="0"/>
                      <w:kern w:val="0"/>
                      <w:position w:val="0"/>
                      <w:sz w:val="21"/>
                      <w:szCs w:val="21"/>
                      <w:highlight w:val="none"/>
                    </w:rPr>
                    <w:t>1</w:t>
                  </w:r>
                </w:p>
              </w:tc>
              <w:tc>
                <w:tcPr>
                  <w:tcW w:w="1324" w:type="dxa"/>
                  <w:tcBorders>
                    <w:tl2br w:val="nil"/>
                    <w:tr2bl w:val="nil"/>
                  </w:tcBorders>
                  <w:tcMar>
                    <w:left w:w="57" w:type="dxa"/>
                    <w:right w:w="57" w:type="dxa"/>
                  </w:tcMar>
                  <w:vAlign w:val="center"/>
                </w:tcPr>
                <w:p w14:paraId="69FA13AF">
                  <w:pPr>
                    <w:autoSpaceDE w:val="0"/>
                    <w:autoSpaceDN w:val="0"/>
                    <w:jc w:val="center"/>
                    <w:rPr>
                      <w:rFonts w:hint="default" w:ascii="Times New Roman" w:hAnsi="Times New Roman" w:eastAsia="宋体" w:cs="Times New Roman"/>
                      <w:b w:val="0"/>
                      <w:bCs/>
                      <w:color w:val="auto"/>
                      <w:spacing w:val="0"/>
                      <w:position w:val="0"/>
                      <w:sz w:val="21"/>
                      <w:szCs w:val="21"/>
                      <w:highlight w:val="none"/>
                      <w:lang w:val="en-US" w:eastAsia="zh-CN"/>
                    </w:rPr>
                  </w:pPr>
                </w:p>
              </w:tc>
              <w:tc>
                <w:tcPr>
                  <w:tcW w:w="650" w:type="dxa"/>
                  <w:tcBorders>
                    <w:tl2br w:val="nil"/>
                    <w:tr2bl w:val="nil"/>
                  </w:tcBorders>
                  <w:tcMar>
                    <w:left w:w="57" w:type="dxa"/>
                    <w:right w:w="57" w:type="dxa"/>
                  </w:tcMar>
                  <w:vAlign w:val="center"/>
                </w:tcPr>
                <w:p w14:paraId="3682FCBC">
                  <w:pPr>
                    <w:keepNext w:val="0"/>
                    <w:keepLines w:val="0"/>
                    <w:widowControl/>
                    <w:suppressLineNumbers w:val="0"/>
                    <w:jc w:val="center"/>
                    <w:rPr>
                      <w:rFonts w:hint="eastAsia" w:ascii="Times New Roman" w:hAnsi="Times New Roman" w:eastAsia="宋体" w:cs="Times New Roman"/>
                      <w:b w:val="0"/>
                      <w:bCs/>
                      <w:color w:val="auto"/>
                      <w:spacing w:val="0"/>
                      <w:position w:val="0"/>
                      <w:sz w:val="21"/>
                      <w:szCs w:val="21"/>
                      <w:highlight w:val="none"/>
                      <w:lang w:val="en-US" w:eastAsia="zh-CN"/>
                    </w:rPr>
                  </w:pPr>
                </w:p>
              </w:tc>
              <w:tc>
                <w:tcPr>
                  <w:tcW w:w="1097" w:type="dxa"/>
                  <w:tcBorders>
                    <w:tl2br w:val="nil"/>
                    <w:tr2bl w:val="nil"/>
                  </w:tcBorders>
                  <w:tcMar>
                    <w:left w:w="57" w:type="dxa"/>
                    <w:right w:w="57" w:type="dxa"/>
                  </w:tcMar>
                  <w:vAlign w:val="center"/>
                </w:tcPr>
                <w:p w14:paraId="5DE6FED9">
                  <w:pPr>
                    <w:keepNext w:val="0"/>
                    <w:keepLines w:val="0"/>
                    <w:widowControl/>
                    <w:suppressLineNumbers w:val="0"/>
                    <w:jc w:val="center"/>
                    <w:textAlignment w:val="center"/>
                    <w:rPr>
                      <w:rFonts w:hint="default" w:ascii="Times New Roman" w:hAnsi="Times New Roman" w:eastAsia="宋体" w:cs="Times New Roman"/>
                      <w:b w:val="0"/>
                      <w:bCs/>
                      <w:i w:val="0"/>
                      <w:iCs w:val="0"/>
                      <w:color w:val="auto"/>
                      <w:spacing w:val="0"/>
                      <w:kern w:val="0"/>
                      <w:position w:val="0"/>
                      <w:sz w:val="21"/>
                      <w:szCs w:val="21"/>
                      <w:highlight w:val="none"/>
                      <w:u w:val="none"/>
                      <w:lang w:val="en-US" w:eastAsia="zh-CN" w:bidi="ar"/>
                    </w:rPr>
                  </w:pPr>
                </w:p>
              </w:tc>
              <w:tc>
                <w:tcPr>
                  <w:tcW w:w="1177" w:type="dxa"/>
                  <w:tcBorders>
                    <w:tl2br w:val="nil"/>
                    <w:tr2bl w:val="nil"/>
                  </w:tcBorders>
                  <w:tcMar>
                    <w:left w:w="57" w:type="dxa"/>
                    <w:right w:w="57" w:type="dxa"/>
                  </w:tcMar>
                  <w:vAlign w:val="center"/>
                </w:tcPr>
                <w:p w14:paraId="7257ADFA">
                  <w:pPr>
                    <w:keepNext w:val="0"/>
                    <w:keepLines w:val="0"/>
                    <w:widowControl/>
                    <w:suppressLineNumbers w:val="0"/>
                    <w:jc w:val="center"/>
                    <w:textAlignment w:val="center"/>
                    <w:rPr>
                      <w:rFonts w:hint="default" w:ascii="Times New Roman" w:hAnsi="Times New Roman" w:eastAsia="宋体" w:cs="Times New Roman"/>
                      <w:b w:val="0"/>
                      <w:bCs/>
                      <w:color w:val="auto"/>
                      <w:spacing w:val="0"/>
                      <w:position w:val="0"/>
                      <w:sz w:val="21"/>
                      <w:szCs w:val="21"/>
                      <w:highlight w:val="none"/>
                      <w:lang w:val="en-US" w:eastAsia="zh-CN"/>
                    </w:rPr>
                  </w:pPr>
                </w:p>
              </w:tc>
              <w:tc>
                <w:tcPr>
                  <w:tcW w:w="993" w:type="dxa"/>
                  <w:tcBorders>
                    <w:tl2br w:val="nil"/>
                    <w:tr2bl w:val="nil"/>
                  </w:tcBorders>
                  <w:tcMar>
                    <w:left w:w="57" w:type="dxa"/>
                    <w:right w:w="57" w:type="dxa"/>
                  </w:tcMar>
                  <w:vAlign w:val="center"/>
                </w:tcPr>
                <w:p w14:paraId="3608EC65">
                  <w:pPr>
                    <w:keepNext w:val="0"/>
                    <w:keepLines w:val="0"/>
                    <w:widowControl/>
                    <w:suppressLineNumbers w:val="0"/>
                    <w:jc w:val="center"/>
                    <w:textAlignment w:val="center"/>
                    <w:rPr>
                      <w:rFonts w:hint="default" w:ascii="Times New Roman" w:hAnsi="Times New Roman" w:eastAsia="宋体" w:cs="Times New Roman"/>
                      <w:b w:val="0"/>
                      <w:bCs/>
                      <w:i w:val="0"/>
                      <w:iCs w:val="0"/>
                      <w:color w:val="auto"/>
                      <w:spacing w:val="0"/>
                      <w:kern w:val="0"/>
                      <w:position w:val="0"/>
                      <w:sz w:val="21"/>
                      <w:szCs w:val="21"/>
                      <w:highlight w:val="none"/>
                      <w:u w:val="none"/>
                      <w:lang w:val="en-US" w:eastAsia="zh-CN" w:bidi="ar"/>
                    </w:rPr>
                  </w:pPr>
                </w:p>
              </w:tc>
              <w:tc>
                <w:tcPr>
                  <w:tcW w:w="1516" w:type="dxa"/>
                  <w:vMerge w:val="restart"/>
                  <w:tcBorders>
                    <w:tl2br w:val="nil"/>
                    <w:tr2bl w:val="nil"/>
                  </w:tcBorders>
                  <w:tcMar>
                    <w:left w:w="57" w:type="dxa"/>
                    <w:right w:w="57" w:type="dxa"/>
                  </w:tcMar>
                  <w:vAlign w:val="center"/>
                </w:tcPr>
                <w:p w14:paraId="014F7DB8">
                  <w:pPr>
                    <w:keepNext w:val="0"/>
                    <w:keepLines w:val="0"/>
                    <w:widowControl/>
                    <w:suppressLineNumbers w:val="0"/>
                    <w:jc w:val="center"/>
                    <w:textAlignment w:val="center"/>
                    <w:rPr>
                      <w:rFonts w:hint="default" w:ascii="Times New Roman" w:hAnsi="Times New Roman" w:eastAsia="宋体" w:cs="Times New Roman"/>
                      <w:b w:val="0"/>
                      <w:bCs/>
                      <w:i w:val="0"/>
                      <w:iCs w:val="0"/>
                      <w:color w:val="auto"/>
                      <w:spacing w:val="0"/>
                      <w:kern w:val="0"/>
                      <w:position w:val="0"/>
                      <w:sz w:val="21"/>
                      <w:szCs w:val="21"/>
                      <w:highlight w:val="none"/>
                      <w:u w:val="none"/>
                      <w:lang w:val="en-US" w:eastAsia="zh-CN" w:bidi="ar"/>
                    </w:rPr>
                  </w:pPr>
                </w:p>
              </w:tc>
              <w:tc>
                <w:tcPr>
                  <w:tcW w:w="1300" w:type="dxa"/>
                  <w:tcBorders>
                    <w:tl2br w:val="nil"/>
                    <w:tr2bl w:val="nil"/>
                  </w:tcBorders>
                  <w:tcMar>
                    <w:left w:w="57" w:type="dxa"/>
                    <w:right w:w="57" w:type="dxa"/>
                  </w:tcMar>
                  <w:vAlign w:val="center"/>
                </w:tcPr>
                <w:p w14:paraId="5E084F20">
                  <w:pPr>
                    <w:keepNext w:val="0"/>
                    <w:keepLines w:val="0"/>
                    <w:widowControl/>
                    <w:suppressLineNumbers w:val="0"/>
                    <w:jc w:val="center"/>
                    <w:textAlignment w:val="center"/>
                    <w:rPr>
                      <w:rFonts w:hint="eastAsia" w:cs="Times New Roman"/>
                      <w:b w:val="0"/>
                      <w:bCs/>
                      <w:i w:val="0"/>
                      <w:iCs w:val="0"/>
                      <w:color w:val="auto"/>
                      <w:spacing w:val="0"/>
                      <w:kern w:val="0"/>
                      <w:position w:val="0"/>
                      <w:sz w:val="21"/>
                      <w:szCs w:val="21"/>
                      <w:highlight w:val="none"/>
                      <w:u w:val="none"/>
                      <w:lang w:val="en-US" w:eastAsia="zh-CN" w:bidi="ar"/>
                    </w:rPr>
                  </w:pPr>
                </w:p>
              </w:tc>
            </w:tr>
            <w:tr w14:paraId="470618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dxa"/>
                  <w:tcBorders>
                    <w:tl2br w:val="nil"/>
                    <w:tr2bl w:val="nil"/>
                  </w:tcBorders>
                  <w:shd w:val="clear" w:color="auto" w:fill="auto"/>
                  <w:tcMar>
                    <w:left w:w="57" w:type="dxa"/>
                    <w:right w:w="57" w:type="dxa"/>
                  </w:tcMar>
                  <w:vAlign w:val="center"/>
                </w:tcPr>
                <w:p w14:paraId="27E4D5A7">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bookmarkStart w:id="24" w:name="_Hlk69824262"/>
                  <w:r>
                    <w:rPr>
                      <w:rFonts w:hint="default" w:ascii="Times New Roman" w:hAnsi="Times New Roman" w:eastAsia="宋体" w:cs="Times New Roman"/>
                      <w:b w:val="0"/>
                      <w:bCs/>
                      <w:color w:val="auto"/>
                      <w:spacing w:val="0"/>
                      <w:kern w:val="0"/>
                      <w:position w:val="0"/>
                      <w:sz w:val="21"/>
                      <w:szCs w:val="21"/>
                      <w:highlight w:val="none"/>
                    </w:rPr>
                    <w:t>2</w:t>
                  </w:r>
                </w:p>
              </w:tc>
              <w:tc>
                <w:tcPr>
                  <w:tcW w:w="1324" w:type="dxa"/>
                  <w:tcBorders>
                    <w:tl2br w:val="nil"/>
                    <w:tr2bl w:val="nil"/>
                  </w:tcBorders>
                  <w:tcMar>
                    <w:left w:w="57" w:type="dxa"/>
                    <w:right w:w="57" w:type="dxa"/>
                  </w:tcMar>
                  <w:vAlign w:val="center"/>
                </w:tcPr>
                <w:p w14:paraId="3F677C83">
                  <w:pPr>
                    <w:autoSpaceDE w:val="0"/>
                    <w:autoSpaceDN w:val="0"/>
                    <w:jc w:val="center"/>
                    <w:rPr>
                      <w:rFonts w:hint="default" w:cs="Times New Roman"/>
                      <w:b w:val="0"/>
                      <w:bCs/>
                      <w:color w:val="auto"/>
                      <w:spacing w:val="0"/>
                      <w:position w:val="0"/>
                      <w:sz w:val="21"/>
                      <w:szCs w:val="21"/>
                      <w:highlight w:val="none"/>
                      <w:lang w:val="en-US" w:eastAsia="zh-CN"/>
                    </w:rPr>
                  </w:pPr>
                </w:p>
              </w:tc>
              <w:tc>
                <w:tcPr>
                  <w:tcW w:w="650" w:type="dxa"/>
                  <w:tcBorders>
                    <w:tl2br w:val="nil"/>
                    <w:tr2bl w:val="nil"/>
                  </w:tcBorders>
                  <w:tcMar>
                    <w:left w:w="57" w:type="dxa"/>
                    <w:right w:w="57" w:type="dxa"/>
                  </w:tcMar>
                  <w:vAlign w:val="center"/>
                </w:tcPr>
                <w:p w14:paraId="71AFABD7">
                  <w:pPr>
                    <w:keepNext w:val="0"/>
                    <w:keepLines w:val="0"/>
                    <w:widowControl/>
                    <w:suppressLineNumbers w:val="0"/>
                    <w:jc w:val="center"/>
                    <w:rPr>
                      <w:rFonts w:hint="eastAsia" w:ascii="Times New Roman" w:hAnsi="Times New Roman" w:eastAsia="宋体" w:cs="Times New Roman"/>
                      <w:b w:val="0"/>
                      <w:bCs/>
                      <w:color w:val="auto"/>
                      <w:spacing w:val="0"/>
                      <w:position w:val="0"/>
                      <w:sz w:val="21"/>
                      <w:szCs w:val="21"/>
                      <w:highlight w:val="none"/>
                      <w:lang w:val="en-US" w:eastAsia="zh-CN"/>
                    </w:rPr>
                  </w:pPr>
                </w:p>
              </w:tc>
              <w:tc>
                <w:tcPr>
                  <w:tcW w:w="1097" w:type="dxa"/>
                  <w:tcBorders>
                    <w:tl2br w:val="nil"/>
                    <w:tr2bl w:val="nil"/>
                  </w:tcBorders>
                  <w:tcMar>
                    <w:left w:w="57" w:type="dxa"/>
                    <w:right w:w="57" w:type="dxa"/>
                  </w:tcMar>
                  <w:vAlign w:val="center"/>
                </w:tcPr>
                <w:p w14:paraId="1B67E693">
                  <w:pPr>
                    <w:keepNext w:val="0"/>
                    <w:keepLines w:val="0"/>
                    <w:widowControl/>
                    <w:suppressLineNumbers w:val="0"/>
                    <w:jc w:val="center"/>
                    <w:textAlignment w:val="center"/>
                    <w:rPr>
                      <w:rFonts w:hint="default" w:cs="Times New Roman"/>
                      <w:b w:val="0"/>
                      <w:bCs/>
                      <w:i w:val="0"/>
                      <w:iCs w:val="0"/>
                      <w:color w:val="auto"/>
                      <w:spacing w:val="0"/>
                      <w:kern w:val="0"/>
                      <w:position w:val="0"/>
                      <w:sz w:val="21"/>
                      <w:szCs w:val="21"/>
                      <w:highlight w:val="none"/>
                      <w:u w:val="none"/>
                      <w:lang w:val="en-US" w:eastAsia="zh-CN" w:bidi="ar"/>
                    </w:rPr>
                  </w:pPr>
                </w:p>
              </w:tc>
              <w:tc>
                <w:tcPr>
                  <w:tcW w:w="1177" w:type="dxa"/>
                  <w:tcBorders>
                    <w:tl2br w:val="nil"/>
                    <w:tr2bl w:val="nil"/>
                  </w:tcBorders>
                  <w:tcMar>
                    <w:left w:w="57" w:type="dxa"/>
                    <w:right w:w="57" w:type="dxa"/>
                  </w:tcMar>
                  <w:vAlign w:val="center"/>
                </w:tcPr>
                <w:p w14:paraId="46A06000">
                  <w:pPr>
                    <w:keepNext w:val="0"/>
                    <w:keepLines w:val="0"/>
                    <w:widowControl/>
                    <w:suppressLineNumbers w:val="0"/>
                    <w:jc w:val="center"/>
                    <w:textAlignment w:val="center"/>
                    <w:rPr>
                      <w:rFonts w:hint="default" w:ascii="Times New Roman" w:hAnsi="Times New Roman" w:eastAsia="宋体" w:cs="Times New Roman"/>
                      <w:b w:val="0"/>
                      <w:bCs/>
                      <w:color w:val="auto"/>
                      <w:spacing w:val="0"/>
                      <w:position w:val="0"/>
                      <w:sz w:val="21"/>
                      <w:szCs w:val="21"/>
                      <w:highlight w:val="none"/>
                      <w:lang w:val="en-US" w:eastAsia="zh-CN"/>
                    </w:rPr>
                  </w:pPr>
                </w:p>
              </w:tc>
              <w:tc>
                <w:tcPr>
                  <w:tcW w:w="993" w:type="dxa"/>
                  <w:tcBorders>
                    <w:tl2br w:val="nil"/>
                    <w:tr2bl w:val="nil"/>
                  </w:tcBorders>
                  <w:tcMar>
                    <w:left w:w="57" w:type="dxa"/>
                    <w:right w:w="57" w:type="dxa"/>
                  </w:tcMar>
                  <w:vAlign w:val="center"/>
                </w:tcPr>
                <w:p w14:paraId="40646410">
                  <w:pPr>
                    <w:keepNext w:val="0"/>
                    <w:keepLines w:val="0"/>
                    <w:widowControl/>
                    <w:suppressLineNumbers w:val="0"/>
                    <w:jc w:val="center"/>
                    <w:textAlignment w:val="center"/>
                    <w:rPr>
                      <w:rFonts w:hint="default" w:ascii="Times New Roman" w:hAnsi="Times New Roman" w:eastAsia="宋体" w:cs="Times New Roman"/>
                      <w:b w:val="0"/>
                      <w:bCs/>
                      <w:i w:val="0"/>
                      <w:iCs w:val="0"/>
                      <w:color w:val="auto"/>
                      <w:spacing w:val="0"/>
                      <w:kern w:val="0"/>
                      <w:position w:val="0"/>
                      <w:sz w:val="21"/>
                      <w:szCs w:val="21"/>
                      <w:highlight w:val="none"/>
                      <w:u w:val="none"/>
                      <w:lang w:val="en-US" w:eastAsia="zh-CN" w:bidi="ar"/>
                    </w:rPr>
                  </w:pPr>
                </w:p>
              </w:tc>
              <w:tc>
                <w:tcPr>
                  <w:tcW w:w="1516" w:type="dxa"/>
                  <w:vMerge w:val="continue"/>
                  <w:tcBorders>
                    <w:tl2br w:val="nil"/>
                    <w:tr2bl w:val="nil"/>
                  </w:tcBorders>
                  <w:tcMar>
                    <w:left w:w="57" w:type="dxa"/>
                    <w:right w:w="57" w:type="dxa"/>
                  </w:tcMar>
                  <w:vAlign w:val="center"/>
                </w:tcPr>
                <w:p w14:paraId="230B7DC1">
                  <w:pPr>
                    <w:keepNext w:val="0"/>
                    <w:keepLines w:val="0"/>
                    <w:widowControl/>
                    <w:suppressLineNumbers w:val="0"/>
                    <w:jc w:val="center"/>
                    <w:textAlignment w:val="center"/>
                    <w:rPr>
                      <w:rFonts w:hint="eastAsia" w:cs="Times New Roman"/>
                      <w:b w:val="0"/>
                      <w:bCs/>
                      <w:i w:val="0"/>
                      <w:iCs w:val="0"/>
                      <w:color w:val="auto"/>
                      <w:spacing w:val="0"/>
                      <w:kern w:val="0"/>
                      <w:position w:val="0"/>
                      <w:sz w:val="21"/>
                      <w:szCs w:val="21"/>
                      <w:highlight w:val="none"/>
                      <w:u w:val="none"/>
                      <w:lang w:val="en-US" w:eastAsia="zh-CN" w:bidi="ar"/>
                    </w:rPr>
                  </w:pPr>
                </w:p>
              </w:tc>
              <w:tc>
                <w:tcPr>
                  <w:tcW w:w="1300" w:type="dxa"/>
                  <w:tcBorders>
                    <w:tl2br w:val="nil"/>
                    <w:tr2bl w:val="nil"/>
                  </w:tcBorders>
                  <w:tcMar>
                    <w:left w:w="57" w:type="dxa"/>
                    <w:right w:w="57" w:type="dxa"/>
                  </w:tcMar>
                  <w:vAlign w:val="center"/>
                </w:tcPr>
                <w:p w14:paraId="578762AA">
                  <w:pPr>
                    <w:keepNext w:val="0"/>
                    <w:keepLines w:val="0"/>
                    <w:widowControl/>
                    <w:suppressLineNumbers w:val="0"/>
                    <w:jc w:val="center"/>
                    <w:textAlignment w:val="center"/>
                    <w:rPr>
                      <w:rFonts w:hint="default" w:cs="Times New Roman"/>
                      <w:b w:val="0"/>
                      <w:bCs/>
                      <w:i w:val="0"/>
                      <w:iCs w:val="0"/>
                      <w:color w:val="auto"/>
                      <w:spacing w:val="0"/>
                      <w:kern w:val="0"/>
                      <w:position w:val="0"/>
                      <w:sz w:val="21"/>
                      <w:szCs w:val="21"/>
                      <w:highlight w:val="none"/>
                      <w:u w:val="none"/>
                      <w:lang w:val="en-US" w:eastAsia="zh-CN" w:bidi="ar"/>
                    </w:rPr>
                  </w:pPr>
                </w:p>
              </w:tc>
            </w:tr>
            <w:tr w14:paraId="4A2298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dxa"/>
                  <w:tcBorders>
                    <w:tl2br w:val="nil"/>
                    <w:tr2bl w:val="nil"/>
                  </w:tcBorders>
                  <w:shd w:val="clear" w:color="auto" w:fill="auto"/>
                  <w:tcMar>
                    <w:left w:w="57" w:type="dxa"/>
                    <w:right w:w="57" w:type="dxa"/>
                  </w:tcMar>
                  <w:vAlign w:val="center"/>
                </w:tcPr>
                <w:p w14:paraId="53EC2A70">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r>
                    <w:rPr>
                      <w:rFonts w:hint="eastAsia" w:ascii="Times New Roman" w:hAnsi="Times New Roman" w:eastAsia="宋体" w:cs="Times New Roman"/>
                      <w:b w:val="0"/>
                      <w:bCs/>
                      <w:color w:val="auto"/>
                      <w:spacing w:val="0"/>
                      <w:kern w:val="0"/>
                      <w:position w:val="0"/>
                      <w:sz w:val="21"/>
                      <w:szCs w:val="21"/>
                      <w:highlight w:val="none"/>
                      <w:lang w:val="en-US" w:eastAsia="zh-CN" w:bidi="ar-SA"/>
                    </w:rPr>
                    <w:t>3</w:t>
                  </w:r>
                </w:p>
              </w:tc>
              <w:tc>
                <w:tcPr>
                  <w:tcW w:w="1324" w:type="dxa"/>
                  <w:tcBorders>
                    <w:tl2br w:val="nil"/>
                    <w:tr2bl w:val="nil"/>
                  </w:tcBorders>
                  <w:tcMar>
                    <w:left w:w="57" w:type="dxa"/>
                    <w:right w:w="57" w:type="dxa"/>
                  </w:tcMar>
                  <w:vAlign w:val="center"/>
                </w:tcPr>
                <w:p w14:paraId="33818636">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650" w:type="dxa"/>
                  <w:tcBorders>
                    <w:tl2br w:val="nil"/>
                    <w:tr2bl w:val="nil"/>
                  </w:tcBorders>
                  <w:tcMar>
                    <w:left w:w="57" w:type="dxa"/>
                    <w:right w:w="57" w:type="dxa"/>
                  </w:tcMar>
                  <w:vAlign w:val="center"/>
                </w:tcPr>
                <w:p w14:paraId="6D36B0C3">
                  <w:pPr>
                    <w:keepNext w:val="0"/>
                    <w:keepLines w:val="0"/>
                    <w:widowControl/>
                    <w:suppressLineNumbers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097" w:type="dxa"/>
                  <w:tcBorders>
                    <w:tl2br w:val="nil"/>
                    <w:tr2bl w:val="nil"/>
                  </w:tcBorders>
                  <w:tcMar>
                    <w:left w:w="57" w:type="dxa"/>
                    <w:right w:w="57" w:type="dxa"/>
                  </w:tcMar>
                  <w:vAlign w:val="center"/>
                </w:tcPr>
                <w:p w14:paraId="4B062045">
                  <w:pPr>
                    <w:keepNext w:val="0"/>
                    <w:keepLines w:val="0"/>
                    <w:widowControl/>
                    <w:suppressLineNumbers w:val="0"/>
                    <w:jc w:val="center"/>
                    <w:textAlignment w:val="center"/>
                    <w:rPr>
                      <w:rFonts w:hint="default" w:ascii="Times New Roman" w:hAnsi="Times New Roman" w:eastAsia="宋体" w:cs="Times New Roman"/>
                      <w:b w:val="0"/>
                      <w:bCs/>
                      <w:i w:val="0"/>
                      <w:iCs w:val="0"/>
                      <w:color w:val="auto"/>
                      <w:spacing w:val="0"/>
                      <w:kern w:val="0"/>
                      <w:position w:val="0"/>
                      <w:sz w:val="21"/>
                      <w:szCs w:val="21"/>
                      <w:highlight w:val="none"/>
                      <w:u w:val="none"/>
                      <w:lang w:val="en-US" w:eastAsia="zh-CN" w:bidi="ar"/>
                    </w:rPr>
                  </w:pPr>
                </w:p>
              </w:tc>
              <w:tc>
                <w:tcPr>
                  <w:tcW w:w="1177" w:type="dxa"/>
                  <w:tcBorders>
                    <w:tl2br w:val="nil"/>
                    <w:tr2bl w:val="nil"/>
                  </w:tcBorders>
                  <w:tcMar>
                    <w:left w:w="57" w:type="dxa"/>
                    <w:right w:w="57" w:type="dxa"/>
                  </w:tcMar>
                  <w:vAlign w:val="center"/>
                </w:tcPr>
                <w:p w14:paraId="3FC8327A">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993" w:type="dxa"/>
                  <w:tcBorders>
                    <w:tl2br w:val="nil"/>
                    <w:tr2bl w:val="nil"/>
                  </w:tcBorders>
                  <w:tcMar>
                    <w:left w:w="57" w:type="dxa"/>
                    <w:right w:w="57" w:type="dxa"/>
                  </w:tcMar>
                  <w:vAlign w:val="center"/>
                </w:tcPr>
                <w:p w14:paraId="625C2B6F">
                  <w:pPr>
                    <w:keepNext w:val="0"/>
                    <w:keepLines w:val="0"/>
                    <w:widowControl/>
                    <w:suppressLineNumbers w:val="0"/>
                    <w:jc w:val="center"/>
                    <w:textAlignment w:val="center"/>
                    <w:rPr>
                      <w:rFonts w:hint="default" w:ascii="Times New Roman" w:hAnsi="Times New Roman" w:eastAsia="宋体" w:cs="Times New Roman"/>
                      <w:b w:val="0"/>
                      <w:bCs/>
                      <w:i w:val="0"/>
                      <w:iCs w:val="0"/>
                      <w:color w:val="auto"/>
                      <w:spacing w:val="0"/>
                      <w:kern w:val="0"/>
                      <w:position w:val="0"/>
                      <w:sz w:val="21"/>
                      <w:szCs w:val="21"/>
                      <w:highlight w:val="none"/>
                      <w:u w:val="none"/>
                      <w:lang w:val="en-US" w:eastAsia="zh-CN" w:bidi="ar"/>
                    </w:rPr>
                  </w:pPr>
                </w:p>
              </w:tc>
              <w:tc>
                <w:tcPr>
                  <w:tcW w:w="1516" w:type="dxa"/>
                  <w:vMerge w:val="continue"/>
                  <w:tcBorders>
                    <w:tl2br w:val="nil"/>
                    <w:tr2bl w:val="nil"/>
                  </w:tcBorders>
                  <w:tcMar>
                    <w:left w:w="57" w:type="dxa"/>
                    <w:right w:w="57" w:type="dxa"/>
                  </w:tcMar>
                  <w:vAlign w:val="center"/>
                </w:tcPr>
                <w:p w14:paraId="13ED5601">
                  <w:pPr>
                    <w:keepNext w:val="0"/>
                    <w:keepLines w:val="0"/>
                    <w:widowControl/>
                    <w:suppressLineNumbers w:val="0"/>
                    <w:jc w:val="center"/>
                    <w:textAlignment w:val="center"/>
                    <w:rPr>
                      <w:rFonts w:hint="default" w:ascii="Times New Roman" w:hAnsi="Times New Roman" w:eastAsia="宋体" w:cs="Times New Roman"/>
                      <w:b w:val="0"/>
                      <w:bCs/>
                      <w:i w:val="0"/>
                      <w:iCs w:val="0"/>
                      <w:color w:val="auto"/>
                      <w:spacing w:val="0"/>
                      <w:kern w:val="0"/>
                      <w:position w:val="0"/>
                      <w:sz w:val="21"/>
                      <w:szCs w:val="21"/>
                      <w:highlight w:val="none"/>
                      <w:u w:val="none"/>
                      <w:lang w:val="en-US" w:eastAsia="zh-CN" w:bidi="ar"/>
                    </w:rPr>
                  </w:pPr>
                </w:p>
              </w:tc>
              <w:tc>
                <w:tcPr>
                  <w:tcW w:w="1300" w:type="dxa"/>
                  <w:tcBorders>
                    <w:tl2br w:val="nil"/>
                    <w:tr2bl w:val="nil"/>
                  </w:tcBorders>
                  <w:tcMar>
                    <w:left w:w="57" w:type="dxa"/>
                    <w:right w:w="57" w:type="dxa"/>
                  </w:tcMar>
                  <w:vAlign w:val="center"/>
                </w:tcPr>
                <w:p w14:paraId="05106DD7">
                  <w:pPr>
                    <w:keepNext w:val="0"/>
                    <w:keepLines w:val="0"/>
                    <w:widowControl/>
                    <w:suppressLineNumbers w:val="0"/>
                    <w:jc w:val="center"/>
                    <w:textAlignment w:val="center"/>
                    <w:rPr>
                      <w:rFonts w:hint="eastAsia" w:cs="Times New Roman"/>
                      <w:b w:val="0"/>
                      <w:bCs/>
                      <w:i w:val="0"/>
                      <w:iCs w:val="0"/>
                      <w:color w:val="auto"/>
                      <w:spacing w:val="0"/>
                      <w:kern w:val="0"/>
                      <w:position w:val="0"/>
                      <w:sz w:val="21"/>
                      <w:szCs w:val="21"/>
                      <w:highlight w:val="none"/>
                      <w:u w:val="none"/>
                      <w:lang w:val="en-US" w:eastAsia="zh-CN" w:bidi="ar"/>
                    </w:rPr>
                  </w:pPr>
                </w:p>
              </w:tc>
            </w:tr>
            <w:tr w14:paraId="352EF2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dxa"/>
                  <w:tcBorders>
                    <w:tl2br w:val="nil"/>
                    <w:tr2bl w:val="nil"/>
                  </w:tcBorders>
                  <w:shd w:val="clear" w:color="auto" w:fill="auto"/>
                  <w:tcMar>
                    <w:left w:w="57" w:type="dxa"/>
                    <w:right w:w="57" w:type="dxa"/>
                  </w:tcMar>
                  <w:vAlign w:val="center"/>
                </w:tcPr>
                <w:p w14:paraId="40D6C708">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r>
                    <w:rPr>
                      <w:rFonts w:hint="eastAsia" w:ascii="Times New Roman" w:hAnsi="Times New Roman" w:eastAsia="宋体" w:cs="Times New Roman"/>
                      <w:b w:val="0"/>
                      <w:bCs/>
                      <w:color w:val="auto"/>
                      <w:spacing w:val="0"/>
                      <w:kern w:val="0"/>
                      <w:position w:val="0"/>
                      <w:sz w:val="21"/>
                      <w:szCs w:val="21"/>
                      <w:highlight w:val="none"/>
                      <w:lang w:val="en-US" w:eastAsia="zh-CN"/>
                    </w:rPr>
                    <w:t>4</w:t>
                  </w:r>
                </w:p>
              </w:tc>
              <w:tc>
                <w:tcPr>
                  <w:tcW w:w="1324" w:type="dxa"/>
                  <w:tcBorders>
                    <w:tl2br w:val="nil"/>
                    <w:tr2bl w:val="nil"/>
                  </w:tcBorders>
                  <w:tcMar>
                    <w:left w:w="57" w:type="dxa"/>
                    <w:right w:w="57" w:type="dxa"/>
                  </w:tcMar>
                  <w:vAlign w:val="center"/>
                </w:tcPr>
                <w:p w14:paraId="14202D7E">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650" w:type="dxa"/>
                  <w:tcBorders>
                    <w:tl2br w:val="nil"/>
                    <w:tr2bl w:val="nil"/>
                  </w:tcBorders>
                  <w:tcMar>
                    <w:left w:w="57" w:type="dxa"/>
                    <w:right w:w="57" w:type="dxa"/>
                  </w:tcMar>
                  <w:vAlign w:val="center"/>
                </w:tcPr>
                <w:p w14:paraId="03F6E2B1">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097" w:type="dxa"/>
                  <w:tcBorders>
                    <w:tl2br w:val="nil"/>
                    <w:tr2bl w:val="nil"/>
                  </w:tcBorders>
                  <w:tcMar>
                    <w:left w:w="57" w:type="dxa"/>
                    <w:right w:w="57" w:type="dxa"/>
                  </w:tcMar>
                  <w:vAlign w:val="center"/>
                </w:tcPr>
                <w:p w14:paraId="3E323DDE">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177" w:type="dxa"/>
                  <w:tcBorders>
                    <w:tl2br w:val="nil"/>
                    <w:tr2bl w:val="nil"/>
                  </w:tcBorders>
                  <w:tcMar>
                    <w:left w:w="57" w:type="dxa"/>
                    <w:right w:w="57" w:type="dxa"/>
                  </w:tcMar>
                  <w:vAlign w:val="center"/>
                </w:tcPr>
                <w:p w14:paraId="74A45E4F">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993" w:type="dxa"/>
                  <w:tcBorders>
                    <w:tl2br w:val="nil"/>
                    <w:tr2bl w:val="nil"/>
                  </w:tcBorders>
                  <w:tcMar>
                    <w:left w:w="57" w:type="dxa"/>
                    <w:right w:w="57" w:type="dxa"/>
                  </w:tcMar>
                  <w:vAlign w:val="center"/>
                </w:tcPr>
                <w:p w14:paraId="3777C816">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516" w:type="dxa"/>
                  <w:vMerge w:val="restart"/>
                  <w:tcBorders>
                    <w:tl2br w:val="nil"/>
                    <w:tr2bl w:val="nil"/>
                  </w:tcBorders>
                  <w:tcMar>
                    <w:left w:w="57" w:type="dxa"/>
                    <w:right w:w="57" w:type="dxa"/>
                  </w:tcMar>
                  <w:vAlign w:val="center"/>
                </w:tcPr>
                <w:p w14:paraId="4C3515CF">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300" w:type="dxa"/>
                  <w:tcBorders>
                    <w:tl2br w:val="nil"/>
                    <w:tr2bl w:val="nil"/>
                  </w:tcBorders>
                  <w:tcMar>
                    <w:left w:w="57" w:type="dxa"/>
                    <w:right w:w="57" w:type="dxa"/>
                  </w:tcMar>
                  <w:vAlign w:val="center"/>
                </w:tcPr>
                <w:p w14:paraId="7138EA11">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r>
            <w:tr w14:paraId="36C5EB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dxa"/>
                  <w:tcBorders>
                    <w:tl2br w:val="nil"/>
                    <w:tr2bl w:val="nil"/>
                  </w:tcBorders>
                  <w:shd w:val="clear" w:color="auto" w:fill="auto"/>
                  <w:tcMar>
                    <w:left w:w="57" w:type="dxa"/>
                    <w:right w:w="57" w:type="dxa"/>
                  </w:tcMar>
                  <w:vAlign w:val="center"/>
                </w:tcPr>
                <w:p w14:paraId="333F9FCD">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r>
                    <w:rPr>
                      <w:rFonts w:hint="eastAsia" w:ascii="Times New Roman" w:hAnsi="Times New Roman" w:eastAsia="宋体" w:cs="Times New Roman"/>
                      <w:b w:val="0"/>
                      <w:bCs/>
                      <w:color w:val="auto"/>
                      <w:spacing w:val="0"/>
                      <w:kern w:val="0"/>
                      <w:position w:val="0"/>
                      <w:sz w:val="21"/>
                      <w:szCs w:val="21"/>
                      <w:highlight w:val="none"/>
                      <w:lang w:val="en-US" w:eastAsia="zh-CN"/>
                    </w:rPr>
                    <w:t>5</w:t>
                  </w:r>
                </w:p>
              </w:tc>
              <w:tc>
                <w:tcPr>
                  <w:tcW w:w="1324" w:type="dxa"/>
                  <w:tcBorders>
                    <w:tl2br w:val="nil"/>
                    <w:tr2bl w:val="nil"/>
                  </w:tcBorders>
                  <w:tcMar>
                    <w:left w:w="57" w:type="dxa"/>
                    <w:right w:w="57" w:type="dxa"/>
                  </w:tcMar>
                  <w:vAlign w:val="center"/>
                </w:tcPr>
                <w:p w14:paraId="4CC00E9D">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650" w:type="dxa"/>
                  <w:tcBorders>
                    <w:tl2br w:val="nil"/>
                    <w:tr2bl w:val="nil"/>
                  </w:tcBorders>
                  <w:tcMar>
                    <w:left w:w="57" w:type="dxa"/>
                    <w:right w:w="57" w:type="dxa"/>
                  </w:tcMar>
                  <w:vAlign w:val="center"/>
                </w:tcPr>
                <w:p w14:paraId="78F4C3D7">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097" w:type="dxa"/>
                  <w:tcBorders>
                    <w:tl2br w:val="nil"/>
                    <w:tr2bl w:val="nil"/>
                  </w:tcBorders>
                  <w:tcMar>
                    <w:left w:w="57" w:type="dxa"/>
                    <w:right w:w="57" w:type="dxa"/>
                  </w:tcMar>
                  <w:vAlign w:val="center"/>
                </w:tcPr>
                <w:p w14:paraId="7C42EEB0">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177" w:type="dxa"/>
                  <w:tcBorders>
                    <w:tl2br w:val="nil"/>
                    <w:tr2bl w:val="nil"/>
                  </w:tcBorders>
                  <w:tcMar>
                    <w:left w:w="57" w:type="dxa"/>
                    <w:right w:w="57" w:type="dxa"/>
                  </w:tcMar>
                  <w:vAlign w:val="center"/>
                </w:tcPr>
                <w:p w14:paraId="41A367B8">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993" w:type="dxa"/>
                  <w:tcBorders>
                    <w:tl2br w:val="nil"/>
                    <w:tr2bl w:val="nil"/>
                  </w:tcBorders>
                  <w:tcMar>
                    <w:left w:w="57" w:type="dxa"/>
                    <w:right w:w="57" w:type="dxa"/>
                  </w:tcMar>
                  <w:vAlign w:val="center"/>
                </w:tcPr>
                <w:p w14:paraId="64F88BDF">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516" w:type="dxa"/>
                  <w:vMerge w:val="continue"/>
                  <w:tcBorders>
                    <w:tl2br w:val="nil"/>
                    <w:tr2bl w:val="nil"/>
                  </w:tcBorders>
                  <w:tcMar>
                    <w:left w:w="57" w:type="dxa"/>
                    <w:right w:w="57" w:type="dxa"/>
                  </w:tcMar>
                  <w:vAlign w:val="center"/>
                </w:tcPr>
                <w:p w14:paraId="694A925D">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300" w:type="dxa"/>
                  <w:tcBorders>
                    <w:tl2br w:val="nil"/>
                    <w:tr2bl w:val="nil"/>
                  </w:tcBorders>
                  <w:tcMar>
                    <w:left w:w="57" w:type="dxa"/>
                    <w:right w:w="57" w:type="dxa"/>
                  </w:tcMar>
                  <w:vAlign w:val="center"/>
                </w:tcPr>
                <w:p w14:paraId="3A35782F">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r>
            <w:tr w14:paraId="20C36E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4" w:type="dxa"/>
                  <w:tcBorders>
                    <w:tl2br w:val="nil"/>
                    <w:tr2bl w:val="nil"/>
                  </w:tcBorders>
                  <w:shd w:val="clear" w:color="auto" w:fill="auto"/>
                  <w:tcMar>
                    <w:left w:w="57" w:type="dxa"/>
                    <w:right w:w="57" w:type="dxa"/>
                  </w:tcMar>
                  <w:vAlign w:val="center"/>
                </w:tcPr>
                <w:p w14:paraId="338AEEEB">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r>
                    <w:rPr>
                      <w:rFonts w:hint="eastAsia" w:ascii="Times New Roman" w:hAnsi="Times New Roman" w:eastAsia="宋体" w:cs="Times New Roman"/>
                      <w:b w:val="0"/>
                      <w:bCs/>
                      <w:color w:val="auto"/>
                      <w:spacing w:val="0"/>
                      <w:kern w:val="0"/>
                      <w:position w:val="0"/>
                      <w:sz w:val="21"/>
                      <w:szCs w:val="21"/>
                      <w:highlight w:val="none"/>
                      <w:lang w:val="en-US" w:eastAsia="zh-CN"/>
                    </w:rPr>
                    <w:t>6</w:t>
                  </w:r>
                </w:p>
              </w:tc>
              <w:tc>
                <w:tcPr>
                  <w:tcW w:w="1324" w:type="dxa"/>
                  <w:tcBorders>
                    <w:tl2br w:val="nil"/>
                    <w:tr2bl w:val="nil"/>
                  </w:tcBorders>
                  <w:shd w:val="clear" w:color="auto" w:fill="auto"/>
                  <w:tcMar>
                    <w:left w:w="57" w:type="dxa"/>
                    <w:right w:w="57" w:type="dxa"/>
                  </w:tcMar>
                  <w:vAlign w:val="center"/>
                </w:tcPr>
                <w:p w14:paraId="15A56D76">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650" w:type="dxa"/>
                  <w:tcBorders>
                    <w:tl2br w:val="nil"/>
                    <w:tr2bl w:val="nil"/>
                  </w:tcBorders>
                  <w:shd w:val="clear" w:color="auto" w:fill="auto"/>
                  <w:tcMar>
                    <w:left w:w="57" w:type="dxa"/>
                    <w:right w:w="57" w:type="dxa"/>
                  </w:tcMar>
                  <w:vAlign w:val="center"/>
                </w:tcPr>
                <w:p w14:paraId="3775953F">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097" w:type="dxa"/>
                  <w:tcBorders>
                    <w:tl2br w:val="nil"/>
                    <w:tr2bl w:val="nil"/>
                  </w:tcBorders>
                  <w:shd w:val="clear" w:color="auto" w:fill="auto"/>
                  <w:tcMar>
                    <w:left w:w="57" w:type="dxa"/>
                    <w:right w:w="57" w:type="dxa"/>
                  </w:tcMar>
                  <w:vAlign w:val="center"/>
                </w:tcPr>
                <w:p w14:paraId="1E6A3101">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177" w:type="dxa"/>
                  <w:tcBorders>
                    <w:tl2br w:val="nil"/>
                    <w:tr2bl w:val="nil"/>
                  </w:tcBorders>
                  <w:shd w:val="clear" w:color="auto" w:fill="auto"/>
                  <w:tcMar>
                    <w:left w:w="57" w:type="dxa"/>
                    <w:right w:w="57" w:type="dxa"/>
                  </w:tcMar>
                  <w:vAlign w:val="center"/>
                </w:tcPr>
                <w:p w14:paraId="00E7F18B">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993" w:type="dxa"/>
                  <w:tcBorders>
                    <w:tl2br w:val="nil"/>
                    <w:tr2bl w:val="nil"/>
                  </w:tcBorders>
                  <w:shd w:val="clear" w:color="auto" w:fill="auto"/>
                  <w:tcMar>
                    <w:left w:w="57" w:type="dxa"/>
                    <w:right w:w="57" w:type="dxa"/>
                  </w:tcMar>
                  <w:vAlign w:val="center"/>
                </w:tcPr>
                <w:p w14:paraId="1A5AA9BC">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516" w:type="dxa"/>
                  <w:vMerge w:val="continue"/>
                  <w:tcBorders>
                    <w:tl2br w:val="nil"/>
                    <w:tr2bl w:val="nil"/>
                  </w:tcBorders>
                  <w:shd w:val="clear" w:color="auto" w:fill="auto"/>
                  <w:tcMar>
                    <w:left w:w="57" w:type="dxa"/>
                    <w:right w:w="57" w:type="dxa"/>
                  </w:tcMar>
                  <w:vAlign w:val="center"/>
                </w:tcPr>
                <w:p w14:paraId="256CAAC8">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300" w:type="dxa"/>
                  <w:tcBorders>
                    <w:tl2br w:val="nil"/>
                    <w:tr2bl w:val="nil"/>
                  </w:tcBorders>
                  <w:shd w:val="clear" w:color="auto" w:fill="auto"/>
                  <w:tcMar>
                    <w:left w:w="57" w:type="dxa"/>
                    <w:right w:w="57" w:type="dxa"/>
                  </w:tcMar>
                  <w:vAlign w:val="center"/>
                </w:tcPr>
                <w:p w14:paraId="41E02F98">
                  <w:pPr>
                    <w:autoSpaceDE w:val="0"/>
                    <w:autoSpaceDN w:val="0"/>
                    <w:jc w:val="center"/>
                    <w:rPr>
                      <w:rFonts w:hint="eastAsia" w:cs="Times New Roman"/>
                      <w:b w:val="0"/>
                      <w:bCs/>
                      <w:color w:val="auto"/>
                      <w:spacing w:val="0"/>
                      <w:kern w:val="2"/>
                      <w:position w:val="0"/>
                      <w:sz w:val="21"/>
                      <w:szCs w:val="21"/>
                      <w:highlight w:val="none"/>
                      <w:lang w:val="en-US" w:eastAsia="zh-CN" w:bidi="ar-SA"/>
                    </w:rPr>
                  </w:pPr>
                </w:p>
              </w:tc>
            </w:tr>
            <w:tr w14:paraId="773B38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dxa"/>
                  <w:tcBorders>
                    <w:tl2br w:val="nil"/>
                    <w:tr2bl w:val="nil"/>
                  </w:tcBorders>
                  <w:tcMar>
                    <w:left w:w="57" w:type="dxa"/>
                    <w:right w:w="57" w:type="dxa"/>
                  </w:tcMar>
                  <w:vAlign w:val="center"/>
                </w:tcPr>
                <w:p w14:paraId="2A5877D6">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rPr>
                  </w:pPr>
                  <w:r>
                    <w:rPr>
                      <w:rFonts w:hint="eastAsia" w:cs="Times New Roman"/>
                      <w:b w:val="0"/>
                      <w:bCs/>
                      <w:color w:val="auto"/>
                      <w:spacing w:val="0"/>
                      <w:kern w:val="0"/>
                      <w:position w:val="0"/>
                      <w:sz w:val="21"/>
                      <w:szCs w:val="21"/>
                      <w:highlight w:val="none"/>
                      <w:lang w:val="en-US" w:eastAsia="zh-CN"/>
                    </w:rPr>
                    <w:t>7</w:t>
                  </w:r>
                </w:p>
              </w:tc>
              <w:tc>
                <w:tcPr>
                  <w:tcW w:w="1324" w:type="dxa"/>
                  <w:tcBorders>
                    <w:tl2br w:val="nil"/>
                    <w:tr2bl w:val="nil"/>
                  </w:tcBorders>
                  <w:shd w:val="clear" w:color="auto" w:fill="auto"/>
                  <w:tcMar>
                    <w:left w:w="57" w:type="dxa"/>
                    <w:right w:w="57" w:type="dxa"/>
                  </w:tcMar>
                  <w:vAlign w:val="center"/>
                </w:tcPr>
                <w:p w14:paraId="657E63CE">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650" w:type="dxa"/>
                  <w:tcBorders>
                    <w:tl2br w:val="nil"/>
                    <w:tr2bl w:val="nil"/>
                  </w:tcBorders>
                  <w:tcMar>
                    <w:left w:w="57" w:type="dxa"/>
                    <w:right w:w="57" w:type="dxa"/>
                  </w:tcMar>
                  <w:vAlign w:val="center"/>
                </w:tcPr>
                <w:p w14:paraId="429C1EDB">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097" w:type="dxa"/>
                  <w:tcBorders>
                    <w:tl2br w:val="nil"/>
                    <w:tr2bl w:val="nil"/>
                  </w:tcBorders>
                  <w:tcMar>
                    <w:left w:w="57" w:type="dxa"/>
                    <w:right w:w="57" w:type="dxa"/>
                  </w:tcMar>
                  <w:vAlign w:val="center"/>
                </w:tcPr>
                <w:p w14:paraId="0C64F142">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177" w:type="dxa"/>
                  <w:tcBorders>
                    <w:tl2br w:val="nil"/>
                    <w:tr2bl w:val="nil"/>
                  </w:tcBorders>
                  <w:tcMar>
                    <w:left w:w="57" w:type="dxa"/>
                    <w:right w:w="57" w:type="dxa"/>
                  </w:tcMar>
                  <w:vAlign w:val="center"/>
                </w:tcPr>
                <w:p w14:paraId="51F046F9">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993" w:type="dxa"/>
                  <w:tcBorders>
                    <w:tl2br w:val="nil"/>
                    <w:tr2bl w:val="nil"/>
                  </w:tcBorders>
                  <w:tcMar>
                    <w:left w:w="57" w:type="dxa"/>
                    <w:right w:w="57" w:type="dxa"/>
                  </w:tcMar>
                  <w:vAlign w:val="center"/>
                </w:tcPr>
                <w:p w14:paraId="6493D375">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516" w:type="dxa"/>
                  <w:vMerge w:val="continue"/>
                  <w:tcBorders>
                    <w:tl2br w:val="nil"/>
                    <w:tr2bl w:val="nil"/>
                  </w:tcBorders>
                  <w:tcMar>
                    <w:left w:w="57" w:type="dxa"/>
                    <w:right w:w="57" w:type="dxa"/>
                  </w:tcMar>
                  <w:vAlign w:val="center"/>
                </w:tcPr>
                <w:p w14:paraId="10B7E8DE">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300" w:type="dxa"/>
                  <w:tcBorders>
                    <w:tl2br w:val="nil"/>
                    <w:tr2bl w:val="nil"/>
                  </w:tcBorders>
                  <w:tcMar>
                    <w:left w:w="57" w:type="dxa"/>
                    <w:right w:w="57" w:type="dxa"/>
                  </w:tcMar>
                  <w:vAlign w:val="center"/>
                </w:tcPr>
                <w:p w14:paraId="2BB05BC6">
                  <w:pPr>
                    <w:autoSpaceDE w:val="0"/>
                    <w:autoSpaceDN w:val="0"/>
                    <w:jc w:val="center"/>
                    <w:rPr>
                      <w:rFonts w:hint="eastAsia" w:cs="Times New Roman"/>
                      <w:b w:val="0"/>
                      <w:bCs/>
                      <w:color w:val="auto"/>
                      <w:spacing w:val="0"/>
                      <w:kern w:val="2"/>
                      <w:position w:val="0"/>
                      <w:sz w:val="21"/>
                      <w:szCs w:val="21"/>
                      <w:highlight w:val="none"/>
                      <w:lang w:val="en-US" w:eastAsia="zh-CN" w:bidi="ar-SA"/>
                    </w:rPr>
                  </w:pPr>
                </w:p>
              </w:tc>
            </w:tr>
            <w:tr w14:paraId="069D21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dxa"/>
                  <w:tcBorders>
                    <w:tl2br w:val="nil"/>
                    <w:tr2bl w:val="nil"/>
                  </w:tcBorders>
                  <w:tcMar>
                    <w:left w:w="57" w:type="dxa"/>
                    <w:right w:w="57" w:type="dxa"/>
                  </w:tcMar>
                  <w:vAlign w:val="center"/>
                </w:tcPr>
                <w:p w14:paraId="2F68B6A1">
                  <w:pPr>
                    <w:widowControl/>
                    <w:jc w:val="center"/>
                    <w:rPr>
                      <w:rFonts w:hint="eastAsia" w:cs="Times New Roman"/>
                      <w:b w:val="0"/>
                      <w:bCs/>
                      <w:color w:val="auto"/>
                      <w:spacing w:val="0"/>
                      <w:kern w:val="0"/>
                      <w:position w:val="0"/>
                      <w:sz w:val="21"/>
                      <w:szCs w:val="21"/>
                      <w:highlight w:val="none"/>
                      <w:lang w:val="en-US" w:eastAsia="zh-CN"/>
                    </w:rPr>
                  </w:pPr>
                  <w:r>
                    <w:rPr>
                      <w:rFonts w:hint="eastAsia" w:cs="Times New Roman"/>
                      <w:b w:val="0"/>
                      <w:bCs/>
                      <w:color w:val="auto"/>
                      <w:spacing w:val="0"/>
                      <w:kern w:val="0"/>
                      <w:position w:val="0"/>
                      <w:sz w:val="21"/>
                      <w:szCs w:val="21"/>
                      <w:highlight w:val="none"/>
                      <w:lang w:val="en-US" w:eastAsia="zh-CN"/>
                    </w:rPr>
                    <w:t>8</w:t>
                  </w:r>
                </w:p>
              </w:tc>
              <w:tc>
                <w:tcPr>
                  <w:tcW w:w="1324" w:type="dxa"/>
                  <w:tcBorders>
                    <w:tl2br w:val="nil"/>
                    <w:tr2bl w:val="nil"/>
                  </w:tcBorders>
                  <w:shd w:val="clear" w:color="auto" w:fill="auto"/>
                  <w:tcMar>
                    <w:left w:w="57" w:type="dxa"/>
                    <w:right w:w="57" w:type="dxa"/>
                  </w:tcMar>
                  <w:vAlign w:val="center"/>
                </w:tcPr>
                <w:p w14:paraId="74A58EDF">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650" w:type="dxa"/>
                  <w:tcBorders>
                    <w:tl2br w:val="nil"/>
                    <w:tr2bl w:val="nil"/>
                  </w:tcBorders>
                  <w:tcMar>
                    <w:left w:w="57" w:type="dxa"/>
                    <w:right w:w="57" w:type="dxa"/>
                  </w:tcMar>
                  <w:vAlign w:val="center"/>
                </w:tcPr>
                <w:p w14:paraId="3C21D5BB">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097" w:type="dxa"/>
                  <w:tcBorders>
                    <w:tl2br w:val="nil"/>
                    <w:tr2bl w:val="nil"/>
                  </w:tcBorders>
                  <w:tcMar>
                    <w:left w:w="57" w:type="dxa"/>
                    <w:right w:w="57" w:type="dxa"/>
                  </w:tcMar>
                  <w:vAlign w:val="center"/>
                </w:tcPr>
                <w:p w14:paraId="152E358D">
                  <w:pPr>
                    <w:autoSpaceDE w:val="0"/>
                    <w:autoSpaceDN w:val="0"/>
                    <w:jc w:val="center"/>
                    <w:rPr>
                      <w:rFonts w:hint="default" w:cs="Times New Roman"/>
                      <w:b w:val="0"/>
                      <w:bCs/>
                      <w:color w:val="auto"/>
                      <w:spacing w:val="0"/>
                      <w:kern w:val="2"/>
                      <w:position w:val="0"/>
                      <w:sz w:val="21"/>
                      <w:szCs w:val="21"/>
                      <w:highlight w:val="none"/>
                      <w:lang w:val="en-US" w:eastAsia="zh-CN" w:bidi="ar-SA"/>
                    </w:rPr>
                  </w:pPr>
                </w:p>
              </w:tc>
              <w:tc>
                <w:tcPr>
                  <w:tcW w:w="1177" w:type="dxa"/>
                  <w:tcBorders>
                    <w:tl2br w:val="nil"/>
                    <w:tr2bl w:val="nil"/>
                  </w:tcBorders>
                  <w:tcMar>
                    <w:left w:w="57" w:type="dxa"/>
                    <w:right w:w="57" w:type="dxa"/>
                  </w:tcMar>
                  <w:vAlign w:val="center"/>
                </w:tcPr>
                <w:p w14:paraId="55074125">
                  <w:pPr>
                    <w:autoSpaceDE w:val="0"/>
                    <w:autoSpaceDN w:val="0"/>
                    <w:jc w:val="center"/>
                    <w:rPr>
                      <w:rFonts w:hint="default" w:cs="Times New Roman"/>
                      <w:b w:val="0"/>
                      <w:bCs/>
                      <w:color w:val="auto"/>
                      <w:spacing w:val="0"/>
                      <w:kern w:val="2"/>
                      <w:position w:val="0"/>
                      <w:sz w:val="21"/>
                      <w:szCs w:val="21"/>
                      <w:highlight w:val="none"/>
                      <w:lang w:val="en-US" w:eastAsia="zh-CN" w:bidi="ar-SA"/>
                    </w:rPr>
                  </w:pPr>
                </w:p>
              </w:tc>
              <w:tc>
                <w:tcPr>
                  <w:tcW w:w="993" w:type="dxa"/>
                  <w:tcBorders>
                    <w:tl2br w:val="nil"/>
                    <w:tr2bl w:val="nil"/>
                  </w:tcBorders>
                  <w:tcMar>
                    <w:left w:w="57" w:type="dxa"/>
                    <w:right w:w="57" w:type="dxa"/>
                  </w:tcMar>
                  <w:vAlign w:val="center"/>
                </w:tcPr>
                <w:p w14:paraId="798867C5">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516" w:type="dxa"/>
                  <w:vMerge w:val="continue"/>
                  <w:tcBorders>
                    <w:tl2br w:val="nil"/>
                    <w:tr2bl w:val="nil"/>
                  </w:tcBorders>
                  <w:tcMar>
                    <w:left w:w="57" w:type="dxa"/>
                    <w:right w:w="57" w:type="dxa"/>
                  </w:tcMar>
                  <w:vAlign w:val="center"/>
                </w:tcPr>
                <w:p w14:paraId="230FCAE2">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300" w:type="dxa"/>
                  <w:tcBorders>
                    <w:tl2br w:val="nil"/>
                    <w:tr2bl w:val="nil"/>
                  </w:tcBorders>
                  <w:tcMar>
                    <w:left w:w="57" w:type="dxa"/>
                    <w:right w:w="57" w:type="dxa"/>
                  </w:tcMar>
                  <w:vAlign w:val="center"/>
                </w:tcPr>
                <w:p w14:paraId="3980CD70">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r>
            <w:tr w14:paraId="38EF3F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dxa"/>
                  <w:tcBorders>
                    <w:tl2br w:val="nil"/>
                    <w:tr2bl w:val="nil"/>
                  </w:tcBorders>
                  <w:tcMar>
                    <w:left w:w="57" w:type="dxa"/>
                    <w:right w:w="57" w:type="dxa"/>
                  </w:tcMar>
                  <w:vAlign w:val="center"/>
                </w:tcPr>
                <w:p w14:paraId="06343FF9">
                  <w:pPr>
                    <w:widowControl/>
                    <w:jc w:val="center"/>
                    <w:rPr>
                      <w:rFonts w:hint="default" w:cs="Times New Roman"/>
                      <w:b w:val="0"/>
                      <w:bCs/>
                      <w:color w:val="auto"/>
                      <w:spacing w:val="0"/>
                      <w:kern w:val="0"/>
                      <w:position w:val="0"/>
                      <w:sz w:val="21"/>
                      <w:szCs w:val="21"/>
                      <w:highlight w:val="none"/>
                      <w:lang w:val="en-US" w:eastAsia="zh-CN"/>
                    </w:rPr>
                  </w:pPr>
                  <w:r>
                    <w:rPr>
                      <w:rFonts w:hint="eastAsia" w:cs="Times New Roman"/>
                      <w:b w:val="0"/>
                      <w:bCs/>
                      <w:color w:val="auto"/>
                      <w:spacing w:val="0"/>
                      <w:kern w:val="0"/>
                      <w:position w:val="0"/>
                      <w:sz w:val="21"/>
                      <w:szCs w:val="21"/>
                      <w:highlight w:val="none"/>
                      <w:lang w:val="en-US" w:eastAsia="zh-CN"/>
                    </w:rPr>
                    <w:t>9</w:t>
                  </w:r>
                </w:p>
              </w:tc>
              <w:tc>
                <w:tcPr>
                  <w:tcW w:w="1324" w:type="dxa"/>
                  <w:tcBorders>
                    <w:tl2br w:val="nil"/>
                    <w:tr2bl w:val="nil"/>
                  </w:tcBorders>
                  <w:shd w:val="clear" w:color="auto" w:fill="auto"/>
                  <w:tcMar>
                    <w:left w:w="57" w:type="dxa"/>
                    <w:right w:w="57" w:type="dxa"/>
                  </w:tcMar>
                  <w:vAlign w:val="center"/>
                </w:tcPr>
                <w:p w14:paraId="01AD4E39">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650" w:type="dxa"/>
                  <w:tcBorders>
                    <w:tl2br w:val="nil"/>
                    <w:tr2bl w:val="nil"/>
                  </w:tcBorders>
                  <w:tcMar>
                    <w:left w:w="57" w:type="dxa"/>
                    <w:right w:w="57" w:type="dxa"/>
                  </w:tcMar>
                  <w:vAlign w:val="center"/>
                </w:tcPr>
                <w:p w14:paraId="72AFB46A">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097" w:type="dxa"/>
                  <w:tcBorders>
                    <w:tl2br w:val="nil"/>
                    <w:tr2bl w:val="nil"/>
                  </w:tcBorders>
                  <w:tcMar>
                    <w:left w:w="57" w:type="dxa"/>
                    <w:right w:w="57" w:type="dxa"/>
                  </w:tcMar>
                  <w:vAlign w:val="center"/>
                </w:tcPr>
                <w:p w14:paraId="17F9D78C">
                  <w:pPr>
                    <w:autoSpaceDE w:val="0"/>
                    <w:autoSpaceDN w:val="0"/>
                    <w:jc w:val="center"/>
                    <w:rPr>
                      <w:rFonts w:hint="default" w:cs="Times New Roman"/>
                      <w:b w:val="0"/>
                      <w:bCs/>
                      <w:color w:val="auto"/>
                      <w:spacing w:val="0"/>
                      <w:kern w:val="2"/>
                      <w:position w:val="0"/>
                      <w:sz w:val="21"/>
                      <w:szCs w:val="21"/>
                      <w:highlight w:val="none"/>
                      <w:lang w:val="en-US" w:eastAsia="zh-CN" w:bidi="ar-SA"/>
                    </w:rPr>
                  </w:pPr>
                </w:p>
              </w:tc>
              <w:tc>
                <w:tcPr>
                  <w:tcW w:w="1177" w:type="dxa"/>
                  <w:tcBorders>
                    <w:tl2br w:val="nil"/>
                    <w:tr2bl w:val="nil"/>
                  </w:tcBorders>
                  <w:tcMar>
                    <w:left w:w="57" w:type="dxa"/>
                    <w:right w:w="57" w:type="dxa"/>
                  </w:tcMar>
                  <w:vAlign w:val="center"/>
                </w:tcPr>
                <w:p w14:paraId="2C54FDCF">
                  <w:pPr>
                    <w:autoSpaceDE w:val="0"/>
                    <w:autoSpaceDN w:val="0"/>
                    <w:jc w:val="center"/>
                    <w:rPr>
                      <w:rFonts w:hint="default" w:cs="Times New Roman"/>
                      <w:b w:val="0"/>
                      <w:bCs/>
                      <w:color w:val="auto"/>
                      <w:spacing w:val="0"/>
                      <w:kern w:val="2"/>
                      <w:position w:val="0"/>
                      <w:sz w:val="21"/>
                      <w:szCs w:val="21"/>
                      <w:highlight w:val="none"/>
                      <w:lang w:val="en-US" w:eastAsia="zh-CN" w:bidi="ar-SA"/>
                    </w:rPr>
                  </w:pPr>
                </w:p>
              </w:tc>
              <w:tc>
                <w:tcPr>
                  <w:tcW w:w="993" w:type="dxa"/>
                  <w:tcBorders>
                    <w:tl2br w:val="nil"/>
                    <w:tr2bl w:val="nil"/>
                  </w:tcBorders>
                  <w:tcMar>
                    <w:left w:w="57" w:type="dxa"/>
                    <w:right w:w="57" w:type="dxa"/>
                  </w:tcMar>
                  <w:vAlign w:val="center"/>
                </w:tcPr>
                <w:p w14:paraId="2714FF1A">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516" w:type="dxa"/>
                  <w:vMerge w:val="continue"/>
                  <w:tcBorders>
                    <w:tl2br w:val="nil"/>
                    <w:tr2bl w:val="nil"/>
                  </w:tcBorders>
                  <w:tcMar>
                    <w:left w:w="57" w:type="dxa"/>
                    <w:right w:w="57" w:type="dxa"/>
                  </w:tcMar>
                  <w:vAlign w:val="center"/>
                </w:tcPr>
                <w:p w14:paraId="317828CE">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300" w:type="dxa"/>
                  <w:tcBorders>
                    <w:tl2br w:val="nil"/>
                    <w:tr2bl w:val="nil"/>
                  </w:tcBorders>
                  <w:tcMar>
                    <w:left w:w="57" w:type="dxa"/>
                    <w:right w:w="57" w:type="dxa"/>
                  </w:tcMar>
                  <w:vAlign w:val="center"/>
                </w:tcPr>
                <w:p w14:paraId="67E85962">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r>
            <w:tr w14:paraId="02A0FE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dxa"/>
                  <w:tcBorders>
                    <w:tl2br w:val="nil"/>
                    <w:tr2bl w:val="nil"/>
                  </w:tcBorders>
                  <w:tcMar>
                    <w:left w:w="57" w:type="dxa"/>
                    <w:right w:w="57" w:type="dxa"/>
                  </w:tcMar>
                  <w:vAlign w:val="center"/>
                </w:tcPr>
                <w:p w14:paraId="78759A06">
                  <w:pPr>
                    <w:widowControl/>
                    <w:jc w:val="center"/>
                    <w:rPr>
                      <w:rFonts w:hint="default" w:cs="Times New Roman"/>
                      <w:b w:val="0"/>
                      <w:bCs/>
                      <w:color w:val="auto"/>
                      <w:spacing w:val="0"/>
                      <w:kern w:val="0"/>
                      <w:position w:val="0"/>
                      <w:sz w:val="21"/>
                      <w:szCs w:val="21"/>
                      <w:highlight w:val="none"/>
                      <w:lang w:val="en-US" w:eastAsia="zh-CN"/>
                    </w:rPr>
                  </w:pPr>
                  <w:r>
                    <w:rPr>
                      <w:rFonts w:hint="eastAsia" w:cs="Times New Roman"/>
                      <w:b w:val="0"/>
                      <w:bCs/>
                      <w:color w:val="auto"/>
                      <w:spacing w:val="0"/>
                      <w:kern w:val="0"/>
                      <w:position w:val="0"/>
                      <w:sz w:val="21"/>
                      <w:szCs w:val="21"/>
                      <w:highlight w:val="none"/>
                      <w:lang w:val="en-US" w:eastAsia="zh-CN"/>
                    </w:rPr>
                    <w:t>10</w:t>
                  </w:r>
                </w:p>
              </w:tc>
              <w:tc>
                <w:tcPr>
                  <w:tcW w:w="1324" w:type="dxa"/>
                  <w:tcBorders>
                    <w:tl2br w:val="nil"/>
                    <w:tr2bl w:val="nil"/>
                  </w:tcBorders>
                  <w:shd w:val="clear" w:color="auto" w:fill="auto"/>
                  <w:tcMar>
                    <w:left w:w="57" w:type="dxa"/>
                    <w:right w:w="57" w:type="dxa"/>
                  </w:tcMar>
                  <w:vAlign w:val="center"/>
                </w:tcPr>
                <w:p w14:paraId="2366D3B0">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650" w:type="dxa"/>
                  <w:tcBorders>
                    <w:tl2br w:val="nil"/>
                    <w:tr2bl w:val="nil"/>
                  </w:tcBorders>
                  <w:tcMar>
                    <w:left w:w="57" w:type="dxa"/>
                    <w:right w:w="57" w:type="dxa"/>
                  </w:tcMar>
                  <w:vAlign w:val="center"/>
                </w:tcPr>
                <w:p w14:paraId="5C8C376C">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097" w:type="dxa"/>
                  <w:tcBorders>
                    <w:tl2br w:val="nil"/>
                    <w:tr2bl w:val="nil"/>
                  </w:tcBorders>
                  <w:tcMar>
                    <w:left w:w="57" w:type="dxa"/>
                    <w:right w:w="57" w:type="dxa"/>
                  </w:tcMar>
                  <w:vAlign w:val="center"/>
                </w:tcPr>
                <w:p w14:paraId="70BD3FCE">
                  <w:pPr>
                    <w:autoSpaceDE w:val="0"/>
                    <w:autoSpaceDN w:val="0"/>
                    <w:jc w:val="center"/>
                    <w:rPr>
                      <w:rFonts w:hint="default" w:cs="Times New Roman"/>
                      <w:b w:val="0"/>
                      <w:bCs/>
                      <w:color w:val="auto"/>
                      <w:spacing w:val="0"/>
                      <w:kern w:val="2"/>
                      <w:position w:val="0"/>
                      <w:sz w:val="21"/>
                      <w:szCs w:val="21"/>
                      <w:highlight w:val="none"/>
                      <w:lang w:val="en-US" w:eastAsia="zh-CN" w:bidi="ar-SA"/>
                    </w:rPr>
                  </w:pPr>
                </w:p>
              </w:tc>
              <w:tc>
                <w:tcPr>
                  <w:tcW w:w="1177" w:type="dxa"/>
                  <w:tcBorders>
                    <w:tl2br w:val="nil"/>
                    <w:tr2bl w:val="nil"/>
                  </w:tcBorders>
                  <w:tcMar>
                    <w:left w:w="57" w:type="dxa"/>
                    <w:right w:w="57" w:type="dxa"/>
                  </w:tcMar>
                  <w:vAlign w:val="center"/>
                </w:tcPr>
                <w:p w14:paraId="0AFE6B09">
                  <w:pPr>
                    <w:autoSpaceDE w:val="0"/>
                    <w:autoSpaceDN w:val="0"/>
                    <w:jc w:val="center"/>
                    <w:rPr>
                      <w:rFonts w:hint="default" w:cs="Times New Roman"/>
                      <w:b w:val="0"/>
                      <w:bCs/>
                      <w:color w:val="auto"/>
                      <w:spacing w:val="0"/>
                      <w:kern w:val="2"/>
                      <w:position w:val="0"/>
                      <w:sz w:val="21"/>
                      <w:szCs w:val="21"/>
                      <w:highlight w:val="none"/>
                      <w:lang w:val="en-US" w:eastAsia="zh-CN" w:bidi="ar-SA"/>
                    </w:rPr>
                  </w:pPr>
                </w:p>
              </w:tc>
              <w:tc>
                <w:tcPr>
                  <w:tcW w:w="993" w:type="dxa"/>
                  <w:tcBorders>
                    <w:tl2br w:val="nil"/>
                    <w:tr2bl w:val="nil"/>
                  </w:tcBorders>
                  <w:tcMar>
                    <w:left w:w="57" w:type="dxa"/>
                    <w:right w:w="57" w:type="dxa"/>
                  </w:tcMar>
                  <w:vAlign w:val="center"/>
                </w:tcPr>
                <w:p w14:paraId="2576AEEB">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516" w:type="dxa"/>
                  <w:vMerge w:val="continue"/>
                  <w:tcBorders>
                    <w:tl2br w:val="nil"/>
                    <w:tr2bl w:val="nil"/>
                  </w:tcBorders>
                  <w:tcMar>
                    <w:left w:w="57" w:type="dxa"/>
                    <w:right w:w="57" w:type="dxa"/>
                  </w:tcMar>
                  <w:vAlign w:val="center"/>
                </w:tcPr>
                <w:p w14:paraId="2B615649">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300" w:type="dxa"/>
                  <w:tcBorders>
                    <w:tl2br w:val="nil"/>
                    <w:tr2bl w:val="nil"/>
                  </w:tcBorders>
                  <w:tcMar>
                    <w:left w:w="57" w:type="dxa"/>
                    <w:right w:w="57" w:type="dxa"/>
                  </w:tcMar>
                  <w:vAlign w:val="center"/>
                </w:tcPr>
                <w:p w14:paraId="29148AF9">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r>
            <w:tr w14:paraId="1BAABE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1" w:type="dxa"/>
                  <w:gridSpan w:val="8"/>
                  <w:tcBorders>
                    <w:tl2br w:val="nil"/>
                    <w:tr2bl w:val="nil"/>
                  </w:tcBorders>
                  <w:tcMar>
                    <w:left w:w="57" w:type="dxa"/>
                    <w:right w:w="57" w:type="dxa"/>
                  </w:tcMar>
                  <w:vAlign w:val="center"/>
                </w:tcPr>
                <w:p w14:paraId="4599538C">
                  <w:pPr>
                    <w:keepNext w:val="0"/>
                    <w:keepLines w:val="0"/>
                    <w:widowControl/>
                    <w:suppressLineNumbers w:val="0"/>
                    <w:jc w:val="center"/>
                    <w:rPr>
                      <w:rFonts w:hint="eastAsia" w:ascii="Times New Roman" w:hAnsi="Times New Roman" w:eastAsia="宋体" w:cs="Times New Roman"/>
                      <w:b/>
                      <w:bCs/>
                      <w:color w:val="auto"/>
                      <w:spacing w:val="0"/>
                      <w:kern w:val="0"/>
                      <w:position w:val="0"/>
                      <w:sz w:val="21"/>
                      <w:szCs w:val="21"/>
                      <w:highlight w:val="none"/>
                      <w:lang w:val="en-US" w:eastAsia="zh-CN" w:bidi="ar"/>
                    </w:rPr>
                  </w:pPr>
                  <w:r>
                    <w:rPr>
                      <w:rFonts w:hint="eastAsia" w:ascii="Times New Roman" w:hAnsi="Times New Roman" w:eastAsia="宋体" w:cs="Times New Roman"/>
                      <w:b/>
                      <w:bCs/>
                      <w:color w:val="auto"/>
                      <w:spacing w:val="0"/>
                      <w:kern w:val="0"/>
                      <w:position w:val="0"/>
                      <w:sz w:val="21"/>
                      <w:szCs w:val="21"/>
                      <w:highlight w:val="none"/>
                      <w:lang w:val="en-US" w:eastAsia="zh-CN" w:bidi="ar"/>
                    </w:rPr>
                    <w:t>主要能源消耗量情况</w:t>
                  </w:r>
                </w:p>
              </w:tc>
            </w:tr>
            <w:tr w14:paraId="1B169D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dxa"/>
                  <w:tcBorders>
                    <w:tl2br w:val="nil"/>
                    <w:tr2bl w:val="nil"/>
                  </w:tcBorders>
                  <w:tcMar>
                    <w:left w:w="57" w:type="dxa"/>
                    <w:right w:w="57" w:type="dxa"/>
                  </w:tcMar>
                  <w:vAlign w:val="center"/>
                </w:tcPr>
                <w:p w14:paraId="70392603">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rPr>
                  </w:pPr>
                  <w:r>
                    <w:rPr>
                      <w:rFonts w:hint="eastAsia" w:ascii="Times New Roman" w:hAnsi="Times New Roman" w:eastAsia="宋体" w:cs="Times New Roman"/>
                      <w:b w:val="0"/>
                      <w:bCs/>
                      <w:color w:val="auto"/>
                      <w:spacing w:val="0"/>
                      <w:kern w:val="0"/>
                      <w:position w:val="0"/>
                      <w:sz w:val="21"/>
                      <w:szCs w:val="21"/>
                      <w:highlight w:val="none"/>
                      <w:lang w:val="en-US" w:eastAsia="zh-CN"/>
                    </w:rPr>
                    <w:t>1</w:t>
                  </w:r>
                </w:p>
              </w:tc>
              <w:tc>
                <w:tcPr>
                  <w:tcW w:w="1324" w:type="dxa"/>
                  <w:tcBorders>
                    <w:tl2br w:val="nil"/>
                    <w:tr2bl w:val="nil"/>
                  </w:tcBorders>
                  <w:tcMar>
                    <w:left w:w="57" w:type="dxa"/>
                    <w:right w:w="57" w:type="dxa"/>
                  </w:tcMar>
                  <w:vAlign w:val="center"/>
                </w:tcPr>
                <w:p w14:paraId="12C549AA">
                  <w:pPr>
                    <w:widowControl/>
                    <w:jc w:val="center"/>
                    <w:rPr>
                      <w:rFonts w:hint="default" w:ascii="Times New Roman" w:hAnsi="Times New Roman" w:eastAsia="宋体" w:cs="Times New Roman"/>
                      <w:b w:val="0"/>
                      <w:bCs/>
                      <w:color w:val="auto"/>
                      <w:spacing w:val="0"/>
                      <w:position w:val="0"/>
                      <w:sz w:val="21"/>
                      <w:szCs w:val="21"/>
                      <w:highlight w:val="none"/>
                      <w:lang w:eastAsia="zh-CN"/>
                    </w:rPr>
                  </w:pPr>
                  <w:r>
                    <w:rPr>
                      <w:rFonts w:hint="default" w:ascii="Times New Roman" w:hAnsi="Times New Roman" w:eastAsia="宋体" w:cs="Times New Roman"/>
                      <w:b w:val="0"/>
                      <w:bCs/>
                      <w:color w:val="auto"/>
                      <w:spacing w:val="0"/>
                      <w:kern w:val="0"/>
                      <w:position w:val="0"/>
                      <w:sz w:val="21"/>
                      <w:szCs w:val="21"/>
                      <w:highlight w:val="none"/>
                    </w:rPr>
                    <w:t>水</w:t>
                  </w:r>
                </w:p>
              </w:tc>
              <w:tc>
                <w:tcPr>
                  <w:tcW w:w="650" w:type="dxa"/>
                  <w:tcBorders>
                    <w:tl2br w:val="nil"/>
                    <w:tr2bl w:val="nil"/>
                  </w:tcBorders>
                  <w:tcMar>
                    <w:left w:w="57" w:type="dxa"/>
                    <w:right w:w="57" w:type="dxa"/>
                  </w:tcMar>
                  <w:vAlign w:val="center"/>
                </w:tcPr>
                <w:p w14:paraId="10288795">
                  <w:pPr>
                    <w:widowControl/>
                    <w:jc w:val="center"/>
                    <w:rPr>
                      <w:rFonts w:hint="default" w:ascii="Times New Roman" w:hAnsi="Times New Roman" w:eastAsia="宋体" w:cs="Times New Roman"/>
                      <w:b w:val="0"/>
                      <w:bCs/>
                      <w:color w:val="auto"/>
                      <w:spacing w:val="0"/>
                      <w:kern w:val="0"/>
                      <w:position w:val="0"/>
                      <w:sz w:val="21"/>
                      <w:szCs w:val="21"/>
                      <w:highlight w:val="none"/>
                    </w:rPr>
                  </w:pPr>
                  <w:r>
                    <w:rPr>
                      <w:rFonts w:hint="eastAsia" w:ascii="Times New Roman" w:hAnsi="Times New Roman" w:eastAsia="宋体" w:cs="Times New Roman"/>
                      <w:b w:val="0"/>
                      <w:bCs/>
                      <w:color w:val="auto"/>
                      <w:spacing w:val="0"/>
                      <w:kern w:val="0"/>
                      <w:position w:val="0"/>
                      <w:sz w:val="21"/>
                      <w:szCs w:val="21"/>
                      <w:highlight w:val="none"/>
                    </w:rPr>
                    <w:t>t/a</w:t>
                  </w:r>
                </w:p>
              </w:tc>
              <w:tc>
                <w:tcPr>
                  <w:tcW w:w="1097" w:type="dxa"/>
                  <w:tcBorders>
                    <w:tl2br w:val="nil"/>
                    <w:tr2bl w:val="nil"/>
                  </w:tcBorders>
                  <w:tcMar>
                    <w:left w:w="57" w:type="dxa"/>
                    <w:right w:w="57" w:type="dxa"/>
                  </w:tcMar>
                  <w:vAlign w:val="center"/>
                </w:tcPr>
                <w:p w14:paraId="18EEA44B">
                  <w:pPr>
                    <w:widowControl/>
                    <w:jc w:val="center"/>
                    <w:rPr>
                      <w:rFonts w:hint="default" w:ascii="Times New Roman" w:hAnsi="Times New Roman" w:eastAsia="宋体"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384.972</w:t>
                  </w:r>
                </w:p>
              </w:tc>
              <w:tc>
                <w:tcPr>
                  <w:tcW w:w="1177" w:type="dxa"/>
                  <w:tcBorders>
                    <w:tl2br w:val="nil"/>
                    <w:tr2bl w:val="nil"/>
                  </w:tcBorders>
                  <w:tcMar>
                    <w:left w:w="57" w:type="dxa"/>
                    <w:right w:w="57" w:type="dxa"/>
                  </w:tcMar>
                  <w:vAlign w:val="center"/>
                </w:tcPr>
                <w:p w14:paraId="0C92D60A">
                  <w:pPr>
                    <w:widowControl/>
                    <w:jc w:val="center"/>
                    <w:rPr>
                      <w:rFonts w:hint="default" w:ascii="Times New Roman" w:hAnsi="Times New Roman" w:eastAsia="宋体" w:cs="Times New Roman"/>
                      <w:b w:val="0"/>
                      <w:bCs/>
                      <w:color w:val="auto"/>
                      <w:spacing w:val="0"/>
                      <w:kern w:val="0"/>
                      <w:position w:val="0"/>
                      <w:sz w:val="21"/>
                      <w:szCs w:val="21"/>
                      <w:highlight w:val="none"/>
                    </w:rPr>
                  </w:pPr>
                  <w:r>
                    <w:rPr>
                      <w:rFonts w:hint="default" w:ascii="Times New Roman" w:hAnsi="Times New Roman" w:eastAsia="宋体" w:cs="Times New Roman"/>
                      <w:b w:val="0"/>
                      <w:bCs/>
                      <w:color w:val="auto"/>
                      <w:spacing w:val="0"/>
                      <w:kern w:val="0"/>
                      <w:position w:val="0"/>
                      <w:sz w:val="21"/>
                      <w:szCs w:val="21"/>
                      <w:highlight w:val="none"/>
                    </w:rPr>
                    <w:t>市政供水</w:t>
                  </w:r>
                </w:p>
              </w:tc>
              <w:tc>
                <w:tcPr>
                  <w:tcW w:w="993" w:type="dxa"/>
                  <w:tcBorders>
                    <w:tl2br w:val="nil"/>
                    <w:tr2bl w:val="nil"/>
                  </w:tcBorders>
                  <w:tcMar>
                    <w:left w:w="57" w:type="dxa"/>
                    <w:right w:w="57" w:type="dxa"/>
                  </w:tcMar>
                  <w:vAlign w:val="center"/>
                </w:tcPr>
                <w:p w14:paraId="5BF57154">
                  <w:pPr>
                    <w:widowControl/>
                    <w:jc w:val="center"/>
                    <w:rPr>
                      <w:rFonts w:hint="default" w:ascii="Times New Roman" w:hAnsi="Times New Roman" w:eastAsia="宋体" w:cs="Times New Roman"/>
                      <w:b w:val="0"/>
                      <w:bCs/>
                      <w:color w:val="auto"/>
                      <w:spacing w:val="0"/>
                      <w:kern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1516" w:type="dxa"/>
                  <w:tcBorders>
                    <w:tl2br w:val="nil"/>
                    <w:tr2bl w:val="nil"/>
                  </w:tcBorders>
                  <w:tcMar>
                    <w:left w:w="57" w:type="dxa"/>
                    <w:right w:w="57" w:type="dxa"/>
                  </w:tcMar>
                  <w:vAlign w:val="center"/>
                </w:tcPr>
                <w:p w14:paraId="527B2F5A">
                  <w:pPr>
                    <w:widowControl/>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c>
                <w:tcPr>
                  <w:tcW w:w="1300" w:type="dxa"/>
                  <w:tcBorders>
                    <w:tl2br w:val="nil"/>
                    <w:tr2bl w:val="nil"/>
                  </w:tcBorders>
                  <w:tcMar>
                    <w:left w:w="57" w:type="dxa"/>
                    <w:right w:w="57" w:type="dxa"/>
                  </w:tcMar>
                  <w:vAlign w:val="center"/>
                </w:tcPr>
                <w:p w14:paraId="184CE36D">
                  <w:pPr>
                    <w:widowControl/>
                    <w:jc w:val="center"/>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r w14:paraId="1AAD3C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dxa"/>
                  <w:tcBorders>
                    <w:tl2br w:val="nil"/>
                    <w:tr2bl w:val="nil"/>
                  </w:tcBorders>
                  <w:tcMar>
                    <w:left w:w="57" w:type="dxa"/>
                    <w:right w:w="57" w:type="dxa"/>
                  </w:tcMar>
                  <w:vAlign w:val="center"/>
                </w:tcPr>
                <w:p w14:paraId="0F7936C3">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rPr>
                  </w:pPr>
                  <w:r>
                    <w:rPr>
                      <w:rFonts w:hint="eastAsia" w:ascii="Times New Roman" w:hAnsi="Times New Roman" w:eastAsia="宋体" w:cs="Times New Roman"/>
                      <w:b w:val="0"/>
                      <w:bCs/>
                      <w:color w:val="auto"/>
                      <w:spacing w:val="0"/>
                      <w:kern w:val="0"/>
                      <w:position w:val="0"/>
                      <w:sz w:val="21"/>
                      <w:szCs w:val="21"/>
                      <w:highlight w:val="none"/>
                      <w:lang w:val="en-US" w:eastAsia="zh-CN"/>
                    </w:rPr>
                    <w:t>2</w:t>
                  </w:r>
                </w:p>
              </w:tc>
              <w:tc>
                <w:tcPr>
                  <w:tcW w:w="1324" w:type="dxa"/>
                  <w:tcBorders>
                    <w:tl2br w:val="nil"/>
                    <w:tr2bl w:val="nil"/>
                  </w:tcBorders>
                  <w:tcMar>
                    <w:left w:w="57" w:type="dxa"/>
                    <w:right w:w="57" w:type="dxa"/>
                  </w:tcMar>
                  <w:vAlign w:val="center"/>
                </w:tcPr>
                <w:p w14:paraId="7A92BD27">
                  <w:pPr>
                    <w:widowControl/>
                    <w:jc w:val="center"/>
                    <w:rPr>
                      <w:rFonts w:hint="default" w:ascii="Times New Roman" w:hAnsi="Times New Roman" w:eastAsia="宋体" w:cs="Times New Roman"/>
                      <w:b w:val="0"/>
                      <w:bCs/>
                      <w:color w:val="auto"/>
                      <w:spacing w:val="0"/>
                      <w:position w:val="0"/>
                      <w:sz w:val="21"/>
                      <w:szCs w:val="21"/>
                      <w:highlight w:val="none"/>
                      <w:lang w:eastAsia="zh-CN"/>
                    </w:rPr>
                  </w:pPr>
                  <w:r>
                    <w:rPr>
                      <w:rFonts w:hint="default" w:ascii="Times New Roman" w:hAnsi="Times New Roman" w:eastAsia="宋体" w:cs="Times New Roman"/>
                      <w:b w:val="0"/>
                      <w:bCs/>
                      <w:color w:val="auto"/>
                      <w:spacing w:val="0"/>
                      <w:kern w:val="0"/>
                      <w:position w:val="0"/>
                      <w:sz w:val="21"/>
                      <w:szCs w:val="21"/>
                      <w:highlight w:val="none"/>
                    </w:rPr>
                    <w:t>电</w:t>
                  </w:r>
                </w:p>
              </w:tc>
              <w:tc>
                <w:tcPr>
                  <w:tcW w:w="650" w:type="dxa"/>
                  <w:tcBorders>
                    <w:tl2br w:val="nil"/>
                    <w:tr2bl w:val="nil"/>
                  </w:tcBorders>
                  <w:tcMar>
                    <w:left w:w="57" w:type="dxa"/>
                    <w:right w:w="57" w:type="dxa"/>
                  </w:tcMar>
                  <w:vAlign w:val="center"/>
                </w:tcPr>
                <w:p w14:paraId="026D6A5E">
                  <w:pPr>
                    <w:widowControl/>
                    <w:jc w:val="center"/>
                    <w:rPr>
                      <w:rFonts w:hint="default" w:ascii="Times New Roman" w:hAnsi="Times New Roman" w:eastAsia="宋体" w:cs="Times New Roman"/>
                      <w:b w:val="0"/>
                      <w:bCs/>
                      <w:color w:val="auto"/>
                      <w:spacing w:val="0"/>
                      <w:kern w:val="0"/>
                      <w:position w:val="0"/>
                      <w:sz w:val="21"/>
                      <w:szCs w:val="21"/>
                      <w:highlight w:val="none"/>
                    </w:rPr>
                  </w:pPr>
                  <w:r>
                    <w:rPr>
                      <w:rFonts w:hint="eastAsia" w:ascii="Times New Roman" w:hAnsi="Times New Roman" w:eastAsia="宋体" w:cs="Times New Roman"/>
                      <w:b w:val="0"/>
                      <w:bCs/>
                      <w:color w:val="auto"/>
                      <w:spacing w:val="0"/>
                      <w:kern w:val="0"/>
                      <w:position w:val="0"/>
                      <w:sz w:val="21"/>
                      <w:szCs w:val="21"/>
                      <w:highlight w:val="none"/>
                    </w:rPr>
                    <w:t>kwh/a</w:t>
                  </w:r>
                </w:p>
              </w:tc>
              <w:tc>
                <w:tcPr>
                  <w:tcW w:w="1097" w:type="dxa"/>
                  <w:tcBorders>
                    <w:tl2br w:val="nil"/>
                    <w:tr2bl w:val="nil"/>
                  </w:tcBorders>
                  <w:tcMar>
                    <w:left w:w="57" w:type="dxa"/>
                    <w:right w:w="57" w:type="dxa"/>
                  </w:tcMar>
                  <w:vAlign w:val="center"/>
                </w:tcPr>
                <w:p w14:paraId="0A668804">
                  <w:pPr>
                    <w:widowControl/>
                    <w:jc w:val="center"/>
                    <w:rPr>
                      <w:rFonts w:hint="default" w:ascii="Times New Roman" w:hAnsi="Times New Roman" w:eastAsia="宋体" w:cs="Times New Roman"/>
                      <w:b w:val="0"/>
                      <w:bCs/>
                      <w:color w:val="auto"/>
                      <w:spacing w:val="0"/>
                      <w:position w:val="0"/>
                      <w:sz w:val="21"/>
                      <w:szCs w:val="21"/>
                      <w:highlight w:val="none"/>
                    </w:rPr>
                  </w:pPr>
                  <w:r>
                    <w:rPr>
                      <w:rFonts w:hint="eastAsia" w:cs="Times New Roman"/>
                      <w:b w:val="0"/>
                      <w:bCs/>
                      <w:color w:val="auto"/>
                      <w:spacing w:val="0"/>
                      <w:kern w:val="0"/>
                      <w:position w:val="0"/>
                      <w:sz w:val="21"/>
                      <w:szCs w:val="21"/>
                      <w:highlight w:val="none"/>
                      <w:lang w:val="en-US" w:eastAsia="zh-CN"/>
                    </w:rPr>
                    <w:t>12</w:t>
                  </w:r>
                  <w:r>
                    <w:rPr>
                      <w:rFonts w:hint="default" w:ascii="Times New Roman" w:hAnsi="Times New Roman" w:eastAsia="宋体" w:cs="Times New Roman"/>
                      <w:b w:val="0"/>
                      <w:bCs/>
                      <w:color w:val="auto"/>
                      <w:spacing w:val="0"/>
                      <w:kern w:val="0"/>
                      <w:position w:val="0"/>
                      <w:sz w:val="21"/>
                      <w:szCs w:val="21"/>
                      <w:highlight w:val="none"/>
                    </w:rPr>
                    <w:t>万</w:t>
                  </w:r>
                </w:p>
              </w:tc>
              <w:tc>
                <w:tcPr>
                  <w:tcW w:w="1177" w:type="dxa"/>
                  <w:tcBorders>
                    <w:tl2br w:val="nil"/>
                    <w:tr2bl w:val="nil"/>
                  </w:tcBorders>
                  <w:tcMar>
                    <w:left w:w="57" w:type="dxa"/>
                    <w:right w:w="57" w:type="dxa"/>
                  </w:tcMar>
                  <w:vAlign w:val="center"/>
                </w:tcPr>
                <w:p w14:paraId="5A6B5788">
                  <w:pPr>
                    <w:widowControl/>
                    <w:jc w:val="center"/>
                    <w:rPr>
                      <w:rFonts w:hint="default" w:ascii="Times New Roman" w:hAnsi="Times New Roman" w:eastAsia="宋体" w:cs="Times New Roman"/>
                      <w:b w:val="0"/>
                      <w:bCs/>
                      <w:color w:val="auto"/>
                      <w:spacing w:val="0"/>
                      <w:kern w:val="0"/>
                      <w:position w:val="0"/>
                      <w:sz w:val="21"/>
                      <w:szCs w:val="21"/>
                      <w:highlight w:val="none"/>
                    </w:rPr>
                  </w:pPr>
                  <w:r>
                    <w:rPr>
                      <w:rFonts w:hint="default" w:ascii="Times New Roman" w:hAnsi="Times New Roman" w:eastAsia="宋体" w:cs="Times New Roman"/>
                      <w:b w:val="0"/>
                      <w:bCs/>
                      <w:color w:val="auto"/>
                      <w:spacing w:val="0"/>
                      <w:kern w:val="0"/>
                      <w:position w:val="0"/>
                      <w:sz w:val="21"/>
                      <w:szCs w:val="21"/>
                      <w:highlight w:val="none"/>
                    </w:rPr>
                    <w:t>市政供电</w:t>
                  </w:r>
                </w:p>
              </w:tc>
              <w:tc>
                <w:tcPr>
                  <w:tcW w:w="993" w:type="dxa"/>
                  <w:tcBorders>
                    <w:tl2br w:val="nil"/>
                    <w:tr2bl w:val="nil"/>
                  </w:tcBorders>
                  <w:tcMar>
                    <w:left w:w="57" w:type="dxa"/>
                    <w:right w:w="57" w:type="dxa"/>
                  </w:tcMar>
                  <w:vAlign w:val="center"/>
                </w:tcPr>
                <w:p w14:paraId="38390C69">
                  <w:pPr>
                    <w:widowControl/>
                    <w:jc w:val="center"/>
                    <w:rPr>
                      <w:rFonts w:hint="default" w:ascii="Times New Roman" w:hAnsi="Times New Roman" w:eastAsia="宋体" w:cs="Times New Roman"/>
                      <w:b w:val="0"/>
                      <w:bCs/>
                      <w:color w:val="auto"/>
                      <w:spacing w:val="0"/>
                      <w:kern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1516" w:type="dxa"/>
                  <w:tcBorders>
                    <w:tl2br w:val="nil"/>
                    <w:tr2bl w:val="nil"/>
                  </w:tcBorders>
                  <w:tcMar>
                    <w:left w:w="57" w:type="dxa"/>
                    <w:right w:w="57" w:type="dxa"/>
                  </w:tcMar>
                  <w:vAlign w:val="center"/>
                </w:tcPr>
                <w:p w14:paraId="05F11229">
                  <w:pPr>
                    <w:widowControl/>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c>
                <w:tcPr>
                  <w:tcW w:w="1300" w:type="dxa"/>
                  <w:tcBorders>
                    <w:tl2br w:val="nil"/>
                    <w:tr2bl w:val="nil"/>
                  </w:tcBorders>
                  <w:tcMar>
                    <w:left w:w="57" w:type="dxa"/>
                    <w:right w:w="57" w:type="dxa"/>
                  </w:tcMar>
                  <w:vAlign w:val="center"/>
                </w:tcPr>
                <w:p w14:paraId="0E01D98D">
                  <w:pPr>
                    <w:widowControl/>
                    <w:jc w:val="center"/>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bookmarkEnd w:id="24"/>
          </w:tbl>
          <w:p w14:paraId="040A53D3">
            <w:pPr>
              <w:keepNext w:val="0"/>
              <w:keepLines w:val="0"/>
              <w:pageBreakBefore w:val="0"/>
              <w:widowControl/>
              <w:kinsoku/>
              <w:wordWrap/>
              <w:overflowPunct/>
              <w:topLinePunct w:val="0"/>
              <w:autoSpaceDE/>
              <w:autoSpaceDN/>
              <w:bidi w:val="0"/>
              <w:adjustRightInd/>
              <w:snapToGrid/>
              <w:spacing w:before="157" w:beforeLines="50"/>
              <w:jc w:val="center"/>
              <w:textAlignment w:val="auto"/>
              <w:rPr>
                <w:rFonts w:ascii="Times New Roman" w:hAnsi="Times New Roman" w:eastAsia="宋体" w:cs="Times New Roman"/>
                <w:b/>
                <w:color w:val="auto"/>
                <w:spacing w:val="0"/>
                <w:position w:val="0"/>
                <w:sz w:val="24"/>
                <w:highlight w:val="none"/>
              </w:rPr>
            </w:pPr>
            <w:bookmarkStart w:id="25" w:name="_Toc13534"/>
            <w:bookmarkStart w:id="26" w:name="_Toc21390"/>
            <w:bookmarkStart w:id="27" w:name="_Toc1423"/>
            <w:r>
              <w:rPr>
                <w:rFonts w:hint="eastAsia" w:ascii="Times New Roman" w:hAnsi="Times New Roman" w:eastAsia="宋体" w:cs="Times New Roman"/>
                <w:b/>
                <w:color w:val="auto"/>
                <w:spacing w:val="0"/>
                <w:position w:val="0"/>
                <w:sz w:val="24"/>
                <w:highlight w:val="none"/>
              </w:rPr>
              <w:t>表</w:t>
            </w:r>
            <w:r>
              <w:rPr>
                <w:rFonts w:ascii="Times New Roman" w:hAnsi="Times New Roman" w:eastAsia="宋体" w:cs="Times New Roman"/>
                <w:b/>
                <w:color w:val="auto"/>
                <w:spacing w:val="0"/>
                <w:position w:val="0"/>
                <w:sz w:val="24"/>
                <w:highlight w:val="none"/>
              </w:rPr>
              <w:t>2</w:t>
            </w:r>
            <w:r>
              <w:rPr>
                <w:rFonts w:hint="eastAsia" w:ascii="Times New Roman" w:hAnsi="Times New Roman" w:eastAsia="宋体" w:cs="Times New Roman"/>
                <w:b/>
                <w:color w:val="auto"/>
                <w:spacing w:val="0"/>
                <w:position w:val="0"/>
                <w:sz w:val="24"/>
                <w:highlight w:val="none"/>
                <w:lang w:val="en-US" w:eastAsia="zh-CN"/>
              </w:rPr>
              <w:t xml:space="preserve">.6-2 </w:t>
            </w:r>
            <w:r>
              <w:rPr>
                <w:rFonts w:hint="eastAsia" w:cs="Times New Roman"/>
                <w:b/>
                <w:bCs/>
                <w:color w:val="auto"/>
                <w:spacing w:val="0"/>
                <w:kern w:val="0"/>
                <w:position w:val="0"/>
                <w:sz w:val="24"/>
                <w:highlight w:val="none"/>
                <w:lang w:val="en-US" w:eastAsia="zh-CN"/>
              </w:rPr>
              <w:t>迁建</w:t>
            </w:r>
            <w:r>
              <w:rPr>
                <w:rFonts w:hint="eastAsia" w:ascii="Times New Roman" w:hAnsi="Times New Roman" w:eastAsia="宋体" w:cs="Times New Roman"/>
                <w:b/>
                <w:bCs/>
                <w:color w:val="auto"/>
                <w:spacing w:val="0"/>
                <w:kern w:val="0"/>
                <w:position w:val="0"/>
                <w:sz w:val="24"/>
                <w:highlight w:val="none"/>
                <w:lang w:val="en-US" w:eastAsia="zh-CN"/>
              </w:rPr>
              <w:t>前</w:t>
            </w:r>
            <w:r>
              <w:rPr>
                <w:rFonts w:hint="eastAsia" w:cs="Times New Roman"/>
                <w:b/>
                <w:bCs/>
                <w:color w:val="auto"/>
                <w:spacing w:val="0"/>
                <w:kern w:val="0"/>
                <w:position w:val="0"/>
                <w:sz w:val="24"/>
                <w:highlight w:val="none"/>
                <w:lang w:val="en-US" w:eastAsia="zh-CN"/>
              </w:rPr>
              <w:t>与迁建</w:t>
            </w:r>
            <w:r>
              <w:rPr>
                <w:rFonts w:hint="eastAsia" w:ascii="Times New Roman" w:hAnsi="Times New Roman" w:eastAsia="宋体" w:cs="Times New Roman"/>
                <w:b/>
                <w:bCs/>
                <w:color w:val="auto"/>
                <w:spacing w:val="0"/>
                <w:kern w:val="0"/>
                <w:position w:val="0"/>
                <w:sz w:val="24"/>
                <w:highlight w:val="none"/>
                <w:lang w:val="en-US" w:eastAsia="zh-CN"/>
              </w:rPr>
              <w:t>后</w:t>
            </w:r>
            <w:r>
              <w:rPr>
                <w:rFonts w:hint="eastAsia" w:ascii="Times New Roman" w:hAnsi="Times New Roman" w:eastAsia="宋体" w:cs="Times New Roman"/>
                <w:b/>
                <w:color w:val="auto"/>
                <w:spacing w:val="0"/>
                <w:position w:val="0"/>
                <w:sz w:val="24"/>
                <w:highlight w:val="none"/>
              </w:rPr>
              <w:t>原辅材料及能源</w:t>
            </w:r>
            <w:r>
              <w:rPr>
                <w:rFonts w:hint="eastAsia" w:ascii="Times New Roman" w:hAnsi="Times New Roman" w:eastAsia="宋体" w:cs="Times New Roman"/>
                <w:b/>
                <w:color w:val="auto"/>
                <w:spacing w:val="0"/>
                <w:position w:val="0"/>
                <w:sz w:val="24"/>
                <w:highlight w:val="none"/>
                <w:lang w:val="en-US" w:eastAsia="zh-CN"/>
              </w:rPr>
              <w:t>变化</w:t>
            </w:r>
            <w:r>
              <w:rPr>
                <w:rFonts w:hint="eastAsia" w:ascii="Times New Roman" w:hAnsi="Times New Roman" w:eastAsia="宋体" w:cs="Times New Roman"/>
                <w:b/>
                <w:color w:val="auto"/>
                <w:spacing w:val="0"/>
                <w:position w:val="0"/>
                <w:sz w:val="24"/>
                <w:highlight w:val="none"/>
              </w:rPr>
              <w:t>情况一览表</w:t>
            </w:r>
          </w:p>
          <w:tbl>
            <w:tblPr>
              <w:tblStyle w:val="2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651"/>
              <w:gridCol w:w="1571"/>
              <w:gridCol w:w="1438"/>
              <w:gridCol w:w="1104"/>
              <w:gridCol w:w="2012"/>
            </w:tblGrid>
            <w:tr w14:paraId="4C68BF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l2br w:val="nil"/>
                    <w:tr2bl w:val="nil"/>
                  </w:tcBorders>
                  <w:tcMar>
                    <w:left w:w="57" w:type="dxa"/>
                    <w:right w:w="57" w:type="dxa"/>
                  </w:tcMar>
                  <w:vAlign w:val="center"/>
                </w:tcPr>
                <w:p w14:paraId="376BA021">
                  <w:pPr>
                    <w:widowControl/>
                    <w:jc w:val="center"/>
                    <w:rPr>
                      <w:rFonts w:hint="default" w:ascii="Times New Roman" w:hAnsi="Times New Roman" w:eastAsia="宋体" w:cs="Times New Roman"/>
                      <w:b/>
                      <w:bCs w:val="0"/>
                      <w:color w:val="auto"/>
                      <w:spacing w:val="0"/>
                      <w:kern w:val="0"/>
                      <w:position w:val="0"/>
                      <w:sz w:val="21"/>
                      <w:szCs w:val="21"/>
                      <w:highlight w:val="none"/>
                    </w:rPr>
                  </w:pPr>
                  <w:r>
                    <w:rPr>
                      <w:rFonts w:hint="default" w:ascii="Times New Roman" w:hAnsi="Times New Roman" w:eastAsia="宋体" w:cs="Times New Roman"/>
                      <w:b/>
                      <w:bCs w:val="0"/>
                      <w:color w:val="auto"/>
                      <w:spacing w:val="0"/>
                      <w:kern w:val="0"/>
                      <w:position w:val="0"/>
                      <w:sz w:val="21"/>
                      <w:szCs w:val="21"/>
                      <w:highlight w:val="none"/>
                    </w:rPr>
                    <w:t>序号</w:t>
                  </w:r>
                </w:p>
              </w:tc>
              <w:tc>
                <w:tcPr>
                  <w:tcW w:w="1651" w:type="dxa"/>
                  <w:tcBorders>
                    <w:tl2br w:val="nil"/>
                    <w:tr2bl w:val="nil"/>
                  </w:tcBorders>
                  <w:tcMar>
                    <w:left w:w="57" w:type="dxa"/>
                    <w:right w:w="57" w:type="dxa"/>
                  </w:tcMar>
                  <w:vAlign w:val="center"/>
                </w:tcPr>
                <w:p w14:paraId="5719ED2E">
                  <w:pPr>
                    <w:keepNext w:val="0"/>
                    <w:keepLines w:val="0"/>
                    <w:widowControl/>
                    <w:suppressLineNumbers w:val="0"/>
                    <w:jc w:val="center"/>
                    <w:rPr>
                      <w:rFonts w:hint="eastAsia" w:ascii="Times New Roman" w:hAnsi="Times New Roman" w:eastAsia="宋体" w:cs="Times New Roman"/>
                      <w:b/>
                      <w:bCs w:val="0"/>
                      <w:color w:val="auto"/>
                      <w:spacing w:val="0"/>
                      <w:kern w:val="0"/>
                      <w:position w:val="0"/>
                      <w:sz w:val="21"/>
                      <w:szCs w:val="21"/>
                      <w:highlight w:val="none"/>
                      <w:lang w:val="en-US" w:eastAsia="zh-CN" w:bidi="ar"/>
                    </w:rPr>
                  </w:pPr>
                  <w:r>
                    <w:rPr>
                      <w:rFonts w:hint="eastAsia" w:ascii="Times New Roman" w:hAnsi="Times New Roman" w:eastAsia="宋体" w:cs="Times New Roman"/>
                      <w:b/>
                      <w:bCs w:val="0"/>
                      <w:color w:val="auto"/>
                      <w:spacing w:val="0"/>
                      <w:kern w:val="0"/>
                      <w:position w:val="0"/>
                      <w:sz w:val="21"/>
                      <w:szCs w:val="21"/>
                      <w:highlight w:val="none"/>
                      <w:lang w:val="en-US" w:eastAsia="zh-CN" w:bidi="ar"/>
                    </w:rPr>
                    <w:t>主要原辅材料</w:t>
                  </w:r>
                </w:p>
                <w:p w14:paraId="23DE5FD5">
                  <w:pPr>
                    <w:keepNext w:val="0"/>
                    <w:keepLines w:val="0"/>
                    <w:widowControl/>
                    <w:suppressLineNumbers w:val="0"/>
                    <w:jc w:val="center"/>
                    <w:rPr>
                      <w:rFonts w:hint="default" w:ascii="Times New Roman" w:hAnsi="Times New Roman" w:eastAsia="宋体" w:cs="Times New Roman"/>
                      <w:b/>
                      <w:bCs w:val="0"/>
                      <w:color w:val="auto"/>
                      <w:spacing w:val="0"/>
                      <w:kern w:val="0"/>
                      <w:position w:val="0"/>
                      <w:sz w:val="21"/>
                      <w:szCs w:val="21"/>
                      <w:highlight w:val="none"/>
                    </w:rPr>
                  </w:pPr>
                  <w:r>
                    <w:rPr>
                      <w:rFonts w:hint="eastAsia" w:ascii="Times New Roman" w:hAnsi="Times New Roman" w:eastAsia="宋体" w:cs="Times New Roman"/>
                      <w:b/>
                      <w:bCs w:val="0"/>
                      <w:color w:val="auto"/>
                      <w:spacing w:val="0"/>
                      <w:kern w:val="0"/>
                      <w:position w:val="0"/>
                      <w:sz w:val="21"/>
                      <w:szCs w:val="21"/>
                      <w:highlight w:val="none"/>
                      <w:lang w:val="en-US" w:eastAsia="zh-CN" w:bidi="ar"/>
                    </w:rPr>
                    <w:t>名称</w:t>
                  </w:r>
                </w:p>
              </w:tc>
              <w:tc>
                <w:tcPr>
                  <w:tcW w:w="1571" w:type="dxa"/>
                  <w:tcBorders>
                    <w:tl2br w:val="nil"/>
                    <w:tr2bl w:val="nil"/>
                  </w:tcBorders>
                  <w:tcMar>
                    <w:left w:w="57" w:type="dxa"/>
                    <w:right w:w="57" w:type="dxa"/>
                  </w:tcMar>
                  <w:vAlign w:val="center"/>
                </w:tcPr>
                <w:p w14:paraId="5D71F258">
                  <w:pPr>
                    <w:keepNext w:val="0"/>
                    <w:keepLines w:val="0"/>
                    <w:widowControl/>
                    <w:suppressLineNumbers w:val="0"/>
                    <w:jc w:val="center"/>
                    <w:rPr>
                      <w:rFonts w:hint="default" w:ascii="Times New Roman" w:hAnsi="Times New Roman" w:eastAsia="宋体" w:cs="Times New Roman"/>
                      <w:b/>
                      <w:bCs w:val="0"/>
                      <w:color w:val="auto"/>
                      <w:spacing w:val="0"/>
                      <w:kern w:val="0"/>
                      <w:position w:val="0"/>
                      <w:sz w:val="21"/>
                      <w:szCs w:val="21"/>
                      <w:highlight w:val="none"/>
                      <w:lang w:val="en-US" w:eastAsia="zh-CN"/>
                    </w:rPr>
                  </w:pPr>
                  <w:r>
                    <w:rPr>
                      <w:rFonts w:hint="eastAsia" w:cs="Times New Roman"/>
                      <w:b/>
                      <w:bCs w:val="0"/>
                      <w:color w:val="auto"/>
                      <w:spacing w:val="0"/>
                      <w:kern w:val="0"/>
                      <w:position w:val="0"/>
                      <w:sz w:val="21"/>
                      <w:szCs w:val="21"/>
                      <w:highlight w:val="none"/>
                      <w:lang w:val="en-US" w:eastAsia="zh-CN"/>
                    </w:rPr>
                    <w:t>迁建</w:t>
                  </w:r>
                  <w:r>
                    <w:rPr>
                      <w:rFonts w:hint="eastAsia" w:ascii="Times New Roman" w:hAnsi="Times New Roman" w:eastAsia="宋体" w:cs="Times New Roman"/>
                      <w:b/>
                      <w:bCs w:val="0"/>
                      <w:color w:val="auto"/>
                      <w:spacing w:val="0"/>
                      <w:kern w:val="0"/>
                      <w:position w:val="0"/>
                      <w:sz w:val="21"/>
                      <w:szCs w:val="21"/>
                      <w:highlight w:val="none"/>
                      <w:lang w:val="en-US" w:eastAsia="zh-CN"/>
                    </w:rPr>
                    <w:t>前年用量</w:t>
                  </w:r>
                  <w:r>
                    <w:rPr>
                      <w:rFonts w:hint="default" w:ascii="Times New Roman" w:hAnsi="Times New Roman" w:eastAsia="宋体" w:cs="Times New Roman"/>
                      <w:b/>
                      <w:bCs w:val="0"/>
                      <w:color w:val="auto"/>
                      <w:spacing w:val="0"/>
                      <w:kern w:val="0"/>
                      <w:position w:val="0"/>
                      <w:sz w:val="21"/>
                      <w:szCs w:val="21"/>
                      <w:highlight w:val="none"/>
                      <w:lang w:eastAsia="zh-CN"/>
                    </w:rPr>
                    <w:t>（t/a）</w:t>
                  </w:r>
                </w:p>
              </w:tc>
              <w:tc>
                <w:tcPr>
                  <w:tcW w:w="1438" w:type="dxa"/>
                  <w:tcBorders>
                    <w:tl2br w:val="nil"/>
                    <w:tr2bl w:val="nil"/>
                  </w:tcBorders>
                  <w:tcMar>
                    <w:left w:w="57" w:type="dxa"/>
                    <w:right w:w="57" w:type="dxa"/>
                  </w:tcMar>
                  <w:vAlign w:val="center"/>
                </w:tcPr>
                <w:p w14:paraId="7D6DFABE">
                  <w:pPr>
                    <w:widowControl/>
                    <w:jc w:val="center"/>
                    <w:rPr>
                      <w:rFonts w:hint="default" w:ascii="Times New Roman" w:hAnsi="Times New Roman" w:eastAsia="宋体" w:cs="Times New Roman"/>
                      <w:b/>
                      <w:bCs w:val="0"/>
                      <w:color w:val="auto"/>
                      <w:spacing w:val="0"/>
                      <w:kern w:val="0"/>
                      <w:position w:val="0"/>
                      <w:sz w:val="21"/>
                      <w:szCs w:val="21"/>
                      <w:highlight w:val="none"/>
                    </w:rPr>
                  </w:pPr>
                  <w:r>
                    <w:rPr>
                      <w:rFonts w:hint="eastAsia" w:cs="Times New Roman"/>
                      <w:b/>
                      <w:bCs w:val="0"/>
                      <w:color w:val="auto"/>
                      <w:spacing w:val="0"/>
                      <w:kern w:val="0"/>
                      <w:position w:val="0"/>
                      <w:sz w:val="21"/>
                      <w:szCs w:val="21"/>
                      <w:highlight w:val="none"/>
                      <w:lang w:val="en-US" w:eastAsia="zh-CN"/>
                    </w:rPr>
                    <w:t>迁建</w:t>
                  </w:r>
                  <w:r>
                    <w:rPr>
                      <w:rFonts w:hint="eastAsia" w:ascii="Times New Roman" w:hAnsi="Times New Roman" w:eastAsia="宋体" w:cs="Times New Roman"/>
                      <w:b/>
                      <w:bCs w:val="0"/>
                      <w:color w:val="auto"/>
                      <w:spacing w:val="0"/>
                      <w:kern w:val="0"/>
                      <w:position w:val="0"/>
                      <w:sz w:val="21"/>
                      <w:szCs w:val="21"/>
                      <w:highlight w:val="none"/>
                      <w:lang w:val="en-US" w:eastAsia="zh-CN"/>
                    </w:rPr>
                    <w:t>后</w:t>
                  </w:r>
                  <w:r>
                    <w:rPr>
                      <w:rFonts w:hint="default" w:ascii="Times New Roman" w:hAnsi="Times New Roman" w:eastAsia="宋体" w:cs="Times New Roman"/>
                      <w:b/>
                      <w:bCs w:val="0"/>
                      <w:color w:val="auto"/>
                      <w:spacing w:val="0"/>
                      <w:kern w:val="0"/>
                      <w:position w:val="0"/>
                      <w:sz w:val="21"/>
                      <w:szCs w:val="21"/>
                      <w:highlight w:val="none"/>
                    </w:rPr>
                    <w:t>年用量</w:t>
                  </w:r>
                  <w:r>
                    <w:rPr>
                      <w:rFonts w:hint="default" w:ascii="Times New Roman" w:hAnsi="Times New Roman" w:eastAsia="宋体" w:cs="Times New Roman"/>
                      <w:b/>
                      <w:bCs w:val="0"/>
                      <w:color w:val="auto"/>
                      <w:spacing w:val="0"/>
                      <w:kern w:val="0"/>
                      <w:position w:val="0"/>
                      <w:sz w:val="21"/>
                      <w:szCs w:val="21"/>
                      <w:highlight w:val="none"/>
                      <w:lang w:eastAsia="zh-CN"/>
                    </w:rPr>
                    <w:t>（t/a）</w:t>
                  </w:r>
                </w:p>
              </w:tc>
              <w:tc>
                <w:tcPr>
                  <w:tcW w:w="1104" w:type="dxa"/>
                  <w:tcBorders>
                    <w:tl2br w:val="nil"/>
                    <w:tr2bl w:val="nil"/>
                  </w:tcBorders>
                  <w:tcMar>
                    <w:left w:w="57" w:type="dxa"/>
                    <w:right w:w="57" w:type="dxa"/>
                  </w:tcMar>
                  <w:vAlign w:val="center"/>
                </w:tcPr>
                <w:p w14:paraId="5E23D38C">
                  <w:pPr>
                    <w:keepNext w:val="0"/>
                    <w:keepLines w:val="0"/>
                    <w:widowControl/>
                    <w:suppressLineNumbers w:val="0"/>
                    <w:jc w:val="center"/>
                    <w:rPr>
                      <w:rFonts w:hint="eastAsia" w:ascii="Times New Roman" w:hAnsi="Times New Roman" w:eastAsia="宋体" w:cs="Times New Roman"/>
                      <w:b/>
                      <w:bCs w:val="0"/>
                      <w:color w:val="auto"/>
                      <w:spacing w:val="0"/>
                      <w:kern w:val="0"/>
                      <w:position w:val="0"/>
                      <w:sz w:val="21"/>
                      <w:szCs w:val="21"/>
                      <w:highlight w:val="none"/>
                      <w:lang w:val="en-US" w:eastAsia="zh-CN"/>
                    </w:rPr>
                  </w:pPr>
                  <w:r>
                    <w:rPr>
                      <w:rFonts w:hint="eastAsia" w:ascii="Times New Roman" w:hAnsi="Times New Roman" w:eastAsia="宋体" w:cs="Times New Roman"/>
                      <w:b/>
                      <w:bCs w:val="0"/>
                      <w:color w:val="auto"/>
                      <w:spacing w:val="0"/>
                      <w:kern w:val="0"/>
                      <w:position w:val="0"/>
                      <w:sz w:val="21"/>
                      <w:szCs w:val="21"/>
                      <w:highlight w:val="none"/>
                      <w:lang w:val="en-US" w:eastAsia="zh-CN"/>
                    </w:rPr>
                    <w:t>变化</w:t>
                  </w:r>
                </w:p>
                <w:p w14:paraId="0A871E18">
                  <w:pPr>
                    <w:keepNext w:val="0"/>
                    <w:keepLines w:val="0"/>
                    <w:widowControl/>
                    <w:suppressLineNumbers w:val="0"/>
                    <w:jc w:val="center"/>
                    <w:rPr>
                      <w:rFonts w:hint="default" w:ascii="Times New Roman" w:hAnsi="Times New Roman" w:eastAsia="宋体" w:cs="Times New Roman"/>
                      <w:b/>
                      <w:bCs w:val="0"/>
                      <w:color w:val="auto"/>
                      <w:spacing w:val="0"/>
                      <w:kern w:val="0"/>
                      <w:position w:val="0"/>
                      <w:sz w:val="21"/>
                      <w:szCs w:val="21"/>
                      <w:highlight w:val="none"/>
                      <w:lang w:val="en-US" w:eastAsia="zh-CN"/>
                    </w:rPr>
                  </w:pPr>
                  <w:r>
                    <w:rPr>
                      <w:rFonts w:hint="eastAsia" w:ascii="Times New Roman" w:hAnsi="Times New Roman" w:eastAsia="宋体" w:cs="Times New Roman"/>
                      <w:b/>
                      <w:bCs w:val="0"/>
                      <w:color w:val="auto"/>
                      <w:spacing w:val="0"/>
                      <w:kern w:val="0"/>
                      <w:position w:val="0"/>
                      <w:sz w:val="21"/>
                      <w:szCs w:val="21"/>
                      <w:highlight w:val="none"/>
                      <w:lang w:val="en-US" w:eastAsia="zh-CN"/>
                    </w:rPr>
                    <w:t>情况</w:t>
                  </w:r>
                </w:p>
              </w:tc>
              <w:tc>
                <w:tcPr>
                  <w:tcW w:w="2012" w:type="dxa"/>
                  <w:tcBorders>
                    <w:tl2br w:val="nil"/>
                    <w:tr2bl w:val="nil"/>
                  </w:tcBorders>
                  <w:tcMar>
                    <w:left w:w="57" w:type="dxa"/>
                    <w:right w:w="57" w:type="dxa"/>
                  </w:tcMar>
                  <w:vAlign w:val="center"/>
                </w:tcPr>
                <w:p w14:paraId="0377C6CC">
                  <w:pPr>
                    <w:keepNext w:val="0"/>
                    <w:keepLines w:val="0"/>
                    <w:widowControl/>
                    <w:suppressLineNumbers w:val="0"/>
                    <w:jc w:val="center"/>
                    <w:rPr>
                      <w:rFonts w:hint="default" w:ascii="Times New Roman" w:hAnsi="Times New Roman" w:eastAsia="宋体" w:cs="Times New Roman"/>
                      <w:b/>
                      <w:bCs w:val="0"/>
                      <w:color w:val="auto"/>
                      <w:spacing w:val="0"/>
                      <w:kern w:val="0"/>
                      <w:position w:val="0"/>
                      <w:sz w:val="21"/>
                      <w:szCs w:val="21"/>
                      <w:highlight w:val="none"/>
                      <w:lang w:val="en-US" w:eastAsia="zh-CN"/>
                    </w:rPr>
                  </w:pPr>
                  <w:r>
                    <w:rPr>
                      <w:rFonts w:hint="eastAsia" w:ascii="Times New Roman" w:hAnsi="Times New Roman" w:eastAsia="宋体" w:cs="Times New Roman"/>
                      <w:b/>
                      <w:bCs w:val="0"/>
                      <w:color w:val="auto"/>
                      <w:spacing w:val="0"/>
                      <w:kern w:val="0"/>
                      <w:position w:val="0"/>
                      <w:sz w:val="21"/>
                      <w:szCs w:val="21"/>
                      <w:highlight w:val="none"/>
                      <w:lang w:val="en-US" w:eastAsia="zh-CN"/>
                    </w:rPr>
                    <w:t>备注</w:t>
                  </w:r>
                </w:p>
              </w:tc>
            </w:tr>
            <w:tr w14:paraId="709D8C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l2br w:val="nil"/>
                    <w:tr2bl w:val="nil"/>
                  </w:tcBorders>
                  <w:tcMar>
                    <w:left w:w="57" w:type="dxa"/>
                    <w:right w:w="57" w:type="dxa"/>
                  </w:tcMar>
                  <w:vAlign w:val="center"/>
                </w:tcPr>
                <w:p w14:paraId="5A6985CB">
                  <w:pPr>
                    <w:widowControl/>
                    <w:jc w:val="center"/>
                    <w:rPr>
                      <w:rFonts w:hint="default" w:ascii="Times New Roman" w:hAnsi="Times New Roman" w:eastAsia="宋体" w:cs="Times New Roman"/>
                      <w:b w:val="0"/>
                      <w:bCs/>
                      <w:color w:val="auto"/>
                      <w:spacing w:val="0"/>
                      <w:kern w:val="0"/>
                      <w:position w:val="0"/>
                      <w:sz w:val="21"/>
                      <w:szCs w:val="21"/>
                      <w:highlight w:val="none"/>
                    </w:rPr>
                  </w:pPr>
                  <w:r>
                    <w:rPr>
                      <w:rFonts w:hint="default" w:ascii="Times New Roman" w:hAnsi="Times New Roman" w:eastAsia="宋体" w:cs="Times New Roman"/>
                      <w:b w:val="0"/>
                      <w:bCs/>
                      <w:color w:val="auto"/>
                      <w:spacing w:val="0"/>
                      <w:kern w:val="0"/>
                      <w:position w:val="0"/>
                      <w:sz w:val="21"/>
                      <w:szCs w:val="21"/>
                      <w:highlight w:val="none"/>
                    </w:rPr>
                    <w:t>1</w:t>
                  </w:r>
                </w:p>
              </w:tc>
              <w:tc>
                <w:tcPr>
                  <w:tcW w:w="1651" w:type="dxa"/>
                  <w:tcBorders>
                    <w:tl2br w:val="nil"/>
                    <w:tr2bl w:val="nil"/>
                  </w:tcBorders>
                  <w:shd w:val="clear" w:color="auto" w:fill="auto"/>
                  <w:tcMar>
                    <w:left w:w="57" w:type="dxa"/>
                    <w:right w:w="57" w:type="dxa"/>
                  </w:tcMar>
                  <w:vAlign w:val="center"/>
                </w:tcPr>
                <w:p w14:paraId="6D7BB46F">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571" w:type="dxa"/>
                  <w:tcBorders>
                    <w:tl2br w:val="nil"/>
                    <w:tr2bl w:val="nil"/>
                  </w:tcBorders>
                  <w:tcMar>
                    <w:left w:w="57" w:type="dxa"/>
                    <w:right w:w="57" w:type="dxa"/>
                  </w:tcMar>
                  <w:vAlign w:val="center"/>
                </w:tcPr>
                <w:p w14:paraId="77343CC8">
                  <w:pPr>
                    <w:keepNext w:val="0"/>
                    <w:keepLines w:val="0"/>
                    <w:widowControl/>
                    <w:suppressLineNumbers w:val="0"/>
                    <w:jc w:val="center"/>
                    <w:rPr>
                      <w:rFonts w:hint="default" w:ascii="Times New Roman" w:hAnsi="Times New Roman" w:eastAsia="宋体" w:cs="Times New Roman"/>
                      <w:b w:val="0"/>
                      <w:bCs/>
                      <w:color w:val="auto"/>
                      <w:spacing w:val="0"/>
                      <w:position w:val="0"/>
                      <w:sz w:val="21"/>
                      <w:szCs w:val="21"/>
                      <w:highlight w:val="none"/>
                      <w:lang w:val="en-US" w:eastAsia="zh-CN"/>
                    </w:rPr>
                  </w:pPr>
                </w:p>
              </w:tc>
              <w:tc>
                <w:tcPr>
                  <w:tcW w:w="1438" w:type="dxa"/>
                  <w:tcBorders>
                    <w:tl2br w:val="nil"/>
                    <w:tr2bl w:val="nil"/>
                  </w:tcBorders>
                  <w:tcMar>
                    <w:left w:w="57" w:type="dxa"/>
                    <w:right w:w="57" w:type="dxa"/>
                  </w:tcMar>
                  <w:vAlign w:val="center"/>
                </w:tcPr>
                <w:p w14:paraId="53E7D503">
                  <w:pPr>
                    <w:keepNext w:val="0"/>
                    <w:keepLines w:val="0"/>
                    <w:widowControl/>
                    <w:suppressLineNumbers w:val="0"/>
                    <w:jc w:val="center"/>
                    <w:textAlignment w:val="center"/>
                    <w:rPr>
                      <w:rFonts w:hint="default" w:ascii="Times New Roman" w:hAnsi="Times New Roman" w:eastAsia="宋体" w:cs="Times New Roman"/>
                      <w:b w:val="0"/>
                      <w:bCs/>
                      <w:i w:val="0"/>
                      <w:iCs w:val="0"/>
                      <w:color w:val="auto"/>
                      <w:spacing w:val="0"/>
                      <w:kern w:val="0"/>
                      <w:position w:val="0"/>
                      <w:sz w:val="21"/>
                      <w:szCs w:val="21"/>
                      <w:highlight w:val="none"/>
                      <w:u w:val="none"/>
                      <w:lang w:val="en-US" w:eastAsia="zh-CN" w:bidi="ar"/>
                    </w:rPr>
                  </w:pPr>
                </w:p>
              </w:tc>
              <w:tc>
                <w:tcPr>
                  <w:tcW w:w="1104" w:type="dxa"/>
                  <w:tcBorders>
                    <w:tl2br w:val="nil"/>
                    <w:tr2bl w:val="nil"/>
                  </w:tcBorders>
                  <w:tcMar>
                    <w:left w:w="57" w:type="dxa"/>
                    <w:right w:w="57" w:type="dxa"/>
                  </w:tcMar>
                  <w:vAlign w:val="center"/>
                </w:tcPr>
                <w:p w14:paraId="3F1CCEEA">
                  <w:pPr>
                    <w:keepNext w:val="0"/>
                    <w:keepLines w:val="0"/>
                    <w:widowControl/>
                    <w:suppressLineNumbers w:val="0"/>
                    <w:jc w:val="center"/>
                    <w:textAlignment w:val="center"/>
                    <w:rPr>
                      <w:rFonts w:hint="default" w:ascii="Times New Roman" w:hAnsi="Times New Roman" w:eastAsia="宋体" w:cs="Times New Roman"/>
                      <w:b w:val="0"/>
                      <w:bCs/>
                      <w:color w:val="auto"/>
                      <w:spacing w:val="0"/>
                      <w:position w:val="0"/>
                      <w:sz w:val="21"/>
                      <w:szCs w:val="21"/>
                      <w:highlight w:val="none"/>
                      <w:lang w:val="en-US" w:eastAsia="zh-CN"/>
                    </w:rPr>
                  </w:pPr>
                </w:p>
              </w:tc>
              <w:tc>
                <w:tcPr>
                  <w:tcW w:w="2012" w:type="dxa"/>
                  <w:tcBorders>
                    <w:tl2br w:val="nil"/>
                    <w:tr2bl w:val="nil"/>
                  </w:tcBorders>
                  <w:tcMar>
                    <w:left w:w="57" w:type="dxa"/>
                    <w:right w:w="57" w:type="dxa"/>
                  </w:tcMar>
                  <w:vAlign w:val="center"/>
                </w:tcPr>
                <w:p w14:paraId="73392D3B">
                  <w:pPr>
                    <w:keepNext w:val="0"/>
                    <w:keepLines w:val="0"/>
                    <w:widowControl/>
                    <w:suppressLineNumbers w:val="0"/>
                    <w:jc w:val="center"/>
                    <w:textAlignment w:val="center"/>
                    <w:rPr>
                      <w:rFonts w:hint="eastAsia" w:ascii="Times New Roman" w:hAnsi="Times New Roman" w:eastAsia="宋体" w:cs="Times New Roman"/>
                      <w:b w:val="0"/>
                      <w:bCs/>
                      <w:color w:val="auto"/>
                      <w:spacing w:val="0"/>
                      <w:position w:val="0"/>
                      <w:sz w:val="21"/>
                      <w:szCs w:val="21"/>
                      <w:highlight w:val="none"/>
                      <w:lang w:val="en-US" w:eastAsia="zh-CN"/>
                    </w:rPr>
                  </w:pPr>
                </w:p>
              </w:tc>
            </w:tr>
            <w:tr w14:paraId="530B41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l2br w:val="nil"/>
                    <w:tr2bl w:val="nil"/>
                  </w:tcBorders>
                  <w:tcMar>
                    <w:left w:w="57" w:type="dxa"/>
                    <w:right w:w="57" w:type="dxa"/>
                  </w:tcMar>
                  <w:vAlign w:val="center"/>
                </w:tcPr>
                <w:p w14:paraId="5B1E56CE">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r>
                    <w:rPr>
                      <w:rFonts w:hint="default" w:ascii="Times New Roman" w:hAnsi="Times New Roman" w:eastAsia="宋体" w:cs="Times New Roman"/>
                      <w:b w:val="0"/>
                      <w:bCs/>
                      <w:color w:val="auto"/>
                      <w:spacing w:val="0"/>
                      <w:kern w:val="0"/>
                      <w:position w:val="0"/>
                      <w:sz w:val="21"/>
                      <w:szCs w:val="21"/>
                      <w:highlight w:val="none"/>
                    </w:rPr>
                    <w:t>2</w:t>
                  </w:r>
                </w:p>
              </w:tc>
              <w:tc>
                <w:tcPr>
                  <w:tcW w:w="1651" w:type="dxa"/>
                  <w:tcBorders>
                    <w:tl2br w:val="nil"/>
                    <w:tr2bl w:val="nil"/>
                  </w:tcBorders>
                  <w:shd w:val="clear" w:color="auto" w:fill="auto"/>
                  <w:tcMar>
                    <w:left w:w="57" w:type="dxa"/>
                    <w:right w:w="57" w:type="dxa"/>
                  </w:tcMar>
                  <w:vAlign w:val="center"/>
                </w:tcPr>
                <w:p w14:paraId="057BFDF4">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571" w:type="dxa"/>
                  <w:tcBorders>
                    <w:tl2br w:val="nil"/>
                    <w:tr2bl w:val="nil"/>
                  </w:tcBorders>
                  <w:tcMar>
                    <w:left w:w="57" w:type="dxa"/>
                    <w:right w:w="57" w:type="dxa"/>
                  </w:tcMar>
                  <w:vAlign w:val="center"/>
                </w:tcPr>
                <w:p w14:paraId="0A1EFF08">
                  <w:pPr>
                    <w:keepNext w:val="0"/>
                    <w:keepLines w:val="0"/>
                    <w:widowControl/>
                    <w:suppressLineNumbers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438" w:type="dxa"/>
                  <w:tcBorders>
                    <w:tl2br w:val="nil"/>
                    <w:tr2bl w:val="nil"/>
                  </w:tcBorders>
                  <w:tcMar>
                    <w:left w:w="57" w:type="dxa"/>
                    <w:right w:w="57" w:type="dxa"/>
                  </w:tcMar>
                  <w:vAlign w:val="center"/>
                </w:tcPr>
                <w:p w14:paraId="21B6141E">
                  <w:pPr>
                    <w:keepNext w:val="0"/>
                    <w:keepLines w:val="0"/>
                    <w:widowControl/>
                    <w:suppressLineNumbers w:val="0"/>
                    <w:jc w:val="center"/>
                    <w:textAlignment w:val="center"/>
                    <w:rPr>
                      <w:rFonts w:hint="default" w:ascii="Times New Roman" w:hAnsi="Times New Roman" w:eastAsia="宋体" w:cs="Times New Roman"/>
                      <w:b w:val="0"/>
                      <w:bCs/>
                      <w:i w:val="0"/>
                      <w:iCs w:val="0"/>
                      <w:color w:val="auto"/>
                      <w:spacing w:val="0"/>
                      <w:kern w:val="0"/>
                      <w:position w:val="0"/>
                      <w:sz w:val="21"/>
                      <w:szCs w:val="21"/>
                      <w:highlight w:val="none"/>
                      <w:u w:val="none"/>
                      <w:lang w:val="en-US" w:eastAsia="zh-CN" w:bidi="ar"/>
                    </w:rPr>
                  </w:pPr>
                </w:p>
              </w:tc>
              <w:tc>
                <w:tcPr>
                  <w:tcW w:w="1104" w:type="dxa"/>
                  <w:tcBorders>
                    <w:tl2br w:val="nil"/>
                    <w:tr2bl w:val="nil"/>
                  </w:tcBorders>
                  <w:tcMar>
                    <w:left w:w="57" w:type="dxa"/>
                    <w:right w:w="57" w:type="dxa"/>
                  </w:tcMar>
                  <w:vAlign w:val="center"/>
                </w:tcPr>
                <w:p w14:paraId="695D88E4">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2012" w:type="dxa"/>
                  <w:tcBorders>
                    <w:tl2br w:val="nil"/>
                    <w:tr2bl w:val="nil"/>
                  </w:tcBorders>
                  <w:tcMar>
                    <w:left w:w="57" w:type="dxa"/>
                    <w:right w:w="57" w:type="dxa"/>
                  </w:tcMar>
                  <w:vAlign w:val="center"/>
                </w:tcPr>
                <w:p w14:paraId="19F75A0D">
                  <w:pPr>
                    <w:keepNext w:val="0"/>
                    <w:keepLines w:val="0"/>
                    <w:widowControl/>
                    <w:suppressLineNumbers w:val="0"/>
                    <w:jc w:val="center"/>
                    <w:textAlignment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r>
            <w:tr w14:paraId="3B6149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l2br w:val="nil"/>
                    <w:tr2bl w:val="nil"/>
                  </w:tcBorders>
                  <w:tcMar>
                    <w:left w:w="57" w:type="dxa"/>
                    <w:right w:w="57" w:type="dxa"/>
                  </w:tcMar>
                  <w:vAlign w:val="center"/>
                </w:tcPr>
                <w:p w14:paraId="7A250B2C">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r>
                    <w:rPr>
                      <w:rFonts w:hint="default" w:ascii="Times New Roman" w:hAnsi="Times New Roman" w:eastAsia="宋体" w:cs="Times New Roman"/>
                      <w:b w:val="0"/>
                      <w:bCs/>
                      <w:color w:val="auto"/>
                      <w:spacing w:val="0"/>
                      <w:kern w:val="0"/>
                      <w:position w:val="0"/>
                      <w:sz w:val="21"/>
                      <w:szCs w:val="21"/>
                      <w:highlight w:val="none"/>
                    </w:rPr>
                    <w:t>3</w:t>
                  </w:r>
                </w:p>
              </w:tc>
              <w:tc>
                <w:tcPr>
                  <w:tcW w:w="1651" w:type="dxa"/>
                  <w:tcBorders>
                    <w:tl2br w:val="nil"/>
                    <w:tr2bl w:val="nil"/>
                  </w:tcBorders>
                  <w:shd w:val="clear" w:color="auto" w:fill="auto"/>
                  <w:tcMar>
                    <w:left w:w="57" w:type="dxa"/>
                    <w:right w:w="57" w:type="dxa"/>
                  </w:tcMar>
                  <w:vAlign w:val="center"/>
                </w:tcPr>
                <w:p w14:paraId="0E1536A2">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571" w:type="dxa"/>
                  <w:tcBorders>
                    <w:tl2br w:val="nil"/>
                    <w:tr2bl w:val="nil"/>
                  </w:tcBorders>
                  <w:tcMar>
                    <w:left w:w="57" w:type="dxa"/>
                    <w:right w:w="57" w:type="dxa"/>
                  </w:tcMar>
                  <w:vAlign w:val="center"/>
                </w:tcPr>
                <w:p w14:paraId="11710E5A">
                  <w:pPr>
                    <w:spacing w:line="240" w:lineRule="auto"/>
                    <w:jc w:val="center"/>
                    <w:textAlignment w:val="baseline"/>
                    <w:rPr>
                      <w:rFonts w:hint="default" w:ascii="Times New Roman" w:hAnsi="Times New Roman" w:eastAsia="宋体" w:cs="Times New Roman"/>
                      <w:b w:val="0"/>
                      <w:bCs/>
                      <w:color w:val="auto"/>
                      <w:spacing w:val="0"/>
                      <w:position w:val="0"/>
                      <w:sz w:val="21"/>
                      <w:szCs w:val="21"/>
                      <w:highlight w:val="none"/>
                      <w:lang w:val="en-US" w:eastAsia="zh-CN"/>
                    </w:rPr>
                  </w:pPr>
                </w:p>
              </w:tc>
              <w:tc>
                <w:tcPr>
                  <w:tcW w:w="1438" w:type="dxa"/>
                  <w:tcBorders>
                    <w:tl2br w:val="nil"/>
                    <w:tr2bl w:val="nil"/>
                  </w:tcBorders>
                  <w:tcMar>
                    <w:left w:w="57" w:type="dxa"/>
                    <w:right w:w="57" w:type="dxa"/>
                  </w:tcMar>
                  <w:vAlign w:val="center"/>
                </w:tcPr>
                <w:p w14:paraId="4BD5EA4E">
                  <w:pPr>
                    <w:autoSpaceDE w:val="0"/>
                    <w:autoSpaceDN w:val="0"/>
                    <w:jc w:val="center"/>
                    <w:rPr>
                      <w:rFonts w:hint="default" w:ascii="Times New Roman" w:hAnsi="Times New Roman" w:eastAsia="宋体" w:cs="Times New Roman"/>
                      <w:b w:val="0"/>
                      <w:bCs/>
                      <w:i w:val="0"/>
                      <w:iCs w:val="0"/>
                      <w:color w:val="auto"/>
                      <w:spacing w:val="0"/>
                      <w:kern w:val="0"/>
                      <w:position w:val="0"/>
                      <w:sz w:val="21"/>
                      <w:szCs w:val="21"/>
                      <w:highlight w:val="none"/>
                      <w:u w:val="none"/>
                      <w:lang w:val="en-US" w:eastAsia="zh-CN" w:bidi="ar"/>
                    </w:rPr>
                  </w:pPr>
                </w:p>
              </w:tc>
              <w:tc>
                <w:tcPr>
                  <w:tcW w:w="1104" w:type="dxa"/>
                  <w:tcBorders>
                    <w:tl2br w:val="nil"/>
                    <w:tr2bl w:val="nil"/>
                  </w:tcBorders>
                  <w:tcMar>
                    <w:left w:w="57" w:type="dxa"/>
                    <w:right w:w="57" w:type="dxa"/>
                  </w:tcMar>
                  <w:vAlign w:val="center"/>
                </w:tcPr>
                <w:p w14:paraId="00B1FD5D">
                  <w:pPr>
                    <w:spacing w:line="240" w:lineRule="auto"/>
                    <w:jc w:val="center"/>
                    <w:textAlignment w:val="baseline"/>
                    <w:rPr>
                      <w:rFonts w:hint="default" w:ascii="Times New Roman" w:hAnsi="Times New Roman" w:eastAsia="宋体" w:cs="Times New Roman"/>
                      <w:b w:val="0"/>
                      <w:bCs/>
                      <w:color w:val="auto"/>
                      <w:spacing w:val="0"/>
                      <w:position w:val="0"/>
                      <w:sz w:val="21"/>
                      <w:szCs w:val="21"/>
                      <w:highlight w:val="none"/>
                      <w:lang w:val="en-US" w:eastAsia="zh-CN"/>
                    </w:rPr>
                  </w:pPr>
                </w:p>
              </w:tc>
              <w:tc>
                <w:tcPr>
                  <w:tcW w:w="2012" w:type="dxa"/>
                  <w:tcBorders>
                    <w:tl2br w:val="nil"/>
                    <w:tr2bl w:val="nil"/>
                  </w:tcBorders>
                  <w:tcMar>
                    <w:left w:w="57" w:type="dxa"/>
                    <w:right w:w="57" w:type="dxa"/>
                  </w:tcMar>
                  <w:vAlign w:val="center"/>
                </w:tcPr>
                <w:p w14:paraId="5CAD1142">
                  <w:pPr>
                    <w:spacing w:line="240" w:lineRule="auto"/>
                    <w:jc w:val="center"/>
                    <w:textAlignment w:val="baseline"/>
                    <w:rPr>
                      <w:rFonts w:hint="default" w:ascii="Times New Roman" w:hAnsi="Times New Roman" w:eastAsia="宋体" w:cs="Times New Roman"/>
                      <w:b w:val="0"/>
                      <w:bCs/>
                      <w:color w:val="auto"/>
                      <w:spacing w:val="0"/>
                      <w:position w:val="0"/>
                      <w:sz w:val="21"/>
                      <w:szCs w:val="21"/>
                      <w:highlight w:val="none"/>
                      <w:lang w:val="en-US" w:eastAsia="zh-CN"/>
                    </w:rPr>
                  </w:pPr>
                </w:p>
              </w:tc>
            </w:tr>
            <w:tr w14:paraId="20399E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l2br w:val="nil"/>
                    <w:tr2bl w:val="nil"/>
                  </w:tcBorders>
                  <w:tcMar>
                    <w:left w:w="57" w:type="dxa"/>
                    <w:right w:w="57" w:type="dxa"/>
                  </w:tcMar>
                  <w:vAlign w:val="center"/>
                </w:tcPr>
                <w:p w14:paraId="713EC847">
                  <w:pPr>
                    <w:widowControl/>
                    <w:jc w:val="center"/>
                    <w:rPr>
                      <w:rFonts w:hint="default" w:ascii="Times New Roman" w:hAnsi="Times New Roman" w:eastAsia="宋体" w:cs="Times New Roman"/>
                      <w:b w:val="0"/>
                      <w:bCs/>
                      <w:color w:val="auto"/>
                      <w:spacing w:val="0"/>
                      <w:kern w:val="0"/>
                      <w:position w:val="0"/>
                      <w:sz w:val="21"/>
                      <w:szCs w:val="21"/>
                      <w:highlight w:val="none"/>
                    </w:rPr>
                  </w:pPr>
                  <w:r>
                    <w:rPr>
                      <w:rFonts w:hint="default" w:ascii="Times New Roman" w:hAnsi="Times New Roman" w:eastAsia="宋体" w:cs="Times New Roman"/>
                      <w:b w:val="0"/>
                      <w:bCs/>
                      <w:color w:val="auto"/>
                      <w:spacing w:val="0"/>
                      <w:kern w:val="0"/>
                      <w:position w:val="0"/>
                      <w:sz w:val="21"/>
                      <w:szCs w:val="21"/>
                      <w:highlight w:val="none"/>
                    </w:rPr>
                    <w:t>4</w:t>
                  </w:r>
                </w:p>
              </w:tc>
              <w:tc>
                <w:tcPr>
                  <w:tcW w:w="1651" w:type="dxa"/>
                  <w:tcBorders>
                    <w:tl2br w:val="nil"/>
                    <w:tr2bl w:val="nil"/>
                  </w:tcBorders>
                  <w:shd w:val="clear" w:color="auto" w:fill="auto"/>
                  <w:tcMar>
                    <w:left w:w="57" w:type="dxa"/>
                    <w:right w:w="57" w:type="dxa"/>
                  </w:tcMar>
                  <w:vAlign w:val="center"/>
                </w:tcPr>
                <w:p w14:paraId="61B86A4F">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571" w:type="dxa"/>
                  <w:tcBorders>
                    <w:tl2br w:val="nil"/>
                    <w:tr2bl w:val="nil"/>
                  </w:tcBorders>
                  <w:shd w:val="clear" w:color="auto" w:fill="auto"/>
                  <w:tcMar>
                    <w:left w:w="57" w:type="dxa"/>
                    <w:right w:w="57" w:type="dxa"/>
                  </w:tcMar>
                  <w:vAlign w:val="center"/>
                </w:tcPr>
                <w:p w14:paraId="3DA50B6F">
                  <w:pPr>
                    <w:spacing w:line="240" w:lineRule="auto"/>
                    <w:jc w:val="center"/>
                    <w:textAlignment w:val="baseline"/>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438" w:type="dxa"/>
                  <w:tcBorders>
                    <w:tl2br w:val="nil"/>
                    <w:tr2bl w:val="nil"/>
                  </w:tcBorders>
                  <w:shd w:val="clear" w:color="auto" w:fill="auto"/>
                  <w:tcMar>
                    <w:left w:w="57" w:type="dxa"/>
                    <w:right w:w="57" w:type="dxa"/>
                  </w:tcMar>
                  <w:vAlign w:val="center"/>
                </w:tcPr>
                <w:p w14:paraId="6DBC1F61">
                  <w:pPr>
                    <w:autoSpaceDE w:val="0"/>
                    <w:autoSpaceDN w:val="0"/>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104" w:type="dxa"/>
                  <w:tcBorders>
                    <w:tl2br w:val="nil"/>
                    <w:tr2bl w:val="nil"/>
                  </w:tcBorders>
                  <w:shd w:val="clear" w:color="auto" w:fill="auto"/>
                  <w:tcMar>
                    <w:left w:w="57" w:type="dxa"/>
                    <w:right w:w="57" w:type="dxa"/>
                  </w:tcMar>
                  <w:vAlign w:val="center"/>
                </w:tcPr>
                <w:p w14:paraId="258973FB">
                  <w:pPr>
                    <w:spacing w:line="240" w:lineRule="auto"/>
                    <w:jc w:val="center"/>
                    <w:textAlignment w:val="baseline"/>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2012" w:type="dxa"/>
                  <w:tcBorders>
                    <w:tl2br w:val="nil"/>
                    <w:tr2bl w:val="nil"/>
                  </w:tcBorders>
                  <w:shd w:val="clear" w:color="auto" w:fill="auto"/>
                  <w:tcMar>
                    <w:left w:w="57" w:type="dxa"/>
                    <w:right w:w="57" w:type="dxa"/>
                  </w:tcMar>
                  <w:vAlign w:val="center"/>
                </w:tcPr>
                <w:p w14:paraId="6DC046DA">
                  <w:pPr>
                    <w:spacing w:line="240" w:lineRule="auto"/>
                    <w:jc w:val="center"/>
                    <w:textAlignment w:val="baseline"/>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r>
            <w:tr w14:paraId="6B30F7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l2br w:val="nil"/>
                    <w:tr2bl w:val="nil"/>
                  </w:tcBorders>
                  <w:tcMar>
                    <w:left w:w="57" w:type="dxa"/>
                    <w:right w:w="57" w:type="dxa"/>
                  </w:tcMar>
                  <w:vAlign w:val="center"/>
                </w:tcPr>
                <w:p w14:paraId="1D150F30">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r>
                    <w:rPr>
                      <w:rFonts w:hint="default" w:ascii="Times New Roman" w:hAnsi="Times New Roman" w:eastAsia="宋体" w:cs="Times New Roman"/>
                      <w:b w:val="0"/>
                      <w:bCs/>
                      <w:color w:val="auto"/>
                      <w:spacing w:val="0"/>
                      <w:kern w:val="0"/>
                      <w:position w:val="0"/>
                      <w:sz w:val="21"/>
                      <w:szCs w:val="21"/>
                      <w:highlight w:val="none"/>
                    </w:rPr>
                    <w:t>5</w:t>
                  </w:r>
                </w:p>
              </w:tc>
              <w:tc>
                <w:tcPr>
                  <w:tcW w:w="1651" w:type="dxa"/>
                  <w:tcBorders>
                    <w:tl2br w:val="nil"/>
                    <w:tr2bl w:val="nil"/>
                  </w:tcBorders>
                  <w:shd w:val="clear" w:color="auto" w:fill="auto"/>
                  <w:tcMar>
                    <w:left w:w="57" w:type="dxa"/>
                    <w:right w:w="57" w:type="dxa"/>
                  </w:tcMar>
                  <w:vAlign w:val="center"/>
                </w:tcPr>
                <w:p w14:paraId="3D04B3BF">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571" w:type="dxa"/>
                  <w:tcBorders>
                    <w:tl2br w:val="nil"/>
                    <w:tr2bl w:val="nil"/>
                  </w:tcBorders>
                  <w:shd w:val="clear" w:color="auto" w:fill="auto"/>
                  <w:tcMar>
                    <w:left w:w="57" w:type="dxa"/>
                    <w:right w:w="57" w:type="dxa"/>
                  </w:tcMar>
                  <w:vAlign w:val="center"/>
                </w:tcPr>
                <w:p w14:paraId="125279E2">
                  <w:pPr>
                    <w:spacing w:line="240" w:lineRule="auto"/>
                    <w:jc w:val="center"/>
                    <w:textAlignment w:val="baseline"/>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438" w:type="dxa"/>
                  <w:tcBorders>
                    <w:tl2br w:val="nil"/>
                    <w:tr2bl w:val="nil"/>
                  </w:tcBorders>
                  <w:shd w:val="clear" w:color="auto" w:fill="auto"/>
                  <w:tcMar>
                    <w:left w:w="57" w:type="dxa"/>
                    <w:right w:w="57" w:type="dxa"/>
                  </w:tcMar>
                  <w:vAlign w:val="center"/>
                </w:tcPr>
                <w:p w14:paraId="6A495C4F">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104" w:type="dxa"/>
                  <w:tcBorders>
                    <w:tl2br w:val="nil"/>
                    <w:tr2bl w:val="nil"/>
                  </w:tcBorders>
                  <w:shd w:val="clear" w:color="auto" w:fill="auto"/>
                  <w:tcMar>
                    <w:left w:w="57" w:type="dxa"/>
                    <w:right w:w="57" w:type="dxa"/>
                  </w:tcMar>
                  <w:vAlign w:val="center"/>
                </w:tcPr>
                <w:p w14:paraId="3344678A">
                  <w:pPr>
                    <w:spacing w:line="240" w:lineRule="auto"/>
                    <w:jc w:val="center"/>
                    <w:textAlignment w:val="baseline"/>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2012" w:type="dxa"/>
                  <w:tcBorders>
                    <w:tl2br w:val="nil"/>
                    <w:tr2bl w:val="nil"/>
                  </w:tcBorders>
                  <w:shd w:val="clear" w:color="auto" w:fill="auto"/>
                  <w:tcMar>
                    <w:left w:w="57" w:type="dxa"/>
                    <w:right w:w="57" w:type="dxa"/>
                  </w:tcMar>
                  <w:vAlign w:val="center"/>
                </w:tcPr>
                <w:p w14:paraId="363B9F95">
                  <w:pPr>
                    <w:spacing w:line="240" w:lineRule="auto"/>
                    <w:jc w:val="center"/>
                    <w:textAlignment w:val="baseline"/>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r>
            <w:tr w14:paraId="5C98AE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l2br w:val="nil"/>
                    <w:tr2bl w:val="nil"/>
                  </w:tcBorders>
                  <w:tcMar>
                    <w:left w:w="57" w:type="dxa"/>
                    <w:right w:w="57" w:type="dxa"/>
                  </w:tcMar>
                  <w:vAlign w:val="center"/>
                </w:tcPr>
                <w:p w14:paraId="241EAC7B">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r>
                    <w:rPr>
                      <w:rFonts w:hint="eastAsia" w:ascii="Times New Roman" w:hAnsi="Times New Roman" w:eastAsia="宋体" w:cs="Times New Roman"/>
                      <w:b w:val="0"/>
                      <w:bCs/>
                      <w:color w:val="auto"/>
                      <w:spacing w:val="0"/>
                      <w:kern w:val="0"/>
                      <w:position w:val="0"/>
                      <w:sz w:val="21"/>
                      <w:szCs w:val="21"/>
                      <w:highlight w:val="none"/>
                      <w:lang w:val="en-US" w:eastAsia="zh-CN"/>
                    </w:rPr>
                    <w:t>6</w:t>
                  </w:r>
                </w:p>
              </w:tc>
              <w:tc>
                <w:tcPr>
                  <w:tcW w:w="1651" w:type="dxa"/>
                  <w:tcBorders>
                    <w:tl2br w:val="nil"/>
                    <w:tr2bl w:val="nil"/>
                  </w:tcBorders>
                  <w:shd w:val="clear" w:color="auto" w:fill="auto"/>
                  <w:tcMar>
                    <w:left w:w="57" w:type="dxa"/>
                    <w:right w:w="57" w:type="dxa"/>
                  </w:tcMar>
                  <w:vAlign w:val="center"/>
                </w:tcPr>
                <w:p w14:paraId="4BEDDBA0">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571" w:type="dxa"/>
                  <w:tcBorders>
                    <w:tl2br w:val="nil"/>
                    <w:tr2bl w:val="nil"/>
                  </w:tcBorders>
                  <w:shd w:val="clear" w:color="auto" w:fill="auto"/>
                  <w:tcMar>
                    <w:left w:w="57" w:type="dxa"/>
                    <w:right w:w="57" w:type="dxa"/>
                  </w:tcMar>
                  <w:vAlign w:val="center"/>
                </w:tcPr>
                <w:p w14:paraId="7DEF5113">
                  <w:pPr>
                    <w:spacing w:line="240" w:lineRule="auto"/>
                    <w:jc w:val="center"/>
                    <w:textAlignment w:val="baseline"/>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438" w:type="dxa"/>
                  <w:tcBorders>
                    <w:tl2br w:val="nil"/>
                    <w:tr2bl w:val="nil"/>
                  </w:tcBorders>
                  <w:shd w:val="clear" w:color="auto" w:fill="auto"/>
                  <w:tcMar>
                    <w:left w:w="57" w:type="dxa"/>
                    <w:right w:w="57" w:type="dxa"/>
                  </w:tcMar>
                  <w:vAlign w:val="center"/>
                </w:tcPr>
                <w:p w14:paraId="07E38FD7">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104" w:type="dxa"/>
                  <w:tcBorders>
                    <w:tl2br w:val="nil"/>
                    <w:tr2bl w:val="nil"/>
                  </w:tcBorders>
                  <w:shd w:val="clear" w:color="auto" w:fill="auto"/>
                  <w:tcMar>
                    <w:left w:w="57" w:type="dxa"/>
                    <w:right w:w="57" w:type="dxa"/>
                  </w:tcMar>
                  <w:vAlign w:val="center"/>
                </w:tcPr>
                <w:p w14:paraId="68689B82">
                  <w:pPr>
                    <w:spacing w:line="240" w:lineRule="auto"/>
                    <w:jc w:val="center"/>
                    <w:textAlignment w:val="baseline"/>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2012" w:type="dxa"/>
                  <w:tcBorders>
                    <w:tl2br w:val="nil"/>
                    <w:tr2bl w:val="nil"/>
                  </w:tcBorders>
                  <w:shd w:val="clear" w:color="auto" w:fill="auto"/>
                  <w:tcMar>
                    <w:left w:w="57" w:type="dxa"/>
                    <w:right w:w="57" w:type="dxa"/>
                  </w:tcMar>
                  <w:vAlign w:val="center"/>
                </w:tcPr>
                <w:p w14:paraId="7C4288ED">
                  <w:pPr>
                    <w:spacing w:line="240" w:lineRule="auto"/>
                    <w:jc w:val="center"/>
                    <w:textAlignment w:val="baseline"/>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r>
            <w:tr w14:paraId="23A97B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l2br w:val="nil"/>
                    <w:tr2bl w:val="nil"/>
                  </w:tcBorders>
                  <w:tcMar>
                    <w:left w:w="57" w:type="dxa"/>
                    <w:right w:w="57" w:type="dxa"/>
                  </w:tcMar>
                  <w:vAlign w:val="center"/>
                </w:tcPr>
                <w:p w14:paraId="71574B2F">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rPr>
                  </w:pPr>
                  <w:r>
                    <w:rPr>
                      <w:rFonts w:hint="eastAsia" w:cs="Times New Roman"/>
                      <w:b w:val="0"/>
                      <w:bCs/>
                      <w:color w:val="auto"/>
                      <w:spacing w:val="0"/>
                      <w:kern w:val="0"/>
                      <w:position w:val="0"/>
                      <w:sz w:val="21"/>
                      <w:szCs w:val="21"/>
                      <w:highlight w:val="none"/>
                      <w:lang w:val="en-US" w:eastAsia="zh-CN"/>
                    </w:rPr>
                    <w:t>7</w:t>
                  </w:r>
                </w:p>
              </w:tc>
              <w:tc>
                <w:tcPr>
                  <w:tcW w:w="1651" w:type="dxa"/>
                  <w:tcBorders>
                    <w:tl2br w:val="nil"/>
                    <w:tr2bl w:val="nil"/>
                  </w:tcBorders>
                  <w:shd w:val="clear" w:color="auto" w:fill="auto"/>
                  <w:tcMar>
                    <w:left w:w="57" w:type="dxa"/>
                    <w:right w:w="57" w:type="dxa"/>
                  </w:tcMar>
                  <w:vAlign w:val="center"/>
                </w:tcPr>
                <w:p w14:paraId="06B78FB7">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571" w:type="dxa"/>
                  <w:tcBorders>
                    <w:tl2br w:val="nil"/>
                    <w:tr2bl w:val="nil"/>
                  </w:tcBorders>
                  <w:shd w:val="clear" w:color="auto" w:fill="auto"/>
                  <w:tcMar>
                    <w:left w:w="57" w:type="dxa"/>
                    <w:right w:w="57" w:type="dxa"/>
                  </w:tcMar>
                  <w:vAlign w:val="center"/>
                </w:tcPr>
                <w:p w14:paraId="7D46ACA4">
                  <w:pPr>
                    <w:spacing w:line="240" w:lineRule="auto"/>
                    <w:jc w:val="center"/>
                    <w:textAlignment w:val="baseline"/>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438" w:type="dxa"/>
                  <w:tcBorders>
                    <w:tl2br w:val="nil"/>
                    <w:tr2bl w:val="nil"/>
                  </w:tcBorders>
                  <w:shd w:val="clear" w:color="auto" w:fill="auto"/>
                  <w:tcMar>
                    <w:left w:w="57" w:type="dxa"/>
                    <w:right w:w="57" w:type="dxa"/>
                  </w:tcMar>
                  <w:vAlign w:val="center"/>
                </w:tcPr>
                <w:p w14:paraId="0C574FA3">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104" w:type="dxa"/>
                  <w:tcBorders>
                    <w:tl2br w:val="nil"/>
                    <w:tr2bl w:val="nil"/>
                  </w:tcBorders>
                  <w:shd w:val="clear" w:color="auto" w:fill="auto"/>
                  <w:tcMar>
                    <w:left w:w="57" w:type="dxa"/>
                    <w:right w:w="57" w:type="dxa"/>
                  </w:tcMar>
                  <w:vAlign w:val="center"/>
                </w:tcPr>
                <w:p w14:paraId="0BD59899">
                  <w:pPr>
                    <w:spacing w:line="240" w:lineRule="auto"/>
                    <w:jc w:val="center"/>
                    <w:textAlignment w:val="baseline"/>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2012" w:type="dxa"/>
                  <w:tcBorders>
                    <w:tl2br w:val="nil"/>
                    <w:tr2bl w:val="nil"/>
                  </w:tcBorders>
                  <w:shd w:val="clear" w:color="auto" w:fill="auto"/>
                  <w:tcMar>
                    <w:left w:w="57" w:type="dxa"/>
                    <w:right w:w="57" w:type="dxa"/>
                  </w:tcMar>
                  <w:vAlign w:val="center"/>
                </w:tcPr>
                <w:p w14:paraId="63546AE1">
                  <w:pPr>
                    <w:spacing w:line="240" w:lineRule="auto"/>
                    <w:jc w:val="center"/>
                    <w:textAlignment w:val="baseline"/>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r>
            <w:tr w14:paraId="4D4F82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l2br w:val="nil"/>
                    <w:tr2bl w:val="nil"/>
                  </w:tcBorders>
                  <w:tcMar>
                    <w:left w:w="57" w:type="dxa"/>
                    <w:right w:w="57" w:type="dxa"/>
                  </w:tcMar>
                  <w:vAlign w:val="center"/>
                </w:tcPr>
                <w:p w14:paraId="2A903210">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rPr>
                  </w:pPr>
                  <w:r>
                    <w:rPr>
                      <w:rFonts w:hint="eastAsia" w:cs="Times New Roman"/>
                      <w:b w:val="0"/>
                      <w:bCs/>
                      <w:color w:val="auto"/>
                      <w:spacing w:val="0"/>
                      <w:kern w:val="0"/>
                      <w:position w:val="0"/>
                      <w:sz w:val="21"/>
                      <w:szCs w:val="21"/>
                      <w:highlight w:val="none"/>
                      <w:lang w:val="en-US" w:eastAsia="zh-CN"/>
                    </w:rPr>
                    <w:t>8</w:t>
                  </w:r>
                </w:p>
              </w:tc>
              <w:tc>
                <w:tcPr>
                  <w:tcW w:w="1651" w:type="dxa"/>
                  <w:tcBorders>
                    <w:tl2br w:val="nil"/>
                    <w:tr2bl w:val="nil"/>
                  </w:tcBorders>
                  <w:shd w:val="clear" w:color="auto" w:fill="auto"/>
                  <w:tcMar>
                    <w:left w:w="57" w:type="dxa"/>
                    <w:right w:w="57" w:type="dxa"/>
                  </w:tcMar>
                  <w:vAlign w:val="center"/>
                </w:tcPr>
                <w:p w14:paraId="69FB06B4">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571" w:type="dxa"/>
                  <w:tcBorders>
                    <w:tl2br w:val="nil"/>
                    <w:tr2bl w:val="nil"/>
                  </w:tcBorders>
                  <w:shd w:val="clear" w:color="auto" w:fill="auto"/>
                  <w:tcMar>
                    <w:left w:w="57" w:type="dxa"/>
                    <w:right w:w="57" w:type="dxa"/>
                  </w:tcMar>
                  <w:vAlign w:val="center"/>
                </w:tcPr>
                <w:p w14:paraId="499A20C4">
                  <w:pPr>
                    <w:spacing w:line="240" w:lineRule="auto"/>
                    <w:jc w:val="center"/>
                    <w:textAlignment w:val="baseline"/>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438" w:type="dxa"/>
                  <w:tcBorders>
                    <w:tl2br w:val="nil"/>
                    <w:tr2bl w:val="nil"/>
                  </w:tcBorders>
                  <w:shd w:val="clear" w:color="auto" w:fill="auto"/>
                  <w:tcMar>
                    <w:left w:w="57" w:type="dxa"/>
                    <w:right w:w="57" w:type="dxa"/>
                  </w:tcMar>
                  <w:vAlign w:val="center"/>
                </w:tcPr>
                <w:p w14:paraId="03FE9433">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104" w:type="dxa"/>
                  <w:tcBorders>
                    <w:tl2br w:val="nil"/>
                    <w:tr2bl w:val="nil"/>
                  </w:tcBorders>
                  <w:shd w:val="clear" w:color="auto" w:fill="auto"/>
                  <w:tcMar>
                    <w:left w:w="57" w:type="dxa"/>
                    <w:right w:w="57" w:type="dxa"/>
                  </w:tcMar>
                  <w:vAlign w:val="center"/>
                </w:tcPr>
                <w:p w14:paraId="4A0B5473">
                  <w:pPr>
                    <w:spacing w:line="240" w:lineRule="auto"/>
                    <w:jc w:val="center"/>
                    <w:textAlignment w:val="baseline"/>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2012" w:type="dxa"/>
                  <w:tcBorders>
                    <w:tl2br w:val="nil"/>
                    <w:tr2bl w:val="nil"/>
                  </w:tcBorders>
                  <w:shd w:val="clear" w:color="auto" w:fill="auto"/>
                  <w:tcMar>
                    <w:left w:w="57" w:type="dxa"/>
                    <w:right w:w="57" w:type="dxa"/>
                  </w:tcMar>
                  <w:vAlign w:val="center"/>
                </w:tcPr>
                <w:p w14:paraId="5050B84A">
                  <w:pPr>
                    <w:spacing w:line="240" w:lineRule="auto"/>
                    <w:jc w:val="center"/>
                    <w:textAlignment w:val="baseline"/>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r>
            <w:tr w14:paraId="0035B4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l2br w:val="nil"/>
                    <w:tr2bl w:val="nil"/>
                  </w:tcBorders>
                  <w:shd w:val="clear" w:color="auto" w:fill="auto"/>
                  <w:tcMar>
                    <w:left w:w="57" w:type="dxa"/>
                    <w:right w:w="57" w:type="dxa"/>
                  </w:tcMar>
                  <w:vAlign w:val="center"/>
                </w:tcPr>
                <w:p w14:paraId="361EFC20">
                  <w:pPr>
                    <w:widowControl/>
                    <w:jc w:val="center"/>
                    <w:rPr>
                      <w:rFonts w:hint="eastAsia" w:ascii="Times New Roman" w:hAnsi="Times New Roman" w:eastAsia="宋体" w:cs="Times New Roman"/>
                      <w:b w:val="0"/>
                      <w:bCs/>
                      <w:color w:val="auto"/>
                      <w:spacing w:val="0"/>
                      <w:kern w:val="0"/>
                      <w:position w:val="0"/>
                      <w:sz w:val="21"/>
                      <w:szCs w:val="21"/>
                      <w:highlight w:val="none"/>
                      <w:lang w:val="en-US" w:eastAsia="zh-CN" w:bidi="ar-SA"/>
                    </w:rPr>
                  </w:pPr>
                  <w:r>
                    <w:rPr>
                      <w:rFonts w:hint="eastAsia" w:cs="Times New Roman"/>
                      <w:b w:val="0"/>
                      <w:bCs/>
                      <w:color w:val="auto"/>
                      <w:spacing w:val="0"/>
                      <w:kern w:val="0"/>
                      <w:position w:val="0"/>
                      <w:sz w:val="21"/>
                      <w:szCs w:val="21"/>
                      <w:highlight w:val="none"/>
                      <w:lang w:val="en-US" w:eastAsia="zh-CN"/>
                    </w:rPr>
                    <w:t>9</w:t>
                  </w:r>
                </w:p>
              </w:tc>
              <w:tc>
                <w:tcPr>
                  <w:tcW w:w="1651" w:type="dxa"/>
                  <w:tcBorders>
                    <w:tl2br w:val="nil"/>
                    <w:tr2bl w:val="nil"/>
                  </w:tcBorders>
                  <w:shd w:val="clear" w:color="auto" w:fill="auto"/>
                  <w:tcMar>
                    <w:left w:w="57" w:type="dxa"/>
                    <w:right w:w="57" w:type="dxa"/>
                  </w:tcMar>
                  <w:vAlign w:val="center"/>
                </w:tcPr>
                <w:p w14:paraId="5BB36CAC">
                  <w:pPr>
                    <w:autoSpaceDE w:val="0"/>
                    <w:autoSpaceDN w:val="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571" w:type="dxa"/>
                  <w:tcBorders>
                    <w:tl2br w:val="nil"/>
                    <w:tr2bl w:val="nil"/>
                  </w:tcBorders>
                  <w:shd w:val="clear" w:color="auto" w:fill="auto"/>
                  <w:tcMar>
                    <w:left w:w="57" w:type="dxa"/>
                    <w:right w:w="57" w:type="dxa"/>
                  </w:tcMar>
                  <w:vAlign w:val="center"/>
                </w:tcPr>
                <w:p w14:paraId="3CDDC5F6">
                  <w:pPr>
                    <w:spacing w:line="240" w:lineRule="auto"/>
                    <w:jc w:val="center"/>
                    <w:textAlignment w:val="baseline"/>
                    <w:rPr>
                      <w:rFonts w:hint="default" w:cs="Times New Roman"/>
                      <w:b w:val="0"/>
                      <w:bCs/>
                      <w:color w:val="auto"/>
                      <w:spacing w:val="0"/>
                      <w:kern w:val="2"/>
                      <w:position w:val="0"/>
                      <w:sz w:val="21"/>
                      <w:szCs w:val="21"/>
                      <w:highlight w:val="none"/>
                      <w:lang w:val="en-US" w:eastAsia="zh-CN" w:bidi="ar-SA"/>
                    </w:rPr>
                  </w:pPr>
                </w:p>
              </w:tc>
              <w:tc>
                <w:tcPr>
                  <w:tcW w:w="1438" w:type="dxa"/>
                  <w:tcBorders>
                    <w:tl2br w:val="nil"/>
                    <w:tr2bl w:val="nil"/>
                  </w:tcBorders>
                  <w:shd w:val="clear" w:color="auto" w:fill="auto"/>
                  <w:tcMar>
                    <w:left w:w="57" w:type="dxa"/>
                    <w:right w:w="57" w:type="dxa"/>
                  </w:tcMar>
                  <w:vAlign w:val="center"/>
                </w:tcPr>
                <w:p w14:paraId="52314744">
                  <w:pPr>
                    <w:autoSpaceDE w:val="0"/>
                    <w:autoSpaceDN w:val="0"/>
                    <w:jc w:val="center"/>
                    <w:rPr>
                      <w:rFonts w:hint="default" w:cs="Times New Roman"/>
                      <w:b w:val="0"/>
                      <w:bCs/>
                      <w:color w:val="auto"/>
                      <w:spacing w:val="0"/>
                      <w:kern w:val="2"/>
                      <w:position w:val="0"/>
                      <w:sz w:val="21"/>
                      <w:szCs w:val="21"/>
                      <w:highlight w:val="none"/>
                      <w:lang w:val="en-US" w:eastAsia="zh-CN" w:bidi="ar-SA"/>
                    </w:rPr>
                  </w:pPr>
                </w:p>
              </w:tc>
              <w:tc>
                <w:tcPr>
                  <w:tcW w:w="1104" w:type="dxa"/>
                  <w:tcBorders>
                    <w:tl2br w:val="nil"/>
                    <w:tr2bl w:val="nil"/>
                  </w:tcBorders>
                  <w:shd w:val="clear" w:color="auto" w:fill="auto"/>
                  <w:tcMar>
                    <w:left w:w="57" w:type="dxa"/>
                    <w:right w:w="57" w:type="dxa"/>
                  </w:tcMar>
                  <w:vAlign w:val="center"/>
                </w:tcPr>
                <w:p w14:paraId="727EB14F">
                  <w:pPr>
                    <w:spacing w:line="240" w:lineRule="auto"/>
                    <w:jc w:val="center"/>
                    <w:textAlignment w:val="baseline"/>
                    <w:rPr>
                      <w:rFonts w:hint="default" w:cs="Times New Roman"/>
                      <w:b w:val="0"/>
                      <w:bCs/>
                      <w:color w:val="auto"/>
                      <w:spacing w:val="0"/>
                      <w:kern w:val="2"/>
                      <w:position w:val="0"/>
                      <w:sz w:val="21"/>
                      <w:szCs w:val="21"/>
                      <w:highlight w:val="none"/>
                      <w:lang w:val="en-US" w:eastAsia="zh-CN" w:bidi="ar-SA"/>
                    </w:rPr>
                  </w:pPr>
                </w:p>
              </w:tc>
              <w:tc>
                <w:tcPr>
                  <w:tcW w:w="2012" w:type="dxa"/>
                  <w:tcBorders>
                    <w:tl2br w:val="nil"/>
                    <w:tr2bl w:val="nil"/>
                  </w:tcBorders>
                  <w:shd w:val="clear" w:color="auto" w:fill="auto"/>
                  <w:tcMar>
                    <w:left w:w="57" w:type="dxa"/>
                    <w:right w:w="57" w:type="dxa"/>
                  </w:tcMar>
                  <w:vAlign w:val="center"/>
                </w:tcPr>
                <w:p w14:paraId="79413913">
                  <w:pPr>
                    <w:spacing w:line="240" w:lineRule="auto"/>
                    <w:jc w:val="center"/>
                    <w:textAlignment w:val="baseline"/>
                    <w:rPr>
                      <w:rFonts w:hint="default" w:cs="Times New Roman"/>
                      <w:b w:val="0"/>
                      <w:bCs/>
                      <w:color w:val="auto"/>
                      <w:spacing w:val="0"/>
                      <w:position w:val="0"/>
                      <w:sz w:val="21"/>
                      <w:szCs w:val="21"/>
                      <w:highlight w:val="none"/>
                      <w:lang w:val="en-US" w:eastAsia="zh-CN"/>
                    </w:rPr>
                  </w:pPr>
                </w:p>
              </w:tc>
            </w:tr>
            <w:tr w14:paraId="3C77B1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l2br w:val="nil"/>
                    <w:tr2bl w:val="nil"/>
                  </w:tcBorders>
                  <w:shd w:val="clear" w:color="auto" w:fill="auto"/>
                  <w:tcMar>
                    <w:left w:w="57" w:type="dxa"/>
                    <w:right w:w="57" w:type="dxa"/>
                  </w:tcMar>
                  <w:vAlign w:val="center"/>
                </w:tcPr>
                <w:p w14:paraId="58932B10">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bidi="ar-SA"/>
                    </w:rPr>
                  </w:pPr>
                  <w:r>
                    <w:rPr>
                      <w:rFonts w:hint="eastAsia" w:cs="Times New Roman"/>
                      <w:b w:val="0"/>
                      <w:bCs/>
                      <w:color w:val="auto"/>
                      <w:spacing w:val="0"/>
                      <w:kern w:val="0"/>
                      <w:position w:val="0"/>
                      <w:sz w:val="21"/>
                      <w:szCs w:val="21"/>
                      <w:highlight w:val="none"/>
                      <w:lang w:val="en-US" w:eastAsia="zh-CN"/>
                    </w:rPr>
                    <w:t>10</w:t>
                  </w:r>
                </w:p>
              </w:tc>
              <w:tc>
                <w:tcPr>
                  <w:tcW w:w="1651" w:type="dxa"/>
                  <w:tcBorders>
                    <w:tl2br w:val="nil"/>
                    <w:tr2bl w:val="nil"/>
                  </w:tcBorders>
                  <w:shd w:val="clear" w:color="auto" w:fill="auto"/>
                  <w:tcMar>
                    <w:left w:w="57" w:type="dxa"/>
                    <w:right w:w="57" w:type="dxa"/>
                  </w:tcMar>
                  <w:vAlign w:val="center"/>
                </w:tcPr>
                <w:p w14:paraId="6D220CBF">
                  <w:pPr>
                    <w:widowControl/>
                    <w:jc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571" w:type="dxa"/>
                  <w:tcBorders>
                    <w:tl2br w:val="nil"/>
                    <w:tr2bl w:val="nil"/>
                  </w:tcBorders>
                  <w:shd w:val="clear" w:color="auto" w:fill="auto"/>
                  <w:tcMar>
                    <w:left w:w="57" w:type="dxa"/>
                    <w:right w:w="57" w:type="dxa"/>
                  </w:tcMar>
                  <w:vAlign w:val="center"/>
                </w:tcPr>
                <w:p w14:paraId="7884AB5A">
                  <w:pPr>
                    <w:widowControl/>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438" w:type="dxa"/>
                  <w:tcBorders>
                    <w:tl2br w:val="nil"/>
                    <w:tr2bl w:val="nil"/>
                  </w:tcBorders>
                  <w:shd w:val="clear" w:color="auto" w:fill="auto"/>
                  <w:tcMar>
                    <w:left w:w="57" w:type="dxa"/>
                    <w:right w:w="57" w:type="dxa"/>
                  </w:tcMar>
                  <w:vAlign w:val="center"/>
                </w:tcPr>
                <w:p w14:paraId="40392266">
                  <w:pPr>
                    <w:widowControl/>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1104" w:type="dxa"/>
                  <w:tcBorders>
                    <w:tl2br w:val="nil"/>
                    <w:tr2bl w:val="nil"/>
                  </w:tcBorders>
                  <w:shd w:val="clear" w:color="auto" w:fill="auto"/>
                  <w:tcMar>
                    <w:left w:w="57" w:type="dxa"/>
                    <w:right w:w="57" w:type="dxa"/>
                  </w:tcMar>
                  <w:vAlign w:val="center"/>
                </w:tcPr>
                <w:p w14:paraId="7F47628A">
                  <w:pPr>
                    <w:widowControl/>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p>
              </w:tc>
              <w:tc>
                <w:tcPr>
                  <w:tcW w:w="2012" w:type="dxa"/>
                  <w:tcBorders>
                    <w:tl2br w:val="nil"/>
                    <w:tr2bl w:val="nil"/>
                  </w:tcBorders>
                  <w:shd w:val="clear" w:color="auto" w:fill="auto"/>
                  <w:tcMar>
                    <w:left w:w="57" w:type="dxa"/>
                    <w:right w:w="57" w:type="dxa"/>
                  </w:tcMar>
                  <w:vAlign w:val="center"/>
                </w:tcPr>
                <w:p w14:paraId="24CC0A2B">
                  <w:pPr>
                    <w:spacing w:line="240" w:lineRule="auto"/>
                    <w:jc w:val="center"/>
                    <w:textAlignment w:val="baseline"/>
                    <w:rPr>
                      <w:rFonts w:hint="default" w:ascii="Times New Roman" w:hAnsi="Times New Roman" w:eastAsia="宋体" w:cs="Times New Roman"/>
                      <w:b w:val="0"/>
                      <w:bCs/>
                      <w:color w:val="auto"/>
                      <w:spacing w:val="0"/>
                      <w:position w:val="0"/>
                      <w:sz w:val="21"/>
                      <w:szCs w:val="21"/>
                      <w:highlight w:val="none"/>
                      <w:lang w:val="en-US" w:eastAsia="zh-CN"/>
                    </w:rPr>
                  </w:pPr>
                </w:p>
              </w:tc>
            </w:tr>
            <w:tr w14:paraId="7861EC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l2br w:val="nil"/>
                    <w:tr2bl w:val="nil"/>
                  </w:tcBorders>
                  <w:tcMar>
                    <w:left w:w="57" w:type="dxa"/>
                    <w:right w:w="57" w:type="dxa"/>
                  </w:tcMar>
                  <w:vAlign w:val="center"/>
                </w:tcPr>
                <w:p w14:paraId="0303C40B">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rPr>
                  </w:pPr>
                  <w:r>
                    <w:rPr>
                      <w:rFonts w:hint="eastAsia" w:cs="Times New Roman"/>
                      <w:b w:val="0"/>
                      <w:bCs/>
                      <w:color w:val="auto"/>
                      <w:spacing w:val="0"/>
                      <w:kern w:val="0"/>
                      <w:position w:val="0"/>
                      <w:sz w:val="21"/>
                      <w:szCs w:val="21"/>
                      <w:highlight w:val="none"/>
                      <w:lang w:val="en-US" w:eastAsia="zh-CN"/>
                    </w:rPr>
                    <w:t>11</w:t>
                  </w:r>
                </w:p>
              </w:tc>
              <w:tc>
                <w:tcPr>
                  <w:tcW w:w="1651" w:type="dxa"/>
                  <w:tcBorders>
                    <w:tl2br w:val="nil"/>
                    <w:tr2bl w:val="nil"/>
                  </w:tcBorders>
                  <w:tcMar>
                    <w:left w:w="57" w:type="dxa"/>
                    <w:right w:w="57" w:type="dxa"/>
                  </w:tcMar>
                  <w:vAlign w:val="center"/>
                </w:tcPr>
                <w:p w14:paraId="16B5B2CF">
                  <w:pPr>
                    <w:widowControl/>
                    <w:jc w:val="center"/>
                    <w:rPr>
                      <w:rFonts w:hint="default" w:ascii="Times New Roman" w:hAnsi="Times New Roman" w:eastAsia="宋体" w:cs="Times New Roman"/>
                      <w:b w:val="0"/>
                      <w:bCs/>
                      <w:color w:val="auto"/>
                      <w:spacing w:val="0"/>
                      <w:position w:val="0"/>
                      <w:sz w:val="21"/>
                      <w:szCs w:val="21"/>
                      <w:highlight w:val="none"/>
                      <w:lang w:eastAsia="zh-CN"/>
                    </w:rPr>
                  </w:pPr>
                </w:p>
              </w:tc>
              <w:tc>
                <w:tcPr>
                  <w:tcW w:w="1571" w:type="dxa"/>
                  <w:tcBorders>
                    <w:tl2br w:val="nil"/>
                    <w:tr2bl w:val="nil"/>
                  </w:tcBorders>
                  <w:tcMar>
                    <w:left w:w="57" w:type="dxa"/>
                    <w:right w:w="57" w:type="dxa"/>
                  </w:tcMar>
                  <w:vAlign w:val="center"/>
                </w:tcPr>
                <w:p w14:paraId="02158CBF">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rPr>
                  </w:pPr>
                </w:p>
              </w:tc>
              <w:tc>
                <w:tcPr>
                  <w:tcW w:w="1438" w:type="dxa"/>
                  <w:tcBorders>
                    <w:tl2br w:val="nil"/>
                    <w:tr2bl w:val="nil"/>
                  </w:tcBorders>
                  <w:tcMar>
                    <w:left w:w="57" w:type="dxa"/>
                    <w:right w:w="57" w:type="dxa"/>
                  </w:tcMar>
                  <w:vAlign w:val="center"/>
                </w:tcPr>
                <w:p w14:paraId="49226986">
                  <w:pPr>
                    <w:widowControl/>
                    <w:jc w:val="center"/>
                    <w:rPr>
                      <w:rFonts w:ascii="Times New Roman" w:hAnsi="Times New Roman" w:eastAsia="宋体" w:cs="Times New Roman"/>
                      <w:color w:val="auto"/>
                      <w:spacing w:val="0"/>
                      <w:highlight w:val="none"/>
                    </w:rPr>
                  </w:pPr>
                </w:p>
              </w:tc>
              <w:tc>
                <w:tcPr>
                  <w:tcW w:w="1104" w:type="dxa"/>
                  <w:tcBorders>
                    <w:tl2br w:val="nil"/>
                    <w:tr2bl w:val="nil"/>
                  </w:tcBorders>
                  <w:tcMar>
                    <w:left w:w="57" w:type="dxa"/>
                    <w:right w:w="57" w:type="dxa"/>
                  </w:tcMar>
                  <w:vAlign w:val="center"/>
                </w:tcPr>
                <w:p w14:paraId="41AE7A0E">
                  <w:pPr>
                    <w:widowControl/>
                    <w:jc w:val="center"/>
                    <w:rPr>
                      <w:rFonts w:hint="default" w:ascii="Times New Roman" w:hAnsi="Times New Roman" w:eastAsia="宋体" w:cs="Times New Roman"/>
                      <w:b w:val="0"/>
                      <w:bCs/>
                      <w:color w:val="auto"/>
                      <w:spacing w:val="0"/>
                      <w:kern w:val="0"/>
                      <w:position w:val="0"/>
                      <w:sz w:val="21"/>
                      <w:szCs w:val="21"/>
                      <w:highlight w:val="none"/>
                      <w:lang w:val="en-US" w:eastAsia="zh-CN"/>
                    </w:rPr>
                  </w:pPr>
                </w:p>
              </w:tc>
              <w:tc>
                <w:tcPr>
                  <w:tcW w:w="2012" w:type="dxa"/>
                  <w:tcBorders>
                    <w:tl2br w:val="nil"/>
                    <w:tr2bl w:val="nil"/>
                  </w:tcBorders>
                  <w:tcMar>
                    <w:left w:w="57" w:type="dxa"/>
                    <w:right w:w="57" w:type="dxa"/>
                  </w:tcMar>
                  <w:vAlign w:val="center"/>
                </w:tcPr>
                <w:p w14:paraId="53EF86BE">
                  <w:pPr>
                    <w:widowControl/>
                    <w:jc w:val="center"/>
                    <w:rPr>
                      <w:rFonts w:hint="default" w:ascii="Times New Roman" w:hAnsi="Times New Roman" w:eastAsia="宋体" w:cs="Times New Roman"/>
                      <w:b w:val="0"/>
                      <w:bCs/>
                      <w:color w:val="auto"/>
                      <w:spacing w:val="0"/>
                      <w:kern w:val="0"/>
                      <w:position w:val="0"/>
                      <w:sz w:val="21"/>
                      <w:szCs w:val="21"/>
                      <w:highlight w:val="none"/>
                    </w:rPr>
                  </w:pPr>
                </w:p>
              </w:tc>
            </w:tr>
          </w:tbl>
          <w:p w14:paraId="3C4FBE32">
            <w:pPr>
              <w:pStyle w:val="63"/>
              <w:keepNext w:val="0"/>
              <w:keepLines w:val="0"/>
              <w:pageBreakBefore w:val="0"/>
              <w:widowControl/>
              <w:kinsoku/>
              <w:wordWrap/>
              <w:overflowPunct/>
              <w:topLinePunct w:val="0"/>
              <w:autoSpaceDE/>
              <w:autoSpaceDN/>
              <w:bidi w:val="0"/>
              <w:adjustRightInd/>
              <w:snapToGrid w:val="0"/>
              <w:spacing w:before="157" w:beforeLines="50" w:line="240" w:lineRule="auto"/>
              <w:ind w:firstLine="480"/>
              <w:jc w:val="center"/>
              <w:textAlignment w:val="auto"/>
              <w:rPr>
                <w:rFonts w:hint="eastAsia" w:ascii="Times New Roman" w:hAnsi="Times New Roman" w:eastAsia="宋体" w:cs="Times New Roman"/>
                <w:b/>
                <w:bCs/>
                <w:color w:val="auto"/>
                <w:spacing w:val="0"/>
                <w:kern w:val="0"/>
                <w:position w:val="0"/>
                <w:sz w:val="24"/>
                <w:szCs w:val="24"/>
                <w:highlight w:val="none"/>
                <w:lang w:bidi="ar"/>
              </w:rPr>
            </w:pPr>
            <w:r>
              <w:rPr>
                <w:rFonts w:hint="eastAsia" w:ascii="Times New Roman" w:hAnsi="Times New Roman" w:eastAsia="宋体" w:cs="Times New Roman"/>
                <w:b/>
                <w:bCs/>
                <w:color w:val="auto"/>
                <w:spacing w:val="0"/>
                <w:position w:val="0"/>
                <w:sz w:val="24"/>
                <w:szCs w:val="32"/>
                <w:highlight w:val="none"/>
                <w:lang w:val="en-US" w:eastAsia="zh-CN"/>
              </w:rPr>
              <w:t xml:space="preserve">表2.6-3 </w:t>
            </w:r>
            <w:r>
              <w:rPr>
                <w:rFonts w:hint="eastAsia" w:ascii="Times New Roman" w:hAnsi="Times New Roman" w:eastAsia="宋体" w:cs="Times New Roman"/>
                <w:b/>
                <w:bCs/>
                <w:color w:val="auto"/>
                <w:spacing w:val="0"/>
                <w:kern w:val="0"/>
                <w:position w:val="0"/>
                <w:sz w:val="24"/>
                <w:szCs w:val="24"/>
                <w:highlight w:val="none"/>
                <w:lang w:bidi="ar"/>
              </w:rPr>
              <w:t>主要原辅助材料理化性质</w:t>
            </w:r>
            <w:bookmarkEnd w:id="25"/>
            <w:bookmarkEnd w:id="26"/>
            <w:bookmarkEnd w:id="27"/>
          </w:p>
          <w:tbl>
            <w:tblPr>
              <w:tblStyle w:val="3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678"/>
            </w:tblGrid>
            <w:tr w14:paraId="724B91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dxa"/>
                  <w:tcBorders>
                    <w:tl2br w:val="nil"/>
                    <w:tr2bl w:val="nil"/>
                  </w:tcBorders>
                  <w:vAlign w:val="center"/>
                </w:tcPr>
                <w:p w14:paraId="032004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napToGrid w:val="0"/>
                      <w:color w:val="auto"/>
                      <w:spacing w:val="0"/>
                      <w:position w:val="0"/>
                      <w:sz w:val="21"/>
                      <w:szCs w:val="21"/>
                      <w:highlight w:val="none"/>
                      <w:vertAlign w:val="baseline"/>
                      <w:lang w:val="en-US" w:eastAsia="zh-CN"/>
                    </w:rPr>
                  </w:pPr>
                  <w:bookmarkStart w:id="28" w:name="_Toc16319"/>
                  <w:bookmarkStart w:id="29" w:name="_Toc19306"/>
                  <w:r>
                    <w:rPr>
                      <w:rFonts w:hint="eastAsia" w:ascii="Times New Roman" w:hAnsi="Times New Roman" w:eastAsia="宋体" w:cs="Times New Roman"/>
                      <w:b/>
                      <w:bCs/>
                      <w:snapToGrid w:val="0"/>
                      <w:color w:val="auto"/>
                      <w:spacing w:val="0"/>
                      <w:position w:val="0"/>
                      <w:sz w:val="21"/>
                      <w:szCs w:val="21"/>
                      <w:highlight w:val="none"/>
                      <w:vertAlign w:val="baseline"/>
                      <w:lang w:val="en-US" w:eastAsia="zh-CN"/>
                    </w:rPr>
                    <w:t>名称</w:t>
                  </w:r>
                </w:p>
              </w:tc>
              <w:tc>
                <w:tcPr>
                  <w:tcW w:w="7678" w:type="dxa"/>
                  <w:tcBorders>
                    <w:tl2br w:val="nil"/>
                    <w:tr2bl w:val="nil"/>
                  </w:tcBorders>
                  <w:vAlign w:val="center"/>
                </w:tcPr>
                <w:p w14:paraId="2D2FF3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napToGrid w:val="0"/>
                      <w:color w:val="auto"/>
                      <w:spacing w:val="0"/>
                      <w:position w:val="0"/>
                      <w:sz w:val="21"/>
                      <w:szCs w:val="21"/>
                      <w:highlight w:val="none"/>
                      <w:vertAlign w:val="baseline"/>
                      <w:lang w:val="en-US" w:eastAsia="zh-CN"/>
                    </w:rPr>
                  </w:pPr>
                  <w:r>
                    <w:rPr>
                      <w:rFonts w:hint="eastAsia" w:ascii="Times New Roman" w:hAnsi="Times New Roman" w:eastAsia="宋体" w:cs="Times New Roman"/>
                      <w:b/>
                      <w:bCs/>
                      <w:color w:val="auto"/>
                      <w:spacing w:val="0"/>
                      <w:kern w:val="0"/>
                      <w:position w:val="0"/>
                      <w:sz w:val="21"/>
                      <w:szCs w:val="21"/>
                      <w:highlight w:val="none"/>
                      <w:lang w:bidi="ar"/>
                    </w:rPr>
                    <w:t>理化性质</w:t>
                  </w:r>
                </w:p>
              </w:tc>
            </w:tr>
            <w:tr w14:paraId="6340BF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dxa"/>
                  <w:tcBorders>
                    <w:tl2br w:val="nil"/>
                    <w:tr2bl w:val="nil"/>
                  </w:tcBorders>
                  <w:vAlign w:val="center"/>
                </w:tcPr>
                <w:p w14:paraId="34B06DAB">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snapToGrid w:val="0"/>
                      <w:color w:val="auto"/>
                      <w:spacing w:val="0"/>
                      <w:position w:val="0"/>
                      <w:sz w:val="21"/>
                      <w:szCs w:val="21"/>
                      <w:highlight w:val="none"/>
                      <w:vertAlign w:val="baseline"/>
                    </w:rPr>
                  </w:pPr>
                </w:p>
              </w:tc>
              <w:tc>
                <w:tcPr>
                  <w:tcW w:w="7678" w:type="dxa"/>
                  <w:tcBorders>
                    <w:tl2br w:val="nil"/>
                    <w:tr2bl w:val="nil"/>
                  </w:tcBorders>
                  <w:vAlign w:val="center"/>
                </w:tcPr>
                <w:p w14:paraId="7B82B225">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b w:val="0"/>
                      <w:bCs/>
                      <w:snapToGrid w:val="0"/>
                      <w:color w:val="auto"/>
                      <w:spacing w:val="0"/>
                      <w:position w:val="0"/>
                      <w:sz w:val="21"/>
                      <w:szCs w:val="21"/>
                      <w:highlight w:val="none"/>
                      <w:vertAlign w:val="baseline"/>
                      <w:lang w:val="en-US" w:eastAsia="zh-CN"/>
                    </w:rPr>
                  </w:pPr>
                </w:p>
              </w:tc>
            </w:tr>
            <w:tr w14:paraId="48FF05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dxa"/>
                  <w:tcBorders>
                    <w:tl2br w:val="nil"/>
                    <w:tr2bl w:val="nil"/>
                  </w:tcBorders>
                  <w:shd w:val="clear" w:color="auto" w:fill="auto"/>
                  <w:vAlign w:val="center"/>
                </w:tcPr>
                <w:p w14:paraId="2D63965A">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snapToGrid w:val="0"/>
                      <w:color w:val="auto"/>
                      <w:spacing w:val="0"/>
                      <w:kern w:val="2"/>
                      <w:position w:val="0"/>
                      <w:sz w:val="21"/>
                      <w:szCs w:val="21"/>
                      <w:highlight w:val="none"/>
                      <w:vertAlign w:val="baseline"/>
                      <w:lang w:val="en-US" w:eastAsia="zh-CN" w:bidi="ar-SA"/>
                    </w:rPr>
                  </w:pPr>
                </w:p>
              </w:tc>
              <w:tc>
                <w:tcPr>
                  <w:tcW w:w="7678" w:type="dxa"/>
                  <w:tcBorders>
                    <w:tl2br w:val="nil"/>
                    <w:tr2bl w:val="nil"/>
                  </w:tcBorders>
                  <w:shd w:val="clear" w:color="auto" w:fill="auto"/>
                  <w:vAlign w:val="center"/>
                </w:tcPr>
                <w:p w14:paraId="6A5A928B">
                  <w:pPr>
                    <w:pStyle w:val="17"/>
                    <w:rPr>
                      <w:rFonts w:hint="eastAsia" w:ascii="Times New Roman" w:hAnsi="Times New Roman" w:eastAsia="宋体" w:cs="Times New Roman"/>
                      <w:b w:val="0"/>
                      <w:bCs/>
                      <w:snapToGrid w:val="0"/>
                      <w:color w:val="auto"/>
                      <w:spacing w:val="0"/>
                      <w:kern w:val="2"/>
                      <w:position w:val="0"/>
                      <w:sz w:val="21"/>
                      <w:szCs w:val="21"/>
                      <w:highlight w:val="none"/>
                      <w:vertAlign w:val="baseline"/>
                      <w:lang w:val="en-US" w:eastAsia="zh-CN" w:bidi="ar-SA"/>
                    </w:rPr>
                  </w:pPr>
                </w:p>
              </w:tc>
            </w:tr>
            <w:tr w14:paraId="2D27B8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dxa"/>
                  <w:tcBorders>
                    <w:tl2br w:val="nil"/>
                    <w:tr2bl w:val="nil"/>
                  </w:tcBorders>
                  <w:shd w:val="clear" w:color="auto" w:fill="auto"/>
                  <w:vAlign w:val="center"/>
                </w:tcPr>
                <w:p w14:paraId="02707DF1">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7678" w:type="dxa"/>
                  <w:tcBorders>
                    <w:tl2br w:val="nil"/>
                    <w:tr2bl w:val="nil"/>
                  </w:tcBorders>
                  <w:shd w:val="clear" w:color="auto" w:fill="auto"/>
                  <w:vAlign w:val="center"/>
                </w:tcPr>
                <w:p w14:paraId="0FB9D21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snapToGrid w:val="0"/>
                      <w:color w:val="auto"/>
                      <w:spacing w:val="0"/>
                      <w:kern w:val="2"/>
                      <w:position w:val="0"/>
                      <w:sz w:val="21"/>
                      <w:szCs w:val="21"/>
                      <w:highlight w:val="none"/>
                      <w:vertAlign w:val="baseline"/>
                      <w:lang w:val="en-US" w:eastAsia="zh-CN" w:bidi="ar-SA"/>
                    </w:rPr>
                  </w:pPr>
                </w:p>
              </w:tc>
            </w:tr>
            <w:tr w14:paraId="1F2EC8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dxa"/>
                  <w:tcBorders>
                    <w:tl2br w:val="nil"/>
                    <w:tr2bl w:val="nil"/>
                  </w:tcBorders>
                  <w:shd w:val="clear" w:color="auto" w:fill="auto"/>
                  <w:vAlign w:val="center"/>
                </w:tcPr>
                <w:p w14:paraId="3BE7F47A">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spacing w:val="0"/>
                      <w:kern w:val="0"/>
                      <w:sz w:val="21"/>
                      <w:szCs w:val="21"/>
                      <w:highlight w:val="none"/>
                      <w:lang w:val="en-US" w:eastAsia="zh-CN" w:bidi="ar"/>
                    </w:rPr>
                  </w:pPr>
                </w:p>
              </w:tc>
              <w:tc>
                <w:tcPr>
                  <w:tcW w:w="7678" w:type="dxa"/>
                  <w:tcBorders>
                    <w:tl2br w:val="nil"/>
                    <w:tr2bl w:val="nil"/>
                  </w:tcBorders>
                  <w:shd w:val="clear" w:color="auto" w:fill="auto"/>
                  <w:vAlign w:val="top"/>
                </w:tcPr>
                <w:p w14:paraId="0C62A3F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pacing w:val="0"/>
                      <w:kern w:val="0"/>
                      <w:sz w:val="21"/>
                      <w:szCs w:val="21"/>
                      <w:highlight w:val="none"/>
                      <w:lang w:val="en-US" w:eastAsia="zh-CN" w:bidi="ar"/>
                    </w:rPr>
                  </w:pPr>
                </w:p>
              </w:tc>
            </w:tr>
            <w:tr w14:paraId="347F88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dxa"/>
                  <w:tcBorders>
                    <w:tl2br w:val="nil"/>
                    <w:tr2bl w:val="nil"/>
                  </w:tcBorders>
                  <w:shd w:val="clear" w:color="auto" w:fill="auto"/>
                  <w:vAlign w:val="center"/>
                </w:tcPr>
                <w:p w14:paraId="59C900A2">
                  <w:pPr>
                    <w:pStyle w:val="2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7678" w:type="dxa"/>
                  <w:tcBorders>
                    <w:tl2br w:val="nil"/>
                    <w:tr2bl w:val="nil"/>
                  </w:tcBorders>
                  <w:shd w:val="clear" w:color="auto" w:fill="auto"/>
                  <w:vAlign w:val="center"/>
                </w:tcPr>
                <w:p w14:paraId="0D75C6D8">
                  <w:pPr>
                    <w:pStyle w:val="28"/>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ascii="Times New Roman" w:hAnsi="Times New Roman" w:eastAsia="宋体" w:cs="Times New Roman"/>
                      <w:i w:val="0"/>
                      <w:iCs w:val="0"/>
                      <w:caps w:val="0"/>
                      <w:color w:val="auto"/>
                      <w:spacing w:val="0"/>
                      <w:sz w:val="21"/>
                      <w:szCs w:val="21"/>
                      <w:highlight w:val="none"/>
                      <w:shd w:val="clear" w:fill="FFFFFF"/>
                    </w:rPr>
                  </w:pPr>
                </w:p>
              </w:tc>
            </w:tr>
            <w:bookmarkEnd w:id="28"/>
            <w:bookmarkEnd w:id="29"/>
          </w:tbl>
          <w:p w14:paraId="06DC9EB1">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jc w:val="both"/>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 xml:space="preserve"> </w:t>
            </w:r>
          </w:p>
          <w:p w14:paraId="3782B394">
            <w:pPr>
              <w:pStyle w:val="1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涂料用量核算方法</w:t>
            </w:r>
          </w:p>
          <w:p w14:paraId="7BD3AFDB">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略</w:t>
            </w:r>
          </w:p>
          <w:p w14:paraId="05CD19B2">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hint="eastAsia"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b/>
                <w:bCs/>
                <w:color w:val="auto"/>
                <w:spacing w:val="0"/>
                <w:kern w:val="0"/>
                <w:position w:val="0"/>
                <w:sz w:val="24"/>
                <w:szCs w:val="24"/>
                <w:highlight w:val="none"/>
              </w:rPr>
              <w:t xml:space="preserve">2.7 </w:t>
            </w:r>
            <w:r>
              <w:rPr>
                <w:rFonts w:hint="eastAsia" w:ascii="Times New Roman" w:hAnsi="Times New Roman" w:eastAsia="宋体" w:cs="Times New Roman"/>
                <w:b/>
                <w:bCs/>
                <w:color w:val="auto"/>
                <w:spacing w:val="0"/>
                <w:position w:val="0"/>
                <w:sz w:val="24"/>
                <w:szCs w:val="24"/>
                <w:highlight w:val="none"/>
              </w:rPr>
              <w:t>项目水平衡及物料平衡</w:t>
            </w:r>
          </w:p>
          <w:p w14:paraId="3DC2CAFA">
            <w:pPr>
              <w:autoSpaceDE w:val="0"/>
              <w:autoSpaceDN w:val="0"/>
              <w:adjustRightInd w:val="0"/>
              <w:snapToGrid w:val="0"/>
              <w:spacing w:line="360" w:lineRule="auto"/>
              <w:jc w:val="left"/>
              <w:rPr>
                <w:rFonts w:ascii="Times New Roman" w:hAnsi="Times New Roman" w:eastAsia="宋体" w:cs="Times New Roman"/>
                <w:b/>
                <w:bCs/>
                <w:color w:val="auto"/>
                <w:spacing w:val="0"/>
                <w:position w:val="0"/>
                <w:sz w:val="24"/>
                <w:highlight w:val="none"/>
              </w:rPr>
            </w:pPr>
            <w:r>
              <w:rPr>
                <w:rFonts w:hint="eastAsia" w:ascii="Times New Roman" w:hAnsi="Times New Roman" w:eastAsia="宋体" w:cs="Times New Roman"/>
                <w:b/>
                <w:bCs/>
                <w:color w:val="auto"/>
                <w:spacing w:val="0"/>
                <w:position w:val="0"/>
                <w:sz w:val="24"/>
                <w:highlight w:val="none"/>
              </w:rPr>
              <w:t>2.7.1项目水平衡</w:t>
            </w:r>
          </w:p>
          <w:p w14:paraId="13B55F7A">
            <w:pPr>
              <w:pStyle w:val="63"/>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lang w:val="en-US" w:eastAsia="zh-CN"/>
              </w:rPr>
              <w:t>1</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生产用水</w:t>
            </w:r>
          </w:p>
          <w:p w14:paraId="09F8BF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项目</w:t>
            </w:r>
            <w:r>
              <w:rPr>
                <w:rFonts w:hint="default" w:ascii="Times New Roman" w:hAnsi="Times New Roman" w:eastAsia="宋体" w:cs="Times New Roman"/>
                <w:color w:val="auto"/>
                <w:spacing w:val="0"/>
                <w:position w:val="0"/>
                <w:sz w:val="24"/>
                <w:szCs w:val="24"/>
                <w:highlight w:val="none"/>
                <w:lang w:eastAsia="zh-CN"/>
              </w:rPr>
              <w:t>生产用水主要为</w:t>
            </w:r>
            <w:r>
              <w:rPr>
                <w:rFonts w:hint="eastAsia" w:cs="Times New Roman"/>
                <w:color w:val="auto"/>
                <w:spacing w:val="0"/>
                <w:position w:val="0"/>
                <w:sz w:val="24"/>
                <w:szCs w:val="24"/>
                <w:highlight w:val="none"/>
                <w:lang w:val="en-US" w:eastAsia="zh-CN"/>
              </w:rPr>
              <w:t>水帘气旋用水</w:t>
            </w:r>
            <w:r>
              <w:rPr>
                <w:rFonts w:hint="eastAsia"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val="en-US" w:eastAsia="zh-CN"/>
              </w:rPr>
              <w:t>喷枪清洗用水</w:t>
            </w:r>
            <w:r>
              <w:rPr>
                <w:rFonts w:hint="default" w:ascii="Times New Roman" w:hAnsi="Times New Roman" w:eastAsia="宋体" w:cs="Times New Roman"/>
                <w:color w:val="auto"/>
                <w:spacing w:val="0"/>
                <w:position w:val="0"/>
                <w:sz w:val="24"/>
                <w:szCs w:val="24"/>
                <w:highlight w:val="none"/>
              </w:rPr>
              <w:t>。</w:t>
            </w:r>
          </w:p>
          <w:p w14:paraId="64D11E49">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pacing w:val="0"/>
                <w:position w:val="0"/>
                <w:sz w:val="24"/>
                <w:szCs w:val="24"/>
                <w:highlight w:val="none"/>
                <w:lang w:eastAsia="zh-CN"/>
              </w:rPr>
            </w:pPr>
            <w:r>
              <w:rPr>
                <w:rFonts w:hint="default" w:ascii="Times New Roman" w:hAnsi="Times New Roman" w:eastAsia="宋体" w:cs="Times New Roman"/>
                <w:color w:val="auto"/>
                <w:spacing w:val="0"/>
                <w:position w:val="0"/>
                <w:sz w:val="24"/>
                <w:szCs w:val="24"/>
                <w:highlight w:val="none"/>
              </w:rPr>
              <w:fldChar w:fldCharType="begin"/>
            </w:r>
            <w:r>
              <w:rPr>
                <w:rFonts w:hint="default" w:ascii="Times New Roman" w:hAnsi="Times New Roman" w:eastAsia="宋体" w:cs="Times New Roman"/>
                <w:color w:val="auto"/>
                <w:spacing w:val="0"/>
                <w:position w:val="0"/>
                <w:sz w:val="24"/>
                <w:szCs w:val="24"/>
                <w:highlight w:val="none"/>
              </w:rPr>
              <w:instrText xml:space="preserve"> = 1 \* GB3 \* MERGEFORMAT </w:instrText>
            </w:r>
            <w:r>
              <w:rPr>
                <w:rFonts w:hint="default" w:ascii="Times New Roman" w:hAnsi="Times New Roman" w:eastAsia="宋体" w:cs="Times New Roman"/>
                <w:color w:val="auto"/>
                <w:spacing w:val="0"/>
                <w:position w:val="0"/>
                <w:sz w:val="24"/>
                <w:szCs w:val="24"/>
                <w:highlight w:val="none"/>
              </w:rPr>
              <w:fldChar w:fldCharType="separate"/>
            </w:r>
            <w:r>
              <w:rPr>
                <w:color w:val="auto"/>
                <w:sz w:val="24"/>
                <w:szCs w:val="24"/>
                <w:highlight w:val="none"/>
              </w:rPr>
              <w:t>①</w:t>
            </w:r>
            <w:r>
              <w:rPr>
                <w:rFonts w:hint="default" w:ascii="Times New Roman" w:hAnsi="Times New Roman" w:eastAsia="宋体" w:cs="Times New Roman"/>
                <w:color w:val="auto"/>
                <w:spacing w:val="0"/>
                <w:position w:val="0"/>
                <w:sz w:val="24"/>
                <w:szCs w:val="24"/>
                <w:highlight w:val="none"/>
              </w:rPr>
              <w:fldChar w:fldCharType="end"/>
            </w:r>
            <w:r>
              <w:rPr>
                <w:rFonts w:hint="eastAsia" w:cs="Times New Roman"/>
                <w:color w:val="auto"/>
                <w:spacing w:val="0"/>
                <w:position w:val="0"/>
                <w:sz w:val="24"/>
                <w:szCs w:val="24"/>
                <w:highlight w:val="none"/>
                <w:lang w:eastAsia="zh-CN"/>
              </w:rPr>
              <w:t>水帘气旋用水</w:t>
            </w:r>
          </w:p>
          <w:p w14:paraId="503E5A9D">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pacing w:val="0"/>
                <w:position w:val="0"/>
                <w:sz w:val="24"/>
                <w:szCs w:val="24"/>
                <w:highlight w:val="none"/>
                <w:lang w:eastAsia="zh-CN"/>
              </w:rPr>
            </w:pPr>
            <w:r>
              <w:rPr>
                <w:rFonts w:hint="default" w:ascii="Times New Roman" w:hAnsi="Times New Roman" w:eastAsia="宋体" w:cs="Times New Roman"/>
                <w:color w:val="auto"/>
                <w:spacing w:val="0"/>
                <w:position w:val="0"/>
                <w:sz w:val="24"/>
                <w:szCs w:val="24"/>
                <w:highlight w:val="none"/>
              </w:rPr>
              <w:t>项目设置有</w:t>
            </w:r>
            <w:r>
              <w:rPr>
                <w:rFonts w:hint="eastAsia" w:cs="Times New Roman"/>
                <w:color w:val="auto"/>
                <w:spacing w:val="0"/>
                <w:position w:val="0"/>
                <w:sz w:val="24"/>
                <w:szCs w:val="24"/>
                <w:highlight w:val="none"/>
                <w:lang w:val="en-US" w:eastAsia="zh-CN"/>
              </w:rPr>
              <w:t>3</w:t>
            </w:r>
            <w:r>
              <w:rPr>
                <w:rFonts w:hint="default" w:ascii="Times New Roman" w:hAnsi="Times New Roman" w:eastAsia="宋体" w:cs="Times New Roman"/>
                <w:color w:val="auto"/>
                <w:spacing w:val="0"/>
                <w:position w:val="0"/>
                <w:sz w:val="24"/>
                <w:szCs w:val="24"/>
                <w:highlight w:val="none"/>
              </w:rPr>
              <w:t>台水帘气旋一体机，配套储水槽容积约为</w:t>
            </w:r>
            <w:r>
              <w:rPr>
                <w:rFonts w:hint="eastAsia" w:cs="Times New Roman"/>
                <w:color w:val="auto"/>
                <w:spacing w:val="0"/>
                <w:position w:val="0"/>
                <w:sz w:val="24"/>
                <w:szCs w:val="24"/>
                <w:highlight w:val="none"/>
                <w:lang w:val="en-US" w:eastAsia="zh-CN"/>
              </w:rPr>
              <w:t>2.94</w:t>
            </w:r>
            <w:r>
              <w:rPr>
                <w:rFonts w:hint="default" w:ascii="Times New Roman" w:hAnsi="Times New Roman" w:eastAsia="宋体" w:cs="Times New Roman"/>
                <w:color w:val="auto"/>
                <w:spacing w:val="0"/>
                <w:position w:val="0"/>
                <w:sz w:val="24"/>
                <w:szCs w:val="24"/>
                <w:highlight w:val="none"/>
              </w:rPr>
              <w:t>m</w:t>
            </w:r>
            <w:r>
              <w:rPr>
                <w:rFonts w:hint="default" w:ascii="Times New Roman" w:hAnsi="Times New Roman" w:eastAsia="宋体" w:cs="Times New Roman"/>
                <w:color w:val="auto"/>
                <w:spacing w:val="0"/>
                <w:position w:val="0"/>
                <w:sz w:val="24"/>
                <w:szCs w:val="24"/>
                <w:highlight w:val="none"/>
                <w:vertAlign w:val="superscript"/>
              </w:rPr>
              <w:t>3</w:t>
            </w:r>
            <w:r>
              <w:rPr>
                <w:rFonts w:hint="default" w:ascii="Times New Roman" w:hAnsi="Times New Roman" w:eastAsia="宋体" w:cs="Times New Roman"/>
                <w:color w:val="auto"/>
                <w:spacing w:val="0"/>
                <w:position w:val="0"/>
                <w:sz w:val="24"/>
                <w:szCs w:val="24"/>
                <w:highlight w:val="none"/>
              </w:rPr>
              <w:t>（尺寸为</w:t>
            </w:r>
            <w:r>
              <w:rPr>
                <w:rFonts w:hint="eastAsia" w:cs="Times New Roman"/>
                <w:color w:val="auto"/>
                <w:spacing w:val="0"/>
                <w:position w:val="0"/>
                <w:sz w:val="24"/>
                <w:szCs w:val="24"/>
                <w:highlight w:val="none"/>
                <w:lang w:val="en-US" w:eastAsia="zh-CN"/>
              </w:rPr>
              <w:t>4</w:t>
            </w:r>
            <w:r>
              <w:rPr>
                <w:rFonts w:hint="default" w:ascii="Times New Roman" w:hAnsi="Times New Roman" w:eastAsia="宋体" w:cs="Times New Roman"/>
                <w:color w:val="auto"/>
                <w:spacing w:val="0"/>
                <w:position w:val="0"/>
                <w:sz w:val="24"/>
                <w:szCs w:val="24"/>
                <w:highlight w:val="none"/>
              </w:rPr>
              <w:t>m×</w:t>
            </w:r>
            <w:r>
              <w:rPr>
                <w:rFonts w:hint="eastAsia" w:cs="Times New Roman"/>
                <w:color w:val="auto"/>
                <w:spacing w:val="0"/>
                <w:position w:val="0"/>
                <w:sz w:val="24"/>
                <w:szCs w:val="24"/>
                <w:highlight w:val="none"/>
                <w:lang w:val="en-US" w:eastAsia="zh-CN"/>
              </w:rPr>
              <w:t>1.5</w:t>
            </w:r>
            <w:r>
              <w:rPr>
                <w:rFonts w:hint="default" w:ascii="Times New Roman" w:hAnsi="Times New Roman" w:eastAsia="宋体" w:cs="Times New Roman"/>
                <w:color w:val="auto"/>
                <w:spacing w:val="0"/>
                <w:position w:val="0"/>
                <w:sz w:val="24"/>
                <w:szCs w:val="24"/>
                <w:highlight w:val="none"/>
              </w:rPr>
              <w:t>m×0.</w:t>
            </w:r>
            <w:r>
              <w:rPr>
                <w:rFonts w:hint="eastAsia" w:cs="Times New Roman"/>
                <w:color w:val="auto"/>
                <w:spacing w:val="0"/>
                <w:position w:val="0"/>
                <w:sz w:val="24"/>
                <w:szCs w:val="24"/>
                <w:highlight w:val="none"/>
                <w:lang w:val="en-US" w:eastAsia="zh-CN"/>
              </w:rPr>
              <w:t>4</w:t>
            </w:r>
            <w:r>
              <w:rPr>
                <w:rFonts w:hint="default" w:ascii="Times New Roman" w:hAnsi="Times New Roman" w:eastAsia="宋体" w:cs="Times New Roman"/>
                <w:color w:val="auto"/>
                <w:spacing w:val="0"/>
                <w:position w:val="0"/>
                <w:sz w:val="24"/>
                <w:szCs w:val="24"/>
                <w:highlight w:val="none"/>
              </w:rPr>
              <w:t>9m）</w:t>
            </w:r>
            <w:r>
              <w:rPr>
                <w:rFonts w:hint="eastAsia"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val="en-US" w:eastAsia="zh-CN"/>
              </w:rPr>
              <w:t>总容积为8.82</w:t>
            </w:r>
            <w:r>
              <w:rPr>
                <w:rFonts w:hint="default" w:ascii="Times New Roman" w:hAnsi="Times New Roman" w:eastAsia="宋体" w:cs="Times New Roman"/>
                <w:color w:val="auto"/>
                <w:spacing w:val="0"/>
                <w:position w:val="0"/>
                <w:sz w:val="24"/>
                <w:szCs w:val="24"/>
                <w:highlight w:val="none"/>
              </w:rPr>
              <w:t>m</w:t>
            </w:r>
            <w:r>
              <w:rPr>
                <w:rFonts w:hint="default" w:ascii="Times New Roman" w:hAnsi="Times New Roman" w:eastAsia="宋体" w:cs="Times New Roman"/>
                <w:color w:val="auto"/>
                <w:spacing w:val="0"/>
                <w:position w:val="0"/>
                <w:sz w:val="24"/>
                <w:szCs w:val="24"/>
                <w:highlight w:val="none"/>
                <w:vertAlign w:val="superscript"/>
              </w:rPr>
              <w:t>3</w:t>
            </w:r>
            <w:r>
              <w:rPr>
                <w:rFonts w:hint="default" w:ascii="Times New Roman" w:hAnsi="Times New Roman" w:eastAsia="宋体" w:cs="Times New Roman"/>
                <w:color w:val="auto"/>
                <w:spacing w:val="0"/>
                <w:position w:val="0"/>
                <w:sz w:val="24"/>
                <w:szCs w:val="24"/>
                <w:highlight w:val="none"/>
              </w:rPr>
              <w:t>。根据业主提供资料，水帘气旋一体机运行时储水量约为储水槽容量的</w:t>
            </w:r>
            <w:r>
              <w:rPr>
                <w:rFonts w:hint="eastAsia" w:cs="Times New Roman"/>
                <w:color w:val="auto"/>
                <w:spacing w:val="0"/>
                <w:position w:val="0"/>
                <w:sz w:val="24"/>
                <w:szCs w:val="24"/>
                <w:highlight w:val="none"/>
                <w:lang w:val="en-US" w:eastAsia="zh-CN"/>
              </w:rPr>
              <w:t>60</w:t>
            </w:r>
            <w:r>
              <w:rPr>
                <w:rFonts w:hint="default" w:ascii="Times New Roman" w:hAnsi="Times New Roman" w:eastAsia="宋体" w:cs="Times New Roman"/>
                <w:color w:val="auto"/>
                <w:spacing w:val="0"/>
                <w:position w:val="0"/>
                <w:sz w:val="24"/>
                <w:szCs w:val="24"/>
                <w:highlight w:val="none"/>
              </w:rPr>
              <w:t>%，即</w:t>
            </w:r>
            <w:r>
              <w:rPr>
                <w:rFonts w:hint="eastAsia" w:cs="Times New Roman"/>
                <w:color w:val="auto"/>
                <w:spacing w:val="0"/>
                <w:position w:val="0"/>
                <w:sz w:val="24"/>
                <w:szCs w:val="24"/>
                <w:highlight w:val="none"/>
                <w:lang w:val="en-US" w:eastAsia="zh-CN"/>
              </w:rPr>
              <w:t>单个</w:t>
            </w:r>
            <w:r>
              <w:rPr>
                <w:rFonts w:hint="default" w:ascii="Times New Roman" w:hAnsi="Times New Roman" w:eastAsia="宋体" w:cs="Times New Roman"/>
                <w:color w:val="auto"/>
                <w:spacing w:val="0"/>
                <w:position w:val="0"/>
                <w:sz w:val="24"/>
                <w:szCs w:val="24"/>
                <w:highlight w:val="none"/>
              </w:rPr>
              <w:t>储水槽容量</w:t>
            </w:r>
            <w:r>
              <w:rPr>
                <w:rFonts w:hint="eastAsia" w:ascii="Times New Roman" w:hAnsi="Times New Roman" w:eastAsia="宋体" w:cs="Times New Roman"/>
                <w:color w:val="auto"/>
                <w:spacing w:val="0"/>
                <w:position w:val="0"/>
                <w:sz w:val="24"/>
                <w:szCs w:val="24"/>
                <w:highlight w:val="none"/>
                <w:lang w:val="en-US" w:eastAsia="zh-CN"/>
              </w:rPr>
              <w:t>为</w:t>
            </w:r>
            <w:r>
              <w:rPr>
                <w:rFonts w:hint="eastAsia" w:cs="Times New Roman"/>
                <w:color w:val="auto"/>
                <w:spacing w:val="0"/>
                <w:position w:val="0"/>
                <w:sz w:val="24"/>
                <w:szCs w:val="24"/>
                <w:highlight w:val="none"/>
                <w:lang w:val="en-US" w:eastAsia="zh-CN"/>
              </w:rPr>
              <w:t>1.764t（总5.292t）</w:t>
            </w:r>
            <w:r>
              <w:rPr>
                <w:rFonts w:hint="default" w:ascii="Times New Roman" w:hAnsi="Times New Roman" w:eastAsia="宋体" w:cs="Times New Roman"/>
                <w:color w:val="auto"/>
                <w:spacing w:val="0"/>
                <w:position w:val="0"/>
                <w:sz w:val="24"/>
                <w:szCs w:val="24"/>
                <w:highlight w:val="none"/>
              </w:rPr>
              <w:t>，用水循环使用，不外排，因蒸发损耗，每天需补充的水量约为循环水量的5%，补充水量为0.</w:t>
            </w:r>
            <w:r>
              <w:rPr>
                <w:rFonts w:hint="eastAsia" w:cs="Times New Roman"/>
                <w:color w:val="auto"/>
                <w:spacing w:val="0"/>
                <w:position w:val="0"/>
                <w:sz w:val="24"/>
                <w:szCs w:val="24"/>
                <w:highlight w:val="none"/>
                <w:lang w:val="en-US" w:eastAsia="zh-CN"/>
              </w:rPr>
              <w:t>2646</w:t>
            </w:r>
            <w:r>
              <w:rPr>
                <w:rFonts w:hint="default" w:ascii="Times New Roman" w:hAnsi="Times New Roman" w:eastAsia="宋体" w:cs="Times New Roman"/>
                <w:color w:val="auto"/>
                <w:spacing w:val="0"/>
                <w:position w:val="0"/>
                <w:sz w:val="24"/>
                <w:szCs w:val="24"/>
                <w:highlight w:val="none"/>
              </w:rPr>
              <w:t>t/d，则每年补充新鲜水量为</w:t>
            </w:r>
            <w:r>
              <w:rPr>
                <w:rFonts w:hint="eastAsia" w:cs="Times New Roman"/>
                <w:color w:val="auto"/>
                <w:spacing w:val="0"/>
                <w:position w:val="0"/>
                <w:sz w:val="24"/>
                <w:szCs w:val="24"/>
                <w:highlight w:val="none"/>
                <w:lang w:val="en-US" w:eastAsia="zh-CN"/>
              </w:rPr>
              <w:t>79.38</w:t>
            </w:r>
            <w:r>
              <w:rPr>
                <w:rFonts w:hint="default" w:ascii="Times New Roman" w:hAnsi="Times New Roman" w:eastAsia="宋体" w:cs="Times New Roman"/>
                <w:color w:val="auto"/>
                <w:spacing w:val="0"/>
                <w:position w:val="0"/>
                <w:sz w:val="24"/>
                <w:szCs w:val="24"/>
                <w:highlight w:val="none"/>
              </w:rPr>
              <w:t>t/a。项目喷漆量少，水帘气旋储水量大，且循环用水水质要求不高，定期经</w:t>
            </w:r>
            <w:r>
              <w:rPr>
                <w:rFonts w:hint="eastAsia" w:cs="Times New Roman"/>
                <w:color w:val="auto"/>
                <w:spacing w:val="0"/>
                <w:position w:val="0"/>
                <w:sz w:val="24"/>
                <w:szCs w:val="24"/>
                <w:highlight w:val="none"/>
                <w:lang w:val="en-US" w:eastAsia="zh-CN"/>
              </w:rPr>
              <w:t>废水处理设施</w:t>
            </w:r>
            <w:r>
              <w:rPr>
                <w:rFonts w:hint="default" w:ascii="Times New Roman" w:hAnsi="Times New Roman" w:eastAsia="宋体" w:cs="Times New Roman"/>
                <w:color w:val="auto"/>
                <w:spacing w:val="0"/>
                <w:position w:val="0"/>
                <w:sz w:val="24"/>
                <w:szCs w:val="24"/>
                <w:highlight w:val="none"/>
              </w:rPr>
              <w:t>处理</w:t>
            </w:r>
            <w:r>
              <w:rPr>
                <w:rFonts w:hint="eastAsia" w:ascii="Times New Roman" w:hAnsi="Times New Roman" w:eastAsia="宋体" w:cs="Times New Roman"/>
                <w:color w:val="auto"/>
                <w:spacing w:val="0"/>
                <w:position w:val="0"/>
                <w:sz w:val="24"/>
                <w:highlight w:val="none"/>
                <w:lang w:eastAsia="zh-CN"/>
              </w:rPr>
              <w:t>（</w:t>
            </w:r>
            <w:r>
              <w:rPr>
                <w:rFonts w:hint="eastAsia" w:cs="Times New Roman"/>
                <w:color w:val="auto"/>
                <w:spacing w:val="0"/>
                <w:position w:val="0"/>
                <w:sz w:val="24"/>
                <w:highlight w:val="none"/>
                <w:lang w:val="en-US" w:eastAsia="zh-CN"/>
              </w:rPr>
              <w:t>一月处理一次</w:t>
            </w:r>
            <w:r>
              <w:rPr>
                <w:rFonts w:hint="eastAsia" w:ascii="Times New Roman" w:hAnsi="Times New Roman" w:eastAsia="宋体" w:cs="Times New Roman"/>
                <w:color w:val="auto"/>
                <w:spacing w:val="0"/>
                <w:position w:val="0"/>
                <w:sz w:val="24"/>
                <w:highlight w:val="none"/>
                <w:lang w:eastAsia="zh-CN"/>
              </w:rPr>
              <w:t>）</w:t>
            </w:r>
            <w:r>
              <w:rPr>
                <w:rFonts w:hint="eastAsia" w:cs="Times New Roman"/>
                <w:color w:val="auto"/>
                <w:spacing w:val="0"/>
                <w:position w:val="0"/>
                <w:sz w:val="24"/>
                <w:highlight w:val="none"/>
                <w:lang w:val="en-US" w:eastAsia="zh-CN"/>
              </w:rPr>
              <w:t>后回用生产</w:t>
            </w:r>
            <w:r>
              <w:rPr>
                <w:rFonts w:hint="default" w:ascii="Times New Roman" w:hAnsi="Times New Roman" w:eastAsia="宋体" w:cs="Times New Roman"/>
                <w:color w:val="auto"/>
                <w:spacing w:val="0"/>
                <w:position w:val="0"/>
                <w:sz w:val="24"/>
                <w:szCs w:val="24"/>
                <w:highlight w:val="none"/>
              </w:rPr>
              <w:t>，综合考虑，一年仅更换</w:t>
            </w:r>
            <w:r>
              <w:rPr>
                <w:rFonts w:hint="eastAsia" w:cs="Times New Roman"/>
                <w:color w:val="auto"/>
                <w:spacing w:val="0"/>
                <w:position w:val="0"/>
                <w:sz w:val="24"/>
                <w:szCs w:val="24"/>
                <w:highlight w:val="none"/>
                <w:lang w:val="en-US" w:eastAsia="zh-CN"/>
              </w:rPr>
              <w:t>一次</w:t>
            </w:r>
            <w:r>
              <w:rPr>
                <w:rFonts w:hint="default" w:ascii="Times New Roman" w:hAnsi="Times New Roman" w:eastAsia="宋体" w:cs="Times New Roman"/>
                <w:color w:val="auto"/>
                <w:spacing w:val="0"/>
                <w:position w:val="0"/>
                <w:sz w:val="24"/>
                <w:szCs w:val="24"/>
                <w:highlight w:val="none"/>
              </w:rPr>
              <w:t>做危废，可满足正常生产要求，即更换废水量为</w:t>
            </w:r>
            <w:r>
              <w:rPr>
                <w:rFonts w:hint="eastAsia" w:cs="Times New Roman"/>
                <w:color w:val="auto"/>
                <w:spacing w:val="0"/>
                <w:position w:val="0"/>
                <w:sz w:val="24"/>
                <w:szCs w:val="24"/>
                <w:highlight w:val="none"/>
                <w:lang w:val="en-US" w:eastAsia="zh-CN"/>
              </w:rPr>
              <w:t>5.292</w:t>
            </w:r>
            <w:r>
              <w:rPr>
                <w:rFonts w:hint="default" w:ascii="Times New Roman" w:hAnsi="Times New Roman" w:eastAsia="宋体" w:cs="Times New Roman"/>
                <w:color w:val="auto"/>
                <w:spacing w:val="0"/>
                <w:position w:val="0"/>
                <w:sz w:val="24"/>
                <w:szCs w:val="24"/>
                <w:highlight w:val="none"/>
              </w:rPr>
              <w:t>t/a（0.0</w:t>
            </w:r>
            <w:r>
              <w:rPr>
                <w:rFonts w:hint="eastAsia" w:ascii="Times New Roman" w:hAnsi="Times New Roman" w:eastAsia="宋体" w:cs="Times New Roman"/>
                <w:color w:val="auto"/>
                <w:spacing w:val="0"/>
                <w:position w:val="0"/>
                <w:sz w:val="24"/>
                <w:szCs w:val="24"/>
                <w:highlight w:val="none"/>
                <w:lang w:val="en-US" w:eastAsia="zh-CN"/>
              </w:rPr>
              <w:t>176</w:t>
            </w:r>
            <w:r>
              <w:rPr>
                <w:rFonts w:hint="default" w:ascii="Times New Roman" w:hAnsi="Times New Roman" w:eastAsia="宋体" w:cs="Times New Roman"/>
                <w:color w:val="auto"/>
                <w:spacing w:val="0"/>
                <w:position w:val="0"/>
                <w:sz w:val="24"/>
                <w:szCs w:val="24"/>
                <w:highlight w:val="none"/>
              </w:rPr>
              <w:t>t/d）</w:t>
            </w:r>
            <w:r>
              <w:rPr>
                <w:rFonts w:hint="eastAsia" w:ascii="Times New Roman" w:hAnsi="Times New Roman" w:eastAsia="宋体" w:cs="Times New Roman"/>
                <w:color w:val="auto"/>
                <w:spacing w:val="0"/>
                <w:position w:val="0"/>
                <w:sz w:val="24"/>
                <w:szCs w:val="24"/>
                <w:highlight w:val="none"/>
                <w:lang w:eastAsia="zh-CN"/>
              </w:rPr>
              <w:t>。</w:t>
            </w:r>
          </w:p>
          <w:p w14:paraId="44FF0A5B">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fldChar w:fldCharType="begin"/>
            </w:r>
            <w:r>
              <w:rPr>
                <w:rFonts w:hint="eastAsia" w:ascii="Times New Roman" w:hAnsi="Times New Roman" w:eastAsia="宋体" w:cs="Times New Roman"/>
                <w:color w:val="auto"/>
                <w:spacing w:val="0"/>
                <w:position w:val="0"/>
                <w:sz w:val="24"/>
                <w:szCs w:val="24"/>
                <w:highlight w:val="none"/>
                <w:lang w:val="en-US" w:eastAsia="zh-CN"/>
              </w:rPr>
              <w:instrText xml:space="preserve"> = 2 \* GB3 \* MERGEFORMAT </w:instrText>
            </w:r>
            <w:r>
              <w:rPr>
                <w:rFonts w:hint="eastAsia" w:ascii="Times New Roman" w:hAnsi="Times New Roman" w:eastAsia="宋体" w:cs="Times New Roman"/>
                <w:color w:val="auto"/>
                <w:spacing w:val="0"/>
                <w:position w:val="0"/>
                <w:sz w:val="24"/>
                <w:szCs w:val="24"/>
                <w:highlight w:val="none"/>
                <w:lang w:val="en-US" w:eastAsia="zh-CN"/>
              </w:rPr>
              <w:fldChar w:fldCharType="separate"/>
            </w:r>
            <w:r>
              <w:rPr>
                <w:color w:val="auto"/>
                <w:sz w:val="24"/>
                <w:szCs w:val="24"/>
                <w:highlight w:val="none"/>
              </w:rPr>
              <w:t>②</w:t>
            </w:r>
            <w:r>
              <w:rPr>
                <w:rFonts w:hint="eastAsia" w:ascii="Times New Roman" w:hAnsi="Times New Roman" w:eastAsia="宋体" w:cs="Times New Roman"/>
                <w:color w:val="auto"/>
                <w:spacing w:val="0"/>
                <w:position w:val="0"/>
                <w:sz w:val="24"/>
                <w:szCs w:val="24"/>
                <w:highlight w:val="none"/>
                <w:lang w:val="en-US" w:eastAsia="zh-CN"/>
              </w:rPr>
              <w:fldChar w:fldCharType="end"/>
            </w:r>
            <w:r>
              <w:rPr>
                <w:rFonts w:hint="eastAsia" w:ascii="Times New Roman" w:hAnsi="Times New Roman" w:eastAsia="宋体" w:cs="Times New Roman"/>
                <w:color w:val="auto"/>
                <w:spacing w:val="0"/>
                <w:position w:val="0"/>
                <w:sz w:val="24"/>
                <w:szCs w:val="24"/>
                <w:highlight w:val="none"/>
                <w:lang w:val="en-US" w:eastAsia="zh-CN"/>
              </w:rPr>
              <w:t>喷枪清洗用水</w:t>
            </w:r>
          </w:p>
          <w:p w14:paraId="1E5C195F">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根据业主提供资料，项目喷枪每天清洗一次，每次清洗用水量约0.5kg</w:t>
            </w:r>
            <w:r>
              <w:rPr>
                <w:rFonts w:hint="eastAsia" w:cs="Times New Roman"/>
                <w:color w:val="auto"/>
                <w:spacing w:val="0"/>
                <w:position w:val="0"/>
                <w:sz w:val="24"/>
                <w:szCs w:val="24"/>
                <w:highlight w:val="none"/>
                <w:lang w:val="en-US" w:eastAsia="zh-CN"/>
              </w:rPr>
              <w:t>/把</w:t>
            </w:r>
            <w:r>
              <w:rPr>
                <w:rFonts w:hint="eastAsia" w:ascii="Times New Roman" w:hAnsi="Times New Roman" w:eastAsia="宋体" w:cs="Times New Roman"/>
                <w:color w:val="auto"/>
                <w:spacing w:val="0"/>
                <w:position w:val="0"/>
                <w:sz w:val="24"/>
                <w:szCs w:val="24"/>
                <w:highlight w:val="none"/>
                <w:lang w:val="en-US" w:eastAsia="zh-CN"/>
              </w:rPr>
              <w:t>，项目共配置3把喷枪</w:t>
            </w:r>
            <w:r>
              <w:rPr>
                <w:rFonts w:hint="eastAsia" w:cs="Times New Roman"/>
                <w:color w:val="auto"/>
                <w:spacing w:val="0"/>
                <w:position w:val="0"/>
                <w:sz w:val="24"/>
                <w:szCs w:val="24"/>
                <w:highlight w:val="none"/>
                <w:lang w:val="en-US" w:eastAsia="zh-CN"/>
              </w:rPr>
              <w:t>（两用一备）</w:t>
            </w:r>
            <w:r>
              <w:rPr>
                <w:rFonts w:hint="eastAsia" w:ascii="Times New Roman" w:hAnsi="Times New Roman" w:eastAsia="宋体" w:cs="Times New Roman"/>
                <w:color w:val="auto"/>
                <w:spacing w:val="0"/>
                <w:position w:val="0"/>
                <w:sz w:val="24"/>
                <w:szCs w:val="24"/>
                <w:highlight w:val="none"/>
                <w:lang w:val="en-US" w:eastAsia="zh-CN"/>
              </w:rPr>
              <w:t>，则洗枪水用量为0.</w:t>
            </w:r>
            <w:r>
              <w:rPr>
                <w:rFonts w:hint="eastAsia" w:cs="Times New Roman"/>
                <w:color w:val="auto"/>
                <w:spacing w:val="0"/>
                <w:position w:val="0"/>
                <w:sz w:val="24"/>
                <w:szCs w:val="24"/>
                <w:highlight w:val="none"/>
                <w:lang w:val="en-US" w:eastAsia="zh-CN"/>
              </w:rPr>
              <w:t>3</w:t>
            </w:r>
            <w:r>
              <w:rPr>
                <w:rFonts w:hint="eastAsia" w:ascii="Times New Roman" w:hAnsi="Times New Roman" w:eastAsia="宋体" w:cs="Times New Roman"/>
                <w:color w:val="auto"/>
                <w:spacing w:val="0"/>
                <w:position w:val="0"/>
                <w:sz w:val="24"/>
                <w:szCs w:val="24"/>
                <w:highlight w:val="none"/>
                <w:lang w:val="en-US" w:eastAsia="zh-CN"/>
              </w:rPr>
              <w:t>t/a，喷枪清洗废水收集后，</w:t>
            </w:r>
            <w:r>
              <w:rPr>
                <w:rFonts w:hint="eastAsia" w:ascii="Times New Roman" w:hAnsi="Times New Roman" w:eastAsia="宋体" w:cs="Times New Roman"/>
                <w:snapToGrid w:val="0"/>
                <w:color w:val="auto"/>
                <w:sz w:val="24"/>
                <w:szCs w:val="24"/>
                <w:highlight w:val="none"/>
              </w:rPr>
              <w:t>使用</w:t>
            </w:r>
            <w:r>
              <w:rPr>
                <w:rFonts w:hint="eastAsia" w:ascii="Times New Roman" w:hAnsi="Times New Roman" w:eastAsia="宋体" w:cs="Times New Roman"/>
                <w:snapToGrid w:val="0"/>
                <w:color w:val="auto"/>
                <w:sz w:val="24"/>
                <w:szCs w:val="24"/>
                <w:highlight w:val="none"/>
                <w:lang w:eastAsia="zh-CN"/>
              </w:rPr>
              <w:t>密闭</w:t>
            </w:r>
            <w:r>
              <w:rPr>
                <w:rFonts w:hint="eastAsia" w:ascii="Times New Roman" w:hAnsi="Times New Roman" w:eastAsia="宋体" w:cs="Times New Roman"/>
                <w:snapToGrid w:val="0"/>
                <w:color w:val="auto"/>
                <w:sz w:val="24"/>
                <w:szCs w:val="24"/>
                <w:highlight w:val="none"/>
              </w:rPr>
              <w:t>容器盛装</w:t>
            </w:r>
            <w:r>
              <w:rPr>
                <w:rFonts w:hint="eastAsia" w:ascii="Times New Roman" w:hAnsi="Times New Roman" w:eastAsia="宋体" w:cs="Times New Roman"/>
                <w:snapToGrid w:val="0"/>
                <w:color w:val="auto"/>
                <w:sz w:val="24"/>
                <w:szCs w:val="24"/>
                <w:highlight w:val="none"/>
                <w:lang w:eastAsia="zh-CN"/>
              </w:rPr>
              <w:t>，</w:t>
            </w:r>
            <w:r>
              <w:rPr>
                <w:rFonts w:hint="eastAsia" w:cs="Times New Roman"/>
                <w:b w:val="0"/>
                <w:bCs/>
                <w:color w:val="auto"/>
                <w:spacing w:val="0"/>
                <w:position w:val="0"/>
                <w:sz w:val="24"/>
                <w:szCs w:val="24"/>
                <w:highlight w:val="none"/>
                <w:lang w:val="en-US" w:eastAsia="zh-CN"/>
              </w:rPr>
              <w:t>作为危险废物委托有资质单位处置</w:t>
            </w:r>
            <w:r>
              <w:rPr>
                <w:rFonts w:hint="eastAsia" w:ascii="Times New Roman" w:hAnsi="Times New Roman" w:eastAsia="宋体" w:cs="Times New Roman"/>
                <w:color w:val="auto"/>
                <w:spacing w:val="0"/>
                <w:position w:val="0"/>
                <w:sz w:val="24"/>
                <w:szCs w:val="24"/>
                <w:highlight w:val="none"/>
                <w:lang w:val="en-US" w:eastAsia="zh-CN"/>
              </w:rPr>
              <w:t>。</w:t>
            </w:r>
          </w:p>
          <w:p w14:paraId="4CD360A4">
            <w:pPr>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lang w:val="en-US" w:eastAsia="zh-CN"/>
              </w:rPr>
              <w:t>2</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生活用水</w:t>
            </w:r>
          </w:p>
          <w:p w14:paraId="4964921F">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生活用水为职工日常生活盥洗、清洁用水，项目拟招聘职工</w:t>
            </w:r>
            <w:r>
              <w:rPr>
                <w:rFonts w:hint="eastAsia" w:cs="Times New Roman"/>
                <w:color w:val="auto"/>
                <w:spacing w:val="0"/>
                <w:position w:val="0"/>
                <w:sz w:val="24"/>
                <w:szCs w:val="24"/>
                <w:highlight w:val="none"/>
                <w:lang w:val="en-US" w:eastAsia="zh-CN"/>
              </w:rPr>
              <w:t>20</w:t>
            </w:r>
            <w:r>
              <w:rPr>
                <w:rFonts w:hint="eastAsia" w:ascii="Times New Roman" w:hAnsi="Times New Roman" w:eastAsia="宋体" w:cs="Times New Roman"/>
                <w:color w:val="auto"/>
                <w:spacing w:val="0"/>
                <w:position w:val="0"/>
                <w:sz w:val="24"/>
                <w:szCs w:val="24"/>
                <w:highlight w:val="none"/>
                <w:lang w:val="en-US" w:eastAsia="zh-CN"/>
              </w:rPr>
              <w:t>人</w:t>
            </w:r>
            <w:r>
              <w:rPr>
                <w:rFonts w:hint="eastAsia" w:ascii="Times New Roman" w:hAnsi="Times New Roman" w:eastAsia="宋体" w:cs="Times New Roman"/>
                <w:color w:val="auto"/>
                <w:spacing w:val="0"/>
                <w:position w:val="0"/>
                <w:sz w:val="24"/>
                <w:szCs w:val="24"/>
                <w:highlight w:val="none"/>
              </w:rPr>
              <w:t>，均不在厂内住宿，年工作日300天，</w:t>
            </w:r>
            <w:r>
              <w:rPr>
                <w:rFonts w:hint="eastAsia" w:ascii="Times New Roman" w:hAnsi="Times New Roman" w:eastAsia="宋体" w:cs="Times New Roman"/>
                <w:color w:val="auto"/>
                <w:spacing w:val="0"/>
                <w:kern w:val="0"/>
                <w:position w:val="0"/>
                <w:sz w:val="24"/>
                <w:szCs w:val="24"/>
                <w:highlight w:val="none"/>
                <w:lang w:val="en-US" w:eastAsia="zh-CN" w:bidi="ar"/>
              </w:rPr>
              <w:t>根据《建筑给排水设计规范》</w:t>
            </w:r>
            <w:r>
              <w:rPr>
                <w:rFonts w:hint="eastAsia" w:cs="Times New Roman"/>
                <w:color w:val="auto"/>
                <w:spacing w:val="0"/>
                <w:kern w:val="0"/>
                <w:position w:val="0"/>
                <w:sz w:val="24"/>
                <w:szCs w:val="24"/>
                <w:highlight w:val="none"/>
                <w:lang w:val="en-US" w:eastAsia="zh-CN" w:bidi="ar"/>
              </w:rPr>
              <w:t>（</w:t>
            </w:r>
            <w:r>
              <w:rPr>
                <w:rFonts w:hint="default" w:ascii="Times New Roman" w:hAnsi="Times New Roman" w:eastAsia="宋体" w:cs="Times New Roman"/>
                <w:color w:val="auto"/>
                <w:spacing w:val="0"/>
                <w:kern w:val="0"/>
                <w:position w:val="0"/>
                <w:sz w:val="24"/>
                <w:szCs w:val="24"/>
                <w:highlight w:val="none"/>
                <w:lang w:val="en-US" w:eastAsia="zh-CN" w:bidi="ar"/>
              </w:rPr>
              <w:t>GB50015-201</w:t>
            </w:r>
            <w:r>
              <w:rPr>
                <w:rFonts w:hint="eastAsia" w:cs="Times New Roman"/>
                <w:color w:val="auto"/>
                <w:spacing w:val="0"/>
                <w:kern w:val="0"/>
                <w:position w:val="0"/>
                <w:sz w:val="24"/>
                <w:szCs w:val="24"/>
                <w:highlight w:val="none"/>
                <w:lang w:val="en-US" w:eastAsia="zh-CN" w:bidi="ar"/>
              </w:rPr>
              <w:t>9）</w:t>
            </w:r>
            <w:r>
              <w:rPr>
                <w:rFonts w:hint="eastAsia" w:ascii="Times New Roman" w:hAnsi="Times New Roman" w:eastAsia="宋体" w:cs="Times New Roman"/>
                <w:color w:val="auto"/>
                <w:spacing w:val="0"/>
                <w:kern w:val="0"/>
                <w:position w:val="0"/>
                <w:sz w:val="24"/>
                <w:szCs w:val="24"/>
                <w:highlight w:val="none"/>
                <w:lang w:val="en-US" w:eastAsia="zh-CN" w:bidi="ar"/>
              </w:rPr>
              <w:t>和</w:t>
            </w:r>
            <w:r>
              <w:rPr>
                <w:rFonts w:hint="eastAsia" w:ascii="Times New Roman" w:hAnsi="Times New Roman" w:eastAsia="宋体" w:cs="Times New Roman"/>
                <w:color w:val="auto"/>
                <w:spacing w:val="0"/>
                <w:position w:val="0"/>
                <w:sz w:val="24"/>
                <w:szCs w:val="24"/>
                <w:highlight w:val="none"/>
              </w:rPr>
              <w:t>福建省《行业用水定额》（DB35/T772-20</w:t>
            </w:r>
            <w:r>
              <w:rPr>
                <w:rFonts w:hint="eastAsia" w:ascii="Times New Roman" w:hAnsi="Times New Roman" w:eastAsia="宋体" w:cs="Times New Roman"/>
                <w:color w:val="auto"/>
                <w:spacing w:val="0"/>
                <w:position w:val="0"/>
                <w:sz w:val="24"/>
                <w:szCs w:val="24"/>
                <w:highlight w:val="none"/>
                <w:lang w:val="en-US" w:eastAsia="zh-CN"/>
              </w:rPr>
              <w:t>23</w:t>
            </w:r>
            <w:r>
              <w:rPr>
                <w:rFonts w:hint="eastAsia"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kern w:val="0"/>
                <w:position w:val="0"/>
                <w:sz w:val="24"/>
                <w:szCs w:val="24"/>
                <w:highlight w:val="none"/>
                <w:lang w:val="en-US" w:eastAsia="zh-CN" w:bidi="ar"/>
              </w:rPr>
              <w:t>及</w:t>
            </w:r>
            <w:r>
              <w:rPr>
                <w:rFonts w:hint="eastAsia" w:cs="Times New Roman"/>
                <w:color w:val="auto"/>
                <w:spacing w:val="0"/>
                <w:kern w:val="0"/>
                <w:position w:val="0"/>
                <w:sz w:val="24"/>
                <w:szCs w:val="24"/>
                <w:highlight w:val="none"/>
                <w:lang w:val="en-US" w:eastAsia="zh-CN" w:bidi="ar"/>
              </w:rPr>
              <w:t>福</w:t>
            </w:r>
            <w:r>
              <w:rPr>
                <w:rFonts w:hint="eastAsia" w:ascii="Times New Roman" w:hAnsi="Times New Roman" w:eastAsia="宋体" w:cs="Times New Roman"/>
                <w:color w:val="auto"/>
                <w:spacing w:val="0"/>
                <w:kern w:val="0"/>
                <w:position w:val="0"/>
                <w:sz w:val="24"/>
                <w:szCs w:val="24"/>
                <w:highlight w:val="none"/>
                <w:lang w:val="en-US" w:eastAsia="zh-CN" w:bidi="ar"/>
              </w:rPr>
              <w:t>州市实际用水情况</w:t>
            </w:r>
            <w:r>
              <w:rPr>
                <w:rFonts w:hint="eastAsia" w:ascii="Times New Roman" w:hAnsi="Times New Roman" w:eastAsia="宋体" w:cs="Times New Roman"/>
                <w:color w:val="auto"/>
                <w:spacing w:val="0"/>
                <w:position w:val="0"/>
                <w:sz w:val="24"/>
                <w:szCs w:val="24"/>
                <w:highlight w:val="none"/>
              </w:rPr>
              <w:t>，不住厂职工人均生活用水量定额为50L/d•人，</w:t>
            </w:r>
            <w:r>
              <w:rPr>
                <w:rFonts w:hint="eastAsia" w:ascii="Times New Roman" w:hAnsi="Times New Roman" w:eastAsia="宋体" w:cs="Times New Roman"/>
                <w:color w:val="auto"/>
                <w:spacing w:val="0"/>
                <w:position w:val="0"/>
                <w:sz w:val="24"/>
                <w:szCs w:val="24"/>
                <w:highlight w:val="none"/>
                <w:lang w:val="en-US" w:eastAsia="zh-CN"/>
              </w:rPr>
              <w:t>工作时间为300天/年，</w:t>
            </w:r>
            <w:r>
              <w:rPr>
                <w:rFonts w:hint="eastAsia" w:ascii="Times New Roman" w:hAnsi="Times New Roman" w:eastAsia="宋体" w:cs="Times New Roman"/>
                <w:color w:val="auto"/>
                <w:spacing w:val="0"/>
                <w:position w:val="0"/>
                <w:sz w:val="24"/>
                <w:szCs w:val="24"/>
                <w:highlight w:val="none"/>
              </w:rPr>
              <w:t>则项目生活用水</w:t>
            </w:r>
            <w:r>
              <w:rPr>
                <w:rFonts w:hint="eastAsia" w:cs="Times New Roman"/>
                <w:color w:val="auto"/>
                <w:spacing w:val="0"/>
                <w:position w:val="0"/>
                <w:sz w:val="24"/>
                <w:szCs w:val="24"/>
                <w:highlight w:val="none"/>
                <w:lang w:val="en-US" w:eastAsia="zh-CN"/>
              </w:rPr>
              <w:t>1</w:t>
            </w:r>
            <w:r>
              <w:rPr>
                <w:rFonts w:hint="eastAsia" w:ascii="Times New Roman" w:hAnsi="Times New Roman" w:eastAsia="宋体" w:cs="Times New Roman"/>
                <w:color w:val="auto"/>
                <w:spacing w:val="0"/>
                <w:position w:val="0"/>
                <w:sz w:val="24"/>
                <w:szCs w:val="24"/>
                <w:highlight w:val="none"/>
              </w:rPr>
              <w:t>t/</w:t>
            </w:r>
            <w:r>
              <w:rPr>
                <w:rFonts w:ascii="Times New Roman" w:hAnsi="Times New Roman" w:eastAsia="宋体" w:cs="Times New Roman"/>
                <w:color w:val="auto"/>
                <w:spacing w:val="0"/>
                <w:position w:val="0"/>
                <w:sz w:val="24"/>
                <w:szCs w:val="24"/>
                <w:highlight w:val="none"/>
              </w:rPr>
              <w:t>d</w:t>
            </w:r>
            <w:r>
              <w:rPr>
                <w:rFonts w:hint="eastAsia" w:ascii="Times New Roman" w:hAnsi="Times New Roman" w:eastAsia="宋体" w:cs="Times New Roman"/>
                <w:color w:val="auto"/>
                <w:spacing w:val="0"/>
                <w:position w:val="0"/>
                <w:sz w:val="24"/>
                <w:szCs w:val="24"/>
                <w:highlight w:val="none"/>
              </w:rPr>
              <w:t>（</w:t>
            </w:r>
            <w:r>
              <w:rPr>
                <w:rFonts w:hint="eastAsia" w:cs="Times New Roman"/>
                <w:color w:val="auto"/>
                <w:spacing w:val="0"/>
                <w:position w:val="0"/>
                <w:sz w:val="24"/>
                <w:szCs w:val="24"/>
                <w:highlight w:val="none"/>
                <w:lang w:val="en-US" w:eastAsia="zh-CN"/>
              </w:rPr>
              <w:t>30</w:t>
            </w:r>
            <w:r>
              <w:rPr>
                <w:rFonts w:hint="eastAsia" w:ascii="Times New Roman" w:hAnsi="Times New Roman" w:eastAsia="宋体" w:cs="Times New Roman"/>
                <w:color w:val="auto"/>
                <w:spacing w:val="0"/>
                <w:position w:val="0"/>
                <w:sz w:val="24"/>
                <w:szCs w:val="24"/>
                <w:highlight w:val="none"/>
                <w:lang w:val="en-US" w:eastAsia="zh-CN"/>
              </w:rPr>
              <w:t>0</w:t>
            </w:r>
            <w:r>
              <w:rPr>
                <w:rFonts w:ascii="Times New Roman" w:hAnsi="Times New Roman" w:eastAsia="宋体" w:cs="Times New Roman"/>
                <w:color w:val="auto"/>
                <w:spacing w:val="0"/>
                <w:position w:val="0"/>
                <w:sz w:val="24"/>
                <w:szCs w:val="24"/>
                <w:highlight w:val="none"/>
              </w:rPr>
              <w:t>t/a</w:t>
            </w:r>
            <w:r>
              <w:rPr>
                <w:rFonts w:hint="eastAsia" w:ascii="Times New Roman" w:hAnsi="Times New Roman" w:eastAsia="宋体" w:cs="Times New Roman"/>
                <w:color w:val="auto"/>
                <w:spacing w:val="0"/>
                <w:position w:val="0"/>
                <w:sz w:val="24"/>
                <w:szCs w:val="24"/>
                <w:highlight w:val="none"/>
              </w:rPr>
              <w:t>），排污系数取0.8，生活污水排放量为</w:t>
            </w:r>
            <w:r>
              <w:rPr>
                <w:rFonts w:hint="eastAsia" w:cs="Times New Roman"/>
                <w:color w:val="auto"/>
                <w:spacing w:val="0"/>
                <w:position w:val="0"/>
                <w:sz w:val="24"/>
                <w:szCs w:val="24"/>
                <w:highlight w:val="none"/>
                <w:lang w:val="en-US" w:eastAsia="zh-CN"/>
              </w:rPr>
              <w:t>0.8</w:t>
            </w:r>
            <w:r>
              <w:rPr>
                <w:rFonts w:hint="eastAsia" w:ascii="Times New Roman" w:hAnsi="Times New Roman" w:eastAsia="宋体" w:cs="Times New Roman"/>
                <w:color w:val="auto"/>
                <w:spacing w:val="0"/>
                <w:position w:val="0"/>
                <w:sz w:val="24"/>
                <w:szCs w:val="24"/>
                <w:highlight w:val="none"/>
              </w:rPr>
              <w:t>t/</w:t>
            </w:r>
            <w:r>
              <w:rPr>
                <w:rFonts w:ascii="Times New Roman" w:hAnsi="Times New Roman" w:eastAsia="宋体" w:cs="Times New Roman"/>
                <w:color w:val="auto"/>
                <w:spacing w:val="0"/>
                <w:position w:val="0"/>
                <w:sz w:val="24"/>
                <w:szCs w:val="24"/>
                <w:highlight w:val="none"/>
              </w:rPr>
              <w:t>d</w:t>
            </w:r>
            <w:r>
              <w:rPr>
                <w:rFonts w:hint="eastAsia" w:ascii="Times New Roman" w:hAnsi="Times New Roman" w:eastAsia="宋体"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val="en-US" w:eastAsia="zh-CN"/>
              </w:rPr>
              <w:t>24</w:t>
            </w:r>
            <w:r>
              <w:rPr>
                <w:rFonts w:hint="eastAsia" w:ascii="Times New Roman" w:hAnsi="Times New Roman" w:eastAsia="宋体" w:cs="Times New Roman"/>
                <w:color w:val="auto"/>
                <w:spacing w:val="0"/>
                <w:position w:val="0"/>
                <w:sz w:val="24"/>
                <w:szCs w:val="24"/>
                <w:highlight w:val="none"/>
                <w:lang w:val="en-US" w:eastAsia="zh-CN"/>
              </w:rPr>
              <w:t>0</w:t>
            </w:r>
            <w:r>
              <w:rPr>
                <w:rFonts w:hint="eastAsia" w:ascii="Times New Roman" w:hAnsi="Times New Roman" w:eastAsia="宋体" w:cs="Times New Roman"/>
                <w:color w:val="auto"/>
                <w:spacing w:val="0"/>
                <w:position w:val="0"/>
                <w:sz w:val="24"/>
                <w:szCs w:val="24"/>
                <w:highlight w:val="none"/>
              </w:rPr>
              <w:t>t/a</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rPr>
              <w:t>。</w:t>
            </w:r>
          </w:p>
          <w:p w14:paraId="3368F72A">
            <w:pPr>
              <w:pStyle w:val="63"/>
              <w:keepNext w:val="0"/>
              <w:keepLines w:val="0"/>
              <w:pageBreakBefore w:val="0"/>
              <w:widowControl/>
              <w:tabs>
                <w:tab w:val="left" w:pos="4200"/>
              </w:tabs>
              <w:kinsoku/>
              <w:wordWrap/>
              <w:overflowPunct/>
              <w:topLinePunct w:val="0"/>
              <w:autoSpaceDE/>
              <w:autoSpaceDN/>
              <w:bidi w:val="0"/>
              <w:adjustRightInd/>
              <w:snapToGrid w:val="0"/>
              <w:spacing w:line="360" w:lineRule="auto"/>
              <w:ind w:firstLine="480"/>
              <w:jc w:val="both"/>
              <w:textAlignment w:val="auto"/>
              <w:rPr>
                <w:rFonts w:hint="eastAsia"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snapToGrid w:val="0"/>
                <w:color w:val="auto"/>
                <w:spacing w:val="0"/>
                <w:position w:val="0"/>
                <w:sz w:val="24"/>
                <w:szCs w:val="24"/>
                <w:highlight w:val="none"/>
                <w:lang w:eastAsia="zh-CN"/>
              </w:rPr>
              <w:t>综上</w:t>
            </w:r>
            <w:r>
              <w:rPr>
                <w:rFonts w:hint="default" w:ascii="Times New Roman" w:hAnsi="Times New Roman" w:eastAsia="宋体" w:cs="Times New Roman"/>
                <w:snapToGrid w:val="0"/>
                <w:color w:val="auto"/>
                <w:spacing w:val="0"/>
                <w:position w:val="0"/>
                <w:sz w:val="24"/>
                <w:szCs w:val="24"/>
                <w:highlight w:val="none"/>
              </w:rPr>
              <w:t>，项目</w:t>
            </w:r>
            <w:r>
              <w:rPr>
                <w:rFonts w:hint="eastAsia" w:ascii="Times New Roman" w:hAnsi="Times New Roman" w:eastAsia="宋体" w:cs="Times New Roman"/>
                <w:snapToGrid w:val="0"/>
                <w:color w:val="auto"/>
                <w:spacing w:val="0"/>
                <w:position w:val="0"/>
                <w:sz w:val="24"/>
                <w:szCs w:val="24"/>
                <w:highlight w:val="none"/>
                <w:lang w:eastAsia="zh-CN"/>
              </w:rPr>
              <w:t>总用水量为</w:t>
            </w:r>
            <w:r>
              <w:rPr>
                <w:rFonts w:hint="eastAsia" w:cs="Times New Roman"/>
                <w:snapToGrid w:val="0"/>
                <w:color w:val="auto"/>
                <w:spacing w:val="0"/>
                <w:position w:val="0"/>
                <w:sz w:val="24"/>
                <w:szCs w:val="24"/>
                <w:highlight w:val="none"/>
                <w:lang w:val="en-US" w:eastAsia="zh-CN"/>
              </w:rPr>
              <w:t>384.972t</w:t>
            </w:r>
            <w:r>
              <w:rPr>
                <w:rFonts w:hint="default" w:ascii="Times New Roman" w:hAnsi="Times New Roman" w:eastAsia="宋体" w:cs="Times New Roman"/>
                <w:snapToGrid w:val="0"/>
                <w:color w:val="auto"/>
                <w:spacing w:val="0"/>
                <w:position w:val="0"/>
                <w:sz w:val="24"/>
                <w:szCs w:val="24"/>
                <w:highlight w:val="none"/>
                <w:lang w:val="en-US" w:eastAsia="zh-CN"/>
              </w:rPr>
              <w:t>/a</w:t>
            </w:r>
            <w:r>
              <w:rPr>
                <w:rFonts w:hint="eastAsia" w:ascii="Times New Roman" w:hAnsi="Times New Roman" w:eastAsia="宋体" w:cs="Times New Roman"/>
                <w:snapToGrid w:val="0"/>
                <w:color w:val="auto"/>
                <w:spacing w:val="0"/>
                <w:position w:val="0"/>
                <w:sz w:val="24"/>
                <w:szCs w:val="24"/>
                <w:highlight w:val="none"/>
                <w:lang w:eastAsia="zh-CN"/>
              </w:rPr>
              <w:t>，其中生产用水量为</w:t>
            </w:r>
            <w:r>
              <w:rPr>
                <w:rFonts w:hint="eastAsia" w:cs="Times New Roman"/>
                <w:snapToGrid w:val="0"/>
                <w:color w:val="auto"/>
                <w:spacing w:val="0"/>
                <w:position w:val="0"/>
                <w:sz w:val="24"/>
                <w:szCs w:val="24"/>
                <w:highlight w:val="none"/>
                <w:lang w:val="en-US" w:eastAsia="zh-CN"/>
              </w:rPr>
              <w:t>84.972t</w:t>
            </w:r>
            <w:r>
              <w:rPr>
                <w:rFonts w:hint="default" w:ascii="Times New Roman" w:hAnsi="Times New Roman" w:eastAsia="宋体" w:cs="Times New Roman"/>
                <w:snapToGrid w:val="0"/>
                <w:color w:val="auto"/>
                <w:spacing w:val="0"/>
                <w:position w:val="0"/>
                <w:sz w:val="24"/>
                <w:szCs w:val="24"/>
                <w:highlight w:val="none"/>
                <w:lang w:val="en-US" w:eastAsia="zh-CN"/>
              </w:rPr>
              <w:t>/a</w:t>
            </w:r>
            <w:r>
              <w:rPr>
                <w:rFonts w:hint="eastAsia" w:ascii="Times New Roman" w:hAnsi="Times New Roman" w:eastAsia="宋体" w:cs="Times New Roman"/>
                <w:snapToGrid w:val="0"/>
                <w:color w:val="auto"/>
                <w:spacing w:val="0"/>
                <w:position w:val="0"/>
                <w:sz w:val="24"/>
                <w:szCs w:val="24"/>
                <w:highlight w:val="none"/>
                <w:lang w:val="en-US" w:eastAsia="zh-CN"/>
              </w:rPr>
              <w:t>，生活用水量</w:t>
            </w:r>
            <w:r>
              <w:rPr>
                <w:rFonts w:hint="eastAsia" w:cs="Times New Roman"/>
                <w:snapToGrid w:val="0"/>
                <w:color w:val="auto"/>
                <w:spacing w:val="0"/>
                <w:position w:val="0"/>
                <w:sz w:val="24"/>
                <w:szCs w:val="24"/>
                <w:highlight w:val="none"/>
                <w:lang w:val="en-US" w:eastAsia="zh-CN"/>
              </w:rPr>
              <w:t>30</w:t>
            </w:r>
            <w:r>
              <w:rPr>
                <w:rFonts w:hint="eastAsia" w:ascii="Times New Roman" w:hAnsi="Times New Roman" w:eastAsia="宋体" w:cs="Times New Roman"/>
                <w:snapToGrid w:val="0"/>
                <w:color w:val="auto"/>
                <w:spacing w:val="0"/>
                <w:position w:val="0"/>
                <w:sz w:val="24"/>
                <w:szCs w:val="24"/>
                <w:highlight w:val="none"/>
                <w:lang w:val="en-US" w:eastAsia="zh-CN"/>
              </w:rPr>
              <w:t>0</w:t>
            </w:r>
            <w:r>
              <w:rPr>
                <w:rFonts w:hint="eastAsia" w:cs="Times New Roman"/>
                <w:snapToGrid w:val="0"/>
                <w:color w:val="auto"/>
                <w:spacing w:val="0"/>
                <w:position w:val="0"/>
                <w:sz w:val="24"/>
                <w:szCs w:val="24"/>
                <w:highlight w:val="none"/>
                <w:lang w:val="en-US" w:eastAsia="zh-CN"/>
              </w:rPr>
              <w:t>t</w:t>
            </w:r>
            <w:r>
              <w:rPr>
                <w:rFonts w:hint="default" w:ascii="Times New Roman" w:hAnsi="Times New Roman" w:eastAsia="宋体" w:cs="Times New Roman"/>
                <w:snapToGrid w:val="0"/>
                <w:color w:val="auto"/>
                <w:spacing w:val="0"/>
                <w:position w:val="0"/>
                <w:sz w:val="24"/>
                <w:szCs w:val="24"/>
                <w:highlight w:val="none"/>
                <w:lang w:val="en-US" w:eastAsia="zh-CN"/>
              </w:rPr>
              <w:t>/a</w:t>
            </w:r>
            <w:r>
              <w:rPr>
                <w:rFonts w:hint="eastAsia" w:ascii="Times New Roman" w:hAnsi="Times New Roman" w:eastAsia="宋体" w:cs="Times New Roman"/>
                <w:snapToGrid w:val="0"/>
                <w:color w:val="auto"/>
                <w:spacing w:val="0"/>
                <w:position w:val="0"/>
                <w:sz w:val="24"/>
                <w:szCs w:val="24"/>
                <w:highlight w:val="none"/>
                <w:lang w:eastAsia="zh-CN"/>
              </w:rPr>
              <w:t>；</w:t>
            </w:r>
            <w:r>
              <w:rPr>
                <w:rFonts w:hint="default" w:ascii="Times New Roman" w:hAnsi="Times New Roman" w:eastAsia="宋体" w:cs="Times New Roman"/>
                <w:snapToGrid w:val="0"/>
                <w:color w:val="auto"/>
                <w:spacing w:val="0"/>
                <w:position w:val="0"/>
                <w:sz w:val="24"/>
                <w:szCs w:val="24"/>
                <w:highlight w:val="none"/>
                <w:lang w:val="en-US" w:eastAsia="zh-CN"/>
              </w:rPr>
              <w:t>生活</w:t>
            </w:r>
            <w:r>
              <w:rPr>
                <w:rFonts w:hint="eastAsia" w:ascii="Times New Roman" w:hAnsi="Times New Roman" w:eastAsia="宋体" w:cs="Times New Roman"/>
                <w:snapToGrid w:val="0"/>
                <w:color w:val="auto"/>
                <w:spacing w:val="0"/>
                <w:position w:val="0"/>
                <w:sz w:val="24"/>
                <w:szCs w:val="24"/>
                <w:highlight w:val="none"/>
                <w:lang w:val="en-US" w:eastAsia="zh-CN"/>
              </w:rPr>
              <w:t>废</w:t>
            </w:r>
            <w:r>
              <w:rPr>
                <w:rFonts w:hint="default" w:ascii="Times New Roman" w:hAnsi="Times New Roman" w:eastAsia="宋体" w:cs="Times New Roman"/>
                <w:snapToGrid w:val="0"/>
                <w:color w:val="auto"/>
                <w:spacing w:val="0"/>
                <w:position w:val="0"/>
                <w:sz w:val="24"/>
                <w:szCs w:val="24"/>
                <w:highlight w:val="none"/>
                <w:lang w:val="en-US" w:eastAsia="zh-CN"/>
              </w:rPr>
              <w:t>水</w:t>
            </w:r>
            <w:r>
              <w:rPr>
                <w:rFonts w:hint="eastAsia" w:ascii="Times New Roman" w:hAnsi="Times New Roman" w:eastAsia="宋体" w:cs="Times New Roman"/>
                <w:snapToGrid w:val="0"/>
                <w:color w:val="auto"/>
                <w:spacing w:val="0"/>
                <w:position w:val="0"/>
                <w:sz w:val="24"/>
                <w:szCs w:val="24"/>
                <w:highlight w:val="none"/>
                <w:lang w:val="en-US" w:eastAsia="zh-CN"/>
              </w:rPr>
              <w:t>排放量</w:t>
            </w:r>
            <w:r>
              <w:rPr>
                <w:rFonts w:hint="default" w:ascii="Times New Roman" w:hAnsi="Times New Roman" w:eastAsia="宋体" w:cs="Times New Roman"/>
                <w:snapToGrid w:val="0"/>
                <w:color w:val="auto"/>
                <w:spacing w:val="0"/>
                <w:position w:val="0"/>
                <w:sz w:val="24"/>
                <w:szCs w:val="24"/>
                <w:highlight w:val="none"/>
                <w:lang w:val="en-US" w:eastAsia="zh-CN"/>
              </w:rPr>
              <w:t>为</w:t>
            </w:r>
            <w:r>
              <w:rPr>
                <w:rFonts w:hint="eastAsia" w:cs="Times New Roman"/>
                <w:snapToGrid w:val="0"/>
                <w:color w:val="auto"/>
                <w:spacing w:val="0"/>
                <w:position w:val="0"/>
                <w:sz w:val="24"/>
                <w:szCs w:val="24"/>
                <w:highlight w:val="none"/>
                <w:lang w:val="en-US" w:eastAsia="zh-CN"/>
              </w:rPr>
              <w:t>24</w:t>
            </w:r>
            <w:r>
              <w:rPr>
                <w:rFonts w:hint="eastAsia" w:ascii="Times New Roman" w:hAnsi="Times New Roman" w:eastAsia="宋体" w:cs="Times New Roman"/>
                <w:snapToGrid w:val="0"/>
                <w:color w:val="auto"/>
                <w:spacing w:val="0"/>
                <w:position w:val="0"/>
                <w:sz w:val="24"/>
                <w:szCs w:val="24"/>
                <w:highlight w:val="none"/>
                <w:lang w:val="en-US" w:eastAsia="zh-CN"/>
              </w:rPr>
              <w:t>0</w:t>
            </w:r>
            <w:r>
              <w:rPr>
                <w:rFonts w:hint="eastAsia" w:cs="Times New Roman"/>
                <w:snapToGrid w:val="0"/>
                <w:color w:val="auto"/>
                <w:spacing w:val="0"/>
                <w:position w:val="0"/>
                <w:sz w:val="24"/>
                <w:szCs w:val="24"/>
                <w:highlight w:val="none"/>
                <w:lang w:val="en-US" w:eastAsia="zh-CN"/>
              </w:rPr>
              <w:t>t</w:t>
            </w:r>
            <w:r>
              <w:rPr>
                <w:rFonts w:hint="default" w:ascii="Times New Roman" w:hAnsi="Times New Roman" w:eastAsia="宋体" w:cs="Times New Roman"/>
                <w:snapToGrid w:val="0"/>
                <w:color w:val="auto"/>
                <w:spacing w:val="0"/>
                <w:position w:val="0"/>
                <w:sz w:val="24"/>
                <w:szCs w:val="24"/>
                <w:highlight w:val="none"/>
                <w:lang w:val="en-US" w:eastAsia="zh-CN"/>
              </w:rPr>
              <w:t>/a</w:t>
            </w:r>
            <w:r>
              <w:rPr>
                <w:rFonts w:hint="default" w:ascii="Times New Roman" w:hAnsi="Times New Roman" w:eastAsia="宋体" w:cs="Times New Roman"/>
                <w:snapToGrid w:val="0"/>
                <w:color w:val="auto"/>
                <w:spacing w:val="0"/>
                <w:position w:val="0"/>
                <w:sz w:val="24"/>
                <w:szCs w:val="24"/>
                <w:highlight w:val="none"/>
              </w:rPr>
              <w:t>。</w:t>
            </w:r>
            <w:r>
              <w:rPr>
                <w:rFonts w:hint="eastAsia" w:ascii="Times New Roman" w:hAnsi="Times New Roman" w:eastAsia="宋体" w:cs="Times New Roman"/>
                <w:color w:val="auto"/>
                <w:spacing w:val="0"/>
                <w:position w:val="0"/>
                <w:sz w:val="24"/>
                <w:szCs w:val="24"/>
                <w:highlight w:val="none"/>
                <w:lang w:val="en-US" w:eastAsia="zh-CN"/>
              </w:rPr>
              <w:t>项目</w:t>
            </w:r>
            <w:r>
              <w:rPr>
                <w:rFonts w:hint="eastAsia" w:cs="Times New Roman"/>
                <w:color w:val="auto"/>
                <w:spacing w:val="0"/>
                <w:position w:val="0"/>
                <w:sz w:val="24"/>
                <w:szCs w:val="24"/>
                <w:highlight w:val="none"/>
                <w:lang w:val="en-US" w:eastAsia="zh-CN"/>
              </w:rPr>
              <w:t>水帘气旋废水经</w:t>
            </w:r>
            <w:r>
              <w:rPr>
                <w:rFonts w:hint="eastAsia" w:ascii="Times New Roman" w:hAnsi="Times New Roman" w:eastAsia="宋体" w:cs="Times New Roman"/>
                <w:color w:val="auto"/>
                <w:spacing w:val="0"/>
                <w:position w:val="0"/>
                <w:sz w:val="24"/>
                <w:szCs w:val="24"/>
                <w:highlight w:val="none"/>
                <w:lang w:val="en-US" w:eastAsia="zh-CN"/>
              </w:rPr>
              <w:t>处理设施，</w:t>
            </w:r>
            <w:r>
              <w:rPr>
                <w:rFonts w:hint="default" w:ascii="Times New Roman" w:hAnsi="Times New Roman" w:eastAsia="宋体" w:cs="Times New Roman"/>
                <w:color w:val="auto"/>
                <w:spacing w:val="0"/>
                <w:position w:val="0"/>
                <w:sz w:val="24"/>
                <w:szCs w:val="24"/>
                <w:highlight w:val="none"/>
                <w:lang w:val="en-US" w:eastAsia="zh-CN"/>
              </w:rPr>
              <w:t>处理后</w:t>
            </w:r>
            <w:r>
              <w:rPr>
                <w:rFonts w:hint="eastAsia" w:ascii="Times New Roman" w:hAnsi="Times New Roman" w:eastAsia="宋体" w:cs="Times New Roman"/>
                <w:color w:val="auto"/>
                <w:spacing w:val="0"/>
                <w:position w:val="0"/>
                <w:sz w:val="24"/>
                <w:szCs w:val="24"/>
                <w:highlight w:val="none"/>
                <w:lang w:val="en-US" w:eastAsia="zh-CN"/>
              </w:rPr>
              <w:t>循环</w:t>
            </w:r>
            <w:r>
              <w:rPr>
                <w:rFonts w:hint="eastAsia" w:cs="Times New Roman"/>
                <w:color w:val="auto"/>
                <w:spacing w:val="0"/>
                <w:position w:val="0"/>
                <w:sz w:val="24"/>
                <w:szCs w:val="24"/>
                <w:highlight w:val="none"/>
                <w:lang w:val="en-US" w:eastAsia="zh-CN"/>
              </w:rPr>
              <w:t>使用</w:t>
            </w:r>
            <w:r>
              <w:rPr>
                <w:rFonts w:hint="eastAsia" w:ascii="Times New Roman" w:hAnsi="Times New Roman" w:eastAsia="宋体" w:cs="Times New Roman"/>
                <w:color w:val="auto"/>
                <w:spacing w:val="0"/>
                <w:position w:val="0"/>
                <w:sz w:val="24"/>
                <w:szCs w:val="24"/>
                <w:highlight w:val="none"/>
                <w:lang w:val="en-US" w:eastAsia="zh-CN"/>
              </w:rPr>
              <w:t>，不外排</w:t>
            </w:r>
            <w:bookmarkStart w:id="30" w:name="_Toc27749"/>
            <w:bookmarkStart w:id="31" w:name="_Toc12805"/>
            <w:r>
              <w:rPr>
                <w:rFonts w:hint="eastAsia" w:cs="Times New Roman"/>
                <w:color w:val="auto"/>
                <w:spacing w:val="0"/>
                <w:position w:val="0"/>
                <w:sz w:val="24"/>
                <w:szCs w:val="24"/>
                <w:highlight w:val="none"/>
                <w:lang w:val="en-US" w:eastAsia="zh-CN"/>
              </w:rPr>
              <w:t>，一年更换一次</w:t>
            </w:r>
            <w:r>
              <w:rPr>
                <w:rFonts w:hint="eastAsia" w:ascii="Times New Roman" w:hAnsi="Times New Roman" w:eastAsia="宋体" w:cs="Times New Roman"/>
                <w:color w:val="auto"/>
                <w:spacing w:val="0"/>
                <w:position w:val="0"/>
                <w:sz w:val="24"/>
                <w:szCs w:val="24"/>
                <w:highlight w:val="none"/>
                <w:lang w:val="en-US" w:eastAsia="zh-CN"/>
              </w:rPr>
              <w:t>当作危废</w:t>
            </w:r>
            <w:r>
              <w:rPr>
                <w:rFonts w:hint="eastAsia" w:cs="Times New Roman"/>
                <w:color w:val="auto"/>
                <w:spacing w:val="0"/>
                <w:position w:val="0"/>
                <w:sz w:val="24"/>
                <w:szCs w:val="24"/>
                <w:highlight w:val="none"/>
                <w:lang w:val="en-US" w:eastAsia="zh-CN"/>
              </w:rPr>
              <w:t>（5.292</w:t>
            </w:r>
            <w:r>
              <w:rPr>
                <w:rFonts w:hint="eastAsia" w:cs="Times New Roman"/>
                <w:snapToGrid w:val="0"/>
                <w:color w:val="auto"/>
                <w:spacing w:val="0"/>
                <w:position w:val="0"/>
                <w:sz w:val="24"/>
                <w:szCs w:val="24"/>
                <w:highlight w:val="none"/>
                <w:lang w:val="en-US" w:eastAsia="zh-CN"/>
              </w:rPr>
              <w:t>t</w:t>
            </w:r>
            <w:r>
              <w:rPr>
                <w:rFonts w:hint="default" w:ascii="Times New Roman" w:hAnsi="Times New Roman" w:eastAsia="宋体" w:cs="Times New Roman"/>
                <w:snapToGrid w:val="0"/>
                <w:color w:val="auto"/>
                <w:spacing w:val="0"/>
                <w:position w:val="0"/>
                <w:sz w:val="24"/>
                <w:szCs w:val="24"/>
                <w:highlight w:val="none"/>
                <w:lang w:val="en-US" w:eastAsia="zh-CN"/>
              </w:rPr>
              <w:t>/a</w:t>
            </w:r>
            <w:r>
              <w:rPr>
                <w:rFonts w:hint="eastAsia" w:cs="Times New Roman"/>
                <w:snapToGrid w:val="0"/>
                <w:color w:val="auto"/>
                <w:spacing w:val="0"/>
                <w:position w:val="0"/>
                <w:sz w:val="24"/>
                <w:szCs w:val="24"/>
                <w:highlight w:val="none"/>
                <w:lang w:val="en-US" w:eastAsia="zh-CN"/>
              </w:rPr>
              <w:t>），</w:t>
            </w:r>
            <w:r>
              <w:rPr>
                <w:rFonts w:hint="eastAsia" w:cs="Times New Roman"/>
                <w:b w:val="0"/>
                <w:bCs/>
                <w:color w:val="auto"/>
                <w:spacing w:val="0"/>
                <w:position w:val="0"/>
                <w:sz w:val="24"/>
                <w:szCs w:val="24"/>
                <w:highlight w:val="none"/>
                <w:lang w:val="en-US" w:eastAsia="zh-CN"/>
              </w:rPr>
              <w:t>定期委托有资质单位进行处理；喷枪清洗废水（</w:t>
            </w:r>
            <w:r>
              <w:rPr>
                <w:rFonts w:hint="eastAsia" w:ascii="Times New Roman" w:hAnsi="Times New Roman"/>
                <w:color w:val="auto"/>
                <w:sz w:val="24"/>
                <w:szCs w:val="24"/>
                <w:highlight w:val="none"/>
              </w:rPr>
              <w:t>0.</w:t>
            </w:r>
            <w:r>
              <w:rPr>
                <w:rFonts w:hint="eastAsia"/>
                <w:color w:val="auto"/>
                <w:sz w:val="24"/>
                <w:szCs w:val="24"/>
                <w:highlight w:val="none"/>
                <w:lang w:val="en-US" w:eastAsia="zh-CN"/>
              </w:rPr>
              <w:t>4</w:t>
            </w:r>
            <w:r>
              <w:rPr>
                <w:rFonts w:hint="eastAsia" w:ascii="Times New Roman" w:hAnsi="Times New Roman"/>
                <w:color w:val="auto"/>
                <w:sz w:val="24"/>
                <w:szCs w:val="24"/>
                <w:highlight w:val="none"/>
                <w:lang w:val="en-US" w:eastAsia="zh-CN"/>
              </w:rPr>
              <w:t>5</w:t>
            </w:r>
            <w:r>
              <w:rPr>
                <w:rFonts w:hint="eastAsia" w:ascii="Times New Roman" w:hAnsi="Times New Roman"/>
                <w:color w:val="auto"/>
                <w:sz w:val="24"/>
                <w:szCs w:val="24"/>
                <w:highlight w:val="none"/>
              </w:rPr>
              <w:t>t/a</w:t>
            </w:r>
            <w:r>
              <w:rPr>
                <w:rFonts w:hint="eastAsia" w:cs="Times New Roman"/>
                <w:b w:val="0"/>
                <w:bCs/>
                <w:color w:val="auto"/>
                <w:spacing w:val="0"/>
                <w:position w:val="0"/>
                <w:sz w:val="24"/>
                <w:szCs w:val="24"/>
                <w:highlight w:val="none"/>
                <w:lang w:val="en-US" w:eastAsia="zh-CN"/>
              </w:rPr>
              <w:t>）</w:t>
            </w:r>
            <w:r>
              <w:rPr>
                <w:rFonts w:hint="eastAsia" w:ascii="Times New Roman" w:hAnsi="Times New Roman" w:eastAsia="宋体" w:cs="Times New Roman"/>
                <w:color w:val="auto"/>
                <w:spacing w:val="0"/>
                <w:position w:val="0"/>
                <w:sz w:val="24"/>
                <w:szCs w:val="24"/>
                <w:highlight w:val="none"/>
                <w:lang w:val="en-US" w:eastAsia="zh-CN"/>
              </w:rPr>
              <w:t>当作危废</w:t>
            </w:r>
            <w:r>
              <w:rPr>
                <w:rFonts w:hint="eastAsia" w:cs="Times New Roman"/>
                <w:color w:val="auto"/>
                <w:spacing w:val="0"/>
                <w:position w:val="0"/>
                <w:sz w:val="24"/>
                <w:szCs w:val="24"/>
                <w:highlight w:val="none"/>
                <w:lang w:val="en-US" w:eastAsia="zh-CN"/>
              </w:rPr>
              <w:t>，</w:t>
            </w:r>
            <w:r>
              <w:rPr>
                <w:rFonts w:hint="eastAsia" w:cs="Times New Roman"/>
                <w:b w:val="0"/>
                <w:bCs/>
                <w:color w:val="auto"/>
                <w:spacing w:val="0"/>
                <w:position w:val="0"/>
                <w:sz w:val="24"/>
                <w:szCs w:val="24"/>
                <w:highlight w:val="none"/>
                <w:lang w:val="en-US" w:eastAsia="zh-CN"/>
              </w:rPr>
              <w:t>不外排</w:t>
            </w:r>
            <w:r>
              <w:rPr>
                <w:rFonts w:hint="eastAsia" w:ascii="Times New Roman" w:hAnsi="Times New Roman" w:eastAsia="宋体" w:cs="Times New Roman"/>
                <w:color w:val="auto"/>
                <w:spacing w:val="0"/>
                <w:sz w:val="24"/>
                <w:szCs w:val="24"/>
                <w:highlight w:val="none"/>
                <w:lang w:val="en-US" w:eastAsia="zh-CN"/>
              </w:rPr>
              <w:t>。</w:t>
            </w:r>
          </w:p>
          <w:p w14:paraId="0E2659C6">
            <w:pPr>
              <w:pStyle w:val="17"/>
              <w:spacing w:line="360" w:lineRule="auto"/>
              <w:jc w:val="left"/>
              <w:rPr>
                <w:rFonts w:hint="eastAsia" w:ascii="Times New Roman" w:hAnsi="Times New Roman" w:eastAsia="宋体" w:cs="Times New Roman"/>
                <w:b/>
                <w:bCs/>
                <w:color w:val="auto"/>
                <w:spacing w:val="0"/>
                <w:position w:val="0"/>
                <w:sz w:val="24"/>
                <w:szCs w:val="24"/>
                <w:highlight w:val="none"/>
                <w:lang w:eastAsia="zh-CN"/>
              </w:rPr>
            </w:pPr>
          </w:p>
          <w:p w14:paraId="0A5EE4BE">
            <w:pPr>
              <w:pStyle w:val="17"/>
              <w:spacing w:line="360" w:lineRule="auto"/>
              <w:jc w:val="left"/>
              <w:rPr>
                <w:rFonts w:hint="eastAsia" w:ascii="Times New Roman" w:hAnsi="Times New Roman" w:eastAsia="宋体" w:cs="Times New Roman"/>
                <w:b/>
                <w:bCs/>
                <w:color w:val="auto"/>
                <w:spacing w:val="0"/>
                <w:position w:val="0"/>
                <w:sz w:val="24"/>
                <w:szCs w:val="24"/>
                <w:highlight w:val="none"/>
                <w:lang w:eastAsia="zh-CN"/>
              </w:rPr>
            </w:pPr>
          </w:p>
          <w:p w14:paraId="27073FAC">
            <w:pPr>
              <w:pStyle w:val="17"/>
              <w:spacing w:line="360" w:lineRule="auto"/>
              <w:jc w:val="left"/>
              <w:rPr>
                <w:rFonts w:hint="eastAsia" w:ascii="Times New Roman" w:hAnsi="Times New Roman" w:eastAsia="宋体" w:cs="Times New Roman"/>
                <w:b/>
                <w:bCs/>
                <w:color w:val="auto"/>
                <w:spacing w:val="0"/>
                <w:position w:val="0"/>
                <w:sz w:val="24"/>
                <w:szCs w:val="24"/>
                <w:highlight w:val="none"/>
                <w:lang w:eastAsia="zh-CN"/>
              </w:rPr>
            </w:pPr>
          </w:p>
          <w:p w14:paraId="17DB80DD">
            <w:pPr>
              <w:pStyle w:val="17"/>
              <w:spacing w:line="360" w:lineRule="auto"/>
              <w:jc w:val="left"/>
              <w:rPr>
                <w:rFonts w:hint="eastAsia" w:ascii="Times New Roman" w:hAnsi="Times New Roman" w:eastAsia="宋体" w:cs="Times New Roman"/>
                <w:b/>
                <w:bCs/>
                <w:color w:val="auto"/>
                <w:spacing w:val="0"/>
                <w:position w:val="0"/>
                <w:sz w:val="24"/>
                <w:szCs w:val="24"/>
                <w:highlight w:val="none"/>
                <w:lang w:eastAsia="zh-CN"/>
              </w:rPr>
            </w:pPr>
          </w:p>
          <w:p w14:paraId="04D1DC3A">
            <w:pPr>
              <w:pStyle w:val="17"/>
              <w:spacing w:line="360" w:lineRule="auto"/>
              <w:jc w:val="left"/>
              <w:rPr>
                <w:rFonts w:hint="eastAsia" w:ascii="Times New Roman" w:hAnsi="Times New Roman" w:eastAsia="宋体" w:cs="Times New Roman"/>
                <w:b/>
                <w:bCs/>
                <w:color w:val="auto"/>
                <w:spacing w:val="0"/>
                <w:position w:val="0"/>
                <w:sz w:val="24"/>
                <w:szCs w:val="24"/>
                <w:highlight w:val="none"/>
                <w:lang w:eastAsia="zh-CN"/>
              </w:rPr>
            </w:pPr>
          </w:p>
          <w:p w14:paraId="5ED1C3DA">
            <w:pPr>
              <w:pStyle w:val="17"/>
              <w:spacing w:line="360" w:lineRule="auto"/>
              <w:jc w:val="left"/>
              <w:rPr>
                <w:rFonts w:hint="eastAsia" w:ascii="Times New Roman" w:hAnsi="Times New Roman" w:eastAsia="宋体" w:cs="Times New Roman"/>
                <w:b/>
                <w:bCs/>
                <w:color w:val="auto"/>
                <w:spacing w:val="0"/>
                <w:position w:val="0"/>
                <w:sz w:val="24"/>
                <w:szCs w:val="24"/>
                <w:highlight w:val="none"/>
                <w:lang w:eastAsia="zh-CN"/>
              </w:rPr>
            </w:pP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374650</wp:posOffset>
                      </wp:positionH>
                      <wp:positionV relativeFrom="paragraph">
                        <wp:posOffset>2073910</wp:posOffset>
                      </wp:positionV>
                      <wp:extent cx="421640" cy="240030"/>
                      <wp:effectExtent l="0" t="0" r="0" b="0"/>
                      <wp:wrapNone/>
                      <wp:docPr id="73" name="文本框 73"/>
                      <wp:cNvGraphicFramePr/>
                      <a:graphic xmlns:a="http://schemas.openxmlformats.org/drawingml/2006/main">
                        <a:graphicData uri="http://schemas.microsoft.com/office/word/2010/wordprocessingShape">
                          <wps:wsp>
                            <wps:cNvSpPr txBox="1"/>
                            <wps:spPr>
                              <a:xfrm>
                                <a:off x="2143760" y="6690995"/>
                                <a:ext cx="421640" cy="240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87DC6">
                                  <w:pPr>
                                    <w:rPr>
                                      <w:rFonts w:hint="default" w:eastAsia="宋体"/>
                                      <w:lang w:val="en-US" w:eastAsia="zh-CN"/>
                                    </w:rPr>
                                  </w:pPr>
                                  <w:r>
                                    <w:rPr>
                                      <w:rFonts w:hint="eastAsia"/>
                                      <w:lang w:val="en-US" w:eastAsia="zh-CN"/>
                                    </w:rPr>
                                    <w:t>300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pt;margin-top:163.3pt;height:18.9pt;width:33.2pt;z-index:251663360;mso-width-relative:page;mso-height-relative:page;" filled="f" stroked="f" coordsize="21600,21600" o:gfxdata="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wnVZtsAAAAKAQAADwAAAAAA&#10;AAABACAAAAAiAAAAZHJzL2Rvd25yZXYueG1sUEsBAhQAFAAAAAgAh07iQILN1axJAgAAcwQAAA4A&#10;AAAAAAAAAQAgAAAAKgEAAGRycy9lMm9Eb2MueG1sUEsFBgAAAAAGAAYAWQEAAOUFAAAAAA==&#10;">
                      <v:fill on="f" focussize="0,0"/>
                      <v:stroke on="f" weight="0.5pt"/>
                      <v:imagedata o:title=""/>
                      <o:lock v:ext="edit" aspectratio="f"/>
                      <v:textbox>
                        <w:txbxContent>
                          <w:p w14:paraId="69287DC6">
                            <w:pPr>
                              <w:rPr>
                                <w:rFonts w:hint="default" w:eastAsia="宋体"/>
                                <w:lang w:val="en-US" w:eastAsia="zh-CN"/>
                              </w:rPr>
                            </w:pPr>
                            <w:r>
                              <w:rPr>
                                <w:rFonts w:hint="eastAsia"/>
                                <w:lang w:val="en-US" w:eastAsia="zh-CN"/>
                              </w:rPr>
                              <w:t>300</w:t>
                            </w:r>
                          </w:p>
                        </w:txbxContent>
                      </v:textbox>
                    </v:shape>
                  </w:pict>
                </mc:Fallback>
              </mc:AlternateContent>
            </w:r>
          </w:p>
          <w:p w14:paraId="13151ADF">
            <w:pPr>
              <w:pStyle w:val="17"/>
              <w:spacing w:line="360" w:lineRule="auto"/>
              <w:jc w:val="center"/>
              <w:rPr>
                <w:rFonts w:hint="eastAsia"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b/>
                <w:bCs/>
                <w:color w:val="auto"/>
                <w:spacing w:val="0"/>
                <w:position w:val="0"/>
                <w:sz w:val="24"/>
                <w:szCs w:val="24"/>
                <w:highlight w:val="none"/>
              </w:rPr>
              <w:t>图2</w:t>
            </w:r>
            <w:r>
              <w:rPr>
                <w:rFonts w:ascii="Times New Roman" w:hAnsi="Times New Roman" w:eastAsia="宋体" w:cs="Times New Roman"/>
                <w:b/>
                <w:bCs/>
                <w:color w:val="auto"/>
                <w:spacing w:val="0"/>
                <w:position w:val="0"/>
                <w:sz w:val="24"/>
                <w:szCs w:val="24"/>
                <w:highlight w:val="none"/>
              </w:rPr>
              <w:t xml:space="preserve">-1 </w:t>
            </w:r>
            <w:r>
              <w:rPr>
                <w:rFonts w:hint="eastAsia" w:ascii="Times New Roman" w:hAnsi="Times New Roman" w:eastAsia="宋体" w:cs="Times New Roman"/>
                <w:b/>
                <w:bCs/>
                <w:color w:val="auto"/>
                <w:spacing w:val="0"/>
                <w:position w:val="0"/>
                <w:sz w:val="24"/>
                <w:szCs w:val="24"/>
                <w:highlight w:val="none"/>
              </w:rPr>
              <w:t>项目水平衡图（t</w:t>
            </w:r>
            <w:r>
              <w:rPr>
                <w:rFonts w:ascii="Times New Roman" w:hAnsi="Times New Roman" w:eastAsia="宋体" w:cs="Times New Roman"/>
                <w:b/>
                <w:bCs/>
                <w:color w:val="auto"/>
                <w:spacing w:val="0"/>
                <w:position w:val="0"/>
                <w:sz w:val="24"/>
                <w:szCs w:val="24"/>
                <w:highlight w:val="none"/>
              </w:rPr>
              <w:t>/</w:t>
            </w:r>
            <w:r>
              <w:rPr>
                <w:rFonts w:hint="eastAsia" w:ascii="Times New Roman" w:hAnsi="Times New Roman" w:cs="Times New Roman"/>
                <w:b/>
                <w:bCs/>
                <w:color w:val="auto"/>
                <w:spacing w:val="0"/>
                <w:position w:val="0"/>
                <w:sz w:val="24"/>
                <w:szCs w:val="24"/>
                <w:highlight w:val="none"/>
                <w:lang w:val="en-US" w:eastAsia="zh-CN"/>
              </w:rPr>
              <w:t>a</w:t>
            </w:r>
            <w:r>
              <w:rPr>
                <w:rFonts w:hint="eastAsia" w:ascii="Times New Roman" w:hAnsi="Times New Roman" w:eastAsia="宋体" w:cs="Times New Roman"/>
                <w:b/>
                <w:bCs/>
                <w:color w:val="auto"/>
                <w:spacing w:val="0"/>
                <w:position w:val="0"/>
                <w:sz w:val="24"/>
                <w:szCs w:val="24"/>
                <w:highlight w:val="none"/>
              </w:rPr>
              <w:t>）</w:t>
            </w:r>
          </w:p>
          <w:p w14:paraId="7864FA19">
            <w:pPr>
              <w:pStyle w:val="17"/>
              <w:spacing w:line="360" w:lineRule="auto"/>
              <w:rPr>
                <w:rFonts w:hint="eastAsia" w:ascii="Times New Roman" w:hAnsi="Times New Roman" w:eastAsia="宋体" w:cs="Times New Roman"/>
                <w:b/>
                <w:bCs/>
                <w:color w:val="auto"/>
                <w:spacing w:val="0"/>
                <w:position w:val="0"/>
                <w:highlight w:val="none"/>
              </w:rPr>
            </w:pPr>
            <w:r>
              <w:rPr>
                <w:rFonts w:hint="eastAsia" w:ascii="Times New Roman" w:hAnsi="Times New Roman" w:cs="Times New Roman"/>
                <w:b/>
                <w:bCs/>
                <w:color w:val="auto"/>
                <w:spacing w:val="0"/>
                <w:position w:val="0"/>
                <w:sz w:val="24"/>
                <w:szCs w:val="24"/>
                <w:highlight w:val="none"/>
                <w:lang w:val="en-US" w:eastAsia="zh-CN"/>
              </w:rPr>
              <w:t>2</w:t>
            </w:r>
            <w:r>
              <w:rPr>
                <w:rFonts w:hint="eastAsia" w:ascii="Times New Roman" w:hAnsi="Times New Roman" w:eastAsia="宋体" w:cs="Times New Roman"/>
                <w:b/>
                <w:bCs/>
                <w:color w:val="auto"/>
                <w:spacing w:val="0"/>
                <w:position w:val="0"/>
                <w:sz w:val="24"/>
                <w:szCs w:val="24"/>
                <w:highlight w:val="none"/>
              </w:rPr>
              <w:t>.7.2项目物料平衡</w:t>
            </w:r>
          </w:p>
          <w:p w14:paraId="6F8D6C66">
            <w:pPr>
              <w:pStyle w:val="72"/>
              <w:keepNext w:val="0"/>
              <w:keepLines w:val="0"/>
              <w:pageBreakBefore w:val="0"/>
              <w:widowControl/>
              <w:tabs>
                <w:tab w:val="left" w:pos="4507"/>
              </w:tabs>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spacing w:val="0"/>
                <w:position w:val="0"/>
                <w:sz w:val="24"/>
                <w:szCs w:val="24"/>
                <w:highlight w:val="none"/>
                <w:lang w:val="en-US" w:eastAsia="zh-CN"/>
              </w:rPr>
            </w:pPr>
            <w:r>
              <w:rPr>
                <w:rFonts w:hint="eastAsia" w:ascii="Times New Roman" w:hAnsi="Times New Roman" w:eastAsia="宋体" w:cs="Times New Roman"/>
                <w:b w:val="0"/>
                <w:bCs w:val="0"/>
                <w:color w:val="auto"/>
                <w:spacing w:val="0"/>
                <w:position w:val="0"/>
                <w:sz w:val="24"/>
                <w:szCs w:val="24"/>
                <w:highlight w:val="none"/>
                <w:lang w:val="en-US" w:eastAsia="zh-CN"/>
              </w:rPr>
              <w:t>项目</w:t>
            </w:r>
            <w:r>
              <w:rPr>
                <w:rFonts w:hint="eastAsia" w:cs="Times New Roman"/>
                <w:b w:val="0"/>
                <w:bCs w:val="0"/>
                <w:color w:val="auto"/>
                <w:spacing w:val="0"/>
                <w:position w:val="0"/>
                <w:sz w:val="24"/>
                <w:szCs w:val="24"/>
                <w:highlight w:val="none"/>
                <w:lang w:val="en-US" w:eastAsia="zh-CN"/>
              </w:rPr>
              <w:t>有机废气</w:t>
            </w:r>
            <w:r>
              <w:rPr>
                <w:rFonts w:hint="eastAsia" w:ascii="Times New Roman" w:hAnsi="Times New Roman" w:eastAsia="宋体" w:cs="Times New Roman"/>
                <w:b w:val="0"/>
                <w:bCs w:val="0"/>
                <w:color w:val="auto"/>
                <w:spacing w:val="0"/>
                <w:position w:val="0"/>
                <w:sz w:val="24"/>
                <w:szCs w:val="24"/>
                <w:highlight w:val="none"/>
                <w:lang w:val="en-US" w:eastAsia="zh-CN"/>
              </w:rPr>
              <w:t>物料平衡见下表：</w:t>
            </w:r>
          </w:p>
          <w:p w14:paraId="5DA87348">
            <w:pPr>
              <w:pStyle w:val="65"/>
              <w:widowControl w:val="0"/>
              <w:adjustRightInd w:val="0"/>
              <w:snapToGrid w:val="0"/>
              <w:spacing w:before="0" w:beforeLines="0" w:after="0" w:afterLines="0" w:line="240" w:lineRule="auto"/>
              <w:ind w:firstLine="482"/>
              <w:jc w:val="center"/>
              <w:rPr>
                <w:rFonts w:hint="eastAsia" w:ascii="Times New Roman" w:hAnsi="Times New Roman"/>
                <w:b/>
                <w:bCs/>
                <w:color w:val="auto"/>
                <w:sz w:val="24"/>
                <w:szCs w:val="24"/>
                <w:highlight w:val="none"/>
              </w:rPr>
            </w:pPr>
            <w:r>
              <w:rPr>
                <w:rFonts w:hint="default" w:ascii="Times New Roman" w:hAnsi="Times New Roman" w:eastAsia="宋体" w:cs="Times New Roman"/>
                <w:b/>
                <w:bCs/>
                <w:color w:val="auto"/>
                <w:spacing w:val="0"/>
                <w:position w:val="0"/>
                <w:sz w:val="24"/>
                <w:szCs w:val="24"/>
                <w:highlight w:val="none"/>
                <w:lang w:val="en-US" w:eastAsia="zh-CN"/>
              </w:rPr>
              <w:t>表</w:t>
            </w:r>
            <w:r>
              <w:rPr>
                <w:rFonts w:hint="eastAsia" w:ascii="Times New Roman" w:hAnsi="Times New Roman" w:eastAsia="宋体" w:cs="Times New Roman"/>
                <w:b/>
                <w:bCs/>
                <w:color w:val="auto"/>
                <w:spacing w:val="0"/>
                <w:position w:val="0"/>
                <w:sz w:val="24"/>
                <w:szCs w:val="24"/>
                <w:highlight w:val="none"/>
                <w:lang w:val="en-US" w:eastAsia="zh-CN"/>
              </w:rPr>
              <w:t>2.7-1</w:t>
            </w:r>
            <w:r>
              <w:rPr>
                <w:rFonts w:hint="default" w:ascii="Times New Roman" w:hAnsi="Times New Roman" w:eastAsia="宋体" w:cs="Times New Roman"/>
                <w:b/>
                <w:bCs/>
                <w:color w:val="auto"/>
                <w:spacing w:val="0"/>
                <w:position w:val="0"/>
                <w:highlight w:val="none"/>
                <w:lang w:val="en-US" w:eastAsia="zh-CN"/>
              </w:rPr>
              <w:t xml:space="preserve"> </w:t>
            </w:r>
            <w:bookmarkEnd w:id="30"/>
            <w:bookmarkEnd w:id="31"/>
            <w:r>
              <w:rPr>
                <w:rFonts w:hint="eastAsia" w:cs="Times New Roman"/>
                <w:b/>
                <w:bCs/>
                <w:color w:val="auto"/>
                <w:spacing w:val="0"/>
                <w:position w:val="0"/>
                <w:sz w:val="24"/>
                <w:szCs w:val="24"/>
                <w:highlight w:val="none"/>
                <w:lang w:val="en-US" w:eastAsia="zh-CN"/>
              </w:rPr>
              <w:t>有</w:t>
            </w:r>
            <w:r>
              <w:rPr>
                <w:rFonts w:hint="eastAsia" w:ascii="Times New Roman" w:hAnsi="Times New Roman"/>
                <w:b/>
                <w:bCs/>
                <w:color w:val="auto"/>
                <w:sz w:val="24"/>
                <w:szCs w:val="24"/>
                <w:highlight w:val="none"/>
              </w:rPr>
              <w:t>机废气平衡表</w:t>
            </w:r>
          </w:p>
          <w:tbl>
            <w:tblPr>
              <w:tblStyle w:val="29"/>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9"/>
              <w:gridCol w:w="901"/>
              <w:gridCol w:w="795"/>
              <w:gridCol w:w="765"/>
              <w:gridCol w:w="1110"/>
              <w:gridCol w:w="817"/>
              <w:gridCol w:w="1388"/>
              <w:gridCol w:w="1005"/>
              <w:gridCol w:w="1030"/>
            </w:tblGrid>
            <w:tr w14:paraId="00DD8A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restart"/>
                  <w:tcBorders>
                    <w:tl2br w:val="nil"/>
                    <w:tr2bl w:val="nil"/>
                  </w:tcBorders>
                  <w:noWrap w:val="0"/>
                  <w:vAlign w:val="center"/>
                </w:tcPr>
                <w:p w14:paraId="22B78CE0">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r>
                    <w:rPr>
                      <w:rFonts w:hint="eastAsia" w:ascii="Times New Roman" w:hAnsi="Times New Roman"/>
                      <w:b/>
                      <w:bCs w:val="0"/>
                      <w:color w:val="auto"/>
                      <w:sz w:val="21"/>
                      <w:szCs w:val="21"/>
                      <w:highlight w:val="none"/>
                    </w:rPr>
                    <w:t>投入</w:t>
                  </w:r>
                </w:p>
              </w:tc>
              <w:tc>
                <w:tcPr>
                  <w:tcW w:w="901" w:type="dxa"/>
                  <w:tcBorders>
                    <w:tl2br w:val="nil"/>
                    <w:tr2bl w:val="nil"/>
                  </w:tcBorders>
                  <w:noWrap w:val="0"/>
                  <w:vAlign w:val="center"/>
                </w:tcPr>
                <w:p w14:paraId="50069557">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bCs w:val="0"/>
                      <w:color w:val="auto"/>
                      <w:sz w:val="21"/>
                      <w:szCs w:val="21"/>
                      <w:highlight w:val="none"/>
                    </w:rPr>
                  </w:pPr>
                  <w:r>
                    <w:rPr>
                      <w:rFonts w:hint="eastAsia" w:ascii="Times New Roman" w:hAnsi="Times New Roman"/>
                      <w:b/>
                      <w:bCs w:val="0"/>
                      <w:color w:val="auto"/>
                      <w:sz w:val="21"/>
                      <w:szCs w:val="21"/>
                      <w:highlight w:val="none"/>
                    </w:rPr>
                    <w:t>物料</w:t>
                  </w:r>
                </w:p>
                <w:p w14:paraId="17A16E8C">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ascii="Times New Roman" w:hAnsi="Times New Roman"/>
                      <w:b/>
                      <w:bCs w:val="0"/>
                      <w:color w:val="auto"/>
                      <w:sz w:val="21"/>
                      <w:szCs w:val="21"/>
                      <w:highlight w:val="none"/>
                    </w:rPr>
                  </w:pPr>
                  <w:r>
                    <w:rPr>
                      <w:rFonts w:hint="eastAsia" w:ascii="Times New Roman" w:hAnsi="Times New Roman"/>
                      <w:b/>
                      <w:bCs w:val="0"/>
                      <w:color w:val="auto"/>
                      <w:sz w:val="21"/>
                      <w:szCs w:val="21"/>
                      <w:highlight w:val="none"/>
                    </w:rPr>
                    <w:t>名称</w:t>
                  </w:r>
                </w:p>
              </w:tc>
              <w:tc>
                <w:tcPr>
                  <w:tcW w:w="795" w:type="dxa"/>
                  <w:tcBorders>
                    <w:tl2br w:val="nil"/>
                    <w:tr2bl w:val="nil"/>
                  </w:tcBorders>
                  <w:noWrap w:val="0"/>
                  <w:vAlign w:val="center"/>
                </w:tcPr>
                <w:p w14:paraId="3881A290">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bCs w:val="0"/>
                      <w:color w:val="auto"/>
                      <w:sz w:val="21"/>
                      <w:szCs w:val="21"/>
                      <w:highlight w:val="none"/>
                    </w:rPr>
                  </w:pPr>
                  <w:r>
                    <w:rPr>
                      <w:rFonts w:hint="eastAsia" w:ascii="Times New Roman" w:hAnsi="Times New Roman"/>
                      <w:b/>
                      <w:bCs w:val="0"/>
                      <w:color w:val="auto"/>
                      <w:sz w:val="21"/>
                      <w:szCs w:val="21"/>
                      <w:highlight w:val="none"/>
                    </w:rPr>
                    <w:t>用量</w:t>
                  </w:r>
                  <w:r>
                    <w:rPr>
                      <w:rFonts w:hint="eastAsia"/>
                      <w:b/>
                      <w:bCs/>
                      <w:color w:val="auto"/>
                      <w:sz w:val="21"/>
                      <w:szCs w:val="21"/>
                      <w:highlight w:val="none"/>
                    </w:rPr>
                    <w:t>t/a</w:t>
                  </w:r>
                </w:p>
              </w:tc>
              <w:tc>
                <w:tcPr>
                  <w:tcW w:w="765" w:type="dxa"/>
                  <w:vMerge w:val="restart"/>
                  <w:tcBorders>
                    <w:tl2br w:val="nil"/>
                    <w:tr2bl w:val="nil"/>
                  </w:tcBorders>
                  <w:noWrap w:val="0"/>
                  <w:vAlign w:val="center"/>
                </w:tcPr>
                <w:p w14:paraId="15EFC556">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bCs w:val="0"/>
                      <w:color w:val="auto"/>
                      <w:sz w:val="21"/>
                      <w:szCs w:val="21"/>
                      <w:highlight w:val="none"/>
                    </w:rPr>
                  </w:pPr>
                  <w:r>
                    <w:rPr>
                      <w:rFonts w:hint="eastAsia" w:ascii="Times New Roman" w:hAnsi="Times New Roman"/>
                      <w:b/>
                      <w:bCs w:val="0"/>
                      <w:color w:val="auto"/>
                      <w:sz w:val="21"/>
                      <w:szCs w:val="21"/>
                      <w:highlight w:val="none"/>
                    </w:rPr>
                    <w:t>产出</w:t>
                  </w:r>
                </w:p>
              </w:tc>
              <w:tc>
                <w:tcPr>
                  <w:tcW w:w="1110" w:type="dxa"/>
                  <w:tcBorders>
                    <w:tl2br w:val="nil"/>
                    <w:tr2bl w:val="nil"/>
                  </w:tcBorders>
                  <w:noWrap w:val="0"/>
                  <w:vAlign w:val="center"/>
                </w:tcPr>
                <w:p w14:paraId="040D5A9F">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bCs w:val="0"/>
                      <w:color w:val="auto"/>
                      <w:sz w:val="21"/>
                      <w:szCs w:val="21"/>
                      <w:highlight w:val="none"/>
                    </w:rPr>
                  </w:pPr>
                  <w:r>
                    <w:rPr>
                      <w:rFonts w:hint="eastAsia" w:ascii="Times New Roman" w:hAnsi="Times New Roman"/>
                      <w:b/>
                      <w:bCs w:val="0"/>
                      <w:color w:val="auto"/>
                      <w:sz w:val="21"/>
                      <w:szCs w:val="21"/>
                      <w:highlight w:val="none"/>
                    </w:rPr>
                    <w:t>类别</w:t>
                  </w:r>
                </w:p>
              </w:tc>
              <w:tc>
                <w:tcPr>
                  <w:tcW w:w="817" w:type="dxa"/>
                  <w:tcBorders>
                    <w:tl2br w:val="nil"/>
                    <w:tr2bl w:val="nil"/>
                  </w:tcBorders>
                  <w:noWrap w:val="0"/>
                  <w:vAlign w:val="center"/>
                </w:tcPr>
                <w:p w14:paraId="19F38114">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ascii="Times New Roman" w:hAnsi="Times New Roman"/>
                      <w:b/>
                      <w:bCs w:val="0"/>
                      <w:color w:val="auto"/>
                      <w:sz w:val="21"/>
                      <w:szCs w:val="21"/>
                      <w:highlight w:val="none"/>
                    </w:rPr>
                  </w:pPr>
                  <w:r>
                    <w:rPr>
                      <w:rFonts w:hint="eastAsia" w:ascii="Times New Roman" w:hAnsi="Times New Roman"/>
                      <w:b/>
                      <w:bCs w:val="0"/>
                      <w:color w:val="auto"/>
                      <w:sz w:val="21"/>
                      <w:szCs w:val="21"/>
                      <w:highlight w:val="none"/>
                    </w:rPr>
                    <w:t>总量</w:t>
                  </w:r>
                  <w:r>
                    <w:rPr>
                      <w:rFonts w:hint="eastAsia" w:ascii="Times New Roman" w:hAnsi="Times New Roman"/>
                      <w:b/>
                      <w:bCs/>
                      <w:color w:val="auto"/>
                      <w:sz w:val="21"/>
                      <w:szCs w:val="21"/>
                      <w:highlight w:val="none"/>
                    </w:rPr>
                    <w:t>t/a</w:t>
                  </w:r>
                </w:p>
              </w:tc>
              <w:tc>
                <w:tcPr>
                  <w:tcW w:w="1388" w:type="dxa"/>
                  <w:vMerge w:val="restart"/>
                  <w:tcBorders>
                    <w:tl2br w:val="nil"/>
                    <w:tr2bl w:val="nil"/>
                  </w:tcBorders>
                  <w:noWrap w:val="0"/>
                  <w:vAlign w:val="center"/>
                </w:tcPr>
                <w:p w14:paraId="27A892F3">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ascii="Times New Roman" w:hAnsi="Times New Roman"/>
                      <w:b/>
                      <w:bCs w:val="0"/>
                      <w:color w:val="auto"/>
                      <w:sz w:val="21"/>
                      <w:szCs w:val="21"/>
                      <w:highlight w:val="none"/>
                    </w:rPr>
                  </w:pPr>
                  <w:r>
                    <w:rPr>
                      <w:rFonts w:hint="eastAsia" w:ascii="Times New Roman" w:hAnsi="Times New Roman"/>
                      <w:b/>
                      <w:bCs w:val="0"/>
                      <w:color w:val="auto"/>
                      <w:sz w:val="21"/>
                      <w:szCs w:val="21"/>
                      <w:highlight w:val="none"/>
                    </w:rPr>
                    <w:t>挥发分（</w:t>
                  </w:r>
                  <w:r>
                    <w:rPr>
                      <w:rFonts w:hint="eastAsia"/>
                      <w:b/>
                      <w:bCs w:val="0"/>
                      <w:color w:val="auto"/>
                      <w:sz w:val="21"/>
                      <w:szCs w:val="21"/>
                      <w:highlight w:val="none"/>
                      <w:lang w:val="en-US" w:eastAsia="zh-CN"/>
                    </w:rPr>
                    <w:t>1.554</w:t>
                  </w:r>
                  <w:r>
                    <w:rPr>
                      <w:rFonts w:hint="eastAsia" w:ascii="Times New Roman" w:hAnsi="Times New Roman"/>
                      <w:b/>
                      <w:bCs w:val="0"/>
                      <w:color w:val="auto"/>
                      <w:sz w:val="21"/>
                      <w:szCs w:val="21"/>
                      <w:highlight w:val="none"/>
                    </w:rPr>
                    <w:t>t/a）、固份（</w:t>
                  </w:r>
                  <w:r>
                    <w:rPr>
                      <w:rFonts w:hint="eastAsia"/>
                      <w:b/>
                      <w:bCs w:val="0"/>
                      <w:color w:val="auto"/>
                      <w:sz w:val="21"/>
                      <w:szCs w:val="21"/>
                      <w:highlight w:val="none"/>
                      <w:lang w:val="en-US" w:eastAsia="zh-CN"/>
                    </w:rPr>
                    <w:t>4.746</w:t>
                  </w:r>
                  <w:r>
                    <w:rPr>
                      <w:rFonts w:hint="eastAsia" w:ascii="Times New Roman" w:hAnsi="Times New Roman"/>
                      <w:b/>
                      <w:bCs w:val="0"/>
                      <w:color w:val="auto"/>
                      <w:sz w:val="21"/>
                      <w:szCs w:val="21"/>
                      <w:highlight w:val="none"/>
                    </w:rPr>
                    <w:t>t/a）最终去向</w:t>
                  </w:r>
                </w:p>
              </w:tc>
              <w:tc>
                <w:tcPr>
                  <w:tcW w:w="1005" w:type="dxa"/>
                  <w:tcBorders>
                    <w:tl2br w:val="nil"/>
                    <w:tr2bl w:val="nil"/>
                  </w:tcBorders>
                  <w:noWrap w:val="0"/>
                  <w:vAlign w:val="center"/>
                </w:tcPr>
                <w:p w14:paraId="7CD648F1">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bCs w:val="0"/>
                      <w:color w:val="auto"/>
                      <w:sz w:val="21"/>
                      <w:szCs w:val="21"/>
                      <w:highlight w:val="none"/>
                    </w:rPr>
                  </w:pPr>
                  <w:r>
                    <w:rPr>
                      <w:rFonts w:hint="eastAsia" w:ascii="Times New Roman" w:hAnsi="Times New Roman"/>
                      <w:b/>
                      <w:bCs w:val="0"/>
                      <w:color w:val="auto"/>
                      <w:sz w:val="21"/>
                      <w:szCs w:val="21"/>
                      <w:highlight w:val="none"/>
                    </w:rPr>
                    <w:t>类别</w:t>
                  </w:r>
                </w:p>
              </w:tc>
              <w:tc>
                <w:tcPr>
                  <w:tcW w:w="1030" w:type="dxa"/>
                  <w:tcBorders>
                    <w:tl2br w:val="nil"/>
                    <w:tr2bl w:val="nil"/>
                  </w:tcBorders>
                  <w:noWrap w:val="0"/>
                  <w:vAlign w:val="center"/>
                </w:tcPr>
                <w:p w14:paraId="3CAAF248">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bCs w:val="0"/>
                      <w:color w:val="auto"/>
                      <w:sz w:val="21"/>
                      <w:szCs w:val="21"/>
                      <w:highlight w:val="none"/>
                    </w:rPr>
                  </w:pPr>
                  <w:r>
                    <w:rPr>
                      <w:rFonts w:hint="eastAsia" w:ascii="Times New Roman" w:hAnsi="Times New Roman"/>
                      <w:b/>
                      <w:bCs w:val="0"/>
                      <w:color w:val="auto"/>
                      <w:sz w:val="21"/>
                      <w:szCs w:val="21"/>
                      <w:highlight w:val="none"/>
                    </w:rPr>
                    <w:t>数量</w:t>
                  </w:r>
                  <w:r>
                    <w:rPr>
                      <w:rFonts w:hint="eastAsia"/>
                      <w:b/>
                      <w:bCs/>
                      <w:color w:val="auto"/>
                      <w:sz w:val="21"/>
                      <w:szCs w:val="21"/>
                      <w:highlight w:val="none"/>
                    </w:rPr>
                    <w:t>t/a</w:t>
                  </w:r>
                </w:p>
              </w:tc>
            </w:tr>
            <w:tr w14:paraId="473B2D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noWrap w:val="0"/>
                  <w:vAlign w:val="center"/>
                </w:tcPr>
                <w:p w14:paraId="3C1291CC">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901" w:type="dxa"/>
                  <w:vMerge w:val="restart"/>
                  <w:tcBorders>
                    <w:tl2br w:val="nil"/>
                    <w:tr2bl w:val="nil"/>
                  </w:tcBorders>
                  <w:noWrap w:val="0"/>
                  <w:vAlign w:val="center"/>
                </w:tcPr>
                <w:p w14:paraId="3874AE43">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val="0"/>
                      <w:color w:val="auto"/>
                      <w:sz w:val="21"/>
                      <w:szCs w:val="21"/>
                      <w:highlight w:val="none"/>
                    </w:rPr>
                  </w:pPr>
                  <w:r>
                    <w:rPr>
                      <w:rFonts w:hint="eastAsia" w:ascii="Times New Roman" w:hAnsi="Times New Roman"/>
                      <w:b w:val="0"/>
                      <w:color w:val="auto"/>
                      <w:sz w:val="21"/>
                      <w:szCs w:val="21"/>
                      <w:highlight w:val="none"/>
                      <w:lang w:val="en-US" w:eastAsia="zh-CN"/>
                    </w:rPr>
                    <w:t>油性</w:t>
                  </w:r>
                  <w:r>
                    <w:rPr>
                      <w:rFonts w:hint="eastAsia" w:ascii="Times New Roman" w:hAnsi="Times New Roman"/>
                      <w:b w:val="0"/>
                      <w:color w:val="auto"/>
                      <w:sz w:val="21"/>
                      <w:szCs w:val="21"/>
                      <w:highlight w:val="none"/>
                    </w:rPr>
                    <w:t>漆</w:t>
                  </w:r>
                </w:p>
              </w:tc>
              <w:tc>
                <w:tcPr>
                  <w:tcW w:w="795" w:type="dxa"/>
                  <w:vMerge w:val="restart"/>
                  <w:tcBorders>
                    <w:tl2br w:val="nil"/>
                    <w:tr2bl w:val="nil"/>
                  </w:tcBorders>
                  <w:noWrap w:val="0"/>
                  <w:vAlign w:val="center"/>
                </w:tcPr>
                <w:p w14:paraId="7F19863E">
                  <w:pPr>
                    <w:autoSpaceDE w:val="0"/>
                    <w:autoSpaceDN w:val="0"/>
                    <w:jc w:val="center"/>
                    <w:rPr>
                      <w:rFonts w:hint="default"/>
                      <w:bCs/>
                      <w:color w:val="auto"/>
                      <w:sz w:val="21"/>
                      <w:szCs w:val="21"/>
                      <w:highlight w:val="none"/>
                      <w:lang w:val="en-US"/>
                    </w:rPr>
                  </w:pPr>
                  <w:r>
                    <w:rPr>
                      <w:rFonts w:hint="eastAsia" w:cs="Times New Roman"/>
                      <w:b w:val="0"/>
                      <w:bCs/>
                      <w:color w:val="auto"/>
                      <w:spacing w:val="0"/>
                      <w:kern w:val="2"/>
                      <w:position w:val="0"/>
                      <w:sz w:val="21"/>
                      <w:szCs w:val="21"/>
                      <w:highlight w:val="none"/>
                      <w:lang w:val="en-US" w:eastAsia="zh-CN" w:bidi="ar-SA"/>
                    </w:rPr>
                    <w:t>1.8</w:t>
                  </w:r>
                </w:p>
              </w:tc>
              <w:tc>
                <w:tcPr>
                  <w:tcW w:w="765" w:type="dxa"/>
                  <w:vMerge w:val="continue"/>
                  <w:tcBorders>
                    <w:tl2br w:val="nil"/>
                    <w:tr2bl w:val="nil"/>
                  </w:tcBorders>
                  <w:noWrap w:val="0"/>
                  <w:vAlign w:val="center"/>
                </w:tcPr>
                <w:p w14:paraId="1050849D">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110" w:type="dxa"/>
                  <w:tcBorders>
                    <w:tl2br w:val="nil"/>
                    <w:tr2bl w:val="nil"/>
                  </w:tcBorders>
                  <w:noWrap w:val="0"/>
                  <w:vAlign w:val="center"/>
                </w:tcPr>
                <w:p w14:paraId="04D21BA6">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ascii="Times New Roman" w:hAnsi="Times New Roman"/>
                      <w:b w:val="0"/>
                      <w:color w:val="auto"/>
                      <w:sz w:val="21"/>
                      <w:szCs w:val="21"/>
                      <w:highlight w:val="none"/>
                    </w:rPr>
                  </w:pPr>
                  <w:r>
                    <w:rPr>
                      <w:rFonts w:hint="eastAsia" w:ascii="Times New Roman" w:hAnsi="Times New Roman"/>
                      <w:b w:val="0"/>
                      <w:color w:val="auto"/>
                      <w:sz w:val="21"/>
                      <w:szCs w:val="21"/>
                      <w:highlight w:val="none"/>
                    </w:rPr>
                    <w:t>固份</w:t>
                  </w:r>
                </w:p>
              </w:tc>
              <w:tc>
                <w:tcPr>
                  <w:tcW w:w="817" w:type="dxa"/>
                  <w:tcBorders>
                    <w:tl2br w:val="nil"/>
                    <w:tr2bl w:val="nil"/>
                  </w:tcBorders>
                  <w:noWrap w:val="0"/>
                  <w:vAlign w:val="center"/>
                </w:tcPr>
                <w:p w14:paraId="333E4590">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b w:val="0"/>
                      <w:color w:val="auto"/>
                      <w:sz w:val="21"/>
                      <w:szCs w:val="21"/>
                      <w:highlight w:val="none"/>
                      <w:lang w:val="en-US"/>
                    </w:rPr>
                  </w:pPr>
                  <w:r>
                    <w:rPr>
                      <w:rFonts w:hint="eastAsia"/>
                      <w:b w:val="0"/>
                      <w:color w:val="auto"/>
                      <w:sz w:val="21"/>
                      <w:szCs w:val="21"/>
                      <w:highlight w:val="none"/>
                      <w:lang w:val="en-US" w:eastAsia="zh-CN"/>
                    </w:rPr>
                    <w:t>1.386</w:t>
                  </w:r>
                </w:p>
              </w:tc>
              <w:tc>
                <w:tcPr>
                  <w:tcW w:w="1388" w:type="dxa"/>
                  <w:vMerge w:val="continue"/>
                  <w:tcBorders>
                    <w:tl2br w:val="nil"/>
                    <w:tr2bl w:val="nil"/>
                  </w:tcBorders>
                  <w:noWrap w:val="0"/>
                  <w:vAlign w:val="center"/>
                </w:tcPr>
                <w:p w14:paraId="4EAB73CD">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005" w:type="dxa"/>
                  <w:tcBorders>
                    <w:tl2br w:val="nil"/>
                    <w:tr2bl w:val="nil"/>
                  </w:tcBorders>
                  <w:noWrap w:val="0"/>
                  <w:vAlign w:val="center"/>
                </w:tcPr>
                <w:p w14:paraId="1C61C0FA">
                  <w:pPr>
                    <w:keepNext w:val="0"/>
                    <w:keepLines w:val="0"/>
                    <w:pageBreakBefore w:val="0"/>
                    <w:widowControl/>
                    <w:kinsoku/>
                    <w:wordWrap/>
                    <w:overflowPunct/>
                    <w:topLinePunct w:val="0"/>
                    <w:bidi w:val="0"/>
                    <w:spacing w:line="240" w:lineRule="auto"/>
                    <w:ind w:left="0" w:leftChars="0" w:firstLine="0" w:firstLineChars="0"/>
                    <w:jc w:val="center"/>
                    <w:textAlignment w:val="center"/>
                    <w:rPr>
                      <w:rFonts w:hint="eastAsia"/>
                      <w:bCs/>
                      <w:color w:val="auto"/>
                      <w:sz w:val="21"/>
                      <w:szCs w:val="21"/>
                      <w:highlight w:val="none"/>
                    </w:rPr>
                  </w:pPr>
                  <w:r>
                    <w:rPr>
                      <w:rFonts w:hint="eastAsia"/>
                      <w:color w:val="auto"/>
                      <w:kern w:val="0"/>
                      <w:sz w:val="21"/>
                      <w:szCs w:val="21"/>
                      <w:highlight w:val="none"/>
                    </w:rPr>
                    <w:t>有组织排放</w:t>
                  </w:r>
                </w:p>
              </w:tc>
              <w:tc>
                <w:tcPr>
                  <w:tcW w:w="1030" w:type="dxa"/>
                  <w:tcBorders>
                    <w:tl2br w:val="nil"/>
                    <w:tr2bl w:val="nil"/>
                  </w:tcBorders>
                  <w:noWrap w:val="0"/>
                  <w:vAlign w:val="center"/>
                </w:tcPr>
                <w:p w14:paraId="0D8C4BA4">
                  <w:pPr>
                    <w:keepNext w:val="0"/>
                    <w:keepLines w:val="0"/>
                    <w:pageBreakBefore w:val="0"/>
                    <w:widowControl/>
                    <w:kinsoku/>
                    <w:wordWrap/>
                    <w:overflowPunct/>
                    <w:topLinePunct w:val="0"/>
                    <w:bidi w:val="0"/>
                    <w:spacing w:line="240" w:lineRule="auto"/>
                    <w:ind w:left="0" w:leftChars="0" w:firstLine="0" w:firstLineChars="0"/>
                    <w:jc w:val="center"/>
                    <w:textAlignment w:val="center"/>
                    <w:rPr>
                      <w:rFonts w:hint="default" w:eastAsia="宋体"/>
                      <w:bCs/>
                      <w:color w:val="auto"/>
                      <w:sz w:val="21"/>
                      <w:szCs w:val="21"/>
                      <w:highlight w:val="none"/>
                      <w:lang w:val="en-US" w:eastAsia="zh-CN"/>
                    </w:rPr>
                  </w:pPr>
                  <w:r>
                    <w:rPr>
                      <w:rFonts w:hint="eastAsia" w:eastAsia="宋体"/>
                      <w:bCs/>
                      <w:color w:val="auto"/>
                      <w:sz w:val="21"/>
                      <w:szCs w:val="21"/>
                      <w:highlight w:val="none"/>
                      <w:lang w:val="en-US" w:eastAsia="zh-CN"/>
                    </w:rPr>
                    <w:t>0.</w:t>
                  </w:r>
                  <w:r>
                    <w:rPr>
                      <w:rFonts w:hint="eastAsia"/>
                      <w:bCs/>
                      <w:color w:val="auto"/>
                      <w:sz w:val="21"/>
                      <w:szCs w:val="21"/>
                      <w:highlight w:val="none"/>
                      <w:lang w:val="en-US" w:eastAsia="zh-CN"/>
                    </w:rPr>
                    <w:t>2797</w:t>
                  </w:r>
                </w:p>
              </w:tc>
            </w:tr>
            <w:tr w14:paraId="1A9811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noWrap w:val="0"/>
                  <w:vAlign w:val="center"/>
                </w:tcPr>
                <w:p w14:paraId="69FDC8B4">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901" w:type="dxa"/>
                  <w:vMerge w:val="continue"/>
                  <w:tcBorders>
                    <w:tl2br w:val="nil"/>
                    <w:tr2bl w:val="nil"/>
                  </w:tcBorders>
                  <w:noWrap w:val="0"/>
                  <w:vAlign w:val="center"/>
                </w:tcPr>
                <w:p w14:paraId="541BA914">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val="0"/>
                      <w:color w:val="auto"/>
                      <w:sz w:val="21"/>
                      <w:szCs w:val="21"/>
                      <w:highlight w:val="none"/>
                    </w:rPr>
                  </w:pPr>
                </w:p>
              </w:tc>
              <w:tc>
                <w:tcPr>
                  <w:tcW w:w="795" w:type="dxa"/>
                  <w:vMerge w:val="continue"/>
                  <w:tcBorders>
                    <w:tl2br w:val="nil"/>
                    <w:tr2bl w:val="nil"/>
                  </w:tcBorders>
                  <w:noWrap w:val="0"/>
                  <w:vAlign w:val="center"/>
                </w:tcPr>
                <w:p w14:paraId="2C4A47F4">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765" w:type="dxa"/>
                  <w:vMerge w:val="continue"/>
                  <w:tcBorders>
                    <w:tl2br w:val="nil"/>
                    <w:tr2bl w:val="nil"/>
                  </w:tcBorders>
                  <w:noWrap w:val="0"/>
                  <w:vAlign w:val="center"/>
                </w:tcPr>
                <w:p w14:paraId="04C53E93">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110" w:type="dxa"/>
                  <w:tcBorders>
                    <w:tl2br w:val="nil"/>
                    <w:tr2bl w:val="nil"/>
                  </w:tcBorders>
                  <w:noWrap w:val="0"/>
                  <w:vAlign w:val="center"/>
                </w:tcPr>
                <w:p w14:paraId="09BCF0DC">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ascii="Times New Roman" w:hAnsi="Times New Roman"/>
                      <w:b w:val="0"/>
                      <w:color w:val="auto"/>
                      <w:sz w:val="21"/>
                      <w:szCs w:val="21"/>
                      <w:highlight w:val="none"/>
                    </w:rPr>
                  </w:pPr>
                  <w:r>
                    <w:rPr>
                      <w:rFonts w:hint="eastAsia" w:ascii="Times New Roman" w:hAnsi="Times New Roman"/>
                      <w:b w:val="0"/>
                      <w:color w:val="auto"/>
                      <w:sz w:val="21"/>
                      <w:szCs w:val="21"/>
                      <w:highlight w:val="none"/>
                    </w:rPr>
                    <w:t>挥发性有机物含量</w:t>
                  </w:r>
                </w:p>
              </w:tc>
              <w:tc>
                <w:tcPr>
                  <w:tcW w:w="817" w:type="dxa"/>
                  <w:tcBorders>
                    <w:tl2br w:val="nil"/>
                    <w:tr2bl w:val="nil"/>
                  </w:tcBorders>
                  <w:noWrap w:val="0"/>
                  <w:vAlign w:val="center"/>
                </w:tcPr>
                <w:p w14:paraId="23F9212F">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0.414</w:t>
                  </w:r>
                </w:p>
              </w:tc>
              <w:tc>
                <w:tcPr>
                  <w:tcW w:w="1388" w:type="dxa"/>
                  <w:vMerge w:val="continue"/>
                  <w:tcBorders>
                    <w:tl2br w:val="nil"/>
                    <w:tr2bl w:val="nil"/>
                  </w:tcBorders>
                  <w:noWrap w:val="0"/>
                  <w:vAlign w:val="center"/>
                </w:tcPr>
                <w:p w14:paraId="5C8ACCCF">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005" w:type="dxa"/>
                  <w:tcBorders>
                    <w:tl2br w:val="nil"/>
                    <w:tr2bl w:val="nil"/>
                  </w:tcBorders>
                  <w:noWrap w:val="0"/>
                  <w:vAlign w:val="center"/>
                </w:tcPr>
                <w:p w14:paraId="2DED549F">
                  <w:pPr>
                    <w:keepNext w:val="0"/>
                    <w:keepLines w:val="0"/>
                    <w:pageBreakBefore w:val="0"/>
                    <w:widowControl/>
                    <w:kinsoku/>
                    <w:wordWrap/>
                    <w:overflowPunct/>
                    <w:topLinePunct w:val="0"/>
                    <w:bidi w:val="0"/>
                    <w:spacing w:line="240" w:lineRule="auto"/>
                    <w:ind w:left="0" w:leftChars="0" w:firstLine="0" w:firstLineChars="0"/>
                    <w:jc w:val="center"/>
                    <w:textAlignment w:val="center"/>
                    <w:rPr>
                      <w:rFonts w:hint="eastAsia"/>
                      <w:bCs/>
                      <w:color w:val="auto"/>
                      <w:sz w:val="21"/>
                      <w:szCs w:val="21"/>
                      <w:highlight w:val="none"/>
                    </w:rPr>
                  </w:pPr>
                  <w:r>
                    <w:rPr>
                      <w:rFonts w:hint="eastAsia"/>
                      <w:color w:val="auto"/>
                      <w:kern w:val="0"/>
                      <w:sz w:val="21"/>
                      <w:szCs w:val="21"/>
                      <w:highlight w:val="none"/>
                      <w:lang w:val="en-US" w:eastAsia="zh-CN"/>
                    </w:rPr>
                    <w:t>废气处理</w:t>
                  </w:r>
                  <w:r>
                    <w:rPr>
                      <w:rFonts w:hint="eastAsia"/>
                      <w:color w:val="auto"/>
                      <w:kern w:val="0"/>
                      <w:sz w:val="21"/>
                      <w:szCs w:val="21"/>
                      <w:highlight w:val="none"/>
                    </w:rPr>
                    <w:t>量</w:t>
                  </w:r>
                </w:p>
              </w:tc>
              <w:tc>
                <w:tcPr>
                  <w:tcW w:w="1030" w:type="dxa"/>
                  <w:tcBorders>
                    <w:tl2br w:val="nil"/>
                    <w:tr2bl w:val="nil"/>
                  </w:tcBorders>
                  <w:noWrap w:val="0"/>
                  <w:vAlign w:val="center"/>
                </w:tcPr>
                <w:p w14:paraId="444D3C7B">
                  <w:pPr>
                    <w:keepNext w:val="0"/>
                    <w:keepLines w:val="0"/>
                    <w:pageBreakBefore w:val="0"/>
                    <w:widowControl/>
                    <w:kinsoku/>
                    <w:wordWrap/>
                    <w:overflowPunct/>
                    <w:topLinePunct w:val="0"/>
                    <w:bidi w:val="0"/>
                    <w:spacing w:line="240" w:lineRule="auto"/>
                    <w:ind w:left="0" w:leftChars="0" w:firstLine="0" w:firstLineChars="0"/>
                    <w:jc w:val="center"/>
                    <w:textAlignment w:val="center"/>
                    <w:rPr>
                      <w:rFonts w:hint="default" w:eastAsia="宋体"/>
                      <w:bCs/>
                      <w:color w:val="auto"/>
                      <w:sz w:val="21"/>
                      <w:szCs w:val="21"/>
                      <w:highlight w:val="none"/>
                      <w:lang w:val="en-US" w:eastAsia="zh-CN"/>
                    </w:rPr>
                  </w:pPr>
                  <w:r>
                    <w:rPr>
                      <w:rFonts w:hint="eastAsia" w:eastAsia="宋体"/>
                      <w:bCs/>
                      <w:color w:val="auto"/>
                      <w:sz w:val="21"/>
                      <w:szCs w:val="21"/>
                      <w:highlight w:val="none"/>
                      <w:lang w:val="en-US" w:eastAsia="zh-CN"/>
                    </w:rPr>
                    <w:t>1.</w:t>
                  </w:r>
                  <w:r>
                    <w:rPr>
                      <w:rFonts w:hint="eastAsia"/>
                      <w:bCs/>
                      <w:color w:val="auto"/>
                      <w:sz w:val="21"/>
                      <w:szCs w:val="21"/>
                      <w:highlight w:val="none"/>
                      <w:lang w:val="en-US" w:eastAsia="zh-CN"/>
                    </w:rPr>
                    <w:t>1189</w:t>
                  </w:r>
                </w:p>
              </w:tc>
            </w:tr>
            <w:tr w14:paraId="11FA91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noWrap w:val="0"/>
                  <w:vAlign w:val="center"/>
                </w:tcPr>
                <w:p w14:paraId="37E12682">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901" w:type="dxa"/>
                  <w:vMerge w:val="restart"/>
                  <w:tcBorders>
                    <w:tl2br w:val="nil"/>
                    <w:tr2bl w:val="nil"/>
                  </w:tcBorders>
                  <w:noWrap w:val="0"/>
                  <w:vAlign w:val="center"/>
                </w:tcPr>
                <w:p w14:paraId="3BFFD514">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val="0"/>
                      <w:color w:val="auto"/>
                      <w:sz w:val="21"/>
                      <w:szCs w:val="21"/>
                      <w:highlight w:val="none"/>
                    </w:rPr>
                  </w:pPr>
                  <w:r>
                    <w:rPr>
                      <w:rFonts w:hint="eastAsia" w:ascii="Times New Roman" w:hAnsi="Times New Roman"/>
                      <w:b w:val="0"/>
                      <w:color w:val="auto"/>
                      <w:sz w:val="21"/>
                      <w:szCs w:val="21"/>
                      <w:highlight w:val="none"/>
                      <w:lang w:val="en-US" w:eastAsia="zh-CN"/>
                    </w:rPr>
                    <w:t>水性</w:t>
                  </w:r>
                  <w:r>
                    <w:rPr>
                      <w:rFonts w:hint="eastAsia" w:ascii="Times New Roman" w:hAnsi="Times New Roman"/>
                      <w:b w:val="0"/>
                      <w:color w:val="auto"/>
                      <w:sz w:val="21"/>
                      <w:szCs w:val="21"/>
                      <w:highlight w:val="none"/>
                    </w:rPr>
                    <w:t>漆</w:t>
                  </w:r>
                </w:p>
              </w:tc>
              <w:tc>
                <w:tcPr>
                  <w:tcW w:w="795" w:type="dxa"/>
                  <w:vMerge w:val="restart"/>
                  <w:tcBorders>
                    <w:tl2br w:val="nil"/>
                    <w:tr2bl w:val="nil"/>
                  </w:tcBorders>
                  <w:noWrap w:val="0"/>
                  <w:vAlign w:val="center"/>
                </w:tcPr>
                <w:p w14:paraId="7FA8960C">
                  <w:pPr>
                    <w:autoSpaceDE w:val="0"/>
                    <w:autoSpaceDN w:val="0"/>
                    <w:jc w:val="center"/>
                    <w:rPr>
                      <w:rFonts w:hint="default"/>
                      <w:bCs/>
                      <w:color w:val="auto"/>
                      <w:sz w:val="21"/>
                      <w:szCs w:val="21"/>
                      <w:highlight w:val="none"/>
                      <w:lang w:val="en-US"/>
                    </w:rPr>
                  </w:pPr>
                  <w:r>
                    <w:rPr>
                      <w:rFonts w:hint="eastAsia" w:cs="Times New Roman"/>
                      <w:b w:val="0"/>
                      <w:bCs/>
                      <w:color w:val="auto"/>
                      <w:spacing w:val="0"/>
                      <w:kern w:val="2"/>
                      <w:position w:val="0"/>
                      <w:sz w:val="21"/>
                      <w:szCs w:val="21"/>
                      <w:highlight w:val="none"/>
                      <w:lang w:val="en-US" w:eastAsia="zh-CN" w:bidi="ar-SA"/>
                    </w:rPr>
                    <w:t>3</w:t>
                  </w:r>
                </w:p>
              </w:tc>
              <w:tc>
                <w:tcPr>
                  <w:tcW w:w="765" w:type="dxa"/>
                  <w:vMerge w:val="continue"/>
                  <w:tcBorders>
                    <w:tl2br w:val="nil"/>
                    <w:tr2bl w:val="nil"/>
                  </w:tcBorders>
                  <w:noWrap w:val="0"/>
                  <w:vAlign w:val="center"/>
                </w:tcPr>
                <w:p w14:paraId="7A1C1EEB">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110" w:type="dxa"/>
                  <w:tcBorders>
                    <w:tl2br w:val="nil"/>
                    <w:tr2bl w:val="nil"/>
                  </w:tcBorders>
                  <w:noWrap w:val="0"/>
                  <w:vAlign w:val="center"/>
                </w:tcPr>
                <w:p w14:paraId="73127D11">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r>
                    <w:rPr>
                      <w:rFonts w:hint="eastAsia" w:ascii="Times New Roman" w:hAnsi="Times New Roman"/>
                      <w:b w:val="0"/>
                      <w:color w:val="auto"/>
                      <w:sz w:val="21"/>
                      <w:szCs w:val="21"/>
                      <w:highlight w:val="none"/>
                    </w:rPr>
                    <w:t>固份</w:t>
                  </w:r>
                </w:p>
              </w:tc>
              <w:tc>
                <w:tcPr>
                  <w:tcW w:w="817" w:type="dxa"/>
                  <w:tcBorders>
                    <w:tl2br w:val="nil"/>
                    <w:tr2bl w:val="nil"/>
                  </w:tcBorders>
                  <w:noWrap w:val="0"/>
                  <w:vAlign w:val="center"/>
                </w:tcPr>
                <w:p w14:paraId="3A34BB98">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2.82</w:t>
                  </w:r>
                </w:p>
              </w:tc>
              <w:tc>
                <w:tcPr>
                  <w:tcW w:w="1388" w:type="dxa"/>
                  <w:vMerge w:val="continue"/>
                  <w:tcBorders>
                    <w:tl2br w:val="nil"/>
                    <w:tr2bl w:val="nil"/>
                  </w:tcBorders>
                  <w:noWrap w:val="0"/>
                  <w:vAlign w:val="center"/>
                </w:tcPr>
                <w:p w14:paraId="66ABBBF0">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005" w:type="dxa"/>
                  <w:tcBorders>
                    <w:tl2br w:val="nil"/>
                    <w:tr2bl w:val="nil"/>
                  </w:tcBorders>
                  <w:noWrap w:val="0"/>
                  <w:vAlign w:val="center"/>
                </w:tcPr>
                <w:p w14:paraId="09142F6B">
                  <w:pPr>
                    <w:keepNext w:val="0"/>
                    <w:keepLines w:val="0"/>
                    <w:pageBreakBefore w:val="0"/>
                    <w:widowControl/>
                    <w:kinsoku/>
                    <w:wordWrap/>
                    <w:overflowPunct/>
                    <w:topLinePunct w:val="0"/>
                    <w:bidi w:val="0"/>
                    <w:spacing w:line="240" w:lineRule="auto"/>
                    <w:ind w:left="0" w:leftChars="0" w:firstLine="0" w:firstLineChars="0"/>
                    <w:jc w:val="center"/>
                    <w:textAlignment w:val="center"/>
                    <w:rPr>
                      <w:rFonts w:hint="eastAsia"/>
                      <w:color w:val="auto"/>
                      <w:kern w:val="0"/>
                      <w:sz w:val="21"/>
                      <w:szCs w:val="21"/>
                      <w:highlight w:val="none"/>
                    </w:rPr>
                  </w:pPr>
                  <w:r>
                    <w:rPr>
                      <w:rFonts w:hint="eastAsia"/>
                      <w:color w:val="auto"/>
                      <w:kern w:val="0"/>
                      <w:sz w:val="21"/>
                      <w:szCs w:val="21"/>
                      <w:highlight w:val="none"/>
                    </w:rPr>
                    <w:t>无组织</w:t>
                  </w:r>
                </w:p>
                <w:p w14:paraId="3033791D">
                  <w:pPr>
                    <w:keepNext w:val="0"/>
                    <w:keepLines w:val="0"/>
                    <w:pageBreakBefore w:val="0"/>
                    <w:widowControl/>
                    <w:kinsoku/>
                    <w:wordWrap/>
                    <w:overflowPunct/>
                    <w:topLinePunct w:val="0"/>
                    <w:bidi w:val="0"/>
                    <w:spacing w:line="240" w:lineRule="auto"/>
                    <w:ind w:left="0" w:leftChars="0" w:firstLine="0" w:firstLineChars="0"/>
                    <w:jc w:val="center"/>
                    <w:textAlignment w:val="center"/>
                    <w:rPr>
                      <w:rFonts w:hint="eastAsia"/>
                      <w:bCs/>
                      <w:color w:val="auto"/>
                      <w:sz w:val="21"/>
                      <w:szCs w:val="21"/>
                      <w:highlight w:val="none"/>
                    </w:rPr>
                  </w:pPr>
                  <w:r>
                    <w:rPr>
                      <w:rFonts w:hint="eastAsia"/>
                      <w:color w:val="auto"/>
                      <w:kern w:val="0"/>
                      <w:sz w:val="21"/>
                      <w:szCs w:val="21"/>
                      <w:highlight w:val="none"/>
                    </w:rPr>
                    <w:t>排放</w:t>
                  </w:r>
                </w:p>
              </w:tc>
              <w:tc>
                <w:tcPr>
                  <w:tcW w:w="1030" w:type="dxa"/>
                  <w:tcBorders>
                    <w:tl2br w:val="nil"/>
                    <w:tr2bl w:val="nil"/>
                  </w:tcBorders>
                  <w:noWrap w:val="0"/>
                  <w:vAlign w:val="center"/>
                </w:tcPr>
                <w:p w14:paraId="18EE0217">
                  <w:pPr>
                    <w:keepNext w:val="0"/>
                    <w:keepLines w:val="0"/>
                    <w:pageBreakBefore w:val="0"/>
                    <w:widowControl/>
                    <w:kinsoku/>
                    <w:wordWrap/>
                    <w:overflowPunct/>
                    <w:topLinePunct w:val="0"/>
                    <w:bidi w:val="0"/>
                    <w:spacing w:line="240" w:lineRule="auto"/>
                    <w:ind w:left="0" w:leftChars="0"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0.1554</w:t>
                  </w:r>
                </w:p>
              </w:tc>
            </w:tr>
            <w:tr w14:paraId="2791F9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69" w:type="dxa"/>
                  <w:vMerge w:val="continue"/>
                  <w:tcBorders>
                    <w:tl2br w:val="nil"/>
                    <w:tr2bl w:val="nil"/>
                  </w:tcBorders>
                  <w:noWrap w:val="0"/>
                  <w:vAlign w:val="center"/>
                </w:tcPr>
                <w:p w14:paraId="47A84E10">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901" w:type="dxa"/>
                  <w:vMerge w:val="continue"/>
                  <w:tcBorders>
                    <w:tl2br w:val="nil"/>
                    <w:tr2bl w:val="nil"/>
                  </w:tcBorders>
                  <w:noWrap w:val="0"/>
                  <w:vAlign w:val="center"/>
                </w:tcPr>
                <w:p w14:paraId="5991DC3B">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val="0"/>
                      <w:color w:val="auto"/>
                      <w:sz w:val="21"/>
                      <w:szCs w:val="21"/>
                      <w:highlight w:val="none"/>
                    </w:rPr>
                  </w:pPr>
                </w:p>
              </w:tc>
              <w:tc>
                <w:tcPr>
                  <w:tcW w:w="795" w:type="dxa"/>
                  <w:vMerge w:val="continue"/>
                  <w:tcBorders>
                    <w:tl2br w:val="nil"/>
                    <w:tr2bl w:val="nil"/>
                  </w:tcBorders>
                  <w:noWrap w:val="0"/>
                  <w:vAlign w:val="center"/>
                </w:tcPr>
                <w:p w14:paraId="6B4D327F">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765" w:type="dxa"/>
                  <w:vMerge w:val="continue"/>
                  <w:tcBorders>
                    <w:tl2br w:val="nil"/>
                    <w:tr2bl w:val="nil"/>
                  </w:tcBorders>
                  <w:noWrap w:val="0"/>
                  <w:vAlign w:val="center"/>
                </w:tcPr>
                <w:p w14:paraId="500F65FD">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110" w:type="dxa"/>
                  <w:tcBorders>
                    <w:tl2br w:val="nil"/>
                    <w:tr2bl w:val="nil"/>
                  </w:tcBorders>
                  <w:noWrap w:val="0"/>
                  <w:vAlign w:val="center"/>
                </w:tcPr>
                <w:p w14:paraId="4D687D90">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r>
                    <w:rPr>
                      <w:rFonts w:hint="eastAsia" w:ascii="Times New Roman" w:hAnsi="Times New Roman"/>
                      <w:b w:val="0"/>
                      <w:color w:val="auto"/>
                      <w:sz w:val="21"/>
                      <w:szCs w:val="21"/>
                      <w:highlight w:val="none"/>
                    </w:rPr>
                    <w:t>挥发性有机物含量</w:t>
                  </w:r>
                </w:p>
              </w:tc>
              <w:tc>
                <w:tcPr>
                  <w:tcW w:w="817" w:type="dxa"/>
                  <w:tcBorders>
                    <w:tl2br w:val="nil"/>
                    <w:tr2bl w:val="nil"/>
                  </w:tcBorders>
                  <w:noWrap w:val="0"/>
                  <w:vAlign w:val="center"/>
                </w:tcPr>
                <w:p w14:paraId="14C25EA5">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0.18</w:t>
                  </w:r>
                </w:p>
              </w:tc>
              <w:tc>
                <w:tcPr>
                  <w:tcW w:w="1388" w:type="dxa"/>
                  <w:vMerge w:val="continue"/>
                  <w:tcBorders>
                    <w:tl2br w:val="nil"/>
                    <w:tr2bl w:val="nil"/>
                  </w:tcBorders>
                  <w:noWrap w:val="0"/>
                  <w:vAlign w:val="center"/>
                </w:tcPr>
                <w:p w14:paraId="1F46CDE8">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005" w:type="dxa"/>
                  <w:tcBorders>
                    <w:tl2br w:val="nil"/>
                    <w:tr2bl w:val="nil"/>
                  </w:tcBorders>
                  <w:noWrap w:val="0"/>
                  <w:vAlign w:val="center"/>
                </w:tcPr>
                <w:p w14:paraId="1A9B5EBA">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ascii="Times New Roman" w:hAnsi="Times New Roman"/>
                      <w:b w:val="0"/>
                      <w:color w:val="auto"/>
                      <w:sz w:val="21"/>
                      <w:szCs w:val="21"/>
                      <w:highlight w:val="none"/>
                    </w:rPr>
                  </w:pPr>
                  <w:r>
                    <w:rPr>
                      <w:rFonts w:hint="eastAsia" w:ascii="Times New Roman" w:hAnsi="Times New Roman"/>
                      <w:b w:val="0"/>
                      <w:color w:val="auto"/>
                      <w:sz w:val="21"/>
                      <w:szCs w:val="21"/>
                      <w:highlight w:val="none"/>
                    </w:rPr>
                    <w:t>固份进入产品</w:t>
                  </w:r>
                </w:p>
              </w:tc>
              <w:tc>
                <w:tcPr>
                  <w:tcW w:w="1030" w:type="dxa"/>
                  <w:tcBorders>
                    <w:tl2br w:val="nil"/>
                    <w:tr2bl w:val="nil"/>
                  </w:tcBorders>
                  <w:noWrap w:val="0"/>
                  <w:vAlign w:val="center"/>
                </w:tcPr>
                <w:p w14:paraId="23B95B24">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b w:val="0"/>
                      <w:color w:val="auto"/>
                      <w:sz w:val="21"/>
                      <w:szCs w:val="21"/>
                      <w:highlight w:val="none"/>
                      <w:lang w:val="en-US" w:eastAsia="zh-CN"/>
                    </w:rPr>
                    <w:t>2.373</w:t>
                  </w:r>
                </w:p>
              </w:tc>
            </w:tr>
            <w:tr w14:paraId="003A71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noWrap w:val="0"/>
                  <w:vAlign w:val="center"/>
                </w:tcPr>
                <w:p w14:paraId="7C0693B2">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901" w:type="dxa"/>
                  <w:vMerge w:val="restart"/>
                  <w:tcBorders>
                    <w:tl2br w:val="nil"/>
                    <w:tr2bl w:val="nil"/>
                  </w:tcBorders>
                  <w:noWrap w:val="0"/>
                  <w:vAlign w:val="center"/>
                </w:tcPr>
                <w:p w14:paraId="6AC6CC93">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val="0"/>
                      <w:color w:val="auto"/>
                      <w:sz w:val="21"/>
                      <w:szCs w:val="21"/>
                      <w:highlight w:val="none"/>
                    </w:rPr>
                  </w:pPr>
                  <w:r>
                    <w:rPr>
                      <w:rFonts w:hint="eastAsia" w:ascii="Times New Roman" w:hAnsi="Times New Roman"/>
                      <w:b w:val="0"/>
                      <w:color w:val="auto"/>
                      <w:sz w:val="21"/>
                      <w:szCs w:val="21"/>
                      <w:highlight w:val="none"/>
                    </w:rPr>
                    <w:t>固化剂</w:t>
                  </w:r>
                </w:p>
              </w:tc>
              <w:tc>
                <w:tcPr>
                  <w:tcW w:w="795" w:type="dxa"/>
                  <w:vMerge w:val="restart"/>
                  <w:tcBorders>
                    <w:tl2br w:val="nil"/>
                    <w:tr2bl w:val="nil"/>
                  </w:tcBorders>
                  <w:noWrap w:val="0"/>
                  <w:vAlign w:val="center"/>
                </w:tcPr>
                <w:p w14:paraId="52D36923">
                  <w:pPr>
                    <w:autoSpaceDE w:val="0"/>
                    <w:autoSpaceDN w:val="0"/>
                    <w:jc w:val="center"/>
                    <w:rPr>
                      <w:rFonts w:hint="default"/>
                      <w:bCs/>
                      <w:color w:val="auto"/>
                      <w:sz w:val="21"/>
                      <w:szCs w:val="21"/>
                      <w:highlight w:val="none"/>
                      <w:lang w:val="en-US"/>
                    </w:rPr>
                  </w:pPr>
                  <w:r>
                    <w:rPr>
                      <w:rFonts w:hint="eastAsia" w:cs="Times New Roman"/>
                      <w:b w:val="0"/>
                      <w:bCs/>
                      <w:color w:val="auto"/>
                      <w:spacing w:val="0"/>
                      <w:kern w:val="2"/>
                      <w:position w:val="0"/>
                      <w:sz w:val="21"/>
                      <w:szCs w:val="21"/>
                      <w:highlight w:val="none"/>
                      <w:lang w:val="en-US" w:eastAsia="zh-CN" w:bidi="ar-SA"/>
                    </w:rPr>
                    <w:t>0.9</w:t>
                  </w:r>
                </w:p>
              </w:tc>
              <w:tc>
                <w:tcPr>
                  <w:tcW w:w="765" w:type="dxa"/>
                  <w:vMerge w:val="continue"/>
                  <w:tcBorders>
                    <w:tl2br w:val="nil"/>
                    <w:tr2bl w:val="nil"/>
                  </w:tcBorders>
                  <w:noWrap w:val="0"/>
                  <w:vAlign w:val="center"/>
                </w:tcPr>
                <w:p w14:paraId="351E8694">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110" w:type="dxa"/>
                  <w:tcBorders>
                    <w:tl2br w:val="nil"/>
                    <w:tr2bl w:val="nil"/>
                  </w:tcBorders>
                  <w:noWrap w:val="0"/>
                  <w:vAlign w:val="center"/>
                </w:tcPr>
                <w:p w14:paraId="03C17A8E">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r>
                    <w:rPr>
                      <w:rFonts w:hint="eastAsia" w:ascii="Times New Roman" w:hAnsi="Times New Roman"/>
                      <w:b w:val="0"/>
                      <w:color w:val="auto"/>
                      <w:sz w:val="21"/>
                      <w:szCs w:val="21"/>
                      <w:highlight w:val="none"/>
                    </w:rPr>
                    <w:t>固份</w:t>
                  </w:r>
                </w:p>
              </w:tc>
              <w:tc>
                <w:tcPr>
                  <w:tcW w:w="817" w:type="dxa"/>
                  <w:tcBorders>
                    <w:tl2br w:val="nil"/>
                    <w:tr2bl w:val="nil"/>
                  </w:tcBorders>
                  <w:noWrap w:val="0"/>
                  <w:vAlign w:val="center"/>
                </w:tcPr>
                <w:p w14:paraId="16A9703E">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0.54</w:t>
                  </w:r>
                </w:p>
              </w:tc>
              <w:tc>
                <w:tcPr>
                  <w:tcW w:w="1388" w:type="dxa"/>
                  <w:vMerge w:val="continue"/>
                  <w:tcBorders>
                    <w:tl2br w:val="nil"/>
                    <w:tr2bl w:val="nil"/>
                  </w:tcBorders>
                  <w:noWrap w:val="0"/>
                  <w:vAlign w:val="center"/>
                </w:tcPr>
                <w:p w14:paraId="09852AFA">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005" w:type="dxa"/>
                  <w:tcBorders>
                    <w:tl2br w:val="nil"/>
                    <w:tr2bl w:val="nil"/>
                  </w:tcBorders>
                  <w:noWrap w:val="0"/>
                  <w:vAlign w:val="center"/>
                </w:tcPr>
                <w:p w14:paraId="02C27C15">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val="0"/>
                      <w:color w:val="auto"/>
                      <w:sz w:val="21"/>
                      <w:szCs w:val="21"/>
                      <w:highlight w:val="none"/>
                    </w:rPr>
                  </w:pPr>
                  <w:r>
                    <w:rPr>
                      <w:rFonts w:hint="eastAsia" w:ascii="Times New Roman" w:hAnsi="Times New Roman"/>
                      <w:b w:val="0"/>
                      <w:color w:val="auto"/>
                      <w:sz w:val="21"/>
                      <w:szCs w:val="21"/>
                      <w:highlight w:val="none"/>
                    </w:rPr>
                    <w:t>漆雾</w:t>
                  </w:r>
                </w:p>
              </w:tc>
              <w:tc>
                <w:tcPr>
                  <w:tcW w:w="1030" w:type="dxa"/>
                  <w:tcBorders>
                    <w:tl2br w:val="nil"/>
                    <w:tr2bl w:val="nil"/>
                  </w:tcBorders>
                  <w:noWrap w:val="0"/>
                  <w:vAlign w:val="center"/>
                </w:tcPr>
                <w:p w14:paraId="6B451DA5">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b w:val="0"/>
                      <w:color w:val="auto"/>
                      <w:sz w:val="21"/>
                      <w:szCs w:val="21"/>
                      <w:highlight w:val="none"/>
                      <w:lang w:val="en-US" w:eastAsia="zh-CN"/>
                    </w:rPr>
                  </w:pPr>
                  <w:r>
                    <w:rPr>
                      <w:rFonts w:hint="eastAsia"/>
                      <w:b w:val="0"/>
                      <w:color w:val="auto"/>
                      <w:sz w:val="21"/>
                      <w:szCs w:val="21"/>
                      <w:highlight w:val="none"/>
                      <w:lang w:val="en-US" w:eastAsia="zh-CN"/>
                    </w:rPr>
                    <w:t>2.373</w:t>
                  </w:r>
                </w:p>
              </w:tc>
            </w:tr>
            <w:tr w14:paraId="7266FC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noWrap w:val="0"/>
                  <w:vAlign w:val="center"/>
                </w:tcPr>
                <w:p w14:paraId="78EEBA87">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901" w:type="dxa"/>
                  <w:vMerge w:val="continue"/>
                  <w:tcBorders>
                    <w:tl2br w:val="nil"/>
                    <w:tr2bl w:val="nil"/>
                  </w:tcBorders>
                  <w:noWrap w:val="0"/>
                  <w:vAlign w:val="center"/>
                </w:tcPr>
                <w:p w14:paraId="58DC026A">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val="0"/>
                      <w:color w:val="auto"/>
                      <w:sz w:val="21"/>
                      <w:szCs w:val="21"/>
                      <w:highlight w:val="none"/>
                    </w:rPr>
                  </w:pPr>
                </w:p>
              </w:tc>
              <w:tc>
                <w:tcPr>
                  <w:tcW w:w="795" w:type="dxa"/>
                  <w:vMerge w:val="continue"/>
                  <w:tcBorders>
                    <w:tl2br w:val="nil"/>
                    <w:tr2bl w:val="nil"/>
                  </w:tcBorders>
                  <w:noWrap w:val="0"/>
                  <w:vAlign w:val="center"/>
                </w:tcPr>
                <w:p w14:paraId="7FE41881">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765" w:type="dxa"/>
                  <w:vMerge w:val="continue"/>
                  <w:tcBorders>
                    <w:tl2br w:val="nil"/>
                    <w:tr2bl w:val="nil"/>
                  </w:tcBorders>
                  <w:noWrap w:val="0"/>
                  <w:vAlign w:val="center"/>
                </w:tcPr>
                <w:p w14:paraId="6717BE06">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110" w:type="dxa"/>
                  <w:tcBorders>
                    <w:tl2br w:val="nil"/>
                    <w:tr2bl w:val="nil"/>
                  </w:tcBorders>
                  <w:noWrap w:val="0"/>
                  <w:vAlign w:val="center"/>
                </w:tcPr>
                <w:p w14:paraId="71CF5EAD">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r>
                    <w:rPr>
                      <w:rFonts w:hint="eastAsia" w:ascii="Times New Roman" w:hAnsi="Times New Roman"/>
                      <w:b w:val="0"/>
                      <w:color w:val="auto"/>
                      <w:sz w:val="21"/>
                      <w:szCs w:val="21"/>
                      <w:highlight w:val="none"/>
                    </w:rPr>
                    <w:t>挥发性有机物含量</w:t>
                  </w:r>
                </w:p>
              </w:tc>
              <w:tc>
                <w:tcPr>
                  <w:tcW w:w="817" w:type="dxa"/>
                  <w:tcBorders>
                    <w:tl2br w:val="nil"/>
                    <w:tr2bl w:val="nil"/>
                  </w:tcBorders>
                  <w:noWrap w:val="0"/>
                  <w:vAlign w:val="center"/>
                </w:tcPr>
                <w:p w14:paraId="5D084FB3">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0.36</w:t>
                  </w:r>
                </w:p>
              </w:tc>
              <w:tc>
                <w:tcPr>
                  <w:tcW w:w="1388" w:type="dxa"/>
                  <w:vMerge w:val="continue"/>
                  <w:tcBorders>
                    <w:tl2br w:val="nil"/>
                    <w:tr2bl w:val="nil"/>
                  </w:tcBorders>
                  <w:noWrap w:val="0"/>
                  <w:vAlign w:val="center"/>
                </w:tcPr>
                <w:p w14:paraId="0860D23C">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005" w:type="dxa"/>
                  <w:tcBorders>
                    <w:tl2br w:val="nil"/>
                    <w:tr2bl w:val="nil"/>
                  </w:tcBorders>
                  <w:noWrap w:val="0"/>
                  <w:vAlign w:val="center"/>
                </w:tcPr>
                <w:p w14:paraId="716266B5">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val="0"/>
                      <w:color w:val="auto"/>
                      <w:sz w:val="21"/>
                      <w:szCs w:val="21"/>
                      <w:highlight w:val="none"/>
                    </w:rPr>
                  </w:pPr>
                  <w:r>
                    <w:rPr>
                      <w:rFonts w:hint="eastAsia" w:ascii="Times New Roman" w:hAnsi="Times New Roman"/>
                      <w:b w:val="0"/>
                      <w:color w:val="auto"/>
                      <w:sz w:val="21"/>
                      <w:szCs w:val="21"/>
                      <w:highlight w:val="none"/>
                    </w:rPr>
                    <w:t>/</w:t>
                  </w:r>
                </w:p>
              </w:tc>
              <w:tc>
                <w:tcPr>
                  <w:tcW w:w="1030" w:type="dxa"/>
                  <w:tcBorders>
                    <w:tl2br w:val="nil"/>
                    <w:tr2bl w:val="nil"/>
                  </w:tcBorders>
                  <w:noWrap w:val="0"/>
                  <w:vAlign w:val="center"/>
                </w:tcPr>
                <w:p w14:paraId="74A3F5F2">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val="0"/>
                      <w:color w:val="auto"/>
                      <w:sz w:val="21"/>
                      <w:szCs w:val="21"/>
                      <w:highlight w:val="none"/>
                    </w:rPr>
                  </w:pPr>
                  <w:r>
                    <w:rPr>
                      <w:rFonts w:hint="eastAsia" w:ascii="Times New Roman" w:hAnsi="Times New Roman"/>
                      <w:b w:val="0"/>
                      <w:color w:val="auto"/>
                      <w:sz w:val="21"/>
                      <w:szCs w:val="21"/>
                      <w:highlight w:val="none"/>
                    </w:rPr>
                    <w:t>/</w:t>
                  </w:r>
                </w:p>
              </w:tc>
            </w:tr>
            <w:tr w14:paraId="713C1B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noWrap w:val="0"/>
                  <w:vAlign w:val="center"/>
                </w:tcPr>
                <w:p w14:paraId="7273393A">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901" w:type="dxa"/>
                  <w:tcBorders>
                    <w:tl2br w:val="nil"/>
                    <w:tr2bl w:val="nil"/>
                  </w:tcBorders>
                  <w:noWrap w:val="0"/>
                  <w:vAlign w:val="center"/>
                </w:tcPr>
                <w:p w14:paraId="65F09E6F">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val="0"/>
                      <w:color w:val="auto"/>
                      <w:sz w:val="21"/>
                      <w:szCs w:val="21"/>
                      <w:highlight w:val="none"/>
                    </w:rPr>
                  </w:pPr>
                  <w:r>
                    <w:rPr>
                      <w:rFonts w:hint="eastAsia" w:ascii="Times New Roman" w:hAnsi="Times New Roman"/>
                      <w:b w:val="0"/>
                      <w:color w:val="auto"/>
                      <w:sz w:val="21"/>
                      <w:szCs w:val="21"/>
                      <w:highlight w:val="none"/>
                    </w:rPr>
                    <w:t>稀释剂</w:t>
                  </w:r>
                </w:p>
              </w:tc>
              <w:tc>
                <w:tcPr>
                  <w:tcW w:w="795" w:type="dxa"/>
                  <w:tcBorders>
                    <w:tl2br w:val="nil"/>
                    <w:tr2bl w:val="nil"/>
                  </w:tcBorders>
                  <w:noWrap w:val="0"/>
                  <w:vAlign w:val="center"/>
                </w:tcPr>
                <w:p w14:paraId="2BA7583F">
                  <w:pPr>
                    <w:autoSpaceDE w:val="0"/>
                    <w:autoSpaceDN w:val="0"/>
                    <w:jc w:val="center"/>
                    <w:rPr>
                      <w:rFonts w:hint="default" w:eastAsia="宋体"/>
                      <w:color w:val="auto"/>
                      <w:sz w:val="21"/>
                      <w:szCs w:val="21"/>
                      <w:highlight w:val="none"/>
                      <w:lang w:val="en-US" w:eastAsia="zh-CN"/>
                    </w:rPr>
                  </w:pPr>
                  <w:r>
                    <w:rPr>
                      <w:rFonts w:hint="eastAsia" w:cs="Times New Roman"/>
                      <w:b w:val="0"/>
                      <w:bCs/>
                      <w:color w:val="auto"/>
                      <w:spacing w:val="0"/>
                      <w:kern w:val="2"/>
                      <w:position w:val="0"/>
                      <w:sz w:val="21"/>
                      <w:szCs w:val="21"/>
                      <w:highlight w:val="none"/>
                      <w:lang w:val="en-US" w:eastAsia="zh-CN" w:bidi="ar-SA"/>
                    </w:rPr>
                    <w:t>0.6</w:t>
                  </w:r>
                </w:p>
              </w:tc>
              <w:tc>
                <w:tcPr>
                  <w:tcW w:w="765" w:type="dxa"/>
                  <w:vMerge w:val="continue"/>
                  <w:tcBorders>
                    <w:tl2br w:val="nil"/>
                    <w:tr2bl w:val="nil"/>
                  </w:tcBorders>
                  <w:noWrap w:val="0"/>
                  <w:vAlign w:val="center"/>
                </w:tcPr>
                <w:p w14:paraId="6521BA37">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110" w:type="dxa"/>
                  <w:tcBorders>
                    <w:tl2br w:val="nil"/>
                    <w:tr2bl w:val="nil"/>
                  </w:tcBorders>
                  <w:noWrap w:val="0"/>
                  <w:vAlign w:val="center"/>
                </w:tcPr>
                <w:p w14:paraId="61DBA917">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 w:val="0"/>
                      <w:color w:val="auto"/>
                      <w:sz w:val="21"/>
                      <w:szCs w:val="21"/>
                      <w:highlight w:val="none"/>
                    </w:rPr>
                  </w:pPr>
                  <w:r>
                    <w:rPr>
                      <w:rFonts w:hint="eastAsia" w:ascii="Times New Roman" w:hAnsi="Times New Roman"/>
                      <w:b w:val="0"/>
                      <w:color w:val="auto"/>
                      <w:sz w:val="21"/>
                      <w:szCs w:val="21"/>
                      <w:highlight w:val="none"/>
                    </w:rPr>
                    <w:t>挥发性有机物含量</w:t>
                  </w:r>
                </w:p>
              </w:tc>
              <w:tc>
                <w:tcPr>
                  <w:tcW w:w="817" w:type="dxa"/>
                  <w:tcBorders>
                    <w:tl2br w:val="nil"/>
                    <w:tr2bl w:val="nil"/>
                  </w:tcBorders>
                  <w:noWrap w:val="0"/>
                  <w:vAlign w:val="center"/>
                </w:tcPr>
                <w:p w14:paraId="5F0B6707">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0.6</w:t>
                  </w:r>
                </w:p>
              </w:tc>
              <w:tc>
                <w:tcPr>
                  <w:tcW w:w="1388" w:type="dxa"/>
                  <w:vMerge w:val="continue"/>
                  <w:tcBorders>
                    <w:tl2br w:val="nil"/>
                    <w:tr2bl w:val="nil"/>
                  </w:tcBorders>
                  <w:noWrap w:val="0"/>
                  <w:vAlign w:val="center"/>
                </w:tcPr>
                <w:p w14:paraId="580FE771">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1005" w:type="dxa"/>
                  <w:tcBorders>
                    <w:tl2br w:val="nil"/>
                    <w:tr2bl w:val="nil"/>
                  </w:tcBorders>
                  <w:noWrap w:val="0"/>
                  <w:vAlign w:val="center"/>
                </w:tcPr>
                <w:p w14:paraId="14904DF9">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eastAsia="宋体"/>
                      <w:b w:val="0"/>
                      <w:color w:val="auto"/>
                      <w:sz w:val="21"/>
                      <w:szCs w:val="21"/>
                      <w:highlight w:val="none"/>
                      <w:lang w:val="en-US" w:eastAsia="zh-CN"/>
                    </w:rPr>
                  </w:pPr>
                  <w:r>
                    <w:rPr>
                      <w:rFonts w:hint="eastAsia"/>
                      <w:b w:val="0"/>
                      <w:color w:val="auto"/>
                      <w:sz w:val="21"/>
                      <w:szCs w:val="21"/>
                      <w:highlight w:val="none"/>
                      <w:lang w:val="en-US" w:eastAsia="zh-CN"/>
                    </w:rPr>
                    <w:t>/</w:t>
                  </w:r>
                </w:p>
              </w:tc>
              <w:tc>
                <w:tcPr>
                  <w:tcW w:w="1030" w:type="dxa"/>
                  <w:tcBorders>
                    <w:tl2br w:val="nil"/>
                    <w:tr2bl w:val="nil"/>
                  </w:tcBorders>
                  <w:noWrap w:val="0"/>
                  <w:vAlign w:val="center"/>
                </w:tcPr>
                <w:p w14:paraId="5E73114F">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b w:val="0"/>
                      <w:color w:val="auto"/>
                      <w:sz w:val="21"/>
                      <w:szCs w:val="21"/>
                      <w:highlight w:val="none"/>
                      <w:lang w:val="en-US" w:eastAsia="zh-CN"/>
                    </w:rPr>
                  </w:pPr>
                  <w:r>
                    <w:rPr>
                      <w:rFonts w:hint="eastAsia"/>
                      <w:b w:val="0"/>
                      <w:color w:val="auto"/>
                      <w:sz w:val="21"/>
                      <w:szCs w:val="21"/>
                      <w:highlight w:val="none"/>
                      <w:lang w:val="en-US" w:eastAsia="zh-CN"/>
                    </w:rPr>
                    <w:t>/</w:t>
                  </w:r>
                </w:p>
              </w:tc>
            </w:tr>
            <w:tr w14:paraId="152CB0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dxa"/>
                  <w:vMerge w:val="continue"/>
                  <w:tcBorders>
                    <w:tl2br w:val="nil"/>
                    <w:tr2bl w:val="nil"/>
                  </w:tcBorders>
                  <w:noWrap w:val="0"/>
                  <w:vAlign w:val="center"/>
                </w:tcPr>
                <w:p w14:paraId="10290707">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p>
              </w:tc>
              <w:tc>
                <w:tcPr>
                  <w:tcW w:w="901" w:type="dxa"/>
                  <w:tcBorders>
                    <w:tl2br w:val="nil"/>
                    <w:tr2bl w:val="nil"/>
                  </w:tcBorders>
                  <w:noWrap w:val="0"/>
                  <w:vAlign w:val="center"/>
                </w:tcPr>
                <w:p w14:paraId="67CEC750">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r>
                    <w:rPr>
                      <w:rFonts w:hint="eastAsia" w:ascii="Times New Roman" w:hAnsi="Times New Roman"/>
                      <w:bCs/>
                      <w:color w:val="auto"/>
                      <w:sz w:val="21"/>
                      <w:szCs w:val="21"/>
                      <w:highlight w:val="none"/>
                    </w:rPr>
                    <w:t>合计</w:t>
                  </w:r>
                </w:p>
              </w:tc>
              <w:tc>
                <w:tcPr>
                  <w:tcW w:w="795" w:type="dxa"/>
                  <w:tcBorders>
                    <w:tl2br w:val="nil"/>
                    <w:tr2bl w:val="nil"/>
                  </w:tcBorders>
                  <w:noWrap w:val="0"/>
                  <w:vAlign w:val="center"/>
                </w:tcPr>
                <w:p w14:paraId="0BFDE4EF">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6.3</w:t>
                  </w:r>
                </w:p>
              </w:tc>
              <w:tc>
                <w:tcPr>
                  <w:tcW w:w="765" w:type="dxa"/>
                  <w:tcBorders>
                    <w:tl2br w:val="nil"/>
                    <w:tr2bl w:val="nil"/>
                  </w:tcBorders>
                  <w:noWrap w:val="0"/>
                  <w:vAlign w:val="center"/>
                </w:tcPr>
                <w:p w14:paraId="0B4D0F1E">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r>
                    <w:rPr>
                      <w:rFonts w:hint="eastAsia" w:ascii="Times New Roman" w:hAnsi="Times New Roman"/>
                      <w:b w:val="0"/>
                      <w:color w:val="auto"/>
                      <w:sz w:val="21"/>
                      <w:szCs w:val="21"/>
                      <w:highlight w:val="none"/>
                    </w:rPr>
                    <w:t>/</w:t>
                  </w:r>
                </w:p>
              </w:tc>
              <w:tc>
                <w:tcPr>
                  <w:tcW w:w="1110" w:type="dxa"/>
                  <w:tcBorders>
                    <w:tl2br w:val="nil"/>
                    <w:tr2bl w:val="nil"/>
                  </w:tcBorders>
                  <w:noWrap w:val="0"/>
                  <w:vAlign w:val="center"/>
                </w:tcPr>
                <w:p w14:paraId="54C1E74C">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r>
                    <w:rPr>
                      <w:rFonts w:hint="eastAsia" w:ascii="Times New Roman" w:hAnsi="Times New Roman"/>
                      <w:bCs/>
                      <w:color w:val="auto"/>
                      <w:sz w:val="21"/>
                      <w:szCs w:val="21"/>
                      <w:highlight w:val="none"/>
                    </w:rPr>
                    <w:t>合计</w:t>
                  </w:r>
                </w:p>
              </w:tc>
              <w:tc>
                <w:tcPr>
                  <w:tcW w:w="817" w:type="dxa"/>
                  <w:tcBorders>
                    <w:tl2br w:val="nil"/>
                    <w:tr2bl w:val="nil"/>
                  </w:tcBorders>
                  <w:noWrap w:val="0"/>
                  <w:vAlign w:val="center"/>
                </w:tcPr>
                <w:p w14:paraId="1C82E8AC">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6.3</w:t>
                  </w:r>
                </w:p>
              </w:tc>
              <w:tc>
                <w:tcPr>
                  <w:tcW w:w="1388" w:type="dxa"/>
                  <w:tcBorders>
                    <w:tl2br w:val="nil"/>
                    <w:tr2bl w:val="nil"/>
                  </w:tcBorders>
                  <w:noWrap w:val="0"/>
                  <w:vAlign w:val="center"/>
                </w:tcPr>
                <w:p w14:paraId="4A18AF29">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r>
                    <w:rPr>
                      <w:rFonts w:hint="eastAsia" w:ascii="Times New Roman" w:hAnsi="Times New Roman"/>
                      <w:b w:val="0"/>
                      <w:color w:val="auto"/>
                      <w:sz w:val="21"/>
                      <w:szCs w:val="21"/>
                      <w:highlight w:val="none"/>
                    </w:rPr>
                    <w:t>/</w:t>
                  </w:r>
                </w:p>
              </w:tc>
              <w:tc>
                <w:tcPr>
                  <w:tcW w:w="1005" w:type="dxa"/>
                  <w:tcBorders>
                    <w:tl2br w:val="nil"/>
                    <w:tr2bl w:val="nil"/>
                  </w:tcBorders>
                  <w:noWrap w:val="0"/>
                  <w:vAlign w:val="center"/>
                </w:tcPr>
                <w:p w14:paraId="66FE741E">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eastAsia" w:ascii="Times New Roman" w:hAnsi="Times New Roman"/>
                      <w:bCs/>
                      <w:color w:val="auto"/>
                      <w:sz w:val="21"/>
                      <w:szCs w:val="21"/>
                      <w:highlight w:val="none"/>
                    </w:rPr>
                  </w:pPr>
                  <w:r>
                    <w:rPr>
                      <w:rFonts w:hint="eastAsia" w:ascii="Times New Roman" w:hAnsi="Times New Roman"/>
                      <w:bCs/>
                      <w:color w:val="auto"/>
                      <w:sz w:val="21"/>
                      <w:szCs w:val="21"/>
                      <w:highlight w:val="none"/>
                    </w:rPr>
                    <w:t>合计</w:t>
                  </w:r>
                </w:p>
              </w:tc>
              <w:tc>
                <w:tcPr>
                  <w:tcW w:w="1030" w:type="dxa"/>
                  <w:tcBorders>
                    <w:tl2br w:val="nil"/>
                    <w:tr2bl w:val="nil"/>
                  </w:tcBorders>
                  <w:noWrap w:val="0"/>
                  <w:vAlign w:val="center"/>
                </w:tcPr>
                <w:p w14:paraId="5D605704">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6.3</w:t>
                  </w:r>
                </w:p>
              </w:tc>
            </w:tr>
          </w:tbl>
          <w:p w14:paraId="7D5B3A68">
            <w:pPr>
              <w:autoSpaceDE w:val="0"/>
              <w:autoSpaceDN w:val="0"/>
              <w:adjustRightInd w:val="0"/>
              <w:snapToGrid w:val="0"/>
              <w:spacing w:before="120" w:beforeLines="50" w:line="360" w:lineRule="auto"/>
              <w:ind w:firstLine="480" w:firstLineChars="200"/>
              <w:jc w:val="left"/>
              <w:rPr>
                <w:rFonts w:hint="eastAsia" w:ascii="Times New Roman" w:hAnsi="Times New Roman" w:eastAsia="宋体" w:cs="Times New Roman"/>
                <w:b w:val="0"/>
                <w:bCs w:val="0"/>
                <w:color w:val="auto"/>
                <w:spacing w:val="0"/>
                <w:kern w:val="0"/>
                <w:position w:val="0"/>
                <w:sz w:val="24"/>
                <w:highlight w:val="none"/>
              </w:rPr>
            </w:pPr>
            <w:r>
              <w:rPr>
                <w:rFonts w:hint="eastAsia" w:ascii="Times New Roman" w:hAnsi="Times New Roman" w:eastAsia="宋体" w:cs="Times New Roman"/>
                <w:b w:val="0"/>
                <w:bCs w:val="0"/>
                <w:color w:val="auto"/>
                <w:spacing w:val="0"/>
                <w:kern w:val="0"/>
                <w:position w:val="0"/>
                <w:sz w:val="24"/>
                <w:highlight w:val="none"/>
                <w:lang w:val="en-US" w:eastAsia="zh-CN"/>
              </w:rPr>
              <w:t>项目挥发性有机物（以非甲烷总烃计）平衡分析详见下表：</w:t>
            </w:r>
          </w:p>
          <w:p w14:paraId="0CDA799A">
            <w:pPr>
              <w:pStyle w:val="72"/>
              <w:keepNext w:val="0"/>
              <w:keepLines w:val="0"/>
              <w:pageBreakBefore w:val="0"/>
              <w:widowControl/>
              <w:tabs>
                <w:tab w:val="left" w:pos="4507"/>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表</w:t>
            </w:r>
            <w:r>
              <w:rPr>
                <w:rFonts w:hint="eastAsia" w:ascii="Times New Roman" w:hAnsi="Times New Roman" w:eastAsia="宋体" w:cs="Times New Roman"/>
                <w:color w:val="auto"/>
                <w:spacing w:val="0"/>
                <w:position w:val="0"/>
                <w:highlight w:val="none"/>
                <w:lang w:val="en-US" w:eastAsia="zh-CN"/>
              </w:rPr>
              <w:t>2.7-2</w:t>
            </w:r>
            <w:r>
              <w:rPr>
                <w:rFonts w:hint="default" w:ascii="Times New Roman" w:hAnsi="Times New Roman" w:eastAsia="宋体" w:cs="Times New Roman"/>
                <w:color w:val="auto"/>
                <w:spacing w:val="0"/>
                <w:position w:val="0"/>
                <w:highlight w:val="none"/>
                <w:lang w:val="en-US" w:eastAsia="zh-CN"/>
              </w:rPr>
              <w:t xml:space="preserve"> </w:t>
            </w:r>
            <w:r>
              <w:rPr>
                <w:rFonts w:hint="eastAsia" w:ascii="Times New Roman" w:hAnsi="Times New Roman" w:eastAsia="宋体" w:cs="Times New Roman"/>
                <w:color w:val="auto"/>
                <w:spacing w:val="0"/>
                <w:position w:val="0"/>
                <w:highlight w:val="none"/>
                <w:lang w:val="en-US" w:eastAsia="zh-CN"/>
              </w:rPr>
              <w:t>项目</w:t>
            </w:r>
            <w:r>
              <w:rPr>
                <w:rFonts w:hint="eastAsia" w:ascii="Times New Roman" w:hAnsi="Times New Roman" w:eastAsia="宋体" w:cs="Times New Roman"/>
                <w:color w:val="auto"/>
                <w:spacing w:val="0"/>
                <w:position w:val="0"/>
                <w:sz w:val="24"/>
                <w:szCs w:val="24"/>
                <w:highlight w:val="none"/>
                <w:lang w:val="en-US" w:eastAsia="zh-CN"/>
              </w:rPr>
              <w:t>挥发有机物</w:t>
            </w:r>
            <w:r>
              <w:rPr>
                <w:rFonts w:hint="default" w:ascii="Times New Roman" w:hAnsi="Times New Roman" w:eastAsia="宋体" w:cs="Times New Roman"/>
                <w:color w:val="auto"/>
                <w:spacing w:val="0"/>
                <w:position w:val="0"/>
                <w:highlight w:val="none"/>
                <w:lang w:val="en-US" w:eastAsia="zh-CN"/>
              </w:rPr>
              <w:t>物料平衡表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64"/>
              <w:gridCol w:w="2525"/>
              <w:gridCol w:w="2232"/>
              <w:gridCol w:w="2060"/>
            </w:tblGrid>
            <w:tr w14:paraId="70799A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89" w:type="dxa"/>
                  <w:gridSpan w:val="2"/>
                  <w:tcBorders>
                    <w:tl2br w:val="nil"/>
                    <w:tr2bl w:val="nil"/>
                  </w:tcBorders>
                  <w:noWrap w:val="0"/>
                  <w:vAlign w:val="center"/>
                </w:tcPr>
                <w:p w14:paraId="0B6A244D">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原料项</w:t>
                  </w:r>
                </w:p>
              </w:tc>
              <w:tc>
                <w:tcPr>
                  <w:tcW w:w="4292" w:type="dxa"/>
                  <w:gridSpan w:val="2"/>
                  <w:tcBorders>
                    <w:tl2br w:val="nil"/>
                    <w:tr2bl w:val="nil"/>
                  </w:tcBorders>
                  <w:noWrap w:val="0"/>
                  <w:vAlign w:val="center"/>
                </w:tcPr>
                <w:p w14:paraId="3A4D8922">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产出项</w:t>
                  </w:r>
                </w:p>
              </w:tc>
            </w:tr>
            <w:tr w14:paraId="21FBF3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noWrap w:val="0"/>
                  <w:vAlign w:val="center"/>
                </w:tcPr>
                <w:p w14:paraId="597D857A">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物料名称</w:t>
                  </w:r>
                </w:p>
              </w:tc>
              <w:tc>
                <w:tcPr>
                  <w:tcW w:w="2525" w:type="dxa"/>
                  <w:tcBorders>
                    <w:tl2br w:val="nil"/>
                    <w:tr2bl w:val="nil"/>
                  </w:tcBorders>
                  <w:noWrap w:val="0"/>
                  <w:vAlign w:val="center"/>
                </w:tcPr>
                <w:p w14:paraId="03D01F78">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lang w:val="en-US" w:eastAsia="zh-CN"/>
                    </w:rPr>
                    <w:t>挥发性有机物含量（t/a）</w:t>
                  </w:r>
                </w:p>
              </w:tc>
              <w:tc>
                <w:tcPr>
                  <w:tcW w:w="2232" w:type="dxa"/>
                  <w:tcBorders>
                    <w:tl2br w:val="nil"/>
                    <w:tr2bl w:val="nil"/>
                  </w:tcBorders>
                  <w:noWrap w:val="0"/>
                  <w:vAlign w:val="center"/>
                </w:tcPr>
                <w:p w14:paraId="4B8CBF06">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产出项名称</w:t>
                  </w:r>
                </w:p>
              </w:tc>
              <w:tc>
                <w:tcPr>
                  <w:tcW w:w="2060" w:type="dxa"/>
                  <w:tcBorders>
                    <w:tl2br w:val="nil"/>
                    <w:tr2bl w:val="nil"/>
                  </w:tcBorders>
                  <w:noWrap w:val="0"/>
                  <w:vAlign w:val="center"/>
                </w:tcPr>
                <w:p w14:paraId="40404A5B">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数量（t/a）</w:t>
                  </w:r>
                </w:p>
              </w:tc>
            </w:tr>
            <w:tr w14:paraId="725ED4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noWrap w:val="0"/>
                  <w:vAlign w:val="center"/>
                </w:tcPr>
                <w:p w14:paraId="7F579286">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b w:val="0"/>
                      <w:color w:val="auto"/>
                      <w:sz w:val="21"/>
                      <w:szCs w:val="21"/>
                      <w:highlight w:val="none"/>
                      <w:lang w:val="en-US" w:eastAsia="zh-CN"/>
                    </w:rPr>
                    <w:t>油性</w:t>
                  </w:r>
                  <w:r>
                    <w:rPr>
                      <w:rFonts w:hint="eastAsia" w:ascii="Times New Roman" w:hAnsi="Times New Roman"/>
                      <w:b w:val="0"/>
                      <w:color w:val="auto"/>
                      <w:sz w:val="21"/>
                      <w:szCs w:val="21"/>
                      <w:highlight w:val="none"/>
                    </w:rPr>
                    <w:t>漆</w:t>
                  </w:r>
                </w:p>
              </w:tc>
              <w:tc>
                <w:tcPr>
                  <w:tcW w:w="2525" w:type="dxa"/>
                  <w:tcBorders>
                    <w:tl2br w:val="nil"/>
                    <w:tr2bl w:val="nil"/>
                  </w:tcBorders>
                  <w:noWrap w:val="0"/>
                  <w:vAlign w:val="center"/>
                </w:tcPr>
                <w:p w14:paraId="6CAABBDE">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17124824">
                  <w:pPr>
                    <w:pStyle w:val="63"/>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有组织排放量</w:t>
                  </w:r>
                </w:p>
              </w:tc>
              <w:tc>
                <w:tcPr>
                  <w:tcW w:w="2060" w:type="dxa"/>
                  <w:tcBorders>
                    <w:tl2br w:val="nil"/>
                    <w:tr2bl w:val="nil"/>
                  </w:tcBorders>
                  <w:shd w:val="clear" w:color="auto" w:fill="auto"/>
                  <w:noWrap w:val="0"/>
                  <w:vAlign w:val="center"/>
                </w:tcPr>
                <w:p w14:paraId="7DF79C44">
                  <w:pPr>
                    <w:keepNext w:val="0"/>
                    <w:keepLines w:val="0"/>
                    <w:pageBreakBefore w:val="0"/>
                    <w:widowControl/>
                    <w:kinsoku/>
                    <w:wordWrap/>
                    <w:overflowPunct/>
                    <w:topLinePunct w:val="0"/>
                    <w:bidi w:val="0"/>
                    <w:spacing w:line="240" w:lineRule="auto"/>
                    <w:ind w:left="0" w:leftChars="0" w:firstLine="0" w:firstLine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r w14:paraId="6E39CB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3FD4A8B2">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b w:val="0"/>
                      <w:color w:val="auto"/>
                      <w:sz w:val="21"/>
                      <w:szCs w:val="21"/>
                      <w:highlight w:val="none"/>
                      <w:lang w:val="en-US" w:eastAsia="zh-CN"/>
                    </w:rPr>
                    <w:t>水性</w:t>
                  </w:r>
                  <w:r>
                    <w:rPr>
                      <w:rFonts w:hint="eastAsia" w:ascii="Times New Roman" w:hAnsi="Times New Roman"/>
                      <w:b w:val="0"/>
                      <w:color w:val="auto"/>
                      <w:sz w:val="21"/>
                      <w:szCs w:val="21"/>
                      <w:highlight w:val="none"/>
                    </w:rPr>
                    <w:t>漆</w:t>
                  </w:r>
                </w:p>
              </w:tc>
              <w:tc>
                <w:tcPr>
                  <w:tcW w:w="2525" w:type="dxa"/>
                  <w:tcBorders>
                    <w:tl2br w:val="nil"/>
                    <w:tr2bl w:val="nil"/>
                  </w:tcBorders>
                  <w:shd w:val="clear" w:color="auto" w:fill="auto"/>
                  <w:noWrap w:val="0"/>
                  <w:vAlign w:val="center"/>
                </w:tcPr>
                <w:p w14:paraId="3A6DBFAA">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6C9E8F34">
                  <w:pPr>
                    <w:pStyle w:val="63"/>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消减量</w:t>
                  </w:r>
                </w:p>
              </w:tc>
              <w:tc>
                <w:tcPr>
                  <w:tcW w:w="2060" w:type="dxa"/>
                  <w:tcBorders>
                    <w:tl2br w:val="nil"/>
                    <w:tr2bl w:val="nil"/>
                  </w:tcBorders>
                  <w:shd w:val="clear" w:color="auto" w:fill="auto"/>
                  <w:noWrap w:val="0"/>
                  <w:vAlign w:val="center"/>
                </w:tcPr>
                <w:p w14:paraId="0024DEFD">
                  <w:pPr>
                    <w:keepNext w:val="0"/>
                    <w:keepLines w:val="0"/>
                    <w:pageBreakBefore w:val="0"/>
                    <w:widowControl/>
                    <w:kinsoku/>
                    <w:wordWrap/>
                    <w:overflowPunct/>
                    <w:topLinePunct w:val="0"/>
                    <w:bidi w:val="0"/>
                    <w:spacing w:line="240" w:lineRule="auto"/>
                    <w:ind w:left="0" w:leftChars="0" w:firstLine="0" w:firstLine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r w14:paraId="7A7412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328D7402">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b w:val="0"/>
                      <w:color w:val="auto"/>
                      <w:sz w:val="21"/>
                      <w:szCs w:val="21"/>
                      <w:highlight w:val="none"/>
                    </w:rPr>
                    <w:t>固化剂</w:t>
                  </w:r>
                </w:p>
              </w:tc>
              <w:tc>
                <w:tcPr>
                  <w:tcW w:w="2525" w:type="dxa"/>
                  <w:tcBorders>
                    <w:tl2br w:val="nil"/>
                    <w:tr2bl w:val="nil"/>
                  </w:tcBorders>
                  <w:shd w:val="clear" w:color="auto" w:fill="auto"/>
                  <w:noWrap w:val="0"/>
                  <w:vAlign w:val="center"/>
                </w:tcPr>
                <w:p w14:paraId="4FF8B45B">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59D0A80B">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eastAsia" w:ascii="Times New Roman" w:hAnsi="Times New Roman" w:eastAsia="宋体" w:cs="Times New Roman"/>
                      <w:b w:val="0"/>
                      <w:bCs/>
                      <w:color w:val="auto"/>
                      <w:spacing w:val="0"/>
                      <w:kern w:val="2"/>
                      <w:position w:val="0"/>
                      <w:sz w:val="21"/>
                      <w:szCs w:val="21"/>
                      <w:highlight w:val="none"/>
                      <w:lang w:val="en-US" w:eastAsia="zh-CN" w:bidi="ar-SA"/>
                    </w:rPr>
                    <w:t>无组织排放量</w:t>
                  </w:r>
                </w:p>
              </w:tc>
              <w:tc>
                <w:tcPr>
                  <w:tcW w:w="2060" w:type="dxa"/>
                  <w:tcBorders>
                    <w:tl2br w:val="nil"/>
                    <w:tr2bl w:val="nil"/>
                  </w:tcBorders>
                  <w:shd w:val="clear" w:color="auto" w:fill="auto"/>
                  <w:noWrap w:val="0"/>
                  <w:vAlign w:val="center"/>
                </w:tcPr>
                <w:p w14:paraId="640CBD57">
                  <w:pPr>
                    <w:keepNext w:val="0"/>
                    <w:keepLines w:val="0"/>
                    <w:pageBreakBefore w:val="0"/>
                    <w:widowControl/>
                    <w:kinsoku/>
                    <w:wordWrap/>
                    <w:overflowPunct/>
                    <w:topLinePunct w:val="0"/>
                    <w:bidi w:val="0"/>
                    <w:spacing w:line="240" w:lineRule="auto"/>
                    <w:ind w:left="0" w:leftChars="0" w:firstLine="0" w:firstLine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r w14:paraId="4438A1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46B872CC">
                  <w:pPr>
                    <w:pStyle w:val="65"/>
                    <w:keepNext w:val="0"/>
                    <w:keepLines w:val="0"/>
                    <w:pageBreakBefore w:val="0"/>
                    <w:widowControl w:val="0"/>
                    <w:kinsoku/>
                    <w:wordWrap/>
                    <w:overflowPunct/>
                    <w:topLinePunct w:val="0"/>
                    <w:bidi w:val="0"/>
                    <w:adjustRightInd w:val="0"/>
                    <w:snapToGrid w:val="0"/>
                    <w:spacing w:before="0" w:after="0" w:afterLines="0" w:line="240" w:lineRule="auto"/>
                    <w:ind w:left="0" w:leftChars="0" w:firstLine="0" w:firstLine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b w:val="0"/>
                      <w:color w:val="auto"/>
                      <w:sz w:val="21"/>
                      <w:szCs w:val="21"/>
                      <w:highlight w:val="none"/>
                    </w:rPr>
                    <w:t>稀释剂</w:t>
                  </w:r>
                </w:p>
              </w:tc>
              <w:tc>
                <w:tcPr>
                  <w:tcW w:w="2525" w:type="dxa"/>
                  <w:tcBorders>
                    <w:tl2br w:val="nil"/>
                    <w:tr2bl w:val="nil"/>
                  </w:tcBorders>
                  <w:shd w:val="clear" w:color="auto" w:fill="auto"/>
                  <w:noWrap w:val="0"/>
                  <w:vAlign w:val="center"/>
                </w:tcPr>
                <w:p w14:paraId="48EAD0B6">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2CF92381">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eastAsia" w:ascii="Times New Roman" w:hAnsi="Times New Roman" w:eastAsia="宋体" w:cs="Times New Roman"/>
                      <w:b w:val="0"/>
                      <w:bCs/>
                      <w:color w:val="auto"/>
                      <w:spacing w:val="0"/>
                      <w:kern w:val="2"/>
                      <w:position w:val="0"/>
                      <w:sz w:val="21"/>
                      <w:szCs w:val="21"/>
                      <w:highlight w:val="none"/>
                      <w:lang w:val="en-US" w:eastAsia="zh-CN" w:bidi="ar-SA"/>
                    </w:rPr>
                    <w:t>/</w:t>
                  </w:r>
                </w:p>
              </w:tc>
              <w:tc>
                <w:tcPr>
                  <w:tcW w:w="2060" w:type="dxa"/>
                  <w:tcBorders>
                    <w:tl2br w:val="nil"/>
                    <w:tr2bl w:val="nil"/>
                  </w:tcBorders>
                  <w:shd w:val="clear" w:color="auto" w:fill="auto"/>
                  <w:noWrap w:val="0"/>
                  <w:vAlign w:val="center"/>
                </w:tcPr>
                <w:p w14:paraId="7C6BD34D">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r w14:paraId="57E806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40DF6DED">
                  <w:pPr>
                    <w:keepNext w:val="0"/>
                    <w:keepLines w:val="0"/>
                    <w:pageBreakBefore w:val="0"/>
                    <w:kinsoku/>
                    <w:wordWrap/>
                    <w:overflowPunct/>
                    <w:topLinePunct w:val="0"/>
                    <w:autoSpaceDE w:val="0"/>
                    <w:autoSpaceDN w:val="0"/>
                    <w:bidi w:val="0"/>
                    <w:adjustRightInd/>
                    <w:spacing w:line="240" w:lineRule="auto"/>
                    <w:ind w:leftChars="0"/>
                    <w:jc w:val="center"/>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合计</w:t>
                  </w:r>
                </w:p>
              </w:tc>
              <w:tc>
                <w:tcPr>
                  <w:tcW w:w="2525" w:type="dxa"/>
                  <w:tcBorders>
                    <w:tl2br w:val="nil"/>
                    <w:tr2bl w:val="nil"/>
                  </w:tcBorders>
                  <w:shd w:val="clear" w:color="auto" w:fill="auto"/>
                  <w:noWrap w:val="0"/>
                  <w:vAlign w:val="center"/>
                </w:tcPr>
                <w:p w14:paraId="61780537">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17A9B06F">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合计</w:t>
                  </w:r>
                </w:p>
              </w:tc>
              <w:tc>
                <w:tcPr>
                  <w:tcW w:w="2060" w:type="dxa"/>
                  <w:tcBorders>
                    <w:tl2br w:val="nil"/>
                    <w:tr2bl w:val="nil"/>
                  </w:tcBorders>
                  <w:shd w:val="clear" w:color="auto" w:fill="auto"/>
                  <w:noWrap w:val="0"/>
                  <w:vAlign w:val="center"/>
                </w:tcPr>
                <w:p w14:paraId="5F50696F">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bl>
          <w:p w14:paraId="3F032438">
            <w:pPr>
              <w:autoSpaceDE w:val="0"/>
              <w:autoSpaceDN w:val="0"/>
              <w:adjustRightInd w:val="0"/>
              <w:snapToGrid w:val="0"/>
              <w:spacing w:before="120" w:beforeLines="50" w:line="360" w:lineRule="auto"/>
              <w:ind w:firstLine="480" w:firstLineChars="200"/>
              <w:jc w:val="left"/>
              <w:rPr>
                <w:rFonts w:hint="eastAsia" w:ascii="Times New Roman" w:hAnsi="Times New Roman" w:eastAsia="宋体" w:cs="Times New Roman"/>
                <w:b w:val="0"/>
                <w:bCs w:val="0"/>
                <w:color w:val="auto"/>
                <w:spacing w:val="0"/>
                <w:kern w:val="0"/>
                <w:position w:val="0"/>
                <w:sz w:val="24"/>
                <w:highlight w:val="none"/>
              </w:rPr>
            </w:pPr>
            <w:r>
              <w:rPr>
                <w:rFonts w:hint="eastAsia" w:ascii="Times New Roman" w:hAnsi="Times New Roman" w:eastAsia="宋体" w:cs="Times New Roman"/>
                <w:b w:val="0"/>
                <w:bCs w:val="0"/>
                <w:color w:val="auto"/>
                <w:spacing w:val="0"/>
                <w:kern w:val="0"/>
                <w:position w:val="0"/>
                <w:sz w:val="24"/>
                <w:highlight w:val="none"/>
                <w:lang w:val="en-US" w:eastAsia="zh-CN"/>
              </w:rPr>
              <w:t>项目二甲苯平衡分析详见下表：</w:t>
            </w:r>
          </w:p>
          <w:p w14:paraId="1D1850A8">
            <w:pPr>
              <w:pStyle w:val="72"/>
              <w:keepNext w:val="0"/>
              <w:keepLines w:val="0"/>
              <w:pageBreakBefore w:val="0"/>
              <w:widowControl/>
              <w:tabs>
                <w:tab w:val="left" w:pos="4507"/>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表</w:t>
            </w:r>
            <w:r>
              <w:rPr>
                <w:rFonts w:hint="eastAsia" w:ascii="Times New Roman" w:hAnsi="Times New Roman" w:eastAsia="宋体" w:cs="Times New Roman"/>
                <w:color w:val="auto"/>
                <w:spacing w:val="0"/>
                <w:position w:val="0"/>
                <w:highlight w:val="none"/>
                <w:lang w:val="en-US" w:eastAsia="zh-CN"/>
              </w:rPr>
              <w:t>2.7-</w:t>
            </w:r>
            <w:r>
              <w:rPr>
                <w:rFonts w:hint="eastAsia" w:cs="Times New Roman"/>
                <w:color w:val="auto"/>
                <w:spacing w:val="0"/>
                <w:position w:val="0"/>
                <w:highlight w:val="none"/>
                <w:lang w:val="en-US" w:eastAsia="zh-CN"/>
              </w:rPr>
              <w:t>3</w:t>
            </w:r>
            <w:r>
              <w:rPr>
                <w:rFonts w:hint="default" w:ascii="Times New Roman" w:hAnsi="Times New Roman" w:eastAsia="宋体" w:cs="Times New Roman"/>
                <w:color w:val="auto"/>
                <w:spacing w:val="0"/>
                <w:position w:val="0"/>
                <w:highlight w:val="none"/>
                <w:lang w:val="en-US" w:eastAsia="zh-CN"/>
              </w:rPr>
              <w:t xml:space="preserve"> </w:t>
            </w:r>
            <w:r>
              <w:rPr>
                <w:rFonts w:hint="eastAsia" w:ascii="Times New Roman" w:hAnsi="Times New Roman" w:eastAsia="宋体" w:cs="Times New Roman"/>
                <w:color w:val="auto"/>
                <w:spacing w:val="0"/>
                <w:position w:val="0"/>
                <w:highlight w:val="none"/>
                <w:lang w:val="en-US" w:eastAsia="zh-CN"/>
              </w:rPr>
              <w:t>项目苯系物</w:t>
            </w:r>
            <w:r>
              <w:rPr>
                <w:rFonts w:hint="eastAsia" w:cs="Times New Roman"/>
                <w:color w:val="auto"/>
                <w:spacing w:val="0"/>
                <w:position w:val="0"/>
                <w:highlight w:val="none"/>
                <w:lang w:val="en-US" w:eastAsia="zh-CN"/>
              </w:rPr>
              <w:t>（</w:t>
            </w:r>
            <w:r>
              <w:rPr>
                <w:rFonts w:hint="eastAsia" w:ascii="Times New Roman" w:hAnsi="Times New Roman" w:eastAsia="宋体" w:cs="Times New Roman"/>
                <w:b/>
                <w:bCs/>
                <w:color w:val="auto"/>
                <w:spacing w:val="0"/>
                <w:kern w:val="0"/>
                <w:position w:val="0"/>
                <w:sz w:val="24"/>
                <w:highlight w:val="none"/>
                <w:lang w:val="en-US" w:eastAsia="zh-CN"/>
              </w:rPr>
              <w:t>二甲苯</w:t>
            </w:r>
            <w:r>
              <w:rPr>
                <w:rFonts w:hint="eastAsia" w:cs="Times New Roman"/>
                <w:b/>
                <w:bCs/>
                <w:color w:val="auto"/>
                <w:spacing w:val="0"/>
                <w:position w:val="0"/>
                <w:highlight w:val="none"/>
                <w:lang w:val="en-US" w:eastAsia="zh-CN"/>
              </w:rPr>
              <w:t>）</w:t>
            </w:r>
            <w:r>
              <w:rPr>
                <w:rFonts w:hint="default" w:ascii="Times New Roman" w:hAnsi="Times New Roman" w:eastAsia="宋体" w:cs="Times New Roman"/>
                <w:b/>
                <w:bCs/>
                <w:color w:val="auto"/>
                <w:spacing w:val="0"/>
                <w:position w:val="0"/>
                <w:highlight w:val="none"/>
                <w:lang w:val="en-US" w:eastAsia="zh-CN"/>
              </w:rPr>
              <w:t>物</w:t>
            </w:r>
            <w:r>
              <w:rPr>
                <w:rFonts w:hint="default" w:ascii="Times New Roman" w:hAnsi="Times New Roman" w:eastAsia="宋体" w:cs="Times New Roman"/>
                <w:color w:val="auto"/>
                <w:spacing w:val="0"/>
                <w:position w:val="0"/>
                <w:highlight w:val="none"/>
                <w:lang w:val="en-US" w:eastAsia="zh-CN"/>
              </w:rPr>
              <w:t>料平衡表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64"/>
              <w:gridCol w:w="2525"/>
              <w:gridCol w:w="2232"/>
              <w:gridCol w:w="2060"/>
            </w:tblGrid>
            <w:tr w14:paraId="0B18CB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89" w:type="dxa"/>
                  <w:gridSpan w:val="2"/>
                  <w:tcBorders>
                    <w:tl2br w:val="nil"/>
                    <w:tr2bl w:val="nil"/>
                  </w:tcBorders>
                  <w:noWrap w:val="0"/>
                  <w:vAlign w:val="center"/>
                </w:tcPr>
                <w:p w14:paraId="0D8CFC71">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原料项</w:t>
                  </w:r>
                </w:p>
              </w:tc>
              <w:tc>
                <w:tcPr>
                  <w:tcW w:w="4292" w:type="dxa"/>
                  <w:gridSpan w:val="2"/>
                  <w:tcBorders>
                    <w:tl2br w:val="nil"/>
                    <w:tr2bl w:val="nil"/>
                  </w:tcBorders>
                  <w:noWrap w:val="0"/>
                  <w:vAlign w:val="center"/>
                </w:tcPr>
                <w:p w14:paraId="304A6B69">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产出项</w:t>
                  </w:r>
                </w:p>
              </w:tc>
            </w:tr>
            <w:tr w14:paraId="509E44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noWrap w:val="0"/>
                  <w:vAlign w:val="center"/>
                </w:tcPr>
                <w:p w14:paraId="7A5452D2">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物料名称</w:t>
                  </w:r>
                </w:p>
              </w:tc>
              <w:tc>
                <w:tcPr>
                  <w:tcW w:w="2525" w:type="dxa"/>
                  <w:tcBorders>
                    <w:tl2br w:val="nil"/>
                    <w:tr2bl w:val="nil"/>
                  </w:tcBorders>
                  <w:noWrap w:val="0"/>
                  <w:vAlign w:val="center"/>
                </w:tcPr>
                <w:p w14:paraId="74ECEB4D">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eastAsia" w:cs="Times New Roman"/>
                      <w:b/>
                      <w:bCs/>
                      <w:color w:val="auto"/>
                      <w:spacing w:val="0"/>
                      <w:kern w:val="0"/>
                      <w:position w:val="0"/>
                      <w:sz w:val="21"/>
                      <w:szCs w:val="21"/>
                      <w:highlight w:val="none"/>
                      <w:lang w:val="en-US" w:eastAsia="zh-CN"/>
                    </w:rPr>
                    <w:t>产生</w:t>
                  </w:r>
                  <w:r>
                    <w:rPr>
                      <w:rFonts w:hint="default" w:ascii="Times New Roman" w:hAnsi="Times New Roman" w:eastAsia="宋体" w:cs="Times New Roman"/>
                      <w:b/>
                      <w:bCs/>
                      <w:color w:val="auto"/>
                      <w:spacing w:val="0"/>
                      <w:kern w:val="0"/>
                      <w:position w:val="0"/>
                      <w:sz w:val="21"/>
                      <w:szCs w:val="21"/>
                      <w:highlight w:val="none"/>
                      <w:lang w:val="en-US" w:eastAsia="zh-CN"/>
                    </w:rPr>
                    <w:t>量（t/a）</w:t>
                  </w:r>
                </w:p>
              </w:tc>
              <w:tc>
                <w:tcPr>
                  <w:tcW w:w="2232" w:type="dxa"/>
                  <w:tcBorders>
                    <w:tl2br w:val="nil"/>
                    <w:tr2bl w:val="nil"/>
                  </w:tcBorders>
                  <w:noWrap w:val="0"/>
                  <w:vAlign w:val="center"/>
                </w:tcPr>
                <w:p w14:paraId="4517DC65">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产出项名称</w:t>
                  </w:r>
                </w:p>
              </w:tc>
              <w:tc>
                <w:tcPr>
                  <w:tcW w:w="2060" w:type="dxa"/>
                  <w:tcBorders>
                    <w:tl2br w:val="nil"/>
                    <w:tr2bl w:val="nil"/>
                  </w:tcBorders>
                  <w:noWrap w:val="0"/>
                  <w:vAlign w:val="center"/>
                </w:tcPr>
                <w:p w14:paraId="5B3F6777">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数量（t/a）</w:t>
                  </w:r>
                </w:p>
              </w:tc>
            </w:tr>
            <w:tr w14:paraId="0D6DAB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noWrap w:val="0"/>
                  <w:vAlign w:val="center"/>
                </w:tcPr>
                <w:p w14:paraId="2FABA543">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b w:val="0"/>
                      <w:color w:val="auto"/>
                      <w:sz w:val="21"/>
                      <w:szCs w:val="21"/>
                      <w:highlight w:val="none"/>
                      <w:lang w:val="en-US" w:eastAsia="zh-CN"/>
                    </w:rPr>
                    <w:t>油性</w:t>
                  </w:r>
                  <w:r>
                    <w:rPr>
                      <w:rFonts w:hint="eastAsia" w:ascii="Times New Roman" w:hAnsi="Times New Roman"/>
                      <w:b w:val="0"/>
                      <w:color w:val="auto"/>
                      <w:sz w:val="21"/>
                      <w:szCs w:val="21"/>
                      <w:highlight w:val="none"/>
                    </w:rPr>
                    <w:t>漆</w:t>
                  </w:r>
                </w:p>
              </w:tc>
              <w:tc>
                <w:tcPr>
                  <w:tcW w:w="2525" w:type="dxa"/>
                  <w:tcBorders>
                    <w:tl2br w:val="nil"/>
                    <w:tr2bl w:val="nil"/>
                  </w:tcBorders>
                  <w:noWrap w:val="0"/>
                  <w:vAlign w:val="center"/>
                </w:tcPr>
                <w:p w14:paraId="54D71B2C">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19C525BC">
                  <w:pPr>
                    <w:pStyle w:val="63"/>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有组织排放量</w:t>
                  </w:r>
                </w:p>
              </w:tc>
              <w:tc>
                <w:tcPr>
                  <w:tcW w:w="2060" w:type="dxa"/>
                  <w:tcBorders>
                    <w:tl2br w:val="nil"/>
                    <w:tr2bl w:val="nil"/>
                  </w:tcBorders>
                  <w:shd w:val="clear" w:color="auto" w:fill="auto"/>
                  <w:noWrap w:val="0"/>
                  <w:vAlign w:val="center"/>
                </w:tcPr>
                <w:p w14:paraId="460C8C78">
                  <w:pPr>
                    <w:keepNext w:val="0"/>
                    <w:keepLines w:val="0"/>
                    <w:pageBreakBefore w:val="0"/>
                    <w:widowControl/>
                    <w:suppressLineNumbers w:val="0"/>
                    <w:kinsoku/>
                    <w:wordWrap/>
                    <w:overflowPunct/>
                    <w:topLinePunct w:val="0"/>
                    <w:bidi w:val="0"/>
                    <w:adjustRightInd/>
                    <w:spacing w:line="240" w:lineRule="auto"/>
                    <w:ind w:left="0"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r w14:paraId="6B4CE7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0AF37095">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b w:val="0"/>
                      <w:color w:val="auto"/>
                      <w:sz w:val="21"/>
                      <w:szCs w:val="21"/>
                      <w:highlight w:val="none"/>
                    </w:rPr>
                    <w:t>稀释剂</w:t>
                  </w:r>
                </w:p>
              </w:tc>
              <w:tc>
                <w:tcPr>
                  <w:tcW w:w="2525" w:type="dxa"/>
                  <w:tcBorders>
                    <w:tl2br w:val="nil"/>
                    <w:tr2bl w:val="nil"/>
                  </w:tcBorders>
                  <w:shd w:val="clear" w:color="auto" w:fill="auto"/>
                  <w:noWrap w:val="0"/>
                  <w:vAlign w:val="center"/>
                </w:tcPr>
                <w:p w14:paraId="19A8954B">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26424C93">
                  <w:pPr>
                    <w:pStyle w:val="63"/>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消减量</w:t>
                  </w:r>
                </w:p>
              </w:tc>
              <w:tc>
                <w:tcPr>
                  <w:tcW w:w="2060" w:type="dxa"/>
                  <w:tcBorders>
                    <w:tl2br w:val="nil"/>
                    <w:tr2bl w:val="nil"/>
                  </w:tcBorders>
                  <w:shd w:val="clear" w:color="auto" w:fill="auto"/>
                  <w:noWrap w:val="0"/>
                  <w:vAlign w:val="center"/>
                </w:tcPr>
                <w:p w14:paraId="041FF0FF">
                  <w:pPr>
                    <w:keepNext w:val="0"/>
                    <w:keepLines w:val="0"/>
                    <w:pageBreakBefore w:val="0"/>
                    <w:widowControl/>
                    <w:suppressLineNumbers w:val="0"/>
                    <w:kinsoku/>
                    <w:wordWrap/>
                    <w:overflowPunct/>
                    <w:topLinePunct w:val="0"/>
                    <w:bidi w:val="0"/>
                    <w:adjustRightInd/>
                    <w:spacing w:line="240" w:lineRule="auto"/>
                    <w:ind w:left="0"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r w14:paraId="463617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03A7F5DB">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b w:val="0"/>
                      <w:bCs/>
                      <w:color w:val="auto"/>
                      <w:spacing w:val="0"/>
                      <w:kern w:val="2"/>
                      <w:position w:val="0"/>
                      <w:sz w:val="21"/>
                      <w:szCs w:val="21"/>
                      <w:highlight w:val="none"/>
                      <w:lang w:val="en-US" w:eastAsia="zh-CN" w:bidi="ar-SA"/>
                    </w:rPr>
                    <w:t>/</w:t>
                  </w:r>
                </w:p>
              </w:tc>
              <w:tc>
                <w:tcPr>
                  <w:tcW w:w="2525" w:type="dxa"/>
                  <w:tcBorders>
                    <w:tl2br w:val="nil"/>
                    <w:tr2bl w:val="nil"/>
                  </w:tcBorders>
                  <w:shd w:val="clear" w:color="auto" w:fill="auto"/>
                  <w:noWrap w:val="0"/>
                  <w:vAlign w:val="center"/>
                </w:tcPr>
                <w:p w14:paraId="35B8FEF9">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75E68AE0">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eastAsia" w:ascii="Times New Roman" w:hAnsi="Times New Roman" w:eastAsia="宋体" w:cs="Times New Roman"/>
                      <w:b w:val="0"/>
                      <w:bCs/>
                      <w:color w:val="auto"/>
                      <w:spacing w:val="0"/>
                      <w:kern w:val="2"/>
                      <w:position w:val="0"/>
                      <w:sz w:val="21"/>
                      <w:szCs w:val="21"/>
                      <w:highlight w:val="none"/>
                      <w:lang w:val="en-US" w:eastAsia="zh-CN" w:bidi="ar-SA"/>
                    </w:rPr>
                    <w:t>无组织排放量</w:t>
                  </w:r>
                </w:p>
              </w:tc>
              <w:tc>
                <w:tcPr>
                  <w:tcW w:w="2060" w:type="dxa"/>
                  <w:tcBorders>
                    <w:tl2br w:val="nil"/>
                    <w:tr2bl w:val="nil"/>
                  </w:tcBorders>
                  <w:shd w:val="clear" w:color="auto" w:fill="auto"/>
                  <w:noWrap w:val="0"/>
                  <w:vAlign w:val="center"/>
                </w:tcPr>
                <w:p w14:paraId="3CB86792">
                  <w:pPr>
                    <w:keepNext w:val="0"/>
                    <w:keepLines w:val="0"/>
                    <w:pageBreakBefore w:val="0"/>
                    <w:widowControl/>
                    <w:suppressLineNumbers w:val="0"/>
                    <w:kinsoku/>
                    <w:wordWrap/>
                    <w:overflowPunct/>
                    <w:topLinePunct w:val="0"/>
                    <w:bidi w:val="0"/>
                    <w:adjustRightInd/>
                    <w:spacing w:line="240" w:lineRule="auto"/>
                    <w:ind w:left="0"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r w14:paraId="1B5A2A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1DA83F27">
                  <w:pPr>
                    <w:keepNext w:val="0"/>
                    <w:keepLines w:val="0"/>
                    <w:pageBreakBefore w:val="0"/>
                    <w:kinsoku/>
                    <w:wordWrap/>
                    <w:overflowPunct/>
                    <w:topLinePunct w:val="0"/>
                    <w:autoSpaceDE w:val="0"/>
                    <w:autoSpaceDN w:val="0"/>
                    <w:bidi w:val="0"/>
                    <w:adjustRightInd/>
                    <w:spacing w:line="240" w:lineRule="auto"/>
                    <w:ind w:leftChars="0"/>
                    <w:jc w:val="center"/>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合计</w:t>
                  </w:r>
                </w:p>
              </w:tc>
              <w:tc>
                <w:tcPr>
                  <w:tcW w:w="2525" w:type="dxa"/>
                  <w:tcBorders>
                    <w:tl2br w:val="nil"/>
                    <w:tr2bl w:val="nil"/>
                  </w:tcBorders>
                  <w:shd w:val="clear" w:color="auto" w:fill="auto"/>
                  <w:noWrap w:val="0"/>
                  <w:vAlign w:val="center"/>
                </w:tcPr>
                <w:p w14:paraId="1473823C">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0B37686A">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合计</w:t>
                  </w:r>
                </w:p>
              </w:tc>
              <w:tc>
                <w:tcPr>
                  <w:tcW w:w="2060" w:type="dxa"/>
                  <w:tcBorders>
                    <w:tl2br w:val="nil"/>
                    <w:tr2bl w:val="nil"/>
                  </w:tcBorders>
                  <w:shd w:val="clear" w:color="auto" w:fill="auto"/>
                  <w:noWrap w:val="0"/>
                  <w:vAlign w:val="center"/>
                </w:tcPr>
                <w:p w14:paraId="6F0FC22E">
                  <w:pPr>
                    <w:keepNext w:val="0"/>
                    <w:keepLines w:val="0"/>
                    <w:pageBreakBefore w:val="0"/>
                    <w:widowControl/>
                    <w:suppressLineNumbers w:val="0"/>
                    <w:kinsoku/>
                    <w:wordWrap/>
                    <w:overflowPunct/>
                    <w:topLinePunct w:val="0"/>
                    <w:bidi w:val="0"/>
                    <w:adjustRightInd/>
                    <w:spacing w:line="240" w:lineRule="auto"/>
                    <w:ind w:left="0"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bl>
          <w:p w14:paraId="33B6FE9B">
            <w:pPr>
              <w:autoSpaceDE w:val="0"/>
              <w:autoSpaceDN w:val="0"/>
              <w:adjustRightInd w:val="0"/>
              <w:snapToGrid w:val="0"/>
              <w:spacing w:before="120" w:beforeLines="50" w:line="360" w:lineRule="auto"/>
              <w:ind w:firstLine="480" w:firstLineChars="200"/>
              <w:jc w:val="left"/>
              <w:rPr>
                <w:rFonts w:hint="eastAsia" w:ascii="Times New Roman" w:hAnsi="Times New Roman" w:eastAsia="宋体" w:cs="Times New Roman"/>
                <w:b w:val="0"/>
                <w:bCs w:val="0"/>
                <w:color w:val="auto"/>
                <w:spacing w:val="0"/>
                <w:kern w:val="0"/>
                <w:position w:val="0"/>
                <w:sz w:val="24"/>
                <w:highlight w:val="none"/>
              </w:rPr>
            </w:pPr>
            <w:r>
              <w:rPr>
                <w:rFonts w:hint="eastAsia" w:ascii="Times New Roman" w:hAnsi="Times New Roman" w:eastAsia="宋体" w:cs="Times New Roman"/>
                <w:b w:val="0"/>
                <w:bCs w:val="0"/>
                <w:color w:val="auto"/>
                <w:spacing w:val="0"/>
                <w:kern w:val="0"/>
                <w:position w:val="0"/>
                <w:sz w:val="24"/>
                <w:highlight w:val="none"/>
                <w:lang w:val="en-US" w:eastAsia="zh-CN"/>
              </w:rPr>
              <w:t>项目</w:t>
            </w:r>
            <w:r>
              <w:rPr>
                <w:rFonts w:hint="eastAsia" w:ascii="Times New Roman" w:hAnsi="Times New Roman" w:eastAsia="宋体" w:cs="Times New Roman"/>
                <w:color w:val="auto"/>
                <w:spacing w:val="0"/>
                <w:position w:val="0"/>
                <w:highlight w:val="none"/>
                <w:lang w:val="en-US" w:eastAsia="zh-CN"/>
              </w:rPr>
              <w:t>苯系物</w:t>
            </w:r>
            <w:r>
              <w:rPr>
                <w:rFonts w:hint="eastAsia" w:ascii="Times New Roman" w:hAnsi="Times New Roman" w:eastAsia="宋体" w:cs="Times New Roman"/>
                <w:b w:val="0"/>
                <w:bCs w:val="0"/>
                <w:color w:val="auto"/>
                <w:spacing w:val="0"/>
                <w:kern w:val="0"/>
                <w:position w:val="0"/>
                <w:sz w:val="24"/>
                <w:highlight w:val="none"/>
                <w:lang w:val="en-US" w:eastAsia="zh-CN"/>
              </w:rPr>
              <w:t>平衡分析详见下表：</w:t>
            </w:r>
          </w:p>
          <w:p w14:paraId="7F4835D5">
            <w:pPr>
              <w:pStyle w:val="72"/>
              <w:keepNext w:val="0"/>
              <w:keepLines w:val="0"/>
              <w:pageBreakBefore w:val="0"/>
              <w:widowControl/>
              <w:tabs>
                <w:tab w:val="left" w:pos="4507"/>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表</w:t>
            </w:r>
            <w:r>
              <w:rPr>
                <w:rFonts w:hint="eastAsia" w:ascii="Times New Roman" w:hAnsi="Times New Roman" w:eastAsia="宋体" w:cs="Times New Roman"/>
                <w:color w:val="auto"/>
                <w:spacing w:val="0"/>
                <w:position w:val="0"/>
                <w:highlight w:val="none"/>
                <w:lang w:val="en-US" w:eastAsia="zh-CN"/>
              </w:rPr>
              <w:t>2.7-</w:t>
            </w:r>
            <w:r>
              <w:rPr>
                <w:rFonts w:hint="eastAsia" w:cs="Times New Roman"/>
                <w:color w:val="auto"/>
                <w:spacing w:val="0"/>
                <w:position w:val="0"/>
                <w:highlight w:val="none"/>
                <w:lang w:val="en-US" w:eastAsia="zh-CN"/>
              </w:rPr>
              <w:t>4</w:t>
            </w:r>
            <w:r>
              <w:rPr>
                <w:rFonts w:hint="default" w:ascii="Times New Roman" w:hAnsi="Times New Roman" w:eastAsia="宋体" w:cs="Times New Roman"/>
                <w:color w:val="auto"/>
                <w:spacing w:val="0"/>
                <w:position w:val="0"/>
                <w:highlight w:val="none"/>
                <w:lang w:val="en-US" w:eastAsia="zh-CN"/>
              </w:rPr>
              <w:t xml:space="preserve"> </w:t>
            </w:r>
            <w:r>
              <w:rPr>
                <w:rFonts w:hint="eastAsia" w:ascii="Times New Roman" w:hAnsi="Times New Roman" w:eastAsia="宋体" w:cs="Times New Roman"/>
                <w:color w:val="auto"/>
                <w:spacing w:val="0"/>
                <w:position w:val="0"/>
                <w:highlight w:val="none"/>
                <w:lang w:val="en-US" w:eastAsia="zh-CN"/>
              </w:rPr>
              <w:t>项目苯系物</w:t>
            </w:r>
            <w:r>
              <w:rPr>
                <w:rFonts w:hint="default" w:ascii="Times New Roman" w:hAnsi="Times New Roman" w:eastAsia="宋体" w:cs="Times New Roman"/>
                <w:b/>
                <w:bCs/>
                <w:color w:val="auto"/>
                <w:spacing w:val="0"/>
                <w:position w:val="0"/>
                <w:highlight w:val="none"/>
                <w:lang w:val="en-US" w:eastAsia="zh-CN"/>
              </w:rPr>
              <w:t>物</w:t>
            </w:r>
            <w:r>
              <w:rPr>
                <w:rFonts w:hint="default" w:ascii="Times New Roman" w:hAnsi="Times New Roman" w:eastAsia="宋体" w:cs="Times New Roman"/>
                <w:color w:val="auto"/>
                <w:spacing w:val="0"/>
                <w:position w:val="0"/>
                <w:highlight w:val="none"/>
                <w:lang w:val="en-US" w:eastAsia="zh-CN"/>
              </w:rPr>
              <w:t>料平衡表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64"/>
              <w:gridCol w:w="2525"/>
              <w:gridCol w:w="2232"/>
              <w:gridCol w:w="2060"/>
            </w:tblGrid>
            <w:tr w14:paraId="170803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89" w:type="dxa"/>
                  <w:gridSpan w:val="2"/>
                  <w:tcBorders>
                    <w:tl2br w:val="nil"/>
                    <w:tr2bl w:val="nil"/>
                  </w:tcBorders>
                  <w:noWrap w:val="0"/>
                  <w:vAlign w:val="center"/>
                </w:tcPr>
                <w:p w14:paraId="30C58B08">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原料项</w:t>
                  </w:r>
                </w:p>
              </w:tc>
              <w:tc>
                <w:tcPr>
                  <w:tcW w:w="4292" w:type="dxa"/>
                  <w:gridSpan w:val="2"/>
                  <w:tcBorders>
                    <w:tl2br w:val="nil"/>
                    <w:tr2bl w:val="nil"/>
                  </w:tcBorders>
                  <w:noWrap w:val="0"/>
                  <w:vAlign w:val="center"/>
                </w:tcPr>
                <w:p w14:paraId="07E1778C">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产出项</w:t>
                  </w:r>
                </w:p>
              </w:tc>
            </w:tr>
            <w:tr w14:paraId="4A986A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noWrap w:val="0"/>
                  <w:vAlign w:val="center"/>
                </w:tcPr>
                <w:p w14:paraId="74FF01F8">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物料名称</w:t>
                  </w:r>
                </w:p>
              </w:tc>
              <w:tc>
                <w:tcPr>
                  <w:tcW w:w="2525" w:type="dxa"/>
                  <w:tcBorders>
                    <w:tl2br w:val="nil"/>
                    <w:tr2bl w:val="nil"/>
                  </w:tcBorders>
                  <w:noWrap w:val="0"/>
                  <w:vAlign w:val="center"/>
                </w:tcPr>
                <w:p w14:paraId="3DFD6E07">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eastAsia" w:cs="Times New Roman"/>
                      <w:b/>
                      <w:bCs/>
                      <w:color w:val="auto"/>
                      <w:spacing w:val="0"/>
                      <w:kern w:val="0"/>
                      <w:position w:val="0"/>
                      <w:sz w:val="21"/>
                      <w:szCs w:val="21"/>
                      <w:highlight w:val="none"/>
                      <w:lang w:val="en-US" w:eastAsia="zh-CN"/>
                    </w:rPr>
                    <w:t>产生</w:t>
                  </w:r>
                  <w:r>
                    <w:rPr>
                      <w:rFonts w:hint="default" w:ascii="Times New Roman" w:hAnsi="Times New Roman" w:eastAsia="宋体" w:cs="Times New Roman"/>
                      <w:b/>
                      <w:bCs/>
                      <w:color w:val="auto"/>
                      <w:spacing w:val="0"/>
                      <w:kern w:val="0"/>
                      <w:position w:val="0"/>
                      <w:sz w:val="21"/>
                      <w:szCs w:val="21"/>
                      <w:highlight w:val="none"/>
                      <w:lang w:val="en-US" w:eastAsia="zh-CN"/>
                    </w:rPr>
                    <w:t>量（t/a）</w:t>
                  </w:r>
                </w:p>
              </w:tc>
              <w:tc>
                <w:tcPr>
                  <w:tcW w:w="2232" w:type="dxa"/>
                  <w:tcBorders>
                    <w:tl2br w:val="nil"/>
                    <w:tr2bl w:val="nil"/>
                  </w:tcBorders>
                  <w:noWrap w:val="0"/>
                  <w:vAlign w:val="center"/>
                </w:tcPr>
                <w:p w14:paraId="2F84FAFA">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产出项名称</w:t>
                  </w:r>
                </w:p>
              </w:tc>
              <w:tc>
                <w:tcPr>
                  <w:tcW w:w="2060" w:type="dxa"/>
                  <w:tcBorders>
                    <w:tl2br w:val="nil"/>
                    <w:tr2bl w:val="nil"/>
                  </w:tcBorders>
                  <w:noWrap w:val="0"/>
                  <w:vAlign w:val="center"/>
                </w:tcPr>
                <w:p w14:paraId="7C769B90">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数量（t/a）</w:t>
                  </w:r>
                </w:p>
              </w:tc>
            </w:tr>
            <w:tr w14:paraId="47A006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noWrap w:val="0"/>
                  <w:vAlign w:val="center"/>
                </w:tcPr>
                <w:p w14:paraId="7BCD348B">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b w:val="0"/>
                      <w:color w:val="auto"/>
                      <w:sz w:val="21"/>
                      <w:szCs w:val="21"/>
                      <w:highlight w:val="none"/>
                      <w:lang w:val="en-US" w:eastAsia="zh-CN"/>
                    </w:rPr>
                    <w:t>油性</w:t>
                  </w:r>
                  <w:r>
                    <w:rPr>
                      <w:rFonts w:hint="eastAsia" w:ascii="Times New Roman" w:hAnsi="Times New Roman"/>
                      <w:b w:val="0"/>
                      <w:color w:val="auto"/>
                      <w:sz w:val="21"/>
                      <w:szCs w:val="21"/>
                      <w:highlight w:val="none"/>
                    </w:rPr>
                    <w:t>漆</w:t>
                  </w:r>
                </w:p>
              </w:tc>
              <w:tc>
                <w:tcPr>
                  <w:tcW w:w="2525" w:type="dxa"/>
                  <w:tcBorders>
                    <w:tl2br w:val="nil"/>
                    <w:tr2bl w:val="nil"/>
                  </w:tcBorders>
                  <w:noWrap w:val="0"/>
                  <w:vAlign w:val="center"/>
                </w:tcPr>
                <w:p w14:paraId="078FF9EB">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17A5CB42">
                  <w:pPr>
                    <w:pStyle w:val="63"/>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有组织排放量</w:t>
                  </w:r>
                </w:p>
              </w:tc>
              <w:tc>
                <w:tcPr>
                  <w:tcW w:w="2060" w:type="dxa"/>
                  <w:tcBorders>
                    <w:tl2br w:val="nil"/>
                    <w:tr2bl w:val="nil"/>
                  </w:tcBorders>
                  <w:shd w:val="clear" w:color="auto" w:fill="auto"/>
                  <w:noWrap w:val="0"/>
                  <w:vAlign w:val="center"/>
                </w:tcPr>
                <w:p w14:paraId="356A22A4">
                  <w:pPr>
                    <w:keepNext w:val="0"/>
                    <w:keepLines w:val="0"/>
                    <w:pageBreakBefore w:val="0"/>
                    <w:widowControl/>
                    <w:suppressLineNumbers w:val="0"/>
                    <w:kinsoku/>
                    <w:wordWrap/>
                    <w:overflowPunct/>
                    <w:topLinePunct w:val="0"/>
                    <w:bidi w:val="0"/>
                    <w:adjustRightInd/>
                    <w:spacing w:line="240" w:lineRule="auto"/>
                    <w:ind w:left="0"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r w14:paraId="0C0934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628A51F4">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b w:val="0"/>
                      <w:color w:val="auto"/>
                      <w:sz w:val="21"/>
                      <w:szCs w:val="21"/>
                      <w:highlight w:val="none"/>
                    </w:rPr>
                    <w:t>稀释剂</w:t>
                  </w:r>
                </w:p>
              </w:tc>
              <w:tc>
                <w:tcPr>
                  <w:tcW w:w="2525" w:type="dxa"/>
                  <w:tcBorders>
                    <w:tl2br w:val="nil"/>
                    <w:tr2bl w:val="nil"/>
                  </w:tcBorders>
                  <w:shd w:val="clear" w:color="auto" w:fill="auto"/>
                  <w:noWrap w:val="0"/>
                  <w:vAlign w:val="center"/>
                </w:tcPr>
                <w:p w14:paraId="0B5E8F21">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24248CF5">
                  <w:pPr>
                    <w:pStyle w:val="63"/>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消减量</w:t>
                  </w:r>
                </w:p>
              </w:tc>
              <w:tc>
                <w:tcPr>
                  <w:tcW w:w="2060" w:type="dxa"/>
                  <w:tcBorders>
                    <w:tl2br w:val="nil"/>
                    <w:tr2bl w:val="nil"/>
                  </w:tcBorders>
                  <w:shd w:val="clear" w:color="auto" w:fill="auto"/>
                  <w:noWrap w:val="0"/>
                  <w:vAlign w:val="center"/>
                </w:tcPr>
                <w:p w14:paraId="4B4D0B53">
                  <w:pPr>
                    <w:keepNext w:val="0"/>
                    <w:keepLines w:val="0"/>
                    <w:pageBreakBefore w:val="0"/>
                    <w:widowControl/>
                    <w:suppressLineNumbers w:val="0"/>
                    <w:kinsoku/>
                    <w:wordWrap/>
                    <w:overflowPunct/>
                    <w:topLinePunct w:val="0"/>
                    <w:bidi w:val="0"/>
                    <w:adjustRightInd/>
                    <w:spacing w:line="240" w:lineRule="auto"/>
                    <w:ind w:left="0"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r w14:paraId="326817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04267B01">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b w:val="0"/>
                      <w:bCs/>
                      <w:color w:val="auto"/>
                      <w:spacing w:val="0"/>
                      <w:kern w:val="2"/>
                      <w:position w:val="0"/>
                      <w:sz w:val="21"/>
                      <w:szCs w:val="21"/>
                      <w:highlight w:val="none"/>
                      <w:lang w:val="en-US" w:eastAsia="zh-CN" w:bidi="ar-SA"/>
                    </w:rPr>
                    <w:t>固化剂</w:t>
                  </w:r>
                </w:p>
              </w:tc>
              <w:tc>
                <w:tcPr>
                  <w:tcW w:w="2525" w:type="dxa"/>
                  <w:tcBorders>
                    <w:tl2br w:val="nil"/>
                    <w:tr2bl w:val="nil"/>
                  </w:tcBorders>
                  <w:shd w:val="clear" w:color="auto" w:fill="auto"/>
                  <w:noWrap w:val="0"/>
                  <w:vAlign w:val="center"/>
                </w:tcPr>
                <w:p w14:paraId="364C330E">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50C36246">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eastAsia" w:ascii="Times New Roman" w:hAnsi="Times New Roman" w:eastAsia="宋体" w:cs="Times New Roman"/>
                      <w:b w:val="0"/>
                      <w:bCs/>
                      <w:color w:val="auto"/>
                      <w:spacing w:val="0"/>
                      <w:kern w:val="2"/>
                      <w:position w:val="0"/>
                      <w:sz w:val="21"/>
                      <w:szCs w:val="21"/>
                      <w:highlight w:val="none"/>
                      <w:lang w:val="en-US" w:eastAsia="zh-CN" w:bidi="ar-SA"/>
                    </w:rPr>
                    <w:t>无组织排放量</w:t>
                  </w:r>
                </w:p>
              </w:tc>
              <w:tc>
                <w:tcPr>
                  <w:tcW w:w="2060" w:type="dxa"/>
                  <w:tcBorders>
                    <w:tl2br w:val="nil"/>
                    <w:tr2bl w:val="nil"/>
                  </w:tcBorders>
                  <w:shd w:val="clear" w:color="auto" w:fill="auto"/>
                  <w:noWrap w:val="0"/>
                  <w:vAlign w:val="center"/>
                </w:tcPr>
                <w:p w14:paraId="23EC2F53">
                  <w:pPr>
                    <w:keepNext w:val="0"/>
                    <w:keepLines w:val="0"/>
                    <w:pageBreakBefore w:val="0"/>
                    <w:widowControl/>
                    <w:suppressLineNumbers w:val="0"/>
                    <w:kinsoku/>
                    <w:wordWrap/>
                    <w:overflowPunct/>
                    <w:topLinePunct w:val="0"/>
                    <w:bidi w:val="0"/>
                    <w:adjustRightInd/>
                    <w:spacing w:line="240" w:lineRule="auto"/>
                    <w:ind w:left="0"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r w14:paraId="2437C3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5665AC52">
                  <w:pPr>
                    <w:keepNext w:val="0"/>
                    <w:keepLines w:val="0"/>
                    <w:pageBreakBefore w:val="0"/>
                    <w:kinsoku/>
                    <w:wordWrap/>
                    <w:overflowPunct/>
                    <w:topLinePunct w:val="0"/>
                    <w:autoSpaceDE w:val="0"/>
                    <w:autoSpaceDN w:val="0"/>
                    <w:bidi w:val="0"/>
                    <w:adjustRightInd/>
                    <w:spacing w:line="240" w:lineRule="auto"/>
                    <w:ind w:leftChars="0"/>
                    <w:jc w:val="center"/>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合计</w:t>
                  </w:r>
                </w:p>
              </w:tc>
              <w:tc>
                <w:tcPr>
                  <w:tcW w:w="2525" w:type="dxa"/>
                  <w:tcBorders>
                    <w:tl2br w:val="nil"/>
                    <w:tr2bl w:val="nil"/>
                  </w:tcBorders>
                  <w:shd w:val="clear" w:color="auto" w:fill="auto"/>
                  <w:noWrap w:val="0"/>
                  <w:vAlign w:val="center"/>
                </w:tcPr>
                <w:p w14:paraId="79C8A14D">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0F125C1C">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合计</w:t>
                  </w:r>
                </w:p>
              </w:tc>
              <w:tc>
                <w:tcPr>
                  <w:tcW w:w="2060" w:type="dxa"/>
                  <w:tcBorders>
                    <w:tl2br w:val="nil"/>
                    <w:tr2bl w:val="nil"/>
                  </w:tcBorders>
                  <w:shd w:val="clear" w:color="auto" w:fill="auto"/>
                  <w:noWrap w:val="0"/>
                  <w:vAlign w:val="center"/>
                </w:tcPr>
                <w:p w14:paraId="3F7885C0">
                  <w:pPr>
                    <w:keepNext w:val="0"/>
                    <w:keepLines w:val="0"/>
                    <w:pageBreakBefore w:val="0"/>
                    <w:widowControl/>
                    <w:suppressLineNumbers w:val="0"/>
                    <w:kinsoku/>
                    <w:wordWrap/>
                    <w:overflowPunct/>
                    <w:topLinePunct w:val="0"/>
                    <w:bidi w:val="0"/>
                    <w:adjustRightInd/>
                    <w:spacing w:line="240" w:lineRule="auto"/>
                    <w:ind w:left="0"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bl>
          <w:p w14:paraId="5613EC7F">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both"/>
              <w:textAlignment w:val="auto"/>
              <w:rPr>
                <w:rFonts w:hint="eastAsia" w:ascii="Times New Roman" w:hAnsi="Times New Roman" w:eastAsia="宋体" w:cs="Times New Roman"/>
                <w:b w:val="0"/>
                <w:bCs w:val="0"/>
                <w:color w:val="auto"/>
                <w:spacing w:val="0"/>
                <w:kern w:val="0"/>
                <w:position w:val="0"/>
                <w:sz w:val="24"/>
                <w:highlight w:val="none"/>
              </w:rPr>
            </w:pPr>
            <w:r>
              <w:rPr>
                <w:rFonts w:hint="eastAsia" w:ascii="Times New Roman" w:hAnsi="Times New Roman" w:eastAsia="宋体" w:cs="Times New Roman"/>
                <w:b w:val="0"/>
                <w:bCs w:val="0"/>
                <w:color w:val="auto"/>
                <w:spacing w:val="0"/>
                <w:kern w:val="0"/>
                <w:position w:val="0"/>
                <w:sz w:val="24"/>
                <w:highlight w:val="none"/>
              </w:rPr>
              <w:t>项目乙酸乙酯与乙酸丁酯合计平衡分析详见下表：</w:t>
            </w:r>
          </w:p>
          <w:p w14:paraId="6E76DB6D">
            <w:pPr>
              <w:pStyle w:val="72"/>
              <w:keepNext w:val="0"/>
              <w:keepLines w:val="0"/>
              <w:pageBreakBefore w:val="0"/>
              <w:widowControl/>
              <w:tabs>
                <w:tab w:val="left" w:pos="4507"/>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表</w:t>
            </w:r>
            <w:r>
              <w:rPr>
                <w:rFonts w:hint="eastAsia" w:ascii="Times New Roman" w:hAnsi="Times New Roman" w:eastAsia="宋体" w:cs="Times New Roman"/>
                <w:color w:val="auto"/>
                <w:spacing w:val="0"/>
                <w:position w:val="0"/>
                <w:highlight w:val="none"/>
                <w:lang w:val="en-US" w:eastAsia="zh-CN"/>
              </w:rPr>
              <w:t>2.7-</w:t>
            </w:r>
            <w:r>
              <w:rPr>
                <w:rFonts w:hint="eastAsia" w:cs="Times New Roman"/>
                <w:color w:val="auto"/>
                <w:spacing w:val="0"/>
                <w:position w:val="0"/>
                <w:highlight w:val="none"/>
                <w:lang w:val="en-US" w:eastAsia="zh-CN"/>
              </w:rPr>
              <w:t>5</w:t>
            </w:r>
            <w:r>
              <w:rPr>
                <w:rFonts w:hint="default" w:ascii="Times New Roman" w:hAnsi="Times New Roman" w:eastAsia="宋体" w:cs="Times New Roman"/>
                <w:color w:val="auto"/>
                <w:spacing w:val="0"/>
                <w:position w:val="0"/>
                <w:highlight w:val="none"/>
                <w:lang w:val="en-US" w:eastAsia="zh-CN"/>
              </w:rPr>
              <w:t xml:space="preserve"> </w:t>
            </w:r>
            <w:r>
              <w:rPr>
                <w:rFonts w:hint="eastAsia" w:ascii="Times New Roman" w:hAnsi="Times New Roman" w:eastAsia="宋体" w:cs="Times New Roman"/>
                <w:color w:val="auto"/>
                <w:spacing w:val="0"/>
                <w:position w:val="0"/>
                <w:highlight w:val="none"/>
                <w:lang w:val="en-US" w:eastAsia="zh-CN"/>
              </w:rPr>
              <w:t>项目乙酸乙酯与</w:t>
            </w:r>
            <w:r>
              <w:rPr>
                <w:rFonts w:hint="eastAsia" w:ascii="Times New Roman" w:hAnsi="Times New Roman" w:eastAsia="宋体" w:cs="Times New Roman"/>
                <w:b/>
                <w:bCs/>
                <w:color w:val="auto"/>
                <w:spacing w:val="0"/>
                <w:kern w:val="0"/>
                <w:position w:val="0"/>
                <w:sz w:val="24"/>
                <w:highlight w:val="none"/>
              </w:rPr>
              <w:t>乙酸丁酯</w:t>
            </w:r>
            <w:r>
              <w:rPr>
                <w:rFonts w:hint="eastAsia" w:ascii="Times New Roman" w:hAnsi="Times New Roman" w:eastAsia="宋体" w:cs="Times New Roman"/>
                <w:b/>
                <w:bCs/>
                <w:color w:val="auto"/>
                <w:spacing w:val="0"/>
                <w:kern w:val="0"/>
                <w:position w:val="0"/>
                <w:sz w:val="24"/>
                <w:highlight w:val="none"/>
                <w:lang w:val="en-US" w:eastAsia="zh-CN"/>
              </w:rPr>
              <w:t>合计</w:t>
            </w:r>
            <w:r>
              <w:rPr>
                <w:rFonts w:hint="default" w:ascii="Times New Roman" w:hAnsi="Times New Roman" w:eastAsia="宋体" w:cs="Times New Roman"/>
                <w:color w:val="auto"/>
                <w:spacing w:val="0"/>
                <w:position w:val="0"/>
                <w:highlight w:val="none"/>
                <w:lang w:val="en-US" w:eastAsia="zh-CN"/>
              </w:rPr>
              <w:t>物料平衡表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64"/>
              <w:gridCol w:w="2525"/>
              <w:gridCol w:w="2232"/>
              <w:gridCol w:w="2060"/>
            </w:tblGrid>
            <w:tr w14:paraId="398476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89" w:type="dxa"/>
                  <w:gridSpan w:val="2"/>
                  <w:tcBorders>
                    <w:tl2br w:val="nil"/>
                    <w:tr2bl w:val="nil"/>
                  </w:tcBorders>
                  <w:noWrap w:val="0"/>
                  <w:vAlign w:val="center"/>
                </w:tcPr>
                <w:p w14:paraId="63AD7585">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原料项</w:t>
                  </w:r>
                </w:p>
              </w:tc>
              <w:tc>
                <w:tcPr>
                  <w:tcW w:w="4292" w:type="dxa"/>
                  <w:gridSpan w:val="2"/>
                  <w:tcBorders>
                    <w:tl2br w:val="nil"/>
                    <w:tr2bl w:val="nil"/>
                  </w:tcBorders>
                  <w:noWrap w:val="0"/>
                  <w:vAlign w:val="center"/>
                </w:tcPr>
                <w:p w14:paraId="011A3C28">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产出项</w:t>
                  </w:r>
                </w:p>
              </w:tc>
            </w:tr>
            <w:tr w14:paraId="722A21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noWrap w:val="0"/>
                  <w:vAlign w:val="center"/>
                </w:tcPr>
                <w:p w14:paraId="3F933DE8">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物料名称</w:t>
                  </w:r>
                </w:p>
              </w:tc>
              <w:tc>
                <w:tcPr>
                  <w:tcW w:w="2525" w:type="dxa"/>
                  <w:tcBorders>
                    <w:tl2br w:val="nil"/>
                    <w:tr2bl w:val="nil"/>
                  </w:tcBorders>
                  <w:noWrap w:val="0"/>
                  <w:vAlign w:val="center"/>
                </w:tcPr>
                <w:p w14:paraId="375E818F">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eastAsia" w:cs="Times New Roman"/>
                      <w:b/>
                      <w:bCs/>
                      <w:color w:val="auto"/>
                      <w:spacing w:val="0"/>
                      <w:kern w:val="0"/>
                      <w:position w:val="0"/>
                      <w:sz w:val="21"/>
                      <w:szCs w:val="21"/>
                      <w:highlight w:val="none"/>
                      <w:lang w:val="en-US" w:eastAsia="zh-CN"/>
                    </w:rPr>
                    <w:t>产生</w:t>
                  </w:r>
                  <w:r>
                    <w:rPr>
                      <w:rFonts w:hint="default" w:ascii="Times New Roman" w:hAnsi="Times New Roman" w:eastAsia="宋体" w:cs="Times New Roman"/>
                      <w:b/>
                      <w:bCs/>
                      <w:color w:val="auto"/>
                      <w:spacing w:val="0"/>
                      <w:kern w:val="0"/>
                      <w:position w:val="0"/>
                      <w:sz w:val="21"/>
                      <w:szCs w:val="21"/>
                      <w:highlight w:val="none"/>
                      <w:lang w:val="en-US" w:eastAsia="zh-CN"/>
                    </w:rPr>
                    <w:t>量（t/a）</w:t>
                  </w:r>
                </w:p>
              </w:tc>
              <w:tc>
                <w:tcPr>
                  <w:tcW w:w="2232" w:type="dxa"/>
                  <w:tcBorders>
                    <w:tl2br w:val="nil"/>
                    <w:tr2bl w:val="nil"/>
                  </w:tcBorders>
                  <w:noWrap w:val="0"/>
                  <w:vAlign w:val="center"/>
                </w:tcPr>
                <w:p w14:paraId="07426B68">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产出项名称</w:t>
                  </w:r>
                </w:p>
              </w:tc>
              <w:tc>
                <w:tcPr>
                  <w:tcW w:w="2060" w:type="dxa"/>
                  <w:tcBorders>
                    <w:tl2br w:val="nil"/>
                    <w:tr2bl w:val="nil"/>
                  </w:tcBorders>
                  <w:noWrap w:val="0"/>
                  <w:vAlign w:val="center"/>
                </w:tcPr>
                <w:p w14:paraId="269FBE7D">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数量（t/a）</w:t>
                  </w:r>
                </w:p>
              </w:tc>
            </w:tr>
            <w:tr w14:paraId="13349F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noWrap w:val="0"/>
                  <w:vAlign w:val="center"/>
                </w:tcPr>
                <w:p w14:paraId="6A41A067">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kern w:val="0"/>
                      <w:position w:val="0"/>
                      <w:sz w:val="21"/>
                      <w:szCs w:val="21"/>
                      <w:highlight w:val="none"/>
                      <w:lang w:val="en-US" w:eastAsia="zh-CN" w:bidi="ar-SA"/>
                    </w:rPr>
                    <w:t>油性漆</w:t>
                  </w:r>
                </w:p>
              </w:tc>
              <w:tc>
                <w:tcPr>
                  <w:tcW w:w="2525" w:type="dxa"/>
                  <w:tcBorders>
                    <w:tl2br w:val="nil"/>
                    <w:tr2bl w:val="nil"/>
                  </w:tcBorders>
                  <w:noWrap w:val="0"/>
                  <w:vAlign w:val="center"/>
                </w:tcPr>
                <w:p w14:paraId="56E65CF5">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553FAADF">
                  <w:pPr>
                    <w:pStyle w:val="63"/>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有组织排放量</w:t>
                  </w:r>
                </w:p>
              </w:tc>
              <w:tc>
                <w:tcPr>
                  <w:tcW w:w="2060" w:type="dxa"/>
                  <w:tcBorders>
                    <w:tl2br w:val="nil"/>
                    <w:tr2bl w:val="nil"/>
                  </w:tcBorders>
                  <w:shd w:val="clear" w:color="auto" w:fill="auto"/>
                  <w:noWrap w:val="0"/>
                  <w:vAlign w:val="center"/>
                </w:tcPr>
                <w:p w14:paraId="78B6316B">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b w:val="0"/>
                      <w:bCs w:val="0"/>
                      <w:color w:val="auto"/>
                      <w:spacing w:val="0"/>
                      <w:kern w:val="0"/>
                      <w:position w:val="0"/>
                      <w:sz w:val="21"/>
                      <w:szCs w:val="21"/>
                      <w:highlight w:val="none"/>
                      <w:lang w:val="en-US" w:eastAsia="zh-CN" w:bidi="ar-SA"/>
                    </w:rPr>
                  </w:pPr>
                </w:p>
              </w:tc>
            </w:tr>
            <w:tr w14:paraId="06E460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587A31DE">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kern w:val="0"/>
                      <w:position w:val="0"/>
                      <w:sz w:val="21"/>
                      <w:szCs w:val="21"/>
                      <w:highlight w:val="none"/>
                      <w:lang w:val="en-US" w:eastAsia="zh-CN" w:bidi="ar-SA"/>
                    </w:rPr>
                    <w:t>固化剂</w:t>
                  </w:r>
                </w:p>
              </w:tc>
              <w:tc>
                <w:tcPr>
                  <w:tcW w:w="2525" w:type="dxa"/>
                  <w:tcBorders>
                    <w:tl2br w:val="nil"/>
                    <w:tr2bl w:val="nil"/>
                  </w:tcBorders>
                  <w:shd w:val="clear" w:color="auto" w:fill="auto"/>
                  <w:noWrap w:val="0"/>
                  <w:vAlign w:val="center"/>
                </w:tcPr>
                <w:p w14:paraId="2239B70A">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0F60F92E">
                  <w:pPr>
                    <w:pStyle w:val="63"/>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消减量</w:t>
                  </w:r>
                </w:p>
              </w:tc>
              <w:tc>
                <w:tcPr>
                  <w:tcW w:w="2060" w:type="dxa"/>
                  <w:tcBorders>
                    <w:tl2br w:val="nil"/>
                    <w:tr2bl w:val="nil"/>
                  </w:tcBorders>
                  <w:shd w:val="clear" w:color="auto" w:fill="auto"/>
                  <w:noWrap w:val="0"/>
                  <w:vAlign w:val="center"/>
                </w:tcPr>
                <w:p w14:paraId="65CCC371">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val="0"/>
                      <w:bCs w:val="0"/>
                      <w:color w:val="auto"/>
                      <w:spacing w:val="0"/>
                      <w:kern w:val="0"/>
                      <w:position w:val="0"/>
                      <w:sz w:val="21"/>
                      <w:szCs w:val="21"/>
                      <w:highlight w:val="none"/>
                      <w:lang w:val="en-US" w:eastAsia="zh-CN"/>
                    </w:rPr>
                  </w:pPr>
                </w:p>
              </w:tc>
            </w:tr>
            <w:tr w14:paraId="716B76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33885052">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kern w:val="0"/>
                      <w:position w:val="0"/>
                      <w:sz w:val="21"/>
                      <w:szCs w:val="21"/>
                      <w:highlight w:val="none"/>
                      <w:lang w:val="en-US" w:eastAsia="zh-CN" w:bidi="ar-SA"/>
                    </w:rPr>
                    <w:t>稀释剂</w:t>
                  </w:r>
                </w:p>
              </w:tc>
              <w:tc>
                <w:tcPr>
                  <w:tcW w:w="2525" w:type="dxa"/>
                  <w:tcBorders>
                    <w:tl2br w:val="nil"/>
                    <w:tr2bl w:val="nil"/>
                  </w:tcBorders>
                  <w:shd w:val="clear" w:color="auto" w:fill="auto"/>
                  <w:noWrap w:val="0"/>
                  <w:vAlign w:val="center"/>
                </w:tcPr>
                <w:p w14:paraId="787382F4">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3E27291F">
                  <w:pPr>
                    <w:keepNext w:val="0"/>
                    <w:keepLines w:val="0"/>
                    <w:pageBreakBefore w:val="0"/>
                    <w:widowControl/>
                    <w:suppressLineNumbers w:val="0"/>
                    <w:kinsoku/>
                    <w:wordWrap/>
                    <w:overflowPunct/>
                    <w:topLinePunct w:val="0"/>
                    <w:bidi w:val="0"/>
                    <w:adjustRightInd/>
                    <w:spacing w:line="240" w:lineRule="auto"/>
                    <w:ind w:left="0" w:leftChars="0"/>
                    <w:jc w:val="center"/>
                    <w:textAlignment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r>
                    <w:rPr>
                      <w:rFonts w:hint="eastAsia" w:ascii="Times New Roman" w:hAnsi="Times New Roman" w:eastAsia="宋体" w:cs="Times New Roman"/>
                      <w:b w:val="0"/>
                      <w:bCs/>
                      <w:color w:val="auto"/>
                      <w:spacing w:val="0"/>
                      <w:kern w:val="2"/>
                      <w:position w:val="0"/>
                      <w:sz w:val="21"/>
                      <w:szCs w:val="21"/>
                      <w:highlight w:val="none"/>
                      <w:lang w:val="en-US" w:eastAsia="zh-CN" w:bidi="ar-SA"/>
                    </w:rPr>
                    <w:t>无组织排放量</w:t>
                  </w:r>
                </w:p>
              </w:tc>
              <w:tc>
                <w:tcPr>
                  <w:tcW w:w="2060" w:type="dxa"/>
                  <w:tcBorders>
                    <w:tl2br w:val="nil"/>
                    <w:tr2bl w:val="nil"/>
                  </w:tcBorders>
                  <w:shd w:val="clear" w:color="auto" w:fill="auto"/>
                  <w:noWrap w:val="0"/>
                  <w:vAlign w:val="center"/>
                </w:tcPr>
                <w:p w14:paraId="52E95426">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val="0"/>
                      <w:bCs w:val="0"/>
                      <w:color w:val="auto"/>
                      <w:spacing w:val="0"/>
                      <w:kern w:val="0"/>
                      <w:position w:val="0"/>
                      <w:sz w:val="21"/>
                      <w:szCs w:val="21"/>
                      <w:highlight w:val="none"/>
                      <w:lang w:val="en-US" w:eastAsia="zh-CN"/>
                    </w:rPr>
                  </w:pPr>
                </w:p>
              </w:tc>
            </w:tr>
            <w:tr w14:paraId="7F2EB7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5EA79BA9">
                  <w:pPr>
                    <w:keepNext w:val="0"/>
                    <w:keepLines w:val="0"/>
                    <w:pageBreakBefore w:val="0"/>
                    <w:kinsoku/>
                    <w:wordWrap/>
                    <w:overflowPunct/>
                    <w:topLinePunct w:val="0"/>
                    <w:autoSpaceDE w:val="0"/>
                    <w:autoSpaceDN w:val="0"/>
                    <w:bidi w:val="0"/>
                    <w:adjustRightInd/>
                    <w:spacing w:line="240" w:lineRule="auto"/>
                    <w:ind w:leftChars="0"/>
                    <w:jc w:val="center"/>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合计</w:t>
                  </w:r>
                </w:p>
              </w:tc>
              <w:tc>
                <w:tcPr>
                  <w:tcW w:w="2525" w:type="dxa"/>
                  <w:tcBorders>
                    <w:tl2br w:val="nil"/>
                    <w:tr2bl w:val="nil"/>
                  </w:tcBorders>
                  <w:shd w:val="clear" w:color="auto" w:fill="auto"/>
                  <w:noWrap w:val="0"/>
                  <w:vAlign w:val="center"/>
                </w:tcPr>
                <w:p w14:paraId="7B645E8D">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6E189628">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合计</w:t>
                  </w:r>
                </w:p>
              </w:tc>
              <w:tc>
                <w:tcPr>
                  <w:tcW w:w="2060" w:type="dxa"/>
                  <w:tcBorders>
                    <w:tl2br w:val="nil"/>
                    <w:tr2bl w:val="nil"/>
                  </w:tcBorders>
                  <w:shd w:val="clear" w:color="auto" w:fill="auto"/>
                  <w:noWrap w:val="0"/>
                  <w:vAlign w:val="center"/>
                </w:tcPr>
                <w:p w14:paraId="7F5CEFE6">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bl>
          <w:p w14:paraId="69208927">
            <w:pPr>
              <w:autoSpaceDE w:val="0"/>
              <w:autoSpaceDN w:val="0"/>
              <w:adjustRightInd w:val="0"/>
              <w:snapToGrid w:val="0"/>
              <w:spacing w:before="120" w:beforeLines="50" w:line="360" w:lineRule="auto"/>
              <w:ind w:firstLine="480" w:firstLineChars="200"/>
              <w:jc w:val="left"/>
              <w:rPr>
                <w:rFonts w:hint="eastAsia" w:ascii="Times New Roman" w:hAnsi="Times New Roman" w:eastAsia="宋体" w:cs="Times New Roman"/>
                <w:b w:val="0"/>
                <w:bCs w:val="0"/>
                <w:color w:val="auto"/>
                <w:spacing w:val="0"/>
                <w:kern w:val="0"/>
                <w:position w:val="0"/>
                <w:sz w:val="24"/>
                <w:highlight w:val="none"/>
              </w:rPr>
            </w:pPr>
            <w:r>
              <w:rPr>
                <w:rFonts w:hint="eastAsia" w:ascii="Times New Roman" w:hAnsi="Times New Roman" w:eastAsia="宋体" w:cs="Times New Roman"/>
                <w:b w:val="0"/>
                <w:bCs w:val="0"/>
                <w:color w:val="auto"/>
                <w:spacing w:val="0"/>
                <w:kern w:val="0"/>
                <w:position w:val="0"/>
                <w:sz w:val="24"/>
                <w:highlight w:val="none"/>
              </w:rPr>
              <w:t>项目</w:t>
            </w:r>
            <w:r>
              <w:rPr>
                <w:rFonts w:hint="eastAsia" w:ascii="Times New Roman" w:hAnsi="Times New Roman" w:eastAsia="宋体" w:cs="Times New Roman"/>
                <w:b w:val="0"/>
                <w:bCs w:val="0"/>
                <w:color w:val="auto"/>
                <w:spacing w:val="0"/>
                <w:kern w:val="0"/>
                <w:position w:val="0"/>
                <w:sz w:val="24"/>
                <w:highlight w:val="none"/>
                <w:lang w:val="en-US" w:eastAsia="zh-CN"/>
              </w:rPr>
              <w:t>颗粒物</w:t>
            </w:r>
            <w:r>
              <w:rPr>
                <w:rFonts w:hint="eastAsia" w:cs="Times New Roman"/>
                <w:b w:val="0"/>
                <w:bCs w:val="0"/>
                <w:color w:val="auto"/>
                <w:spacing w:val="0"/>
                <w:kern w:val="0"/>
                <w:position w:val="0"/>
                <w:sz w:val="24"/>
                <w:highlight w:val="none"/>
                <w:lang w:val="en-US" w:eastAsia="zh-CN"/>
              </w:rPr>
              <w:t>（漆雾）</w:t>
            </w:r>
            <w:r>
              <w:rPr>
                <w:rFonts w:hint="eastAsia" w:ascii="Times New Roman" w:hAnsi="Times New Roman" w:eastAsia="宋体" w:cs="Times New Roman"/>
                <w:b w:val="0"/>
                <w:bCs w:val="0"/>
                <w:color w:val="auto"/>
                <w:spacing w:val="0"/>
                <w:kern w:val="0"/>
                <w:position w:val="0"/>
                <w:sz w:val="24"/>
                <w:highlight w:val="none"/>
              </w:rPr>
              <w:t>平衡分析详见下表：</w:t>
            </w:r>
          </w:p>
          <w:p w14:paraId="410F494A">
            <w:pPr>
              <w:pStyle w:val="72"/>
              <w:keepNext w:val="0"/>
              <w:keepLines w:val="0"/>
              <w:pageBreakBefore w:val="0"/>
              <w:widowControl/>
              <w:tabs>
                <w:tab w:val="left" w:pos="4507"/>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表</w:t>
            </w:r>
            <w:r>
              <w:rPr>
                <w:rFonts w:hint="eastAsia" w:ascii="Times New Roman" w:hAnsi="Times New Roman" w:eastAsia="宋体" w:cs="Times New Roman"/>
                <w:color w:val="auto"/>
                <w:spacing w:val="0"/>
                <w:position w:val="0"/>
                <w:highlight w:val="none"/>
                <w:lang w:val="en-US" w:eastAsia="zh-CN"/>
              </w:rPr>
              <w:t>2.7-</w:t>
            </w:r>
            <w:r>
              <w:rPr>
                <w:rFonts w:hint="eastAsia" w:cs="Times New Roman"/>
                <w:color w:val="auto"/>
                <w:spacing w:val="0"/>
                <w:position w:val="0"/>
                <w:highlight w:val="none"/>
                <w:lang w:val="en-US" w:eastAsia="zh-CN"/>
              </w:rPr>
              <w:t>6</w:t>
            </w:r>
            <w:r>
              <w:rPr>
                <w:rFonts w:hint="default" w:ascii="Times New Roman" w:hAnsi="Times New Roman" w:eastAsia="宋体" w:cs="Times New Roman"/>
                <w:color w:val="auto"/>
                <w:spacing w:val="0"/>
                <w:position w:val="0"/>
                <w:highlight w:val="none"/>
                <w:lang w:val="en-US" w:eastAsia="zh-CN"/>
              </w:rPr>
              <w:t xml:space="preserve"> </w:t>
            </w:r>
            <w:r>
              <w:rPr>
                <w:rFonts w:hint="eastAsia" w:ascii="Times New Roman" w:hAnsi="Times New Roman" w:eastAsia="宋体" w:cs="Times New Roman"/>
                <w:color w:val="auto"/>
                <w:spacing w:val="0"/>
                <w:position w:val="0"/>
                <w:highlight w:val="none"/>
                <w:lang w:val="en-US" w:eastAsia="zh-CN"/>
              </w:rPr>
              <w:t>项目</w:t>
            </w:r>
            <w:r>
              <w:rPr>
                <w:rFonts w:hint="eastAsia" w:ascii="Times New Roman" w:hAnsi="Times New Roman" w:eastAsia="宋体" w:cs="Times New Roman"/>
                <w:b/>
                <w:bCs/>
                <w:color w:val="auto"/>
                <w:spacing w:val="0"/>
                <w:kern w:val="0"/>
                <w:position w:val="0"/>
                <w:sz w:val="24"/>
                <w:highlight w:val="none"/>
                <w:lang w:val="en-US" w:eastAsia="zh-CN"/>
              </w:rPr>
              <w:t>颗粒物</w:t>
            </w:r>
            <w:r>
              <w:rPr>
                <w:rFonts w:hint="eastAsia" w:cs="Times New Roman"/>
                <w:b/>
                <w:bCs/>
                <w:color w:val="auto"/>
                <w:spacing w:val="0"/>
                <w:kern w:val="0"/>
                <w:position w:val="0"/>
                <w:sz w:val="24"/>
                <w:highlight w:val="none"/>
                <w:lang w:val="en-US" w:eastAsia="zh-CN"/>
              </w:rPr>
              <w:t>（漆雾）</w:t>
            </w:r>
            <w:r>
              <w:rPr>
                <w:rFonts w:hint="default" w:ascii="Times New Roman" w:hAnsi="Times New Roman" w:eastAsia="宋体" w:cs="Times New Roman"/>
                <w:color w:val="auto"/>
                <w:spacing w:val="0"/>
                <w:position w:val="0"/>
                <w:highlight w:val="none"/>
                <w:lang w:val="en-US" w:eastAsia="zh-CN"/>
              </w:rPr>
              <w:t>物料平衡表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64"/>
              <w:gridCol w:w="2525"/>
              <w:gridCol w:w="2232"/>
              <w:gridCol w:w="2060"/>
            </w:tblGrid>
            <w:tr w14:paraId="2A88EB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89" w:type="dxa"/>
                  <w:gridSpan w:val="2"/>
                  <w:tcBorders>
                    <w:tl2br w:val="nil"/>
                    <w:tr2bl w:val="nil"/>
                  </w:tcBorders>
                  <w:noWrap w:val="0"/>
                  <w:vAlign w:val="center"/>
                </w:tcPr>
                <w:p w14:paraId="79533604">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原料项</w:t>
                  </w:r>
                </w:p>
              </w:tc>
              <w:tc>
                <w:tcPr>
                  <w:tcW w:w="4292" w:type="dxa"/>
                  <w:gridSpan w:val="2"/>
                  <w:tcBorders>
                    <w:tl2br w:val="nil"/>
                    <w:tr2bl w:val="nil"/>
                  </w:tcBorders>
                  <w:noWrap w:val="0"/>
                  <w:vAlign w:val="center"/>
                </w:tcPr>
                <w:p w14:paraId="4CD4B516">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产出项</w:t>
                  </w:r>
                </w:p>
              </w:tc>
            </w:tr>
            <w:tr w14:paraId="0ADBA0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noWrap w:val="0"/>
                  <w:vAlign w:val="center"/>
                </w:tcPr>
                <w:p w14:paraId="599C69F6">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物料名称</w:t>
                  </w:r>
                </w:p>
              </w:tc>
              <w:tc>
                <w:tcPr>
                  <w:tcW w:w="2525" w:type="dxa"/>
                  <w:tcBorders>
                    <w:tl2br w:val="nil"/>
                    <w:tr2bl w:val="nil"/>
                  </w:tcBorders>
                  <w:noWrap w:val="0"/>
                  <w:vAlign w:val="center"/>
                </w:tcPr>
                <w:p w14:paraId="1D86A7DE">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eastAsia" w:cs="Times New Roman"/>
                      <w:b/>
                      <w:bCs/>
                      <w:color w:val="auto"/>
                      <w:spacing w:val="0"/>
                      <w:kern w:val="0"/>
                      <w:position w:val="0"/>
                      <w:sz w:val="21"/>
                      <w:szCs w:val="21"/>
                      <w:highlight w:val="none"/>
                      <w:lang w:val="en-US" w:eastAsia="zh-CN"/>
                    </w:rPr>
                    <w:t>产生</w:t>
                  </w:r>
                  <w:r>
                    <w:rPr>
                      <w:rFonts w:hint="default" w:ascii="Times New Roman" w:hAnsi="Times New Roman" w:eastAsia="宋体" w:cs="Times New Roman"/>
                      <w:b/>
                      <w:bCs/>
                      <w:color w:val="auto"/>
                      <w:spacing w:val="0"/>
                      <w:kern w:val="0"/>
                      <w:position w:val="0"/>
                      <w:sz w:val="21"/>
                      <w:szCs w:val="21"/>
                      <w:highlight w:val="none"/>
                      <w:lang w:val="en-US" w:eastAsia="zh-CN"/>
                    </w:rPr>
                    <w:t>量（t/a）</w:t>
                  </w:r>
                </w:p>
              </w:tc>
              <w:tc>
                <w:tcPr>
                  <w:tcW w:w="2232" w:type="dxa"/>
                  <w:tcBorders>
                    <w:tl2br w:val="nil"/>
                    <w:tr2bl w:val="nil"/>
                  </w:tcBorders>
                  <w:noWrap w:val="0"/>
                  <w:vAlign w:val="center"/>
                </w:tcPr>
                <w:p w14:paraId="4BB2EFA2">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产出项名称</w:t>
                  </w:r>
                </w:p>
              </w:tc>
              <w:tc>
                <w:tcPr>
                  <w:tcW w:w="2060" w:type="dxa"/>
                  <w:tcBorders>
                    <w:tl2br w:val="nil"/>
                    <w:tr2bl w:val="nil"/>
                  </w:tcBorders>
                  <w:noWrap w:val="0"/>
                  <w:vAlign w:val="center"/>
                </w:tcPr>
                <w:p w14:paraId="284600FC">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数量（t/a）</w:t>
                  </w:r>
                </w:p>
              </w:tc>
            </w:tr>
            <w:tr w14:paraId="4F4ECA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noWrap w:val="0"/>
                  <w:vAlign w:val="center"/>
                </w:tcPr>
                <w:p w14:paraId="29E536DE">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kern w:val="0"/>
                      <w:position w:val="0"/>
                      <w:sz w:val="21"/>
                      <w:szCs w:val="21"/>
                      <w:highlight w:val="none"/>
                      <w:lang w:val="en-US" w:eastAsia="zh-CN" w:bidi="ar-SA"/>
                    </w:rPr>
                    <w:t>油性漆</w:t>
                  </w:r>
                </w:p>
              </w:tc>
              <w:tc>
                <w:tcPr>
                  <w:tcW w:w="2525" w:type="dxa"/>
                  <w:tcBorders>
                    <w:tl2br w:val="nil"/>
                    <w:tr2bl w:val="nil"/>
                  </w:tcBorders>
                  <w:noWrap w:val="0"/>
                  <w:vAlign w:val="center"/>
                </w:tcPr>
                <w:p w14:paraId="183854FF">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16F76565">
                  <w:pPr>
                    <w:pStyle w:val="63"/>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有组织排放量</w:t>
                  </w:r>
                </w:p>
              </w:tc>
              <w:tc>
                <w:tcPr>
                  <w:tcW w:w="2060" w:type="dxa"/>
                  <w:tcBorders>
                    <w:tl2br w:val="nil"/>
                    <w:tr2bl w:val="nil"/>
                  </w:tcBorders>
                  <w:shd w:val="clear" w:color="auto" w:fill="auto"/>
                  <w:noWrap w:val="0"/>
                  <w:vAlign w:val="center"/>
                </w:tcPr>
                <w:p w14:paraId="6249FCA5">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b w:val="0"/>
                      <w:bCs w:val="0"/>
                      <w:color w:val="auto"/>
                      <w:spacing w:val="0"/>
                      <w:kern w:val="0"/>
                      <w:position w:val="0"/>
                      <w:sz w:val="21"/>
                      <w:szCs w:val="21"/>
                      <w:highlight w:val="none"/>
                      <w:lang w:val="en-US" w:eastAsia="zh-CN" w:bidi="ar-SA"/>
                    </w:rPr>
                  </w:pPr>
                </w:p>
              </w:tc>
            </w:tr>
            <w:tr w14:paraId="4826D6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6020A74D">
                  <w:pPr>
                    <w:keepNext w:val="0"/>
                    <w:keepLines w:val="0"/>
                    <w:pageBreakBefore w:val="0"/>
                    <w:kinsoku/>
                    <w:wordWrap/>
                    <w:overflowPunct/>
                    <w:topLinePunct w:val="0"/>
                    <w:autoSpaceDE w:val="0"/>
                    <w:autoSpaceDN w:val="0"/>
                    <w:bidi w:val="0"/>
                    <w:adjustRightInd/>
                    <w:spacing w:line="240" w:lineRule="auto"/>
                    <w:ind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水性漆</w:t>
                  </w:r>
                </w:p>
              </w:tc>
              <w:tc>
                <w:tcPr>
                  <w:tcW w:w="2525" w:type="dxa"/>
                  <w:tcBorders>
                    <w:tl2br w:val="nil"/>
                    <w:tr2bl w:val="nil"/>
                  </w:tcBorders>
                  <w:shd w:val="clear" w:color="auto" w:fill="auto"/>
                  <w:noWrap w:val="0"/>
                  <w:vAlign w:val="center"/>
                </w:tcPr>
                <w:p w14:paraId="4EC34D59">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107F9148">
                  <w:pPr>
                    <w:pStyle w:val="63"/>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kern w:val="0"/>
                      <w:position w:val="0"/>
                      <w:sz w:val="21"/>
                      <w:szCs w:val="21"/>
                      <w:highlight w:val="none"/>
                      <w:lang w:val="en-US" w:eastAsia="zh-CN" w:bidi="ar-SA"/>
                    </w:rPr>
                    <w:t>气旋塔</w:t>
                  </w:r>
                  <w:r>
                    <w:rPr>
                      <w:rFonts w:hint="eastAsia" w:ascii="Times New Roman" w:hAnsi="Times New Roman" w:eastAsia="宋体" w:cs="Times New Roman"/>
                      <w:color w:val="auto"/>
                      <w:spacing w:val="0"/>
                      <w:kern w:val="0"/>
                      <w:position w:val="0"/>
                      <w:sz w:val="21"/>
                      <w:szCs w:val="21"/>
                      <w:highlight w:val="none"/>
                      <w:lang w:val="en-US" w:eastAsia="zh-CN" w:bidi="ar-SA"/>
                    </w:rPr>
                    <w:t>消减量</w:t>
                  </w:r>
                </w:p>
              </w:tc>
              <w:tc>
                <w:tcPr>
                  <w:tcW w:w="2060" w:type="dxa"/>
                  <w:tcBorders>
                    <w:tl2br w:val="nil"/>
                    <w:tr2bl w:val="nil"/>
                  </w:tcBorders>
                  <w:shd w:val="clear" w:color="auto" w:fill="auto"/>
                  <w:noWrap w:val="0"/>
                  <w:vAlign w:val="center"/>
                </w:tcPr>
                <w:p w14:paraId="506C9307">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val="0"/>
                      <w:bCs w:val="0"/>
                      <w:color w:val="auto"/>
                      <w:spacing w:val="0"/>
                      <w:kern w:val="0"/>
                      <w:position w:val="0"/>
                      <w:sz w:val="21"/>
                      <w:szCs w:val="21"/>
                      <w:highlight w:val="none"/>
                      <w:lang w:val="en-US" w:eastAsia="zh-CN"/>
                    </w:rPr>
                  </w:pPr>
                </w:p>
              </w:tc>
            </w:tr>
            <w:tr w14:paraId="1B57C4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7F8DA08E">
                  <w:pPr>
                    <w:keepNext w:val="0"/>
                    <w:keepLines w:val="0"/>
                    <w:pageBreakBefore w:val="0"/>
                    <w:kinsoku/>
                    <w:wordWrap/>
                    <w:overflowPunct/>
                    <w:topLinePunct w:val="0"/>
                    <w:autoSpaceDE w:val="0"/>
                    <w:autoSpaceDN w:val="0"/>
                    <w:bidi w:val="0"/>
                    <w:adjustRightInd/>
                    <w:spacing w:line="240" w:lineRule="auto"/>
                    <w:ind w:left="0" w:leftChars="0"/>
                    <w:jc w:val="center"/>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kern w:val="0"/>
                      <w:position w:val="0"/>
                      <w:sz w:val="21"/>
                      <w:szCs w:val="21"/>
                      <w:highlight w:val="none"/>
                      <w:lang w:val="en-US" w:eastAsia="zh-CN" w:bidi="ar-SA"/>
                    </w:rPr>
                    <w:t>固化剂</w:t>
                  </w:r>
                </w:p>
              </w:tc>
              <w:tc>
                <w:tcPr>
                  <w:tcW w:w="2525" w:type="dxa"/>
                  <w:tcBorders>
                    <w:tl2br w:val="nil"/>
                    <w:tr2bl w:val="nil"/>
                  </w:tcBorders>
                  <w:shd w:val="clear" w:color="auto" w:fill="auto"/>
                  <w:noWrap w:val="0"/>
                  <w:vAlign w:val="center"/>
                </w:tcPr>
                <w:p w14:paraId="0B5B7199">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7D2B5ECC">
                  <w:pPr>
                    <w:pStyle w:val="63"/>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kern w:val="0"/>
                      <w:position w:val="0"/>
                      <w:sz w:val="21"/>
                      <w:szCs w:val="21"/>
                      <w:highlight w:val="none"/>
                      <w:lang w:val="en-US" w:eastAsia="zh-CN" w:bidi="ar-SA"/>
                    </w:rPr>
                    <w:t>过滤棉消减量</w:t>
                  </w:r>
                </w:p>
              </w:tc>
              <w:tc>
                <w:tcPr>
                  <w:tcW w:w="2060" w:type="dxa"/>
                  <w:tcBorders>
                    <w:tl2br w:val="nil"/>
                    <w:tr2bl w:val="nil"/>
                  </w:tcBorders>
                  <w:shd w:val="clear" w:color="auto" w:fill="auto"/>
                  <w:noWrap w:val="0"/>
                  <w:vAlign w:val="center"/>
                </w:tcPr>
                <w:p w14:paraId="655B71B4">
                  <w:pPr>
                    <w:keepNext w:val="0"/>
                    <w:keepLines w:val="0"/>
                    <w:pageBreakBefore w:val="0"/>
                    <w:widowControl/>
                    <w:kinsoku/>
                    <w:wordWrap/>
                    <w:overflowPunct/>
                    <w:topLinePunct w:val="0"/>
                    <w:bidi w:val="0"/>
                    <w:adjustRightInd/>
                    <w:spacing w:line="240" w:lineRule="auto"/>
                    <w:ind w:leftChars="0"/>
                    <w:jc w:val="center"/>
                    <w:rPr>
                      <w:rFonts w:hint="default" w:cs="Times New Roman"/>
                      <w:b w:val="0"/>
                      <w:bCs w:val="0"/>
                      <w:color w:val="auto"/>
                      <w:spacing w:val="0"/>
                      <w:kern w:val="0"/>
                      <w:position w:val="0"/>
                      <w:sz w:val="21"/>
                      <w:szCs w:val="21"/>
                      <w:highlight w:val="none"/>
                      <w:lang w:val="en-US" w:eastAsia="zh-CN"/>
                    </w:rPr>
                  </w:pPr>
                </w:p>
              </w:tc>
            </w:tr>
            <w:tr w14:paraId="1700F0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564" w:type="dxa"/>
                  <w:tcBorders>
                    <w:tl2br w:val="nil"/>
                    <w:tr2bl w:val="nil"/>
                  </w:tcBorders>
                  <w:shd w:val="clear" w:color="auto" w:fill="auto"/>
                  <w:noWrap w:val="0"/>
                  <w:vAlign w:val="center"/>
                </w:tcPr>
                <w:p w14:paraId="74D009A3">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kern w:val="0"/>
                      <w:position w:val="0"/>
                      <w:sz w:val="21"/>
                      <w:szCs w:val="21"/>
                      <w:highlight w:val="none"/>
                      <w:lang w:val="en-US" w:eastAsia="zh-CN" w:bidi="ar-SA"/>
                    </w:rPr>
                    <w:t>/</w:t>
                  </w:r>
                </w:p>
              </w:tc>
              <w:tc>
                <w:tcPr>
                  <w:tcW w:w="2525" w:type="dxa"/>
                  <w:tcBorders>
                    <w:tl2br w:val="nil"/>
                    <w:tr2bl w:val="nil"/>
                  </w:tcBorders>
                  <w:shd w:val="clear" w:color="auto" w:fill="auto"/>
                  <w:noWrap w:val="0"/>
                  <w:vAlign w:val="center"/>
                </w:tcPr>
                <w:p w14:paraId="6FE24FF3">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728DDB99">
                  <w:pPr>
                    <w:keepNext w:val="0"/>
                    <w:keepLines w:val="0"/>
                    <w:pageBreakBefore w:val="0"/>
                    <w:widowControl/>
                    <w:suppressLineNumbers w:val="0"/>
                    <w:kinsoku/>
                    <w:wordWrap/>
                    <w:overflowPunct/>
                    <w:topLinePunct w:val="0"/>
                    <w:bidi w:val="0"/>
                    <w:adjustRightInd/>
                    <w:spacing w:line="240" w:lineRule="auto"/>
                    <w:ind w:left="0" w:leftChars="0"/>
                    <w:jc w:val="center"/>
                    <w:textAlignment w:val="center"/>
                    <w:rPr>
                      <w:rFonts w:hint="eastAsia" w:ascii="Times New Roman" w:hAnsi="Times New Roman" w:eastAsia="宋体" w:cs="Times New Roman"/>
                      <w:b w:val="0"/>
                      <w:bCs/>
                      <w:color w:val="auto"/>
                      <w:spacing w:val="0"/>
                      <w:kern w:val="2"/>
                      <w:position w:val="0"/>
                      <w:sz w:val="21"/>
                      <w:szCs w:val="21"/>
                      <w:highlight w:val="none"/>
                      <w:lang w:val="en-US" w:eastAsia="zh-CN" w:bidi="ar-SA"/>
                    </w:rPr>
                  </w:pPr>
                  <w:r>
                    <w:rPr>
                      <w:rFonts w:hint="eastAsia" w:ascii="Times New Roman" w:hAnsi="Times New Roman" w:eastAsia="宋体" w:cs="Times New Roman"/>
                      <w:b w:val="0"/>
                      <w:bCs/>
                      <w:color w:val="auto"/>
                      <w:spacing w:val="0"/>
                      <w:kern w:val="2"/>
                      <w:position w:val="0"/>
                      <w:sz w:val="21"/>
                      <w:szCs w:val="21"/>
                      <w:highlight w:val="none"/>
                      <w:lang w:val="en-US" w:eastAsia="zh-CN" w:bidi="ar-SA"/>
                    </w:rPr>
                    <w:t>无组织排放量</w:t>
                  </w:r>
                </w:p>
              </w:tc>
              <w:tc>
                <w:tcPr>
                  <w:tcW w:w="2060" w:type="dxa"/>
                  <w:tcBorders>
                    <w:tl2br w:val="nil"/>
                    <w:tr2bl w:val="nil"/>
                  </w:tcBorders>
                  <w:shd w:val="clear" w:color="auto" w:fill="auto"/>
                  <w:noWrap w:val="0"/>
                  <w:vAlign w:val="center"/>
                </w:tcPr>
                <w:p w14:paraId="4F66CFA5">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val="0"/>
                      <w:bCs w:val="0"/>
                      <w:color w:val="auto"/>
                      <w:spacing w:val="0"/>
                      <w:kern w:val="0"/>
                      <w:position w:val="0"/>
                      <w:sz w:val="21"/>
                      <w:szCs w:val="21"/>
                      <w:highlight w:val="none"/>
                      <w:lang w:val="en-US" w:eastAsia="zh-CN"/>
                    </w:rPr>
                  </w:pPr>
                </w:p>
              </w:tc>
            </w:tr>
            <w:tr w14:paraId="3F6D5E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5315EBA1">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kern w:val="0"/>
                      <w:position w:val="0"/>
                      <w:sz w:val="21"/>
                      <w:szCs w:val="21"/>
                      <w:highlight w:val="none"/>
                      <w:lang w:val="en-US" w:eastAsia="zh-CN" w:bidi="ar-SA"/>
                    </w:rPr>
                    <w:t>/</w:t>
                  </w:r>
                </w:p>
              </w:tc>
              <w:tc>
                <w:tcPr>
                  <w:tcW w:w="2525" w:type="dxa"/>
                  <w:tcBorders>
                    <w:tl2br w:val="nil"/>
                    <w:tr2bl w:val="nil"/>
                  </w:tcBorders>
                  <w:shd w:val="clear" w:color="auto" w:fill="auto"/>
                  <w:noWrap w:val="0"/>
                  <w:vAlign w:val="center"/>
                </w:tcPr>
                <w:p w14:paraId="19A0F6F6">
                  <w:pPr>
                    <w:keepNext w:val="0"/>
                    <w:keepLines w:val="0"/>
                    <w:pageBreakBefore w:val="0"/>
                    <w:kinsoku/>
                    <w:wordWrap/>
                    <w:overflowPunct/>
                    <w:topLinePunct w:val="0"/>
                    <w:autoSpaceDE w:val="0"/>
                    <w:autoSpaceDN w:val="0"/>
                    <w:bidi w:val="0"/>
                    <w:adjustRightInd/>
                    <w:spacing w:line="240" w:lineRule="auto"/>
                    <w:ind w:left="0" w:left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4135EF23">
                  <w:pPr>
                    <w:keepNext w:val="0"/>
                    <w:keepLines w:val="0"/>
                    <w:pageBreakBefore w:val="0"/>
                    <w:widowControl/>
                    <w:suppressLineNumbers w:val="0"/>
                    <w:kinsoku/>
                    <w:wordWrap/>
                    <w:overflowPunct/>
                    <w:topLinePunct w:val="0"/>
                    <w:bidi w:val="0"/>
                    <w:adjustRightInd/>
                    <w:spacing w:line="240" w:lineRule="auto"/>
                    <w:ind w:left="0" w:leftChars="0"/>
                    <w:jc w:val="center"/>
                    <w:textAlignment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eastAsia" w:cs="Times New Roman"/>
                      <w:b w:val="0"/>
                      <w:bCs/>
                      <w:color w:val="auto"/>
                      <w:spacing w:val="0"/>
                      <w:kern w:val="2"/>
                      <w:position w:val="0"/>
                      <w:sz w:val="21"/>
                      <w:szCs w:val="21"/>
                      <w:highlight w:val="none"/>
                      <w:lang w:val="en-US" w:eastAsia="zh-CN" w:bidi="ar-SA"/>
                    </w:rPr>
                    <w:t>无组织沉降</w:t>
                  </w:r>
                </w:p>
              </w:tc>
              <w:tc>
                <w:tcPr>
                  <w:tcW w:w="2060" w:type="dxa"/>
                  <w:tcBorders>
                    <w:tl2br w:val="nil"/>
                    <w:tr2bl w:val="nil"/>
                  </w:tcBorders>
                  <w:shd w:val="clear" w:color="auto" w:fill="auto"/>
                  <w:noWrap w:val="0"/>
                  <w:vAlign w:val="center"/>
                </w:tcPr>
                <w:p w14:paraId="3153DCD6">
                  <w:pPr>
                    <w:keepNext w:val="0"/>
                    <w:keepLines w:val="0"/>
                    <w:pageBreakBefore w:val="0"/>
                    <w:widowControl/>
                    <w:kinsoku/>
                    <w:wordWrap/>
                    <w:overflowPunct/>
                    <w:topLinePunct w:val="0"/>
                    <w:bidi w:val="0"/>
                    <w:adjustRightInd/>
                    <w:spacing w:line="240" w:lineRule="auto"/>
                    <w:ind w:leftChars="0"/>
                    <w:jc w:val="center"/>
                    <w:rPr>
                      <w:rFonts w:hint="default" w:ascii="Times New Roman" w:hAnsi="Times New Roman" w:eastAsia="宋体" w:cs="Times New Roman"/>
                      <w:b w:val="0"/>
                      <w:bCs w:val="0"/>
                      <w:color w:val="auto"/>
                      <w:spacing w:val="0"/>
                      <w:kern w:val="0"/>
                      <w:position w:val="0"/>
                      <w:sz w:val="21"/>
                      <w:szCs w:val="21"/>
                      <w:highlight w:val="none"/>
                      <w:lang w:val="en-US" w:eastAsia="zh-CN"/>
                    </w:rPr>
                  </w:pPr>
                </w:p>
              </w:tc>
            </w:tr>
            <w:tr w14:paraId="7DEA75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4" w:type="dxa"/>
                  <w:tcBorders>
                    <w:tl2br w:val="nil"/>
                    <w:tr2bl w:val="nil"/>
                  </w:tcBorders>
                  <w:shd w:val="clear" w:color="auto" w:fill="auto"/>
                  <w:noWrap w:val="0"/>
                  <w:vAlign w:val="center"/>
                </w:tcPr>
                <w:p w14:paraId="5F1C6B37">
                  <w:pPr>
                    <w:keepNext w:val="0"/>
                    <w:keepLines w:val="0"/>
                    <w:pageBreakBefore w:val="0"/>
                    <w:kinsoku/>
                    <w:wordWrap/>
                    <w:overflowPunct/>
                    <w:topLinePunct w:val="0"/>
                    <w:autoSpaceDE w:val="0"/>
                    <w:autoSpaceDN w:val="0"/>
                    <w:bidi w:val="0"/>
                    <w:adjustRightInd/>
                    <w:spacing w:line="240" w:lineRule="auto"/>
                    <w:ind w:leftChars="0"/>
                    <w:jc w:val="center"/>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合计</w:t>
                  </w:r>
                </w:p>
              </w:tc>
              <w:tc>
                <w:tcPr>
                  <w:tcW w:w="2525" w:type="dxa"/>
                  <w:tcBorders>
                    <w:tl2br w:val="nil"/>
                    <w:tr2bl w:val="nil"/>
                  </w:tcBorders>
                  <w:shd w:val="clear" w:color="auto" w:fill="auto"/>
                  <w:noWrap w:val="0"/>
                  <w:vAlign w:val="center"/>
                </w:tcPr>
                <w:p w14:paraId="17DEE454">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232" w:type="dxa"/>
                  <w:tcBorders>
                    <w:tl2br w:val="nil"/>
                    <w:tr2bl w:val="nil"/>
                  </w:tcBorders>
                  <w:shd w:val="clear" w:color="auto" w:fill="auto"/>
                  <w:noWrap w:val="0"/>
                  <w:vAlign w:val="center"/>
                </w:tcPr>
                <w:p w14:paraId="35DC9B4B">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SA"/>
                    </w:rPr>
                    <w:t>合计</w:t>
                  </w:r>
                </w:p>
              </w:tc>
              <w:tc>
                <w:tcPr>
                  <w:tcW w:w="2060" w:type="dxa"/>
                  <w:tcBorders>
                    <w:tl2br w:val="nil"/>
                    <w:tr2bl w:val="nil"/>
                  </w:tcBorders>
                  <w:shd w:val="clear" w:color="auto" w:fill="auto"/>
                  <w:noWrap w:val="0"/>
                  <w:vAlign w:val="center"/>
                </w:tcPr>
                <w:p w14:paraId="272050E2">
                  <w:pPr>
                    <w:keepNext w:val="0"/>
                    <w:keepLines w:val="0"/>
                    <w:pageBreakBefore w:val="0"/>
                    <w:widowControl/>
                    <w:suppressLineNumbers w:val="0"/>
                    <w:kinsoku/>
                    <w:wordWrap/>
                    <w:overflowPunct/>
                    <w:topLinePunct w:val="0"/>
                    <w:bidi w:val="0"/>
                    <w:adjustRightInd/>
                    <w:spacing w:line="240" w:lineRule="auto"/>
                    <w:ind w:lef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bl>
          <w:p w14:paraId="0E39F4C5">
            <w:pPr>
              <w:autoSpaceDE w:val="0"/>
              <w:autoSpaceDN w:val="0"/>
              <w:adjustRightInd w:val="0"/>
              <w:snapToGrid w:val="0"/>
              <w:spacing w:before="120" w:beforeLines="50" w:line="360" w:lineRule="auto"/>
              <w:jc w:val="left"/>
              <w:rPr>
                <w:rFonts w:ascii="Times New Roman" w:hAnsi="Times New Roman" w:eastAsia="宋体" w:cs="Times New Roman"/>
                <w:b/>
                <w:bCs/>
                <w:color w:val="auto"/>
                <w:spacing w:val="0"/>
                <w:kern w:val="0"/>
                <w:position w:val="0"/>
                <w:sz w:val="24"/>
                <w:highlight w:val="none"/>
              </w:rPr>
            </w:pPr>
            <w:r>
              <w:rPr>
                <w:rFonts w:hint="eastAsia" w:ascii="Times New Roman" w:hAnsi="Times New Roman" w:eastAsia="宋体" w:cs="Times New Roman"/>
                <w:b/>
                <w:bCs/>
                <w:color w:val="auto"/>
                <w:spacing w:val="0"/>
                <w:kern w:val="0"/>
                <w:position w:val="0"/>
                <w:sz w:val="24"/>
                <w:highlight w:val="none"/>
              </w:rPr>
              <w:t xml:space="preserve">2.8 </w:t>
            </w:r>
            <w:r>
              <w:rPr>
                <w:rFonts w:ascii="Times New Roman" w:hAnsi="Times New Roman" w:eastAsia="宋体" w:cs="Times New Roman"/>
                <w:b/>
                <w:bCs/>
                <w:color w:val="auto"/>
                <w:spacing w:val="0"/>
                <w:kern w:val="0"/>
                <w:position w:val="0"/>
                <w:sz w:val="24"/>
                <w:highlight w:val="none"/>
                <w:lang w:eastAsia="zh-Hans"/>
              </w:rPr>
              <w:t>厂区</w:t>
            </w:r>
            <w:r>
              <w:rPr>
                <w:rFonts w:ascii="Times New Roman" w:hAnsi="Times New Roman" w:eastAsia="宋体" w:cs="Times New Roman"/>
                <w:b/>
                <w:bCs/>
                <w:color w:val="auto"/>
                <w:spacing w:val="0"/>
                <w:kern w:val="0"/>
                <w:position w:val="0"/>
                <w:sz w:val="24"/>
                <w:highlight w:val="none"/>
              </w:rPr>
              <w:t>平面布置合理性分析</w:t>
            </w:r>
          </w:p>
          <w:p w14:paraId="280E0EB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position w:val="0"/>
                <w:sz w:val="24"/>
                <w:szCs w:val="24"/>
                <w:highlight w:val="none"/>
              </w:rPr>
              <w:t>项目租赁</w:t>
            </w:r>
            <w:r>
              <w:rPr>
                <w:rFonts w:hint="eastAsia" w:cs="Times New Roman"/>
                <w:color w:val="auto"/>
                <w:spacing w:val="0"/>
                <w:position w:val="0"/>
                <w:sz w:val="24"/>
                <w:szCs w:val="24"/>
                <w:highlight w:val="none"/>
                <w:lang w:val="en-US" w:eastAsia="zh-CN"/>
              </w:rPr>
              <w:t>福建省奥德瑞电子科技有限公司</w:t>
            </w:r>
            <w:r>
              <w:rPr>
                <w:rFonts w:hint="eastAsia" w:ascii="Times New Roman" w:hAnsi="Times New Roman" w:eastAsia="宋体" w:cs="Times New Roman"/>
                <w:color w:val="auto"/>
                <w:spacing w:val="0"/>
                <w:position w:val="0"/>
                <w:sz w:val="24"/>
                <w:szCs w:val="24"/>
                <w:highlight w:val="none"/>
                <w:lang w:val="en-US" w:eastAsia="zh-CN"/>
              </w:rPr>
              <w:t>5#厂房二层闲置</w:t>
            </w:r>
            <w:r>
              <w:rPr>
                <w:rFonts w:hint="eastAsia" w:cs="Times New Roman"/>
                <w:color w:val="auto"/>
                <w:spacing w:val="0"/>
                <w:position w:val="0"/>
                <w:sz w:val="24"/>
                <w:szCs w:val="24"/>
                <w:highlight w:val="none"/>
                <w:lang w:val="en-US" w:eastAsia="zh-CN"/>
              </w:rPr>
              <w:t>的生产</w:t>
            </w:r>
            <w:r>
              <w:rPr>
                <w:rFonts w:hint="eastAsia" w:ascii="Times New Roman" w:hAnsi="Times New Roman" w:eastAsia="宋体" w:cs="Times New Roman"/>
                <w:color w:val="auto"/>
                <w:spacing w:val="0"/>
                <w:position w:val="0"/>
                <w:sz w:val="24"/>
                <w:szCs w:val="24"/>
                <w:highlight w:val="none"/>
                <w:lang w:val="en-US" w:eastAsia="zh-CN"/>
              </w:rPr>
              <w:t>作为生产场所</w:t>
            </w:r>
            <w:r>
              <w:rPr>
                <w:rFonts w:hint="eastAsia"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kern w:val="0"/>
                <w:position w:val="0"/>
                <w:sz w:val="24"/>
                <w:szCs w:val="24"/>
                <w:highlight w:val="none"/>
                <w:lang w:val="en-US" w:eastAsia="zh-CN" w:bidi="ar"/>
              </w:rPr>
              <w:t>可做到防风、防雨、防晒，选址合理可行，平面布置详见附图</w:t>
            </w:r>
            <w:r>
              <w:rPr>
                <w:rFonts w:hint="eastAsia" w:cs="Times New Roman"/>
                <w:color w:val="auto"/>
                <w:spacing w:val="0"/>
                <w:kern w:val="0"/>
                <w:position w:val="0"/>
                <w:sz w:val="24"/>
                <w:szCs w:val="24"/>
                <w:highlight w:val="none"/>
                <w:lang w:val="en-US" w:eastAsia="zh-CN" w:bidi="ar"/>
              </w:rPr>
              <w:t>8</w:t>
            </w:r>
            <w:r>
              <w:rPr>
                <w:rFonts w:hint="eastAsia" w:ascii="Times New Roman" w:hAnsi="Times New Roman" w:eastAsia="宋体" w:cs="Times New Roman"/>
                <w:color w:val="auto"/>
                <w:spacing w:val="0"/>
                <w:kern w:val="0"/>
                <w:position w:val="0"/>
                <w:sz w:val="24"/>
                <w:szCs w:val="24"/>
                <w:highlight w:val="none"/>
                <w:lang w:val="en-US" w:eastAsia="zh-CN" w:bidi="ar"/>
              </w:rPr>
              <w:t>。</w:t>
            </w:r>
          </w:p>
          <w:p w14:paraId="2B9FD8F9">
            <w:pPr>
              <w:keepNext w:val="0"/>
              <w:keepLines w:val="0"/>
              <w:pageBreakBefore w:val="0"/>
              <w:kinsoku/>
              <w:wordWrap/>
              <w:topLinePunct w:val="0"/>
              <w:bidi w:val="0"/>
              <w:adjustRightInd/>
              <w:spacing w:line="360" w:lineRule="auto"/>
              <w:ind w:firstLine="480" w:firstLineChars="200"/>
              <w:rPr>
                <w:rFonts w:hint="eastAsia" w:ascii="Times New Roman" w:hAnsi="Times New Roman" w:eastAsia="宋体" w:cs="Times New Roman"/>
                <w:bCs/>
                <w:color w:val="auto"/>
                <w:spacing w:val="0"/>
                <w:position w:val="0"/>
                <w:szCs w:val="21"/>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bidi="ar"/>
              </w:rPr>
              <w:t>项目</w:t>
            </w:r>
            <w:r>
              <w:rPr>
                <w:rFonts w:hint="eastAsia" w:cs="Times New Roman"/>
                <w:color w:val="auto"/>
                <w:spacing w:val="0"/>
                <w:kern w:val="0"/>
                <w:position w:val="0"/>
                <w:sz w:val="24"/>
                <w:szCs w:val="24"/>
                <w:highlight w:val="none"/>
                <w:lang w:val="en-US" w:eastAsia="zh-CN" w:bidi="ar"/>
              </w:rPr>
              <w:t>北侧设置有底漆晾干房、面漆晾干房、成品仓库，东北侧设置有危废暂存间，东南侧设置有办公室、仓库，南侧设置有原料区，西南侧设置有成品区，西北侧设置有办公室、化学品仓库、一般固废间</w:t>
            </w:r>
            <w:r>
              <w:rPr>
                <w:rFonts w:hint="eastAsia" w:ascii="Times New Roman" w:hAnsi="Times New Roman" w:eastAsia="宋体" w:cs="Times New Roman"/>
                <w:color w:val="auto"/>
                <w:spacing w:val="0"/>
                <w:kern w:val="0"/>
                <w:position w:val="0"/>
                <w:sz w:val="24"/>
                <w:szCs w:val="24"/>
                <w:highlight w:val="none"/>
                <w:lang w:val="en-US" w:eastAsia="zh-CN" w:bidi="ar"/>
              </w:rPr>
              <w:t>。项目厂区功能区划分较为明确，各生产设备布置基本上能按照生产工艺要求进行布设，主要生产设备均采取基础减震和墙体隔声，可以有效降低噪声对外环境的影响。项目厂区平面布局合理，生产、物流顺畅，生产区布置比较紧凑、物料流程短，厂区总体布置有利于生产操作和管理。项目用地为工业用地，</w:t>
            </w:r>
            <w:r>
              <w:rPr>
                <w:rFonts w:hint="eastAsia" w:ascii="Times New Roman" w:hAnsi="Times New Roman" w:eastAsia="宋体" w:cs="Times New Roman"/>
                <w:color w:val="auto"/>
                <w:spacing w:val="0"/>
                <w:sz w:val="24"/>
                <w:highlight w:val="none"/>
                <w:lang w:val="en-US" w:eastAsia="zh-CN" w:bidi="ar"/>
              </w:rPr>
              <w:t>距离项目最近的敏感点为西北侧</w:t>
            </w:r>
            <w:r>
              <w:rPr>
                <w:rFonts w:hint="eastAsia" w:cs="Times New Roman"/>
                <w:color w:val="auto"/>
                <w:spacing w:val="0"/>
                <w:sz w:val="24"/>
                <w:highlight w:val="none"/>
                <w:lang w:val="en-US" w:eastAsia="zh-CN" w:bidi="ar"/>
              </w:rPr>
              <w:t>433</w:t>
            </w:r>
            <w:r>
              <w:rPr>
                <w:rFonts w:hint="eastAsia" w:ascii="Times New Roman" w:hAnsi="Times New Roman" w:eastAsia="宋体" w:cs="Times New Roman"/>
                <w:color w:val="auto"/>
                <w:spacing w:val="0"/>
                <w:sz w:val="24"/>
                <w:highlight w:val="none"/>
                <w:lang w:val="en-US" w:eastAsia="zh-CN" w:bidi="ar"/>
              </w:rPr>
              <w:t>m处</w:t>
            </w:r>
            <w:r>
              <w:rPr>
                <w:rFonts w:hint="eastAsia" w:cs="Times New Roman"/>
                <w:color w:val="auto"/>
                <w:spacing w:val="0"/>
                <w:position w:val="0"/>
                <w:sz w:val="24"/>
                <w:szCs w:val="24"/>
                <w:highlight w:val="none"/>
                <w:lang w:val="en-US" w:eastAsia="zh-CN"/>
              </w:rPr>
              <w:t>福建京台高速管理中心</w:t>
            </w:r>
            <w:r>
              <w:rPr>
                <w:rFonts w:hint="eastAsia" w:ascii="Times New Roman" w:hAnsi="Times New Roman" w:eastAsia="宋体" w:cs="Times New Roman"/>
                <w:color w:val="auto"/>
                <w:spacing w:val="0"/>
                <w:sz w:val="24"/>
                <w:highlight w:val="none"/>
                <w:lang w:val="en-US" w:eastAsia="zh-CN" w:bidi="ar"/>
              </w:rPr>
              <w:t>，</w:t>
            </w:r>
            <w:r>
              <w:rPr>
                <w:rFonts w:hint="eastAsia" w:ascii="Times New Roman" w:hAnsi="Times New Roman" w:eastAsia="宋体" w:cs="Times New Roman"/>
                <w:color w:val="auto"/>
                <w:spacing w:val="0"/>
                <w:sz w:val="24"/>
                <w:szCs w:val="20"/>
                <w:highlight w:val="none"/>
                <w:lang w:val="en-US" w:eastAsia="zh-CN"/>
              </w:rPr>
              <w:t>废气收集措施设置紧靠产污设备，</w:t>
            </w:r>
            <w:r>
              <w:rPr>
                <w:rFonts w:hint="eastAsia" w:cs="Times New Roman"/>
                <w:color w:val="auto"/>
                <w:spacing w:val="0"/>
                <w:sz w:val="24"/>
                <w:szCs w:val="24"/>
                <w:highlight w:val="none"/>
                <w:lang w:val="en-US" w:eastAsia="zh-CN"/>
              </w:rPr>
              <w:t>调漆、喷漆、晾干废气汇集于一根主管至5F楼顶，经废气治理设施处理后排放，废气治理设施</w:t>
            </w:r>
            <w:r>
              <w:rPr>
                <w:rFonts w:hint="eastAsia" w:cs="Times New Roman"/>
                <w:color w:val="auto"/>
                <w:sz w:val="24"/>
                <w:szCs w:val="24"/>
                <w:highlight w:val="none"/>
                <w:lang w:val="en-US" w:eastAsia="zh-CN"/>
              </w:rPr>
              <w:t>位于5F楼顶北侧中心位置，</w:t>
            </w:r>
            <w:r>
              <w:rPr>
                <w:rFonts w:hint="eastAsia" w:ascii="Times New Roman" w:hAnsi="Times New Roman" w:eastAsia="宋体" w:cs="Times New Roman"/>
                <w:color w:val="auto"/>
                <w:spacing w:val="0"/>
                <w:sz w:val="24"/>
                <w:szCs w:val="20"/>
                <w:highlight w:val="none"/>
                <w:lang w:val="en-US" w:eastAsia="zh-CN"/>
              </w:rPr>
              <w:t>废气经处理后均达标排放，对周围以及敏感目标大气环境产生的影响较小；项目四周均为工业企业，且高噪声均位于生产车间内部，项目经优化布局、厂房隔声及距离衰减后，对周边噪声环境影响较小</w:t>
            </w:r>
            <w:r>
              <w:rPr>
                <w:rFonts w:hint="eastAsia" w:ascii="Times New Roman" w:hAnsi="Times New Roman" w:eastAsia="宋体" w:cs="Times New Roman"/>
                <w:color w:val="auto"/>
                <w:spacing w:val="0"/>
                <w:kern w:val="0"/>
                <w:position w:val="0"/>
                <w:sz w:val="24"/>
                <w:szCs w:val="24"/>
                <w:highlight w:val="none"/>
                <w:lang w:val="en-US" w:eastAsia="zh-CN" w:bidi="ar"/>
              </w:rPr>
              <w:t>；拟将</w:t>
            </w:r>
            <w:r>
              <w:rPr>
                <w:rFonts w:hint="eastAsia" w:cs="Times New Roman"/>
                <w:color w:val="auto"/>
                <w:spacing w:val="0"/>
                <w:kern w:val="0"/>
                <w:position w:val="0"/>
                <w:sz w:val="24"/>
                <w:szCs w:val="24"/>
                <w:highlight w:val="none"/>
                <w:lang w:val="en-US" w:eastAsia="zh-CN" w:bidi="ar"/>
              </w:rPr>
              <w:t>危废</w:t>
            </w:r>
            <w:r>
              <w:rPr>
                <w:rFonts w:hint="eastAsia" w:ascii="Times New Roman" w:hAnsi="Times New Roman" w:eastAsia="宋体" w:cs="Times New Roman"/>
                <w:color w:val="auto"/>
                <w:spacing w:val="0"/>
                <w:kern w:val="0"/>
                <w:position w:val="0"/>
                <w:sz w:val="24"/>
                <w:szCs w:val="24"/>
                <w:highlight w:val="none"/>
                <w:lang w:val="en-US" w:eastAsia="zh-CN" w:bidi="ar"/>
              </w:rPr>
              <w:t>暂存间设置于</w:t>
            </w:r>
            <w:r>
              <w:rPr>
                <w:rFonts w:hint="eastAsia" w:cs="Times New Roman"/>
                <w:color w:val="auto"/>
                <w:spacing w:val="0"/>
                <w:kern w:val="0"/>
                <w:position w:val="0"/>
                <w:sz w:val="24"/>
                <w:szCs w:val="24"/>
                <w:highlight w:val="none"/>
                <w:lang w:val="en-US" w:eastAsia="zh-CN" w:bidi="ar"/>
              </w:rPr>
              <w:t>生产</w:t>
            </w:r>
            <w:r>
              <w:rPr>
                <w:rFonts w:hint="eastAsia" w:ascii="Times New Roman" w:hAnsi="Times New Roman" w:eastAsia="宋体" w:cs="Times New Roman"/>
                <w:color w:val="auto"/>
                <w:spacing w:val="0"/>
                <w:kern w:val="0"/>
                <w:position w:val="0"/>
                <w:sz w:val="24"/>
                <w:szCs w:val="24"/>
                <w:highlight w:val="none"/>
                <w:lang w:val="en-US" w:eastAsia="zh-CN" w:bidi="ar"/>
              </w:rPr>
              <w:t>车间东北侧区域，面积为</w:t>
            </w:r>
            <w:r>
              <w:rPr>
                <w:rFonts w:hint="eastAsia" w:cs="Times New Roman"/>
                <w:color w:val="auto"/>
                <w:spacing w:val="0"/>
                <w:kern w:val="0"/>
                <w:position w:val="0"/>
                <w:sz w:val="24"/>
                <w:szCs w:val="24"/>
                <w:highlight w:val="none"/>
                <w:lang w:val="en-US" w:eastAsia="zh-CN" w:bidi="ar"/>
              </w:rPr>
              <w:t>22m</w:t>
            </w:r>
            <w:r>
              <w:rPr>
                <w:rFonts w:hint="eastAsia" w:ascii="Times New Roman" w:hAnsi="Times New Roman" w:eastAsia="宋体" w:cs="Times New Roman"/>
                <w:color w:val="auto"/>
                <w:spacing w:val="0"/>
                <w:kern w:val="0"/>
                <w:position w:val="0"/>
                <w:sz w:val="24"/>
                <w:szCs w:val="24"/>
                <w:highlight w:val="none"/>
                <w:vertAlign w:val="superscript"/>
                <w:lang w:val="en-US" w:eastAsia="zh-CN" w:bidi="ar"/>
              </w:rPr>
              <w:t>2</w:t>
            </w:r>
            <w:r>
              <w:rPr>
                <w:rFonts w:hint="eastAsia" w:ascii="Times New Roman" w:hAnsi="Times New Roman" w:eastAsia="宋体" w:cs="Times New Roman"/>
                <w:color w:val="auto"/>
                <w:spacing w:val="0"/>
                <w:kern w:val="0"/>
                <w:position w:val="0"/>
                <w:sz w:val="24"/>
                <w:szCs w:val="24"/>
                <w:highlight w:val="none"/>
                <w:lang w:val="en-US" w:eastAsia="zh-CN" w:bidi="ar"/>
              </w:rPr>
              <w:t>，</w:t>
            </w:r>
            <w:r>
              <w:rPr>
                <w:rFonts w:hint="eastAsia" w:cs="Times New Roman"/>
                <w:color w:val="auto"/>
                <w:spacing w:val="0"/>
                <w:kern w:val="0"/>
                <w:position w:val="0"/>
                <w:sz w:val="24"/>
                <w:szCs w:val="24"/>
                <w:highlight w:val="none"/>
                <w:lang w:val="en-US" w:eastAsia="zh-CN" w:bidi="ar"/>
              </w:rPr>
              <w:t>一般固废间</w:t>
            </w:r>
            <w:r>
              <w:rPr>
                <w:rFonts w:hint="eastAsia" w:ascii="Times New Roman" w:hAnsi="Times New Roman" w:eastAsia="宋体" w:cs="Times New Roman"/>
                <w:color w:val="auto"/>
                <w:spacing w:val="0"/>
                <w:kern w:val="0"/>
                <w:position w:val="0"/>
                <w:sz w:val="24"/>
                <w:szCs w:val="24"/>
                <w:highlight w:val="none"/>
                <w:lang w:val="en-US" w:eastAsia="zh-CN" w:bidi="ar"/>
              </w:rPr>
              <w:t>设置于</w:t>
            </w:r>
            <w:r>
              <w:rPr>
                <w:rFonts w:hint="eastAsia" w:cs="Times New Roman"/>
                <w:color w:val="auto"/>
                <w:spacing w:val="0"/>
                <w:kern w:val="0"/>
                <w:position w:val="0"/>
                <w:sz w:val="24"/>
                <w:szCs w:val="24"/>
                <w:highlight w:val="none"/>
                <w:lang w:val="en-US" w:eastAsia="zh-CN" w:bidi="ar"/>
              </w:rPr>
              <w:t>生产车间西</w:t>
            </w:r>
            <w:r>
              <w:rPr>
                <w:rFonts w:hint="eastAsia" w:ascii="Times New Roman" w:hAnsi="Times New Roman" w:eastAsia="宋体" w:cs="Times New Roman"/>
                <w:color w:val="auto"/>
                <w:spacing w:val="0"/>
                <w:kern w:val="0"/>
                <w:position w:val="0"/>
                <w:sz w:val="24"/>
                <w:szCs w:val="24"/>
                <w:highlight w:val="none"/>
                <w:lang w:val="en-US" w:eastAsia="zh-CN" w:bidi="ar"/>
              </w:rPr>
              <w:t>北侧区域，面积为</w:t>
            </w:r>
            <w:r>
              <w:rPr>
                <w:rFonts w:hint="eastAsia" w:cs="Times New Roman"/>
                <w:color w:val="auto"/>
                <w:spacing w:val="0"/>
                <w:kern w:val="0"/>
                <w:position w:val="0"/>
                <w:sz w:val="24"/>
                <w:szCs w:val="24"/>
                <w:highlight w:val="none"/>
                <w:lang w:val="en-US" w:eastAsia="zh-CN" w:bidi="ar"/>
              </w:rPr>
              <w:t>5</w:t>
            </w:r>
            <w:r>
              <w:rPr>
                <w:rFonts w:hint="eastAsia" w:ascii="Times New Roman" w:hAnsi="Times New Roman" w:eastAsia="宋体" w:cs="Times New Roman"/>
                <w:color w:val="auto"/>
                <w:spacing w:val="0"/>
                <w:kern w:val="0"/>
                <w:position w:val="0"/>
                <w:sz w:val="24"/>
                <w:szCs w:val="24"/>
                <w:highlight w:val="none"/>
                <w:lang w:val="en-US" w:eastAsia="zh-CN" w:bidi="ar"/>
              </w:rPr>
              <w:t>m</w:t>
            </w:r>
            <w:r>
              <w:rPr>
                <w:rFonts w:hint="eastAsia" w:ascii="Times New Roman" w:hAnsi="Times New Roman" w:eastAsia="宋体" w:cs="Times New Roman"/>
                <w:color w:val="auto"/>
                <w:spacing w:val="0"/>
                <w:kern w:val="0"/>
                <w:position w:val="0"/>
                <w:sz w:val="24"/>
                <w:szCs w:val="24"/>
                <w:highlight w:val="none"/>
                <w:vertAlign w:val="superscript"/>
                <w:lang w:val="en-US" w:eastAsia="zh-CN" w:bidi="ar"/>
              </w:rPr>
              <w:t>2</w:t>
            </w:r>
            <w:r>
              <w:rPr>
                <w:rFonts w:hint="eastAsia" w:ascii="Times New Roman" w:hAnsi="Times New Roman" w:eastAsia="宋体" w:cs="Times New Roman"/>
                <w:color w:val="auto"/>
                <w:spacing w:val="0"/>
                <w:kern w:val="0"/>
                <w:position w:val="0"/>
                <w:sz w:val="24"/>
                <w:szCs w:val="24"/>
                <w:highlight w:val="none"/>
                <w:lang w:val="en-US" w:eastAsia="zh-CN" w:bidi="ar"/>
              </w:rPr>
              <w:t>，方便危险废物及一般固体废物分类收集，固体废物可以得到有效处置，可避免造成二次污染。从环境影响角度看，项目环保设施平面布置基本合理。</w:t>
            </w:r>
          </w:p>
        </w:tc>
      </w:tr>
    </w:tbl>
    <w:p w14:paraId="0282063E">
      <w:pPr>
        <w:pStyle w:val="24"/>
        <w:jc w:val="center"/>
        <w:rPr>
          <w:rFonts w:ascii="Times New Roman" w:hAnsi="Times New Roman" w:eastAsia="宋体" w:cs="Times New Roman"/>
          <w:snapToGrid w:val="0"/>
          <w:color w:val="auto"/>
          <w:spacing w:val="0"/>
          <w:position w:val="0"/>
          <w:sz w:val="36"/>
          <w:szCs w:val="36"/>
          <w:highlight w:val="none"/>
        </w:rPr>
        <w:sectPr>
          <w:pgSz w:w="11905" w:h="16838"/>
          <w:pgMar w:top="1134" w:right="1134" w:bottom="1134" w:left="1134"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3"/>
        <w:gridCol w:w="8950"/>
      </w:tblGrid>
      <w:tr w14:paraId="7B7A10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64" w:hRule="atLeast"/>
          <w:jc w:val="center"/>
        </w:trPr>
        <w:tc>
          <w:tcPr>
            <w:tcW w:w="1355" w:type="dxa"/>
            <w:vAlign w:val="center"/>
          </w:tcPr>
          <w:p w14:paraId="418C255A">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Times New Roman"/>
                <w:bCs/>
                <w:color w:val="auto"/>
                <w:spacing w:val="0"/>
                <w:kern w:val="2"/>
                <w:position w:val="0"/>
                <w:sz w:val="24"/>
                <w:szCs w:val="24"/>
                <w:highlight w:val="none"/>
              </w:rPr>
            </w:pPr>
            <w:r>
              <w:rPr>
                <w:rFonts w:hint="eastAsia" w:ascii="Times New Roman" w:hAnsi="Times New Roman" w:eastAsia="宋体" w:cs="Times New Roman"/>
                <w:color w:val="auto"/>
                <w:spacing w:val="0"/>
                <w:position w:val="0"/>
                <w:sz w:val="24"/>
                <w:szCs w:val="24"/>
                <w:highlight w:val="none"/>
              </w:rPr>
              <w:t>工艺流程和产排污环节</w:t>
            </w:r>
          </w:p>
        </w:tc>
        <w:tc>
          <w:tcPr>
            <w:tcW w:w="13431" w:type="dxa"/>
            <w:vAlign w:val="top"/>
          </w:tcPr>
          <w:p w14:paraId="69FA2F0C">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Times New Roman" w:hAnsi="Times New Roman" w:eastAsia="宋体" w:cs="Times New Roman"/>
                <w:b/>
                <w:bCs/>
                <w:color w:val="auto"/>
                <w:spacing w:val="0"/>
                <w:kern w:val="0"/>
                <w:position w:val="0"/>
                <w:sz w:val="24"/>
                <w:highlight w:val="none"/>
                <w:lang w:val="zh-CN"/>
              </w:rPr>
            </w:pPr>
            <w:r>
              <w:rPr>
                <w:rFonts w:hint="eastAsia" w:ascii="Times New Roman" w:hAnsi="Times New Roman" w:eastAsia="宋体" w:cs="Times New Roman"/>
                <w:b/>
                <w:bCs/>
                <w:color w:val="auto"/>
                <w:spacing w:val="0"/>
                <w:kern w:val="0"/>
                <w:position w:val="0"/>
                <w:sz w:val="24"/>
                <w:highlight w:val="none"/>
              </w:rPr>
              <w:t xml:space="preserve">2.9 </w:t>
            </w:r>
            <w:r>
              <w:rPr>
                <w:rFonts w:ascii="Times New Roman" w:hAnsi="Times New Roman" w:eastAsia="宋体" w:cs="Times New Roman"/>
                <w:b/>
                <w:bCs/>
                <w:color w:val="auto"/>
                <w:spacing w:val="0"/>
                <w:kern w:val="0"/>
                <w:position w:val="0"/>
                <w:sz w:val="24"/>
                <w:highlight w:val="none"/>
              </w:rPr>
              <w:t>生产</w:t>
            </w:r>
            <w:r>
              <w:rPr>
                <w:rFonts w:ascii="Times New Roman" w:hAnsi="Times New Roman" w:eastAsia="宋体" w:cs="Times New Roman"/>
                <w:b/>
                <w:bCs/>
                <w:color w:val="auto"/>
                <w:spacing w:val="0"/>
                <w:kern w:val="0"/>
                <w:position w:val="0"/>
                <w:sz w:val="24"/>
                <w:highlight w:val="none"/>
                <w:lang w:val="zh-CN"/>
              </w:rPr>
              <w:t>工艺流程及生产工艺简介分析：</w:t>
            </w:r>
          </w:p>
          <w:p w14:paraId="6424BD12">
            <w:pPr>
              <w:pStyle w:val="63"/>
              <w:ind w:firstLine="480"/>
              <w:jc w:val="left"/>
              <w:rPr>
                <w:rFonts w:ascii="Times New Roman" w:hAnsi="Times New Roman" w:eastAsia="宋体" w:cs="Times New Roman"/>
                <w:color w:val="auto"/>
                <w:spacing w:val="0"/>
                <w:position w:val="0"/>
                <w:highlight w:val="none"/>
              </w:rPr>
            </w:pPr>
            <w:r>
              <w:rPr>
                <w:rFonts w:hint="eastAsia" w:ascii="Times New Roman" w:hAnsi="Times New Roman" w:eastAsia="宋体" w:cs="Times New Roman"/>
                <w:color w:val="auto"/>
                <w:spacing w:val="0"/>
                <w:position w:val="0"/>
                <w:highlight w:val="none"/>
              </w:rPr>
              <w:t>生产工艺流程见图2</w:t>
            </w:r>
            <w:r>
              <w:rPr>
                <w:rFonts w:ascii="Times New Roman" w:hAnsi="Times New Roman" w:eastAsia="宋体" w:cs="Times New Roman"/>
                <w:color w:val="auto"/>
                <w:spacing w:val="0"/>
                <w:position w:val="0"/>
                <w:highlight w:val="none"/>
              </w:rPr>
              <w:t>-</w:t>
            </w:r>
            <w:r>
              <w:rPr>
                <w:rFonts w:hint="eastAsia" w:ascii="Times New Roman" w:hAnsi="Times New Roman" w:eastAsia="宋体" w:cs="Times New Roman"/>
                <w:color w:val="auto"/>
                <w:spacing w:val="0"/>
                <w:position w:val="0"/>
                <w:highlight w:val="none"/>
                <w:lang w:val="en-US" w:eastAsia="zh-CN"/>
              </w:rPr>
              <w:t>2</w:t>
            </w:r>
            <w:r>
              <w:rPr>
                <w:rFonts w:hint="eastAsia" w:ascii="Times New Roman" w:hAnsi="Times New Roman" w:eastAsia="宋体" w:cs="Times New Roman"/>
                <w:color w:val="auto"/>
                <w:spacing w:val="0"/>
                <w:position w:val="0"/>
                <w:highlight w:val="none"/>
              </w:rPr>
              <w:t>。</w:t>
            </w:r>
          </w:p>
          <w:p w14:paraId="271B6F74">
            <w:pPr>
              <w:pStyle w:val="69"/>
              <w:spacing w:line="360" w:lineRule="auto"/>
              <w:jc w:val="left"/>
              <w:rPr>
                <w:color w:val="auto"/>
                <w:sz w:val="24"/>
                <w:highlight w:val="none"/>
              </w:rPr>
            </w:pPr>
          </w:p>
          <w:p w14:paraId="681446A1">
            <w:pPr>
              <w:pStyle w:val="69"/>
              <w:spacing w:line="360" w:lineRule="auto"/>
              <w:jc w:val="left"/>
              <w:rPr>
                <w:color w:val="auto"/>
                <w:sz w:val="24"/>
                <w:highlight w:val="none"/>
              </w:rPr>
            </w:pPr>
          </w:p>
          <w:p w14:paraId="60B301FE">
            <w:pPr>
              <w:pStyle w:val="69"/>
              <w:spacing w:line="360" w:lineRule="auto"/>
              <w:jc w:val="left"/>
              <w:rPr>
                <w:color w:val="auto"/>
                <w:sz w:val="24"/>
                <w:highlight w:val="none"/>
              </w:rPr>
            </w:pPr>
          </w:p>
          <w:p w14:paraId="09E83ADA">
            <w:pPr>
              <w:pStyle w:val="69"/>
              <w:spacing w:line="360" w:lineRule="auto"/>
              <w:jc w:val="left"/>
              <w:rPr>
                <w:color w:val="auto"/>
                <w:sz w:val="24"/>
                <w:highlight w:val="none"/>
              </w:rPr>
            </w:pPr>
          </w:p>
          <w:p w14:paraId="644FB3E2">
            <w:pPr>
              <w:pStyle w:val="69"/>
              <w:spacing w:line="360" w:lineRule="auto"/>
              <w:jc w:val="left"/>
              <w:rPr>
                <w:color w:val="auto"/>
                <w:sz w:val="24"/>
                <w:highlight w:val="none"/>
              </w:rPr>
            </w:pPr>
          </w:p>
          <w:p w14:paraId="33757E9A">
            <w:pPr>
              <w:pStyle w:val="69"/>
              <w:spacing w:line="360" w:lineRule="auto"/>
              <w:jc w:val="left"/>
              <w:rPr>
                <w:rFonts w:hint="eastAsia"/>
                <w:color w:val="auto"/>
                <w:sz w:val="24"/>
                <w:highlight w:val="none"/>
                <w:lang w:eastAsia="zh-CN"/>
              </w:rPr>
            </w:pPr>
          </w:p>
          <w:p w14:paraId="0203E649">
            <w:pPr>
              <w:jc w:val="center"/>
              <w:rPr>
                <w:rFonts w:ascii="Times New Roman" w:hAnsi="Times New Roman" w:eastAsia="宋体" w:cs="Times New Roman"/>
                <w:b/>
                <w:bCs/>
                <w:color w:val="auto"/>
                <w:spacing w:val="0"/>
                <w:highlight w:val="none"/>
              </w:rPr>
            </w:pPr>
            <w:r>
              <w:rPr>
                <w:rFonts w:hint="eastAsia" w:ascii="Times New Roman" w:hAnsi="Times New Roman" w:eastAsia="宋体" w:cs="Times New Roman"/>
                <w:b/>
                <w:bCs/>
                <w:color w:val="auto"/>
                <w:spacing w:val="0"/>
                <w:position w:val="0"/>
                <w:sz w:val="24"/>
                <w:szCs w:val="24"/>
                <w:highlight w:val="none"/>
              </w:rPr>
              <w:t>图</w:t>
            </w:r>
            <w:r>
              <w:rPr>
                <w:rFonts w:ascii="Times New Roman" w:hAnsi="Times New Roman" w:eastAsia="宋体" w:cs="Times New Roman"/>
                <w:b/>
                <w:bCs/>
                <w:color w:val="auto"/>
                <w:spacing w:val="0"/>
                <w:position w:val="0"/>
                <w:sz w:val="24"/>
                <w:szCs w:val="24"/>
                <w:highlight w:val="none"/>
              </w:rPr>
              <w:t>2-</w:t>
            </w:r>
            <w:r>
              <w:rPr>
                <w:rFonts w:hint="eastAsia" w:ascii="Times New Roman" w:hAnsi="Times New Roman" w:eastAsia="宋体" w:cs="Times New Roman"/>
                <w:b/>
                <w:bCs/>
                <w:color w:val="auto"/>
                <w:spacing w:val="0"/>
                <w:position w:val="0"/>
                <w:sz w:val="24"/>
                <w:szCs w:val="24"/>
                <w:highlight w:val="none"/>
                <w:lang w:val="en-US" w:eastAsia="zh-CN"/>
              </w:rPr>
              <w:t>2</w:t>
            </w:r>
            <w:r>
              <w:rPr>
                <w:rFonts w:ascii="Times New Roman" w:hAnsi="Times New Roman" w:eastAsia="宋体" w:cs="Times New Roman"/>
                <w:b/>
                <w:bCs/>
                <w:color w:val="auto"/>
                <w:spacing w:val="0"/>
                <w:position w:val="0"/>
                <w:sz w:val="24"/>
                <w:szCs w:val="24"/>
                <w:highlight w:val="none"/>
              </w:rPr>
              <w:t xml:space="preserve"> </w:t>
            </w:r>
            <w:r>
              <w:rPr>
                <w:rFonts w:hint="eastAsia" w:ascii="Times New Roman" w:hAnsi="Times New Roman" w:eastAsia="宋体" w:cs="Times New Roman"/>
                <w:b/>
                <w:bCs/>
                <w:color w:val="auto"/>
                <w:spacing w:val="0"/>
                <w:position w:val="0"/>
                <w:sz w:val="24"/>
                <w:szCs w:val="24"/>
                <w:highlight w:val="none"/>
              </w:rPr>
              <w:t>生产工艺流程图</w:t>
            </w:r>
          </w:p>
          <w:p w14:paraId="75D3E41D">
            <w:pPr>
              <w:pStyle w:val="69"/>
              <w:spacing w:line="360" w:lineRule="auto"/>
              <w:ind w:firstLine="482" w:firstLineChars="200"/>
              <w:jc w:val="left"/>
              <w:rPr>
                <w:rFonts w:hint="eastAsia" w:ascii="Times New Roman" w:hAnsi="Times New Roman" w:eastAsia="宋体" w:cs="Times New Roman"/>
                <w:color w:val="auto"/>
                <w:spacing w:val="0"/>
                <w:position w:val="0"/>
                <w:sz w:val="24"/>
                <w:highlight w:val="none"/>
                <w:lang w:eastAsia="zh-CN"/>
              </w:rPr>
            </w:pPr>
            <w:r>
              <w:rPr>
                <w:rFonts w:hint="eastAsia" w:ascii="Times New Roman" w:hAnsi="Times New Roman" w:eastAsia="宋体" w:cs="Times New Roman"/>
                <w:color w:val="auto"/>
                <w:spacing w:val="0"/>
                <w:position w:val="0"/>
                <w:sz w:val="24"/>
                <w:highlight w:val="none"/>
                <w:lang w:eastAsia="zh-CN"/>
              </w:rPr>
              <w:t>工艺说明：</w:t>
            </w:r>
          </w:p>
          <w:p w14:paraId="269B3155">
            <w:pPr>
              <w:pStyle w:val="69"/>
              <w:spacing w:line="360" w:lineRule="auto"/>
              <w:ind w:firstLine="480" w:firstLineChars="200"/>
              <w:jc w:val="left"/>
              <w:rPr>
                <w:rFonts w:hint="eastAsia" w:cs="Times New Roman"/>
                <w:b w:val="0"/>
                <w:bCs/>
                <w:color w:val="auto"/>
                <w:spacing w:val="0"/>
                <w:position w:val="0"/>
                <w:sz w:val="24"/>
                <w:highlight w:val="none"/>
                <w:lang w:val="en-US" w:eastAsia="zh-CN"/>
              </w:rPr>
            </w:pPr>
            <w:r>
              <w:rPr>
                <w:rFonts w:hint="eastAsia" w:ascii="Times New Roman" w:hAnsi="Times New Roman" w:eastAsia="宋体" w:cs="Times New Roman"/>
                <w:b w:val="0"/>
                <w:bCs/>
                <w:color w:val="auto"/>
                <w:spacing w:val="0"/>
                <w:position w:val="0"/>
                <w:sz w:val="24"/>
                <w:highlight w:val="none"/>
                <w:lang w:val="en-US" w:eastAsia="zh-CN"/>
              </w:rPr>
              <w:t>调漆、喷漆、晾干：</w:t>
            </w:r>
            <w:r>
              <w:rPr>
                <w:rFonts w:hint="eastAsia" w:cs="Times New Roman"/>
                <w:b w:val="0"/>
                <w:bCs/>
                <w:color w:val="auto"/>
                <w:spacing w:val="0"/>
                <w:position w:val="0"/>
                <w:sz w:val="24"/>
                <w:highlight w:val="none"/>
                <w:lang w:val="en-US" w:eastAsia="zh-CN"/>
              </w:rPr>
              <w:t>项目先在喷漆晾干房内将油性漆与稀释剂、固化剂按一定的配比调制成所用的漆料，然后将外购的半成品木胚先进行底漆喷涂，将喷完底漆后的半成品进行晾干，晾干后再使用水性漆进行面漆喷涂，喷完面漆后待自然晾干后进入组装工序。</w:t>
            </w:r>
          </w:p>
          <w:p w14:paraId="1B6EF2D1">
            <w:pPr>
              <w:pStyle w:val="69"/>
              <w:spacing w:line="360" w:lineRule="auto"/>
              <w:ind w:firstLine="482" w:firstLineChars="200"/>
              <w:jc w:val="left"/>
              <w:rPr>
                <w:rFonts w:hint="eastAsia" w:cs="Times New Roman"/>
                <w:b/>
                <w:bCs w:val="0"/>
                <w:color w:val="auto"/>
                <w:spacing w:val="0"/>
                <w:position w:val="0"/>
                <w:sz w:val="24"/>
                <w:highlight w:val="none"/>
                <w:lang w:val="en-US" w:eastAsia="zh-CN"/>
              </w:rPr>
            </w:pPr>
            <w:r>
              <w:rPr>
                <w:rFonts w:hint="eastAsia" w:ascii="Times New Roman" w:hAnsi="Times New Roman" w:eastAsia="宋体" w:cs="Times New Roman"/>
                <w:b/>
                <w:bCs w:val="0"/>
                <w:color w:val="auto"/>
                <w:spacing w:val="0"/>
                <w:position w:val="0"/>
                <w:sz w:val="24"/>
                <w:highlight w:val="none"/>
                <w:lang w:val="en-US" w:eastAsia="zh-CN"/>
              </w:rPr>
              <w:t>产污节点：调漆、喷漆、晾干工序产生的废气G</w:t>
            </w:r>
            <w:r>
              <w:rPr>
                <w:rFonts w:hint="eastAsia" w:cs="Times New Roman"/>
                <w:b/>
                <w:bCs w:val="0"/>
                <w:color w:val="auto"/>
                <w:spacing w:val="0"/>
                <w:position w:val="0"/>
                <w:sz w:val="24"/>
                <w:highlight w:val="none"/>
                <w:lang w:val="en-US" w:eastAsia="zh-CN"/>
              </w:rPr>
              <w:t>1~G3</w:t>
            </w:r>
            <w:r>
              <w:rPr>
                <w:rFonts w:hint="eastAsia" w:ascii="Times New Roman" w:hAnsi="Times New Roman" w:eastAsia="宋体" w:cs="Times New Roman"/>
                <w:b/>
                <w:bCs w:val="0"/>
                <w:color w:val="auto"/>
                <w:spacing w:val="0"/>
                <w:position w:val="0"/>
                <w:sz w:val="24"/>
                <w:highlight w:val="none"/>
                <w:lang w:val="en-US" w:eastAsia="zh-CN"/>
              </w:rPr>
              <w:t>，固废（漆渣）S</w:t>
            </w:r>
            <w:r>
              <w:rPr>
                <w:rFonts w:hint="eastAsia" w:cs="Times New Roman"/>
                <w:b/>
                <w:bCs w:val="0"/>
                <w:color w:val="auto"/>
                <w:spacing w:val="0"/>
                <w:position w:val="0"/>
                <w:sz w:val="24"/>
                <w:highlight w:val="none"/>
                <w:lang w:val="en-US" w:eastAsia="zh-CN"/>
              </w:rPr>
              <w:t>1</w:t>
            </w:r>
            <w:r>
              <w:rPr>
                <w:rFonts w:hint="eastAsia" w:ascii="Times New Roman" w:hAnsi="Times New Roman" w:eastAsia="宋体" w:cs="Times New Roman"/>
                <w:b/>
                <w:bCs w:val="0"/>
                <w:color w:val="auto"/>
                <w:spacing w:val="0"/>
                <w:position w:val="0"/>
                <w:sz w:val="24"/>
                <w:highlight w:val="none"/>
                <w:lang w:val="en-US" w:eastAsia="zh-CN"/>
              </w:rPr>
              <w:t>，设备</w:t>
            </w:r>
            <w:r>
              <w:rPr>
                <w:rFonts w:hint="eastAsia" w:ascii="Times New Roman" w:hAnsi="Times New Roman" w:eastAsia="宋体" w:cs="Times New Roman"/>
                <w:b/>
                <w:bCs w:val="0"/>
                <w:color w:val="auto"/>
                <w:spacing w:val="0"/>
                <w:sz w:val="24"/>
                <w:szCs w:val="24"/>
                <w:highlight w:val="none"/>
                <w:lang w:val="en-US" w:eastAsia="zh-CN"/>
              </w:rPr>
              <w:t>运行产生的噪声Z1。</w:t>
            </w:r>
          </w:p>
          <w:p w14:paraId="00E28BEC">
            <w:pPr>
              <w:pStyle w:val="69"/>
              <w:spacing w:line="360" w:lineRule="auto"/>
              <w:ind w:firstLine="480" w:firstLineChars="200"/>
              <w:jc w:val="left"/>
              <w:rPr>
                <w:rFonts w:hint="eastAsia" w:ascii="Times New Roman" w:hAnsi="Times New Roman" w:eastAsia="宋体" w:cs="Times New Roman"/>
                <w:b w:val="0"/>
                <w:bCs/>
                <w:color w:val="auto"/>
                <w:spacing w:val="0"/>
                <w:position w:val="0"/>
                <w:sz w:val="24"/>
                <w:highlight w:val="none"/>
                <w:lang w:val="en-US" w:eastAsia="zh-CN"/>
              </w:rPr>
            </w:pPr>
            <w:r>
              <w:rPr>
                <w:rFonts w:hint="eastAsia" w:ascii="Times New Roman" w:hAnsi="Times New Roman" w:eastAsia="宋体" w:cs="Times New Roman"/>
                <w:b w:val="0"/>
                <w:bCs/>
                <w:color w:val="auto"/>
                <w:spacing w:val="0"/>
                <w:position w:val="0"/>
                <w:sz w:val="24"/>
                <w:highlight w:val="none"/>
                <w:lang w:val="en-US" w:eastAsia="zh-CN"/>
              </w:rPr>
              <w:t>组装：喷漆</w:t>
            </w:r>
            <w:r>
              <w:rPr>
                <w:rFonts w:hint="eastAsia" w:cs="Times New Roman"/>
                <w:b w:val="0"/>
                <w:bCs/>
                <w:color w:val="auto"/>
                <w:spacing w:val="0"/>
                <w:position w:val="0"/>
                <w:sz w:val="24"/>
                <w:highlight w:val="none"/>
                <w:lang w:val="en-US" w:eastAsia="zh-CN"/>
              </w:rPr>
              <w:t>晾干</w:t>
            </w:r>
            <w:r>
              <w:rPr>
                <w:rFonts w:hint="eastAsia" w:ascii="Times New Roman" w:hAnsi="Times New Roman" w:eastAsia="宋体" w:cs="Times New Roman"/>
                <w:b w:val="0"/>
                <w:bCs/>
                <w:color w:val="auto"/>
                <w:spacing w:val="0"/>
                <w:position w:val="0"/>
                <w:sz w:val="24"/>
                <w:highlight w:val="none"/>
                <w:lang w:val="en-US" w:eastAsia="zh-CN"/>
              </w:rPr>
              <w:t>后的半成品，与外购的</w:t>
            </w:r>
            <w:r>
              <w:rPr>
                <w:rFonts w:hint="eastAsia" w:cs="Times New Roman"/>
                <w:b w:val="0"/>
                <w:bCs/>
                <w:color w:val="auto"/>
                <w:spacing w:val="0"/>
                <w:position w:val="0"/>
                <w:sz w:val="24"/>
                <w:highlight w:val="none"/>
                <w:lang w:val="en-US" w:eastAsia="zh-CN"/>
              </w:rPr>
              <w:t>半成品纱布、</w:t>
            </w:r>
            <w:r>
              <w:rPr>
                <w:rFonts w:hint="eastAsia" w:ascii="Times New Roman" w:hAnsi="Times New Roman" w:eastAsia="宋体" w:cs="Times New Roman"/>
                <w:b w:val="0"/>
                <w:bCs/>
                <w:color w:val="auto"/>
                <w:spacing w:val="0"/>
                <w:position w:val="0"/>
                <w:sz w:val="24"/>
                <w:highlight w:val="none"/>
                <w:lang w:val="en-US" w:eastAsia="zh-CN"/>
              </w:rPr>
              <w:t>钉子进行组装，最终形成成品</w:t>
            </w:r>
            <w:r>
              <w:rPr>
                <w:rFonts w:hint="eastAsia" w:cs="Times New Roman"/>
                <w:b w:val="0"/>
                <w:bCs/>
                <w:color w:val="auto"/>
                <w:spacing w:val="0"/>
                <w:position w:val="0"/>
                <w:sz w:val="24"/>
                <w:highlight w:val="none"/>
                <w:lang w:val="en-US" w:eastAsia="zh-CN"/>
              </w:rPr>
              <w:t>外购</w:t>
            </w:r>
            <w:r>
              <w:rPr>
                <w:rFonts w:hint="eastAsia" w:ascii="Times New Roman" w:hAnsi="Times New Roman" w:eastAsia="宋体" w:cs="Times New Roman"/>
                <w:b w:val="0"/>
                <w:bCs/>
                <w:color w:val="auto"/>
                <w:spacing w:val="0"/>
                <w:position w:val="0"/>
                <w:sz w:val="24"/>
                <w:highlight w:val="none"/>
                <w:lang w:val="en-US" w:eastAsia="zh-CN"/>
              </w:rPr>
              <w:t>。</w:t>
            </w:r>
          </w:p>
          <w:p w14:paraId="08CEDCEB">
            <w:pPr>
              <w:pStyle w:val="69"/>
              <w:spacing w:line="360" w:lineRule="auto"/>
              <w:ind w:firstLine="482" w:firstLineChars="200"/>
              <w:jc w:val="left"/>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b/>
                <w:bCs w:val="0"/>
                <w:color w:val="auto"/>
                <w:spacing w:val="0"/>
                <w:position w:val="0"/>
                <w:sz w:val="24"/>
                <w:highlight w:val="none"/>
                <w:lang w:val="en-US" w:eastAsia="zh-CN"/>
              </w:rPr>
              <w:t>产污节点：固废（废钉子</w:t>
            </w:r>
            <w:r>
              <w:rPr>
                <w:rFonts w:hint="eastAsia" w:cs="Times New Roman"/>
                <w:b/>
                <w:bCs w:val="0"/>
                <w:color w:val="auto"/>
                <w:spacing w:val="0"/>
                <w:position w:val="0"/>
                <w:sz w:val="24"/>
                <w:highlight w:val="none"/>
                <w:lang w:val="en-US" w:eastAsia="zh-CN"/>
              </w:rPr>
              <w:t>、废纱布</w:t>
            </w:r>
            <w:r>
              <w:rPr>
                <w:rFonts w:hint="eastAsia" w:ascii="Times New Roman" w:hAnsi="Times New Roman" w:eastAsia="宋体" w:cs="Times New Roman"/>
                <w:b/>
                <w:bCs w:val="0"/>
                <w:color w:val="auto"/>
                <w:spacing w:val="0"/>
                <w:position w:val="0"/>
                <w:sz w:val="24"/>
                <w:highlight w:val="none"/>
                <w:lang w:val="en-US" w:eastAsia="zh-CN"/>
              </w:rPr>
              <w:t>）S</w:t>
            </w:r>
            <w:r>
              <w:rPr>
                <w:rFonts w:hint="eastAsia" w:cs="Times New Roman"/>
                <w:b/>
                <w:bCs w:val="0"/>
                <w:color w:val="auto"/>
                <w:spacing w:val="0"/>
                <w:position w:val="0"/>
                <w:sz w:val="24"/>
                <w:highlight w:val="none"/>
                <w:lang w:val="en-US" w:eastAsia="zh-CN"/>
              </w:rPr>
              <w:t>2、S3，</w:t>
            </w:r>
            <w:r>
              <w:rPr>
                <w:rFonts w:hint="eastAsia" w:ascii="Times New Roman" w:hAnsi="Times New Roman" w:eastAsia="宋体" w:cs="Times New Roman"/>
                <w:b/>
                <w:bCs w:val="0"/>
                <w:color w:val="auto"/>
                <w:spacing w:val="0"/>
                <w:sz w:val="24"/>
                <w:szCs w:val="24"/>
                <w:highlight w:val="none"/>
                <w:lang w:val="en-US" w:eastAsia="zh-CN"/>
              </w:rPr>
              <w:t>噪声Z1。</w:t>
            </w:r>
          </w:p>
        </w:tc>
      </w:tr>
    </w:tbl>
    <w:p w14:paraId="78527E45">
      <w:pPr>
        <w:pStyle w:val="24"/>
        <w:jc w:val="center"/>
        <w:rPr>
          <w:rFonts w:ascii="Times New Roman" w:hAnsi="Times New Roman" w:eastAsia="宋体" w:cs="Times New Roman"/>
          <w:snapToGrid w:val="0"/>
          <w:color w:val="auto"/>
          <w:spacing w:val="0"/>
          <w:position w:val="0"/>
          <w:sz w:val="36"/>
          <w:szCs w:val="36"/>
          <w:highlight w:val="none"/>
        </w:rPr>
        <w:sectPr>
          <w:pgSz w:w="11905" w:h="16838"/>
          <w:pgMar w:top="1134" w:right="1134" w:bottom="1134" w:left="1134"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3"/>
        <w:gridCol w:w="8950"/>
      </w:tblGrid>
      <w:tr w14:paraId="099AB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8" w:hRule="atLeast"/>
          <w:jc w:val="center"/>
        </w:trPr>
        <w:tc>
          <w:tcPr>
            <w:tcW w:w="1359" w:type="dxa"/>
            <w:vAlign w:val="center"/>
          </w:tcPr>
          <w:p w14:paraId="0BA1E4F3">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ascii="Times New Roman" w:hAnsi="Times New Roman" w:eastAsia="宋体" w:cs="Times New Roman"/>
                <w:bCs/>
                <w:color w:val="auto"/>
                <w:spacing w:val="0"/>
                <w:kern w:val="2"/>
                <w:position w:val="0"/>
                <w:sz w:val="24"/>
                <w:szCs w:val="24"/>
                <w:highlight w:val="none"/>
              </w:rPr>
            </w:pPr>
          </w:p>
        </w:tc>
        <w:tc>
          <w:tcPr>
            <w:tcW w:w="13480" w:type="dxa"/>
            <w:vAlign w:val="center"/>
          </w:tcPr>
          <w:p w14:paraId="21F9EDF3">
            <w:pPr>
              <w:pStyle w:val="69"/>
              <w:spacing w:line="360" w:lineRule="auto"/>
              <w:jc w:val="left"/>
              <w:rPr>
                <w:rFonts w:hint="default" w:ascii="Times New Roman" w:hAnsi="Times New Roman" w:eastAsia="宋体" w:cs="Times New Roman"/>
                <w:b w:val="0"/>
                <w:bCs/>
                <w:color w:val="auto"/>
                <w:spacing w:val="0"/>
                <w:position w:val="0"/>
                <w:sz w:val="24"/>
                <w:highlight w:val="none"/>
                <w:lang w:val="en-US" w:eastAsia="zh-CN"/>
              </w:rPr>
            </w:pPr>
          </w:p>
          <w:p w14:paraId="039FFA6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position w:val="0"/>
                <w:sz w:val="24"/>
                <w:highlight w:val="none"/>
              </w:rPr>
            </w:pPr>
            <w:r>
              <w:rPr>
                <w:rFonts w:hint="eastAsia"/>
                <w:b/>
                <w:bCs/>
                <w:color w:val="auto"/>
                <w:sz w:val="24"/>
                <w:szCs w:val="24"/>
                <w:highlight w:val="none"/>
              </w:rPr>
              <w:t>其他产污环节：</w:t>
            </w:r>
            <w:r>
              <w:rPr>
                <w:b/>
                <w:bCs/>
                <w:color w:val="auto"/>
                <w:sz w:val="24"/>
                <w:szCs w:val="24"/>
                <w:highlight w:val="none"/>
              </w:rPr>
              <w:t>主要为</w:t>
            </w:r>
            <w:r>
              <w:rPr>
                <w:rFonts w:hint="eastAsia"/>
                <w:b/>
                <w:bCs/>
                <w:color w:val="auto"/>
                <w:sz w:val="24"/>
                <w:szCs w:val="24"/>
                <w:highlight w:val="none"/>
              </w:rPr>
              <w:t>职工生活产生的</w:t>
            </w:r>
            <w:r>
              <w:rPr>
                <w:b/>
                <w:bCs/>
                <w:color w:val="auto"/>
                <w:sz w:val="24"/>
                <w:szCs w:val="24"/>
                <w:highlight w:val="none"/>
              </w:rPr>
              <w:t>生活污水</w:t>
            </w:r>
            <w:r>
              <w:rPr>
                <w:rFonts w:hint="eastAsia"/>
                <w:b/>
                <w:bCs/>
                <w:color w:val="auto"/>
                <w:sz w:val="24"/>
                <w:szCs w:val="24"/>
                <w:highlight w:val="none"/>
                <w:lang w:val="en-US" w:eastAsia="zh-CN"/>
              </w:rPr>
              <w:t>W1</w:t>
            </w:r>
            <w:r>
              <w:rPr>
                <w:b/>
                <w:bCs/>
                <w:color w:val="auto"/>
                <w:sz w:val="24"/>
                <w:szCs w:val="24"/>
                <w:highlight w:val="none"/>
              </w:rPr>
              <w:t>、生活垃圾</w:t>
            </w:r>
            <w:r>
              <w:rPr>
                <w:rFonts w:hint="eastAsia"/>
                <w:b/>
                <w:bCs/>
                <w:color w:val="auto"/>
                <w:sz w:val="24"/>
                <w:szCs w:val="24"/>
                <w:highlight w:val="none"/>
                <w:lang w:val="en-US" w:eastAsia="zh-CN"/>
              </w:rPr>
              <w:t>S4</w:t>
            </w:r>
            <w:r>
              <w:rPr>
                <w:b/>
                <w:bCs/>
                <w:color w:val="auto"/>
                <w:sz w:val="24"/>
                <w:szCs w:val="24"/>
                <w:highlight w:val="none"/>
              </w:rPr>
              <w:t>；</w:t>
            </w:r>
            <w:r>
              <w:rPr>
                <w:rFonts w:hint="eastAsia"/>
                <w:b/>
                <w:bCs/>
                <w:color w:val="auto"/>
                <w:sz w:val="24"/>
                <w:szCs w:val="24"/>
                <w:highlight w:val="none"/>
              </w:rPr>
              <w:t>有机废气处理设施</w:t>
            </w:r>
            <w:r>
              <w:rPr>
                <w:b/>
                <w:bCs/>
                <w:color w:val="auto"/>
                <w:sz w:val="24"/>
                <w:szCs w:val="24"/>
                <w:highlight w:val="none"/>
              </w:rPr>
              <w:t>产生废活性炭</w:t>
            </w:r>
            <w:r>
              <w:rPr>
                <w:rFonts w:hint="eastAsia"/>
                <w:b/>
                <w:bCs/>
                <w:color w:val="auto"/>
                <w:sz w:val="24"/>
                <w:szCs w:val="24"/>
                <w:highlight w:val="none"/>
                <w:lang w:val="en-US" w:eastAsia="zh-CN"/>
              </w:rPr>
              <w:t>S5、废过滤棉S6</w:t>
            </w:r>
            <w:r>
              <w:rPr>
                <w:b/>
                <w:bCs/>
                <w:color w:val="auto"/>
                <w:sz w:val="24"/>
                <w:szCs w:val="24"/>
                <w:highlight w:val="none"/>
              </w:rPr>
              <w:t>；</w:t>
            </w:r>
            <w:r>
              <w:rPr>
                <w:rFonts w:hint="eastAsia"/>
                <w:b/>
                <w:bCs/>
                <w:color w:val="auto"/>
                <w:sz w:val="24"/>
                <w:szCs w:val="24"/>
                <w:highlight w:val="none"/>
              </w:rPr>
              <w:t>污水处理设施产生污泥</w:t>
            </w:r>
            <w:r>
              <w:rPr>
                <w:rFonts w:hint="eastAsia"/>
                <w:b/>
                <w:bCs/>
                <w:color w:val="auto"/>
                <w:sz w:val="24"/>
                <w:szCs w:val="24"/>
                <w:highlight w:val="none"/>
                <w:lang w:val="en-US" w:eastAsia="zh-CN"/>
              </w:rPr>
              <w:t>S7</w:t>
            </w:r>
            <w:r>
              <w:rPr>
                <w:rFonts w:hint="eastAsia"/>
                <w:b/>
                <w:bCs/>
                <w:color w:val="auto"/>
                <w:sz w:val="24"/>
                <w:szCs w:val="24"/>
                <w:highlight w:val="none"/>
              </w:rPr>
              <w:t>；</w:t>
            </w:r>
            <w:r>
              <w:rPr>
                <w:rFonts w:hint="eastAsia"/>
                <w:b/>
                <w:bCs/>
                <w:color w:val="auto"/>
                <w:sz w:val="24"/>
                <w:szCs w:val="24"/>
                <w:highlight w:val="none"/>
                <w:lang w:val="en-US" w:eastAsia="zh-CN"/>
              </w:rPr>
              <w:t>水帘气旋产生的水帘气旋废液S8；喷枪清洗废液S9；</w:t>
            </w:r>
            <w:r>
              <w:rPr>
                <w:b/>
                <w:bCs/>
                <w:color w:val="auto"/>
                <w:sz w:val="24"/>
                <w:szCs w:val="24"/>
                <w:highlight w:val="none"/>
              </w:rPr>
              <w:t>原辅材料</w:t>
            </w:r>
            <w:r>
              <w:rPr>
                <w:rFonts w:hint="eastAsia"/>
                <w:b/>
                <w:bCs/>
                <w:color w:val="auto"/>
                <w:sz w:val="24"/>
                <w:szCs w:val="24"/>
                <w:highlight w:val="none"/>
                <w:lang w:val="en-US" w:eastAsia="zh-CN"/>
              </w:rPr>
              <w:t>使用</w:t>
            </w:r>
            <w:r>
              <w:rPr>
                <w:b/>
                <w:bCs/>
                <w:color w:val="auto"/>
                <w:sz w:val="24"/>
                <w:szCs w:val="24"/>
                <w:highlight w:val="none"/>
              </w:rPr>
              <w:t>过</w:t>
            </w:r>
            <w:r>
              <w:rPr>
                <w:rFonts w:hint="eastAsia"/>
                <w:b/>
                <w:bCs/>
                <w:color w:val="auto"/>
                <w:sz w:val="24"/>
                <w:szCs w:val="24"/>
                <w:highlight w:val="none"/>
                <w:lang w:eastAsia="zh-CN"/>
              </w:rPr>
              <w:t>程中</w:t>
            </w:r>
            <w:r>
              <w:rPr>
                <w:b/>
                <w:bCs/>
                <w:color w:val="auto"/>
                <w:sz w:val="24"/>
                <w:szCs w:val="24"/>
                <w:highlight w:val="none"/>
              </w:rPr>
              <w:t>产生</w:t>
            </w:r>
            <w:r>
              <w:rPr>
                <w:rFonts w:hint="eastAsia"/>
                <w:b/>
                <w:bCs/>
                <w:color w:val="auto"/>
                <w:sz w:val="24"/>
                <w:szCs w:val="24"/>
                <w:highlight w:val="none"/>
                <w:lang w:val="en-US" w:eastAsia="zh-CN"/>
              </w:rPr>
              <w:t>废化学品包装物S10</w:t>
            </w:r>
            <w:r>
              <w:rPr>
                <w:rFonts w:hint="eastAsia"/>
                <w:b/>
                <w:bCs/>
                <w:color w:val="auto"/>
                <w:sz w:val="24"/>
                <w:szCs w:val="24"/>
                <w:highlight w:val="none"/>
                <w:lang w:eastAsia="zh-CN"/>
              </w:rPr>
              <w:t>、</w:t>
            </w:r>
            <w:r>
              <w:rPr>
                <w:rFonts w:hint="eastAsia"/>
                <w:b/>
                <w:bCs/>
                <w:color w:val="auto"/>
                <w:sz w:val="24"/>
                <w:szCs w:val="24"/>
                <w:highlight w:val="none"/>
                <w:lang w:val="en-US" w:eastAsia="zh-CN"/>
              </w:rPr>
              <w:t>废包装材料S11；</w:t>
            </w:r>
            <w:r>
              <w:rPr>
                <w:b/>
                <w:bCs/>
                <w:color w:val="auto"/>
                <w:sz w:val="24"/>
                <w:szCs w:val="24"/>
                <w:highlight w:val="none"/>
              </w:rPr>
              <w:t>设备维修产生的废润滑油</w:t>
            </w:r>
            <w:r>
              <w:rPr>
                <w:rFonts w:hint="eastAsia"/>
                <w:b/>
                <w:bCs/>
                <w:color w:val="auto"/>
                <w:sz w:val="24"/>
                <w:szCs w:val="24"/>
                <w:highlight w:val="none"/>
                <w:lang w:val="en-US" w:eastAsia="zh-CN"/>
              </w:rPr>
              <w:t>S12</w:t>
            </w:r>
            <w:r>
              <w:rPr>
                <w:b/>
                <w:bCs/>
                <w:color w:val="auto"/>
                <w:sz w:val="24"/>
                <w:szCs w:val="24"/>
                <w:highlight w:val="none"/>
              </w:rPr>
              <w:t>、润滑油空桶</w:t>
            </w:r>
            <w:r>
              <w:rPr>
                <w:rFonts w:hint="eastAsia"/>
                <w:b/>
                <w:bCs/>
                <w:color w:val="auto"/>
                <w:sz w:val="24"/>
                <w:szCs w:val="24"/>
                <w:highlight w:val="none"/>
                <w:lang w:val="en-US" w:eastAsia="zh-CN"/>
              </w:rPr>
              <w:t>S13</w:t>
            </w:r>
            <w:r>
              <w:rPr>
                <w:b/>
                <w:bCs/>
                <w:color w:val="auto"/>
                <w:sz w:val="24"/>
                <w:szCs w:val="24"/>
                <w:highlight w:val="none"/>
              </w:rPr>
              <w:t>、</w:t>
            </w:r>
            <w:r>
              <w:rPr>
                <w:rFonts w:hint="eastAsia"/>
                <w:b/>
                <w:bCs/>
                <w:color w:val="auto"/>
                <w:sz w:val="24"/>
                <w:szCs w:val="24"/>
                <w:highlight w:val="none"/>
              </w:rPr>
              <w:t>废</w:t>
            </w:r>
            <w:r>
              <w:rPr>
                <w:rFonts w:hint="eastAsia"/>
                <w:b/>
                <w:bCs/>
                <w:color w:val="auto"/>
                <w:sz w:val="24"/>
                <w:szCs w:val="24"/>
                <w:highlight w:val="none"/>
                <w:lang w:val="en-US" w:eastAsia="zh-CN"/>
              </w:rPr>
              <w:t>含油</w:t>
            </w:r>
            <w:r>
              <w:rPr>
                <w:rFonts w:hint="eastAsia"/>
                <w:b/>
                <w:bCs/>
                <w:color w:val="auto"/>
                <w:sz w:val="24"/>
                <w:szCs w:val="24"/>
                <w:highlight w:val="none"/>
              </w:rPr>
              <w:t>抹布及手套</w:t>
            </w:r>
            <w:r>
              <w:rPr>
                <w:rFonts w:hint="eastAsia"/>
                <w:b/>
                <w:bCs/>
                <w:color w:val="auto"/>
                <w:sz w:val="24"/>
                <w:szCs w:val="24"/>
                <w:highlight w:val="none"/>
                <w:lang w:val="en-US" w:eastAsia="zh-CN"/>
              </w:rPr>
              <w:t>S14</w:t>
            </w:r>
            <w:r>
              <w:rPr>
                <w:rFonts w:hint="eastAsia"/>
                <w:b/>
                <w:bCs/>
                <w:color w:val="auto"/>
                <w:sz w:val="24"/>
                <w:szCs w:val="24"/>
                <w:highlight w:val="none"/>
              </w:rPr>
              <w:t>。</w:t>
            </w:r>
          </w:p>
          <w:p w14:paraId="00FC5BFF">
            <w:pPr>
              <w:keepNext w:val="0"/>
              <w:keepLines w:val="0"/>
              <w:pageBreakBefore w:val="0"/>
              <w:kinsoku/>
              <w:wordWrap/>
              <w:overflowPunct/>
              <w:topLinePunct w:val="0"/>
              <w:autoSpaceDE/>
              <w:autoSpaceDN/>
              <w:bidi w:val="0"/>
              <w:adjustRightInd/>
              <w:spacing w:line="360" w:lineRule="auto"/>
              <w:jc w:val="both"/>
              <w:textAlignment w:val="auto"/>
              <w:rPr>
                <w:rFonts w:hint="eastAsia" w:ascii="Times New Roman" w:hAnsi="Times New Roman" w:eastAsia="宋体" w:cs="Times New Roman"/>
                <w:b/>
                <w:bCs/>
                <w:color w:val="auto"/>
                <w:spacing w:val="0"/>
                <w:position w:val="0"/>
                <w:sz w:val="24"/>
                <w:highlight w:val="none"/>
              </w:rPr>
            </w:pPr>
            <w:r>
              <w:rPr>
                <w:rFonts w:hint="eastAsia" w:ascii="Times New Roman" w:hAnsi="Times New Roman" w:eastAsia="宋体" w:cs="Times New Roman"/>
                <w:b/>
                <w:bCs/>
                <w:color w:val="auto"/>
                <w:spacing w:val="0"/>
                <w:position w:val="0"/>
                <w:sz w:val="24"/>
                <w:highlight w:val="none"/>
              </w:rPr>
              <w:t>产污节点如下：</w:t>
            </w:r>
          </w:p>
          <w:p w14:paraId="50D9DB61">
            <w:pPr>
              <w:pStyle w:val="63"/>
              <w:keepNext w:val="0"/>
              <w:keepLines w:val="0"/>
              <w:pageBreakBefore w:val="0"/>
              <w:widowControl/>
              <w:kinsoku/>
              <w:wordWrap/>
              <w:overflowPunct/>
              <w:topLinePunct w:val="0"/>
              <w:autoSpaceDE/>
              <w:autoSpaceDN/>
              <w:bidi w:val="0"/>
              <w:adjustRightInd/>
              <w:spacing w:line="360" w:lineRule="auto"/>
              <w:ind w:firstLine="480"/>
              <w:jc w:val="both"/>
              <w:textAlignment w:val="auto"/>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①废水：</w:t>
            </w:r>
            <w:r>
              <w:rPr>
                <w:rFonts w:hint="eastAsia" w:ascii="Times New Roman" w:hAnsi="Times New Roman" w:eastAsia="宋体" w:cs="Times New Roman"/>
                <w:color w:val="auto"/>
                <w:spacing w:val="0"/>
                <w:position w:val="0"/>
                <w:sz w:val="24"/>
                <w:szCs w:val="24"/>
                <w:highlight w:val="none"/>
                <w:lang w:eastAsia="zh-CN"/>
              </w:rPr>
              <w:t>包括</w:t>
            </w:r>
            <w:r>
              <w:rPr>
                <w:rFonts w:hint="eastAsia"/>
                <w:color w:val="auto"/>
                <w:highlight w:val="none"/>
                <w:lang w:eastAsia="zh-CN"/>
              </w:rPr>
              <w:t>水帘气旋废水、</w:t>
            </w:r>
            <w:r>
              <w:rPr>
                <w:rFonts w:hint="eastAsia"/>
                <w:color w:val="auto"/>
                <w:highlight w:val="none"/>
                <w:lang w:val="en-US" w:eastAsia="zh-CN"/>
              </w:rPr>
              <w:t>喷枪清洗废水</w:t>
            </w:r>
            <w:r>
              <w:rPr>
                <w:rFonts w:hint="eastAsia" w:ascii="Times New Roman" w:hAnsi="Times New Roman" w:eastAsia="宋体" w:cs="Times New Roman"/>
                <w:color w:val="auto"/>
                <w:spacing w:val="0"/>
                <w:position w:val="0"/>
                <w:sz w:val="24"/>
                <w:szCs w:val="24"/>
                <w:highlight w:val="none"/>
                <w:lang w:eastAsia="zh-CN"/>
              </w:rPr>
              <w:t>及</w:t>
            </w:r>
            <w:r>
              <w:rPr>
                <w:rFonts w:hint="eastAsia" w:ascii="Times New Roman" w:hAnsi="Times New Roman" w:eastAsia="宋体" w:cs="Times New Roman"/>
                <w:color w:val="auto"/>
                <w:spacing w:val="0"/>
                <w:position w:val="0"/>
                <w:sz w:val="24"/>
                <w:szCs w:val="24"/>
                <w:highlight w:val="none"/>
              </w:rPr>
              <w:t>生活污水。</w:t>
            </w:r>
          </w:p>
          <w:p w14:paraId="1FFD771C">
            <w:pPr>
              <w:pStyle w:val="63"/>
              <w:keepNext w:val="0"/>
              <w:keepLines w:val="0"/>
              <w:pageBreakBefore w:val="0"/>
              <w:widowControl/>
              <w:kinsoku/>
              <w:wordWrap/>
              <w:overflowPunct/>
              <w:topLinePunct w:val="0"/>
              <w:autoSpaceDE/>
              <w:autoSpaceDN/>
              <w:bidi w:val="0"/>
              <w:adjustRightInd/>
              <w:spacing w:line="360" w:lineRule="auto"/>
              <w:ind w:firstLine="480"/>
              <w:jc w:val="both"/>
              <w:textAlignment w:val="auto"/>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②废气：项目</w:t>
            </w:r>
            <w:r>
              <w:rPr>
                <w:rFonts w:hint="eastAsia" w:ascii="Times New Roman" w:hAnsi="Times New Roman" w:eastAsia="宋体" w:cs="Times New Roman"/>
                <w:color w:val="auto"/>
                <w:spacing w:val="0"/>
                <w:position w:val="0"/>
                <w:sz w:val="24"/>
                <w:szCs w:val="24"/>
                <w:highlight w:val="none"/>
                <w:lang w:val="en-US" w:eastAsia="zh-CN"/>
              </w:rPr>
              <w:t>调漆、喷漆、晾干工序</w:t>
            </w:r>
            <w:r>
              <w:rPr>
                <w:rFonts w:hint="eastAsia" w:ascii="Times New Roman" w:hAnsi="Times New Roman" w:cs="Times New Roman"/>
                <w:color w:val="auto"/>
                <w:spacing w:val="0"/>
                <w:position w:val="0"/>
                <w:sz w:val="24"/>
                <w:szCs w:val="24"/>
                <w:highlight w:val="none"/>
                <w:lang w:val="en-US" w:eastAsia="zh-CN"/>
              </w:rPr>
              <w:t>产生</w:t>
            </w:r>
            <w:r>
              <w:rPr>
                <w:rFonts w:hint="eastAsia" w:ascii="Times New Roman" w:hAnsi="Times New Roman" w:eastAsia="宋体" w:cs="Times New Roman"/>
                <w:color w:val="auto"/>
                <w:spacing w:val="0"/>
                <w:position w:val="0"/>
                <w:sz w:val="24"/>
                <w:szCs w:val="24"/>
                <w:highlight w:val="none"/>
                <w:lang w:val="en-US" w:eastAsia="zh-CN"/>
              </w:rPr>
              <w:t>有机废气</w:t>
            </w:r>
            <w:r>
              <w:rPr>
                <w:rFonts w:hint="eastAsia" w:ascii="Times New Roman" w:hAnsi="Times New Roman" w:cs="Times New Roman"/>
                <w:color w:val="auto"/>
                <w:spacing w:val="0"/>
                <w:position w:val="0"/>
                <w:sz w:val="24"/>
                <w:szCs w:val="24"/>
                <w:highlight w:val="none"/>
                <w:lang w:val="en-US" w:eastAsia="zh-CN"/>
              </w:rPr>
              <w:t>（二甲苯、</w:t>
            </w:r>
            <w:r>
              <w:rPr>
                <w:rFonts w:hint="eastAsia" w:cs="Times New Roman"/>
                <w:color w:val="auto"/>
                <w:spacing w:val="0"/>
                <w:position w:val="0"/>
                <w:sz w:val="24"/>
                <w:szCs w:val="24"/>
                <w:highlight w:val="none"/>
                <w:lang w:val="en-US" w:eastAsia="zh-CN"/>
              </w:rPr>
              <w:t>苯系物、</w:t>
            </w:r>
            <w:r>
              <w:rPr>
                <w:rFonts w:hint="eastAsia" w:ascii="Times New Roman" w:hAnsi="Times New Roman" w:cs="Times New Roman"/>
                <w:color w:val="auto"/>
                <w:spacing w:val="0"/>
                <w:position w:val="0"/>
                <w:sz w:val="24"/>
                <w:szCs w:val="24"/>
                <w:highlight w:val="none"/>
                <w:lang w:val="en-US" w:eastAsia="zh-CN"/>
              </w:rPr>
              <w:t>乙酸乙酯、乙酸丁酯、非甲烷总烃）</w:t>
            </w:r>
            <w:r>
              <w:rPr>
                <w:rFonts w:hint="eastAsia" w:cs="Times New Roman"/>
                <w:color w:val="auto"/>
                <w:spacing w:val="0"/>
                <w:highlight w:val="none"/>
                <w:lang w:val="en-US" w:eastAsia="zh-CN"/>
              </w:rPr>
              <w:t>，</w:t>
            </w:r>
            <w:r>
              <w:rPr>
                <w:rFonts w:hint="eastAsia" w:cs="Times New Roman"/>
                <w:color w:val="auto"/>
                <w:spacing w:val="0"/>
                <w:position w:val="0"/>
                <w:sz w:val="24"/>
                <w:szCs w:val="24"/>
                <w:highlight w:val="none"/>
                <w:lang w:val="en-US" w:eastAsia="zh-CN"/>
              </w:rPr>
              <w:t>喷漆工序产生漆雾（颗粒物）</w:t>
            </w:r>
            <w:r>
              <w:rPr>
                <w:rFonts w:hint="eastAsia" w:ascii="Times New Roman" w:hAnsi="Times New Roman" w:eastAsia="宋体" w:cs="Times New Roman"/>
                <w:color w:val="auto"/>
                <w:spacing w:val="0"/>
                <w:position w:val="0"/>
                <w:sz w:val="24"/>
                <w:szCs w:val="24"/>
                <w:highlight w:val="none"/>
              </w:rPr>
              <w:t>。</w:t>
            </w:r>
          </w:p>
          <w:p w14:paraId="11E3ADF6">
            <w:pPr>
              <w:pStyle w:val="63"/>
              <w:keepNext w:val="0"/>
              <w:keepLines w:val="0"/>
              <w:pageBreakBefore w:val="0"/>
              <w:widowControl/>
              <w:kinsoku/>
              <w:wordWrap/>
              <w:overflowPunct/>
              <w:topLinePunct w:val="0"/>
              <w:autoSpaceDE/>
              <w:autoSpaceDN/>
              <w:bidi w:val="0"/>
              <w:adjustRightInd/>
              <w:spacing w:line="360" w:lineRule="auto"/>
              <w:ind w:firstLine="480"/>
              <w:jc w:val="both"/>
              <w:textAlignment w:val="auto"/>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③噪声：</w:t>
            </w:r>
            <w:r>
              <w:rPr>
                <w:rFonts w:hint="eastAsia" w:ascii="Times New Roman" w:hAnsi="Times New Roman" w:eastAsia="宋体" w:cs="Times New Roman"/>
                <w:color w:val="auto"/>
                <w:spacing w:val="0"/>
                <w:position w:val="0"/>
                <w:sz w:val="24"/>
                <w:szCs w:val="24"/>
                <w:highlight w:val="none"/>
                <w:lang w:eastAsia="zh-CN"/>
              </w:rPr>
              <w:t>生产过程中的</w:t>
            </w:r>
            <w:r>
              <w:rPr>
                <w:rFonts w:hint="eastAsia" w:ascii="Times New Roman" w:hAnsi="Times New Roman" w:eastAsia="宋体" w:cs="Times New Roman"/>
                <w:color w:val="auto"/>
                <w:spacing w:val="0"/>
                <w:position w:val="0"/>
                <w:sz w:val="24"/>
                <w:szCs w:val="24"/>
                <w:highlight w:val="none"/>
              </w:rPr>
              <w:t>设备运行噪声。</w:t>
            </w:r>
          </w:p>
          <w:p w14:paraId="74B81F8E">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position w:val="0"/>
                <w:sz w:val="24"/>
                <w:szCs w:val="24"/>
                <w:highlight w:val="none"/>
              </w:rPr>
              <w:t>④固废</w:t>
            </w:r>
            <w:r>
              <w:rPr>
                <w:rFonts w:hint="eastAsia" w:ascii="Times New Roman" w:hAnsi="Times New Roman" w:eastAsia="宋体" w:cs="Times New Roman"/>
                <w:color w:val="auto"/>
                <w:spacing w:val="0"/>
                <w:position w:val="0"/>
                <w:sz w:val="24"/>
                <w:szCs w:val="24"/>
                <w:highlight w:val="none"/>
                <w:lang w:val="en-US" w:eastAsia="zh-CN"/>
              </w:rPr>
              <w:t>：一般固废、危险废物、生活垃圾。一般固废包括：</w:t>
            </w:r>
            <w:r>
              <w:rPr>
                <w:rFonts w:hint="eastAsia" w:cs="Times New Roman"/>
                <w:color w:val="auto"/>
                <w:spacing w:val="0"/>
                <w:position w:val="0"/>
                <w:sz w:val="24"/>
                <w:szCs w:val="24"/>
                <w:highlight w:val="none"/>
                <w:lang w:val="en-US" w:eastAsia="zh-CN"/>
              </w:rPr>
              <w:t>废钉子、废纱布、</w:t>
            </w:r>
            <w:r>
              <w:rPr>
                <w:rFonts w:hint="eastAsia" w:cs="Times New Roman"/>
                <w:color w:val="auto"/>
                <w:spacing w:val="0"/>
                <w:kern w:val="0"/>
                <w:position w:val="0"/>
                <w:sz w:val="24"/>
                <w:szCs w:val="24"/>
                <w:highlight w:val="none"/>
                <w:lang w:val="en-US" w:eastAsia="zh-CN" w:bidi="ar"/>
              </w:rPr>
              <w:t>废包装材料</w:t>
            </w:r>
            <w:r>
              <w:rPr>
                <w:rFonts w:hint="eastAsia" w:ascii="Times New Roman" w:hAnsi="Times New Roman" w:eastAsia="宋体" w:cs="Times New Roman"/>
                <w:color w:val="auto"/>
                <w:spacing w:val="0"/>
                <w:kern w:val="0"/>
                <w:position w:val="0"/>
                <w:sz w:val="24"/>
                <w:szCs w:val="24"/>
                <w:highlight w:val="none"/>
                <w:lang w:val="en-US" w:eastAsia="zh-CN" w:bidi="ar"/>
              </w:rPr>
              <w:t>；危险废物</w:t>
            </w:r>
            <w:r>
              <w:rPr>
                <w:rFonts w:hint="eastAsia" w:ascii="Times New Roman" w:hAnsi="Times New Roman" w:eastAsia="宋体" w:cs="Times New Roman"/>
                <w:color w:val="auto"/>
                <w:spacing w:val="0"/>
                <w:position w:val="0"/>
                <w:sz w:val="24"/>
                <w:szCs w:val="24"/>
                <w:highlight w:val="none"/>
                <w:lang w:val="en-US" w:eastAsia="zh-CN"/>
              </w:rPr>
              <w:t>包括</w:t>
            </w:r>
            <w:r>
              <w:rPr>
                <w:rFonts w:hint="eastAsia" w:ascii="Times New Roman" w:hAnsi="Times New Roman" w:eastAsia="宋体" w:cs="Times New Roman"/>
                <w:color w:val="auto"/>
                <w:spacing w:val="0"/>
                <w:kern w:val="0"/>
                <w:position w:val="0"/>
                <w:sz w:val="24"/>
                <w:szCs w:val="24"/>
                <w:highlight w:val="none"/>
                <w:lang w:val="en-US" w:eastAsia="zh-CN" w:bidi="ar"/>
              </w:rPr>
              <w:t>：废活性炭、</w:t>
            </w:r>
            <w:r>
              <w:rPr>
                <w:rFonts w:hint="eastAsia" w:cs="Times New Roman"/>
                <w:color w:val="auto"/>
                <w:spacing w:val="0"/>
                <w:kern w:val="0"/>
                <w:position w:val="0"/>
                <w:sz w:val="24"/>
                <w:szCs w:val="24"/>
                <w:highlight w:val="none"/>
                <w:lang w:val="en-US" w:eastAsia="zh-CN" w:bidi="ar"/>
              </w:rPr>
              <w:t>废过滤棉、</w:t>
            </w:r>
            <w:r>
              <w:rPr>
                <w:rFonts w:hint="eastAsia" w:ascii="Times New Roman" w:hAnsi="Times New Roman" w:eastAsia="宋体" w:cs="Times New Roman"/>
                <w:color w:val="auto"/>
                <w:spacing w:val="0"/>
                <w:kern w:val="0"/>
                <w:position w:val="0"/>
                <w:sz w:val="24"/>
                <w:szCs w:val="24"/>
                <w:highlight w:val="none"/>
                <w:lang w:val="en-US" w:eastAsia="zh-CN" w:bidi="ar"/>
              </w:rPr>
              <w:t>喷漆过程产生的漆渣、沉淀污泥、</w:t>
            </w:r>
            <w:r>
              <w:rPr>
                <w:rFonts w:hint="eastAsia" w:cs="Times New Roman"/>
                <w:color w:val="auto"/>
                <w:spacing w:val="0"/>
                <w:kern w:val="0"/>
                <w:position w:val="0"/>
                <w:sz w:val="24"/>
                <w:szCs w:val="24"/>
                <w:highlight w:val="none"/>
                <w:lang w:val="en-US" w:eastAsia="zh-CN" w:bidi="ar"/>
              </w:rPr>
              <w:t>水帘气旋废液、喷枪清洗废液、废化学品包装物</w:t>
            </w:r>
            <w:r>
              <w:rPr>
                <w:rFonts w:hint="eastAsia" w:cs="Times New Roman"/>
                <w:b w:val="0"/>
                <w:bCs w:val="0"/>
                <w:color w:val="auto"/>
                <w:spacing w:val="0"/>
                <w:kern w:val="0"/>
                <w:position w:val="0"/>
                <w:sz w:val="24"/>
                <w:szCs w:val="24"/>
                <w:highlight w:val="none"/>
                <w:lang w:val="en-US" w:eastAsia="zh-CN" w:bidi="ar"/>
              </w:rPr>
              <w:t>、</w:t>
            </w:r>
            <w:r>
              <w:rPr>
                <w:b w:val="0"/>
                <w:bCs w:val="0"/>
                <w:color w:val="auto"/>
                <w:sz w:val="24"/>
                <w:szCs w:val="24"/>
                <w:highlight w:val="none"/>
              </w:rPr>
              <w:t>废润滑油、润滑油空桶</w:t>
            </w:r>
            <w:r>
              <w:rPr>
                <w:rFonts w:hint="eastAsia"/>
                <w:b w:val="0"/>
                <w:bCs w:val="0"/>
                <w:color w:val="auto"/>
                <w:sz w:val="24"/>
                <w:szCs w:val="24"/>
                <w:highlight w:val="none"/>
                <w:lang w:eastAsia="zh-CN"/>
              </w:rPr>
              <w:t>、</w:t>
            </w:r>
            <w:r>
              <w:rPr>
                <w:rFonts w:hint="eastAsia"/>
                <w:b w:val="0"/>
                <w:bCs w:val="0"/>
                <w:color w:val="auto"/>
                <w:sz w:val="24"/>
                <w:szCs w:val="24"/>
                <w:highlight w:val="none"/>
              </w:rPr>
              <w:t>废</w:t>
            </w:r>
            <w:r>
              <w:rPr>
                <w:rFonts w:hint="eastAsia"/>
                <w:b w:val="0"/>
                <w:bCs w:val="0"/>
                <w:color w:val="auto"/>
                <w:sz w:val="24"/>
                <w:szCs w:val="24"/>
                <w:highlight w:val="none"/>
                <w:lang w:val="en-US" w:eastAsia="zh-CN"/>
              </w:rPr>
              <w:t>含油</w:t>
            </w:r>
            <w:r>
              <w:rPr>
                <w:rFonts w:hint="eastAsia"/>
                <w:b w:val="0"/>
                <w:bCs w:val="0"/>
                <w:color w:val="auto"/>
                <w:sz w:val="24"/>
                <w:szCs w:val="24"/>
                <w:highlight w:val="none"/>
              </w:rPr>
              <w:t>抹布及手套</w:t>
            </w:r>
            <w:r>
              <w:rPr>
                <w:rFonts w:hint="eastAsia"/>
                <w:b w:val="0"/>
                <w:bCs w:val="0"/>
                <w:color w:val="auto"/>
                <w:sz w:val="24"/>
                <w:szCs w:val="24"/>
                <w:highlight w:val="none"/>
                <w:lang w:eastAsia="zh-CN"/>
              </w:rPr>
              <w:t>；</w:t>
            </w:r>
            <w:r>
              <w:rPr>
                <w:rFonts w:hint="eastAsia" w:ascii="Times New Roman" w:hAnsi="Times New Roman" w:eastAsia="宋体" w:cs="Times New Roman"/>
                <w:color w:val="auto"/>
                <w:spacing w:val="0"/>
                <w:position w:val="0"/>
                <w:sz w:val="24"/>
                <w:szCs w:val="24"/>
                <w:highlight w:val="none"/>
                <w:lang w:val="en-US" w:eastAsia="zh-CN"/>
              </w:rPr>
              <w:t>生活垃圾</w:t>
            </w:r>
            <w:r>
              <w:rPr>
                <w:rFonts w:hint="eastAsia" w:ascii="Times New Roman" w:hAnsi="Times New Roman" w:eastAsia="宋体" w:cs="Times New Roman"/>
                <w:b w:val="0"/>
                <w:bCs w:val="0"/>
                <w:color w:val="auto"/>
                <w:spacing w:val="0"/>
                <w:kern w:val="0"/>
                <w:position w:val="0"/>
                <w:sz w:val="24"/>
                <w:szCs w:val="24"/>
                <w:highlight w:val="none"/>
                <w:lang w:val="en-US" w:eastAsia="zh-CN" w:bidi="ar"/>
              </w:rPr>
              <w:t>。</w:t>
            </w:r>
            <w:r>
              <w:rPr>
                <w:rFonts w:hint="eastAsia" w:ascii="Times New Roman" w:hAnsi="Times New Roman" w:eastAsia="宋体" w:cs="Times New Roman"/>
                <w:color w:val="auto"/>
                <w:spacing w:val="0"/>
                <w:kern w:val="0"/>
                <w:position w:val="0"/>
                <w:sz w:val="24"/>
                <w:szCs w:val="24"/>
                <w:highlight w:val="none"/>
                <w:lang w:val="en-US" w:eastAsia="zh-CN" w:bidi="ar"/>
              </w:rPr>
              <w:t xml:space="preserve"> </w:t>
            </w:r>
          </w:p>
          <w:p w14:paraId="26F4EAF2">
            <w:pPr>
              <w:keepNext w:val="0"/>
              <w:keepLines w:val="0"/>
              <w:widowControl/>
              <w:suppressLineNumbers w:val="0"/>
              <w:jc w:val="center"/>
              <w:rPr>
                <w:rFonts w:hint="default"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highlight w:val="none"/>
                <w:lang w:val="en-US" w:eastAsia="zh-CN"/>
              </w:rPr>
              <w:t xml:space="preserve">   </w:t>
            </w:r>
            <w:r>
              <w:rPr>
                <w:rFonts w:hint="default" w:ascii="Times New Roman" w:hAnsi="Times New Roman" w:eastAsia="宋体" w:cs="Times New Roman"/>
                <w:color w:val="auto"/>
                <w:spacing w:val="0"/>
                <w:position w:val="0"/>
                <w:sz w:val="24"/>
                <w:szCs w:val="24"/>
                <w:highlight w:val="none"/>
                <w:lang w:val="en-US" w:eastAsia="zh-CN"/>
              </w:rPr>
              <w:t xml:space="preserve"> </w:t>
            </w:r>
            <w:r>
              <w:rPr>
                <w:rFonts w:hint="default" w:ascii="Times New Roman" w:hAnsi="Times New Roman" w:eastAsia="宋体" w:cs="Times New Roman"/>
                <w:b/>
                <w:bCs/>
                <w:color w:val="auto"/>
                <w:spacing w:val="0"/>
                <w:kern w:val="0"/>
                <w:position w:val="0"/>
                <w:sz w:val="24"/>
                <w:szCs w:val="24"/>
                <w:highlight w:val="none"/>
                <w:lang w:val="en-US" w:eastAsia="zh-CN" w:bidi="ar"/>
              </w:rPr>
              <w:t xml:space="preserve">表2.9-1 </w:t>
            </w:r>
            <w:r>
              <w:rPr>
                <w:rFonts w:hint="default" w:ascii="Times New Roman" w:hAnsi="Times New Roman" w:eastAsia="宋体" w:cs="Times New Roman"/>
                <w:color w:val="auto"/>
                <w:spacing w:val="0"/>
                <w:position w:val="0"/>
                <w:sz w:val="24"/>
                <w:szCs w:val="24"/>
                <w:highlight w:val="none"/>
                <w:lang w:val="en-US" w:eastAsia="zh-CN"/>
              </w:rPr>
              <w:t xml:space="preserve"> </w:t>
            </w:r>
            <w:r>
              <w:rPr>
                <w:rFonts w:hint="default" w:ascii="Times New Roman" w:hAnsi="Times New Roman" w:eastAsia="宋体" w:cs="Times New Roman"/>
                <w:b/>
                <w:bCs/>
                <w:color w:val="auto"/>
                <w:spacing w:val="0"/>
                <w:kern w:val="0"/>
                <w:position w:val="0"/>
                <w:sz w:val="24"/>
                <w:szCs w:val="24"/>
                <w:highlight w:val="none"/>
                <w:lang w:val="en-US" w:eastAsia="zh-CN" w:bidi="ar"/>
              </w:rPr>
              <w:t>项目产污环节一览表</w:t>
            </w:r>
          </w:p>
          <w:tbl>
            <w:tblPr>
              <w:tblStyle w:val="3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394"/>
              <w:gridCol w:w="1708"/>
              <w:gridCol w:w="1560"/>
              <w:gridCol w:w="3000"/>
            </w:tblGrid>
            <w:tr w14:paraId="12FFDA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tcBorders>
                    <w:tl2br w:val="nil"/>
                    <w:tr2bl w:val="nil"/>
                  </w:tcBorders>
                  <w:vAlign w:val="center"/>
                </w:tcPr>
                <w:p w14:paraId="3F3A549E">
                  <w:pPr>
                    <w:pStyle w:val="94"/>
                    <w:adjustRightInd w:val="0"/>
                    <w:snapToGrid w:val="0"/>
                    <w:ind w:left="-63" w:leftChars="-30" w:right="-63" w:rightChars="-30" w:firstLine="0" w:firstLineChars="0"/>
                    <w:rPr>
                      <w:rFonts w:hint="default" w:ascii="Times New Roman" w:hAnsi="Times New Roman" w:eastAsia="宋体" w:cs="Times New Roman"/>
                      <w:b/>
                      <w:bCs w:val="0"/>
                      <w:color w:val="auto"/>
                      <w:spacing w:val="0"/>
                      <w:kern w:val="2"/>
                      <w:position w:val="0"/>
                      <w:sz w:val="21"/>
                      <w:szCs w:val="21"/>
                      <w:highlight w:val="none"/>
                      <w:lang w:val="en-US" w:eastAsia="zh-CN" w:bidi="ar-SA"/>
                    </w:rPr>
                  </w:pPr>
                  <w:r>
                    <w:rPr>
                      <w:rFonts w:hint="default" w:ascii="Times New Roman" w:hAnsi="Times New Roman" w:eastAsia="宋体" w:cs="Times New Roman"/>
                      <w:b/>
                      <w:bCs w:val="0"/>
                      <w:color w:val="auto"/>
                      <w:spacing w:val="0"/>
                      <w:position w:val="0"/>
                      <w:sz w:val="21"/>
                      <w:szCs w:val="21"/>
                      <w:highlight w:val="none"/>
                    </w:rPr>
                    <w:t>污染类别</w:t>
                  </w:r>
                </w:p>
              </w:tc>
              <w:tc>
                <w:tcPr>
                  <w:tcW w:w="1394" w:type="dxa"/>
                  <w:tcBorders>
                    <w:tl2br w:val="nil"/>
                    <w:tr2bl w:val="nil"/>
                  </w:tcBorders>
                  <w:vAlign w:val="center"/>
                </w:tcPr>
                <w:p w14:paraId="0C862363">
                  <w:pPr>
                    <w:pStyle w:val="94"/>
                    <w:adjustRightInd w:val="0"/>
                    <w:snapToGrid w:val="0"/>
                    <w:ind w:left="-63" w:leftChars="-30" w:right="-63" w:rightChars="-30" w:firstLine="0" w:firstLineChars="0"/>
                    <w:rPr>
                      <w:rFonts w:hint="default" w:ascii="Times New Roman" w:hAnsi="Times New Roman" w:eastAsia="宋体" w:cs="Times New Roman"/>
                      <w:b/>
                      <w:bCs w:val="0"/>
                      <w:color w:val="auto"/>
                      <w:spacing w:val="0"/>
                      <w:kern w:val="2"/>
                      <w:position w:val="0"/>
                      <w:sz w:val="21"/>
                      <w:szCs w:val="21"/>
                      <w:highlight w:val="none"/>
                      <w:lang w:val="en-US" w:eastAsia="zh-CN" w:bidi="ar-SA"/>
                    </w:rPr>
                  </w:pPr>
                  <w:r>
                    <w:rPr>
                      <w:rFonts w:hint="default" w:ascii="Times New Roman" w:hAnsi="Times New Roman" w:eastAsia="宋体" w:cs="Times New Roman"/>
                      <w:b/>
                      <w:bCs w:val="0"/>
                      <w:color w:val="auto"/>
                      <w:spacing w:val="0"/>
                      <w:position w:val="0"/>
                      <w:sz w:val="21"/>
                      <w:szCs w:val="21"/>
                      <w:highlight w:val="none"/>
                    </w:rPr>
                    <w:t>污染源编号</w:t>
                  </w:r>
                </w:p>
              </w:tc>
              <w:tc>
                <w:tcPr>
                  <w:tcW w:w="1708" w:type="dxa"/>
                  <w:tcBorders>
                    <w:tl2br w:val="nil"/>
                    <w:tr2bl w:val="nil"/>
                  </w:tcBorders>
                  <w:vAlign w:val="center"/>
                </w:tcPr>
                <w:p w14:paraId="013D9E8B">
                  <w:pPr>
                    <w:pStyle w:val="94"/>
                    <w:adjustRightInd w:val="0"/>
                    <w:snapToGrid w:val="0"/>
                    <w:ind w:left="-63" w:leftChars="-30" w:right="-63" w:rightChars="-30" w:firstLine="0" w:firstLineChars="0"/>
                    <w:rPr>
                      <w:rFonts w:hint="default" w:ascii="Times New Roman" w:hAnsi="Times New Roman" w:eastAsia="宋体" w:cs="Times New Roman"/>
                      <w:b/>
                      <w:bCs w:val="0"/>
                      <w:color w:val="auto"/>
                      <w:spacing w:val="0"/>
                      <w:kern w:val="2"/>
                      <w:position w:val="0"/>
                      <w:sz w:val="21"/>
                      <w:szCs w:val="21"/>
                      <w:highlight w:val="none"/>
                      <w:lang w:val="en-US" w:eastAsia="zh-CN" w:bidi="ar-SA"/>
                    </w:rPr>
                  </w:pPr>
                  <w:r>
                    <w:rPr>
                      <w:rFonts w:hint="default" w:ascii="Times New Roman" w:hAnsi="Times New Roman" w:eastAsia="宋体" w:cs="Times New Roman"/>
                      <w:b/>
                      <w:bCs w:val="0"/>
                      <w:color w:val="auto"/>
                      <w:spacing w:val="0"/>
                      <w:position w:val="0"/>
                      <w:sz w:val="21"/>
                      <w:szCs w:val="21"/>
                      <w:highlight w:val="none"/>
                    </w:rPr>
                    <w:t>生产环节</w:t>
                  </w:r>
                </w:p>
              </w:tc>
              <w:tc>
                <w:tcPr>
                  <w:tcW w:w="1560" w:type="dxa"/>
                  <w:tcBorders>
                    <w:tl2br w:val="nil"/>
                    <w:tr2bl w:val="nil"/>
                  </w:tcBorders>
                  <w:vAlign w:val="center"/>
                </w:tcPr>
                <w:p w14:paraId="50A72742">
                  <w:pPr>
                    <w:pStyle w:val="94"/>
                    <w:adjustRightInd w:val="0"/>
                    <w:snapToGrid w:val="0"/>
                    <w:ind w:left="-63" w:leftChars="-30" w:right="-63" w:rightChars="-30" w:firstLine="0" w:firstLineChars="0"/>
                    <w:rPr>
                      <w:rFonts w:hint="default" w:ascii="Times New Roman" w:hAnsi="Times New Roman" w:eastAsia="宋体" w:cs="Times New Roman"/>
                      <w:b/>
                      <w:bCs w:val="0"/>
                      <w:color w:val="auto"/>
                      <w:spacing w:val="0"/>
                      <w:kern w:val="2"/>
                      <w:position w:val="0"/>
                      <w:sz w:val="21"/>
                      <w:szCs w:val="21"/>
                      <w:highlight w:val="none"/>
                      <w:lang w:val="en-US" w:eastAsia="zh-CN" w:bidi="ar-SA"/>
                    </w:rPr>
                  </w:pPr>
                  <w:r>
                    <w:rPr>
                      <w:rFonts w:hint="default" w:ascii="Times New Roman" w:hAnsi="Times New Roman" w:eastAsia="宋体" w:cs="Times New Roman"/>
                      <w:b/>
                      <w:bCs w:val="0"/>
                      <w:color w:val="auto"/>
                      <w:spacing w:val="0"/>
                      <w:position w:val="0"/>
                      <w:sz w:val="21"/>
                      <w:szCs w:val="21"/>
                      <w:highlight w:val="none"/>
                    </w:rPr>
                    <w:t>主要污染物</w:t>
                  </w:r>
                </w:p>
              </w:tc>
              <w:tc>
                <w:tcPr>
                  <w:tcW w:w="3000" w:type="dxa"/>
                  <w:tcBorders>
                    <w:tl2br w:val="nil"/>
                    <w:tr2bl w:val="nil"/>
                  </w:tcBorders>
                  <w:vAlign w:val="center"/>
                </w:tcPr>
                <w:p w14:paraId="22661151">
                  <w:pPr>
                    <w:pStyle w:val="94"/>
                    <w:adjustRightInd w:val="0"/>
                    <w:snapToGrid w:val="0"/>
                    <w:ind w:left="-63" w:leftChars="-30" w:right="-63" w:rightChars="-30" w:firstLine="0" w:firstLineChars="0"/>
                    <w:rPr>
                      <w:rFonts w:hint="default" w:ascii="Times New Roman" w:hAnsi="Times New Roman" w:eastAsia="宋体" w:cs="Times New Roman"/>
                      <w:b/>
                      <w:bCs w:val="0"/>
                      <w:color w:val="auto"/>
                      <w:spacing w:val="0"/>
                      <w:kern w:val="2"/>
                      <w:position w:val="0"/>
                      <w:sz w:val="21"/>
                      <w:szCs w:val="21"/>
                      <w:highlight w:val="none"/>
                      <w:lang w:val="en-US" w:eastAsia="zh-CN" w:bidi="ar-SA"/>
                    </w:rPr>
                  </w:pPr>
                  <w:r>
                    <w:rPr>
                      <w:rFonts w:hint="default" w:ascii="Times New Roman" w:hAnsi="Times New Roman" w:eastAsia="宋体" w:cs="Times New Roman"/>
                      <w:b/>
                      <w:bCs w:val="0"/>
                      <w:color w:val="auto"/>
                      <w:spacing w:val="0"/>
                      <w:position w:val="0"/>
                      <w:sz w:val="21"/>
                      <w:szCs w:val="21"/>
                      <w:highlight w:val="none"/>
                    </w:rPr>
                    <w:t>备注</w:t>
                  </w:r>
                </w:p>
              </w:tc>
            </w:tr>
            <w:tr w14:paraId="3ECE4E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restart"/>
                  <w:tcBorders>
                    <w:tl2br w:val="nil"/>
                    <w:tr2bl w:val="nil"/>
                  </w:tcBorders>
                  <w:vAlign w:val="center"/>
                </w:tcPr>
                <w:p w14:paraId="6B9B2284">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default" w:ascii="Times New Roman" w:hAnsi="Times New Roman" w:eastAsia="宋体" w:cs="Times New Roman"/>
                      <w:b w:val="0"/>
                      <w:bCs/>
                      <w:color w:val="auto"/>
                      <w:spacing w:val="0"/>
                      <w:position w:val="0"/>
                      <w:sz w:val="21"/>
                      <w:szCs w:val="21"/>
                      <w:highlight w:val="none"/>
                    </w:rPr>
                    <w:t>废水</w:t>
                  </w:r>
                </w:p>
              </w:tc>
              <w:tc>
                <w:tcPr>
                  <w:tcW w:w="1394" w:type="dxa"/>
                  <w:tcBorders>
                    <w:tl2br w:val="nil"/>
                    <w:tr2bl w:val="nil"/>
                  </w:tcBorders>
                  <w:vAlign w:val="center"/>
                </w:tcPr>
                <w:p w14:paraId="3F81C5EF">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default" w:ascii="Times New Roman" w:hAnsi="Times New Roman" w:eastAsia="宋体" w:cs="Times New Roman"/>
                      <w:b w:val="0"/>
                      <w:bCs/>
                      <w:color w:val="auto"/>
                      <w:spacing w:val="0"/>
                      <w:position w:val="0"/>
                      <w:sz w:val="21"/>
                      <w:szCs w:val="21"/>
                      <w:highlight w:val="none"/>
                    </w:rPr>
                    <w:t>DW001</w:t>
                  </w:r>
                </w:p>
              </w:tc>
              <w:tc>
                <w:tcPr>
                  <w:tcW w:w="1708" w:type="dxa"/>
                  <w:tcBorders>
                    <w:tl2br w:val="nil"/>
                    <w:tr2bl w:val="nil"/>
                  </w:tcBorders>
                  <w:vAlign w:val="center"/>
                </w:tcPr>
                <w:p w14:paraId="6801AAA6">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default" w:ascii="Times New Roman" w:hAnsi="Times New Roman" w:eastAsia="宋体" w:cs="Times New Roman"/>
                      <w:b w:val="0"/>
                      <w:bCs/>
                      <w:color w:val="auto"/>
                      <w:spacing w:val="0"/>
                      <w:position w:val="0"/>
                      <w:sz w:val="21"/>
                      <w:szCs w:val="21"/>
                      <w:highlight w:val="none"/>
                    </w:rPr>
                    <w:t>生活污水</w:t>
                  </w:r>
                  <w:r>
                    <w:rPr>
                      <w:rFonts w:hint="eastAsia" w:cs="Times New Roman"/>
                      <w:b w:val="0"/>
                      <w:bCs/>
                      <w:color w:val="auto"/>
                      <w:spacing w:val="0"/>
                      <w:position w:val="0"/>
                      <w:sz w:val="21"/>
                      <w:szCs w:val="21"/>
                      <w:highlight w:val="none"/>
                      <w:lang w:val="en-US" w:eastAsia="zh-CN"/>
                    </w:rPr>
                    <w:t>W1</w:t>
                  </w:r>
                </w:p>
              </w:tc>
              <w:tc>
                <w:tcPr>
                  <w:tcW w:w="1560" w:type="dxa"/>
                  <w:tcBorders>
                    <w:tl2br w:val="nil"/>
                    <w:tr2bl w:val="nil"/>
                  </w:tcBorders>
                  <w:vAlign w:val="center"/>
                </w:tcPr>
                <w:p w14:paraId="0D3A76D9">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position w:val="0"/>
                      <w:sz w:val="21"/>
                      <w:szCs w:val="21"/>
                      <w:highlight w:val="none"/>
                    </w:rPr>
                  </w:pPr>
                  <w:r>
                    <w:rPr>
                      <w:rFonts w:hint="default" w:ascii="Times New Roman" w:hAnsi="Times New Roman" w:eastAsia="宋体" w:cs="Times New Roman"/>
                      <w:b w:val="0"/>
                      <w:bCs/>
                      <w:color w:val="auto"/>
                      <w:spacing w:val="0"/>
                      <w:position w:val="0"/>
                      <w:sz w:val="21"/>
                      <w:szCs w:val="21"/>
                      <w:highlight w:val="none"/>
                    </w:rPr>
                    <w:t>COD</w:t>
                  </w:r>
                  <w:r>
                    <w:rPr>
                      <w:rFonts w:hint="eastAsia"/>
                      <w:b w:val="0"/>
                      <w:bCs/>
                      <w:color w:val="auto"/>
                      <w:highlight w:val="none"/>
                      <w:vertAlign w:val="subscript"/>
                      <w:lang w:val="en-US" w:eastAsia="zh-CN"/>
                    </w:rPr>
                    <w:t>Cr</w:t>
                  </w:r>
                  <w:r>
                    <w:rPr>
                      <w:rFonts w:hint="default" w:ascii="Times New Roman" w:hAnsi="Times New Roman" w:eastAsia="宋体" w:cs="Times New Roman"/>
                      <w:b w:val="0"/>
                      <w:bCs/>
                      <w:color w:val="auto"/>
                      <w:spacing w:val="0"/>
                      <w:position w:val="0"/>
                      <w:sz w:val="21"/>
                      <w:szCs w:val="21"/>
                      <w:highlight w:val="none"/>
                    </w:rPr>
                    <w:t>、BOD</w:t>
                  </w:r>
                  <w:r>
                    <w:rPr>
                      <w:rFonts w:hint="default" w:ascii="Times New Roman" w:hAnsi="Times New Roman" w:eastAsia="宋体" w:cs="Times New Roman"/>
                      <w:b w:val="0"/>
                      <w:bCs/>
                      <w:color w:val="auto"/>
                      <w:spacing w:val="0"/>
                      <w:position w:val="0"/>
                      <w:sz w:val="21"/>
                      <w:szCs w:val="21"/>
                      <w:highlight w:val="none"/>
                      <w:vertAlign w:val="subscript"/>
                    </w:rPr>
                    <w:t>5</w:t>
                  </w:r>
                  <w:r>
                    <w:rPr>
                      <w:rFonts w:hint="default" w:ascii="Times New Roman" w:hAnsi="Times New Roman" w:eastAsia="宋体" w:cs="Times New Roman"/>
                      <w:b w:val="0"/>
                      <w:bCs/>
                      <w:color w:val="auto"/>
                      <w:spacing w:val="0"/>
                      <w:position w:val="0"/>
                      <w:sz w:val="21"/>
                      <w:szCs w:val="21"/>
                      <w:highlight w:val="none"/>
                    </w:rPr>
                    <w:t>、</w:t>
                  </w:r>
                </w:p>
                <w:p w14:paraId="6A187CD5">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position w:val="0"/>
                      <w:sz w:val="21"/>
                      <w:szCs w:val="21"/>
                      <w:highlight w:val="none"/>
                    </w:rPr>
                  </w:pPr>
                  <w:r>
                    <w:rPr>
                      <w:rFonts w:hint="default" w:ascii="Times New Roman" w:hAnsi="Times New Roman" w:eastAsia="宋体" w:cs="Times New Roman"/>
                      <w:b w:val="0"/>
                      <w:bCs/>
                      <w:color w:val="auto"/>
                      <w:spacing w:val="0"/>
                      <w:position w:val="0"/>
                      <w:sz w:val="21"/>
                      <w:szCs w:val="21"/>
                      <w:highlight w:val="none"/>
                    </w:rPr>
                    <w:t>SS、NH</w:t>
                  </w:r>
                  <w:r>
                    <w:rPr>
                      <w:rFonts w:hint="default" w:ascii="Times New Roman" w:hAnsi="Times New Roman" w:eastAsia="宋体" w:cs="Times New Roman"/>
                      <w:b w:val="0"/>
                      <w:bCs/>
                      <w:color w:val="auto"/>
                      <w:spacing w:val="0"/>
                      <w:position w:val="0"/>
                      <w:sz w:val="21"/>
                      <w:szCs w:val="21"/>
                      <w:highlight w:val="none"/>
                      <w:vertAlign w:val="subscript"/>
                    </w:rPr>
                    <w:t>3</w:t>
                  </w:r>
                  <w:r>
                    <w:rPr>
                      <w:rFonts w:hint="default" w:ascii="Times New Roman" w:hAnsi="Times New Roman" w:eastAsia="宋体" w:cs="Times New Roman"/>
                      <w:b w:val="0"/>
                      <w:bCs/>
                      <w:color w:val="auto"/>
                      <w:spacing w:val="0"/>
                      <w:position w:val="0"/>
                      <w:sz w:val="21"/>
                      <w:szCs w:val="21"/>
                      <w:highlight w:val="none"/>
                    </w:rPr>
                    <w:t>-N、</w:t>
                  </w:r>
                </w:p>
                <w:p w14:paraId="53DF479D">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default" w:ascii="Times New Roman" w:hAnsi="Times New Roman" w:eastAsia="宋体" w:cs="Times New Roman"/>
                      <w:b w:val="0"/>
                      <w:bCs/>
                      <w:color w:val="auto"/>
                      <w:spacing w:val="0"/>
                      <w:position w:val="0"/>
                      <w:sz w:val="21"/>
                      <w:szCs w:val="21"/>
                      <w:highlight w:val="none"/>
                    </w:rPr>
                    <w:t>总磷、总氮</w:t>
                  </w:r>
                </w:p>
              </w:tc>
              <w:tc>
                <w:tcPr>
                  <w:tcW w:w="3000" w:type="dxa"/>
                  <w:tcBorders>
                    <w:tl2br w:val="nil"/>
                    <w:tr2bl w:val="nil"/>
                  </w:tcBorders>
                  <w:vAlign w:val="center"/>
                </w:tcPr>
                <w:p w14:paraId="6E014EC1">
                  <w:pPr>
                    <w:pStyle w:val="9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b w:val="0"/>
                      <w:bCs/>
                      <w:color w:val="auto"/>
                      <w:spacing w:val="0"/>
                      <w:position w:val="0"/>
                      <w:sz w:val="21"/>
                      <w:szCs w:val="21"/>
                      <w:highlight w:val="none"/>
                      <w:lang w:val="en-US" w:eastAsia="zh-CN"/>
                    </w:rPr>
                  </w:pPr>
                  <w:r>
                    <w:rPr>
                      <w:rFonts w:hint="default" w:ascii="Times New Roman" w:hAnsi="Times New Roman" w:eastAsia="宋体" w:cs="Times New Roman"/>
                      <w:b w:val="0"/>
                      <w:bCs/>
                      <w:color w:val="auto"/>
                      <w:spacing w:val="0"/>
                      <w:position w:val="0"/>
                      <w:sz w:val="21"/>
                      <w:szCs w:val="21"/>
                      <w:highlight w:val="none"/>
                      <w:lang w:val="en-US" w:eastAsia="zh-CN"/>
                    </w:rPr>
                    <w:t>经化粪池处理后排入</w:t>
                  </w:r>
                  <w:r>
                    <w:rPr>
                      <w:rFonts w:hint="eastAsia" w:cs="Times New Roman"/>
                      <w:b w:val="0"/>
                      <w:bCs/>
                      <w:color w:val="auto"/>
                      <w:spacing w:val="0"/>
                      <w:position w:val="0"/>
                      <w:sz w:val="21"/>
                      <w:szCs w:val="21"/>
                      <w:highlight w:val="none"/>
                      <w:lang w:val="en-US" w:eastAsia="zh-CN"/>
                    </w:rPr>
                    <w:t>闽侯县城关污水处理厂</w:t>
                  </w:r>
                  <w:r>
                    <w:rPr>
                      <w:rFonts w:hint="default" w:ascii="Times New Roman" w:hAnsi="Times New Roman" w:eastAsia="宋体" w:cs="Times New Roman"/>
                      <w:b w:val="0"/>
                      <w:bCs/>
                      <w:color w:val="auto"/>
                      <w:spacing w:val="0"/>
                      <w:position w:val="0"/>
                      <w:sz w:val="21"/>
                      <w:szCs w:val="21"/>
                      <w:highlight w:val="none"/>
                      <w:lang w:val="en-US" w:eastAsia="zh-CN"/>
                    </w:rPr>
                    <w:t>处理</w:t>
                  </w:r>
                </w:p>
              </w:tc>
            </w:tr>
            <w:tr w14:paraId="7C257A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top"/>
                </w:tcPr>
                <w:p w14:paraId="000F3411">
                  <w:pPr>
                    <w:pStyle w:val="63"/>
                    <w:rPr>
                      <w:rFonts w:hint="default" w:ascii="Times New Roman" w:hAnsi="Times New Roman" w:eastAsia="宋体" w:cs="Times New Roman"/>
                      <w:b w:val="0"/>
                      <w:bCs/>
                      <w:color w:val="auto"/>
                      <w:spacing w:val="0"/>
                      <w:position w:val="0"/>
                      <w:sz w:val="21"/>
                      <w:szCs w:val="21"/>
                      <w:highlight w:val="none"/>
                      <w:vertAlign w:val="baseline"/>
                      <w:lang w:val="en-US" w:eastAsia="zh-CN"/>
                    </w:rPr>
                  </w:pPr>
                </w:p>
              </w:tc>
              <w:tc>
                <w:tcPr>
                  <w:tcW w:w="1394" w:type="dxa"/>
                  <w:tcBorders>
                    <w:tl2br w:val="nil"/>
                    <w:tr2bl w:val="nil"/>
                  </w:tcBorders>
                  <w:vAlign w:val="center"/>
                </w:tcPr>
                <w:p w14:paraId="774AED62">
                  <w:pPr>
                    <w:pStyle w:val="94"/>
                    <w:adjustRightInd w:val="0"/>
                    <w:snapToGrid w:val="0"/>
                    <w:ind w:left="-63" w:leftChars="-30" w:right="-63" w:rightChars="-30" w:firstLine="0" w:firstLineChars="0"/>
                    <w:rPr>
                      <w:rFonts w:hint="eastAsia" w:ascii="Times New Roman" w:hAnsi="Times New Roman" w:eastAsia="宋体" w:cs="Times New Roman"/>
                      <w:b w:val="0"/>
                      <w:bCs/>
                      <w:color w:val="auto"/>
                      <w:spacing w:val="0"/>
                      <w:position w:val="0"/>
                      <w:sz w:val="21"/>
                      <w:szCs w:val="21"/>
                      <w:highlight w:val="none"/>
                      <w:lang w:val="en-US" w:eastAsia="zh-CN"/>
                    </w:rPr>
                  </w:pPr>
                  <w:r>
                    <w:rPr>
                      <w:rFonts w:hint="eastAsia" w:ascii="Times New Roman" w:hAnsi="Times New Roman" w:eastAsia="宋体" w:cs="Times New Roman"/>
                      <w:b w:val="0"/>
                      <w:bCs/>
                      <w:color w:val="auto"/>
                      <w:spacing w:val="0"/>
                      <w:position w:val="0"/>
                      <w:sz w:val="21"/>
                      <w:szCs w:val="21"/>
                      <w:highlight w:val="none"/>
                      <w:lang w:val="en-US" w:eastAsia="zh-CN"/>
                    </w:rPr>
                    <w:t>/</w:t>
                  </w:r>
                </w:p>
                <w:p w14:paraId="275107B3">
                  <w:pPr>
                    <w:pStyle w:val="94"/>
                    <w:adjustRightInd w:val="0"/>
                    <w:snapToGrid w:val="0"/>
                    <w:ind w:left="-63" w:leftChars="-30" w:right="-63" w:rightChars="-30" w:firstLine="0" w:firstLineChars="0"/>
                    <w:jc w:val="both"/>
                    <w:rPr>
                      <w:rFonts w:hint="eastAsia" w:ascii="Times New Roman" w:hAnsi="Times New Roman" w:eastAsia="宋体" w:cs="Times New Roman"/>
                      <w:b w:val="0"/>
                      <w:bCs/>
                      <w:color w:val="auto"/>
                      <w:spacing w:val="0"/>
                      <w:kern w:val="2"/>
                      <w:position w:val="0"/>
                      <w:sz w:val="21"/>
                      <w:szCs w:val="21"/>
                      <w:highlight w:val="none"/>
                      <w:lang w:val="en-US" w:eastAsia="zh-CN" w:bidi="ar-SA"/>
                    </w:rPr>
                  </w:pPr>
                </w:p>
              </w:tc>
              <w:tc>
                <w:tcPr>
                  <w:tcW w:w="1708" w:type="dxa"/>
                  <w:tcBorders>
                    <w:tl2br w:val="nil"/>
                    <w:tr2bl w:val="nil"/>
                  </w:tcBorders>
                  <w:vAlign w:val="center"/>
                </w:tcPr>
                <w:p w14:paraId="5F2E0297">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position w:val="0"/>
                      <w:sz w:val="21"/>
                      <w:szCs w:val="21"/>
                      <w:highlight w:val="none"/>
                      <w:lang w:eastAsia="zh-CN"/>
                    </w:rPr>
                  </w:pPr>
                  <w:r>
                    <w:rPr>
                      <w:rFonts w:hint="eastAsia"/>
                      <w:b w:val="0"/>
                      <w:bCs/>
                      <w:color w:val="auto"/>
                      <w:sz w:val="21"/>
                      <w:szCs w:val="21"/>
                      <w:highlight w:val="none"/>
                      <w:lang w:eastAsia="zh-CN"/>
                    </w:rPr>
                    <w:t>水帘气旋废水</w:t>
                  </w:r>
                </w:p>
              </w:tc>
              <w:tc>
                <w:tcPr>
                  <w:tcW w:w="1560" w:type="dxa"/>
                  <w:vMerge w:val="restart"/>
                  <w:tcBorders>
                    <w:tl2br w:val="nil"/>
                    <w:tr2bl w:val="nil"/>
                  </w:tcBorders>
                  <w:vAlign w:val="center"/>
                </w:tcPr>
                <w:p w14:paraId="1F81560F">
                  <w:pPr>
                    <w:pStyle w:val="94"/>
                    <w:adjustRightInd w:val="0"/>
                    <w:snapToGrid w:val="0"/>
                    <w:ind w:left="-63" w:leftChars="-30" w:right="-63" w:rightChars="-30" w:firstLine="0" w:firstLineChars="0"/>
                    <w:rPr>
                      <w:rFonts w:hint="eastAsia" w:ascii="Times New Roman" w:hAnsi="Times New Roman" w:eastAsia="宋体" w:cs="Times New Roman"/>
                      <w:b w:val="0"/>
                      <w:bCs/>
                      <w:color w:val="auto"/>
                      <w:spacing w:val="0"/>
                      <w:position w:val="0"/>
                      <w:sz w:val="21"/>
                      <w:szCs w:val="21"/>
                      <w:highlight w:val="none"/>
                      <w:lang w:val="en-US" w:eastAsia="zh-CN"/>
                    </w:rPr>
                  </w:pPr>
                  <w:r>
                    <w:rPr>
                      <w:rFonts w:hint="default" w:ascii="Times New Roman" w:hAnsi="Times New Roman" w:eastAsia="宋体" w:cs="Times New Roman"/>
                      <w:b w:val="0"/>
                      <w:bCs/>
                      <w:color w:val="auto"/>
                      <w:spacing w:val="0"/>
                      <w:position w:val="0"/>
                      <w:sz w:val="21"/>
                      <w:szCs w:val="21"/>
                      <w:highlight w:val="none"/>
                    </w:rPr>
                    <w:t>COD</w:t>
                  </w:r>
                  <w:r>
                    <w:rPr>
                      <w:rFonts w:hint="eastAsia" w:ascii="Times New Roman" w:hAnsi="Times New Roman" w:eastAsia="宋体" w:cs="Times New Roman"/>
                      <w:b w:val="0"/>
                      <w:bCs/>
                      <w:color w:val="auto"/>
                      <w:spacing w:val="0"/>
                      <w:position w:val="0"/>
                      <w:sz w:val="21"/>
                      <w:szCs w:val="21"/>
                      <w:highlight w:val="none"/>
                      <w:vertAlign w:val="subscript"/>
                      <w:lang w:val="en-US" w:eastAsia="zh-CN"/>
                    </w:rPr>
                    <w:t>Cr</w:t>
                  </w:r>
                  <w:r>
                    <w:rPr>
                      <w:rFonts w:hint="default" w:ascii="Times New Roman" w:hAnsi="Times New Roman" w:eastAsia="宋体" w:cs="Times New Roman"/>
                      <w:b w:val="0"/>
                      <w:bCs/>
                      <w:color w:val="auto"/>
                      <w:spacing w:val="0"/>
                      <w:position w:val="0"/>
                      <w:sz w:val="21"/>
                      <w:szCs w:val="21"/>
                      <w:highlight w:val="none"/>
                    </w:rPr>
                    <w:t>、</w:t>
                  </w:r>
                  <w:r>
                    <w:rPr>
                      <w:rFonts w:hint="eastAsia" w:cs="Times New Roman"/>
                      <w:b w:val="0"/>
                      <w:bCs/>
                      <w:color w:val="auto"/>
                      <w:spacing w:val="0"/>
                      <w:position w:val="0"/>
                      <w:sz w:val="21"/>
                      <w:szCs w:val="21"/>
                      <w:highlight w:val="none"/>
                      <w:lang w:val="en-US" w:eastAsia="zh-CN"/>
                    </w:rPr>
                    <w:t>BOD</w:t>
                  </w:r>
                  <w:r>
                    <w:rPr>
                      <w:rFonts w:hint="eastAsia" w:cs="Times New Roman"/>
                      <w:b w:val="0"/>
                      <w:bCs/>
                      <w:color w:val="auto"/>
                      <w:spacing w:val="0"/>
                      <w:position w:val="0"/>
                      <w:sz w:val="21"/>
                      <w:szCs w:val="21"/>
                      <w:highlight w:val="none"/>
                      <w:vertAlign w:val="subscript"/>
                      <w:lang w:val="en-US" w:eastAsia="zh-CN"/>
                    </w:rPr>
                    <w:t>5</w:t>
                  </w:r>
                  <w:r>
                    <w:rPr>
                      <w:rFonts w:hint="eastAsia" w:cs="Times New Roman"/>
                      <w:b w:val="0"/>
                      <w:bCs/>
                      <w:color w:val="auto"/>
                      <w:spacing w:val="0"/>
                      <w:position w:val="0"/>
                      <w:sz w:val="21"/>
                      <w:szCs w:val="21"/>
                      <w:highlight w:val="none"/>
                      <w:lang w:val="en-US" w:eastAsia="zh-CN"/>
                    </w:rPr>
                    <w:t>、</w:t>
                  </w:r>
                  <w:r>
                    <w:rPr>
                      <w:rFonts w:hint="default" w:ascii="Times New Roman" w:hAnsi="Times New Roman" w:eastAsia="宋体" w:cs="Times New Roman"/>
                      <w:b w:val="0"/>
                      <w:bCs/>
                      <w:color w:val="auto"/>
                      <w:spacing w:val="0"/>
                      <w:position w:val="0"/>
                      <w:sz w:val="21"/>
                      <w:szCs w:val="21"/>
                      <w:highlight w:val="none"/>
                    </w:rPr>
                    <w:t>SS</w:t>
                  </w:r>
                  <w:r>
                    <w:rPr>
                      <w:rFonts w:hint="eastAsia"/>
                      <w:b w:val="0"/>
                      <w:bCs/>
                      <w:color w:val="auto"/>
                      <w:sz w:val="21"/>
                      <w:szCs w:val="21"/>
                      <w:highlight w:val="none"/>
                      <w:vertAlign w:val="baseline"/>
                      <w:lang w:val="en-US" w:eastAsia="zh-CN"/>
                    </w:rPr>
                    <w:t>、石油类</w:t>
                  </w:r>
                  <w:r>
                    <w:rPr>
                      <w:rFonts w:hint="eastAsia"/>
                      <w:b w:val="0"/>
                      <w:bCs/>
                      <w:color w:val="auto"/>
                      <w:highlight w:val="none"/>
                      <w:lang w:eastAsia="zh-CN"/>
                    </w:rPr>
                    <w:t>、</w:t>
                  </w:r>
                  <w:r>
                    <w:rPr>
                      <w:rFonts w:hint="eastAsia"/>
                      <w:b w:val="0"/>
                      <w:bCs/>
                      <w:color w:val="auto"/>
                      <w:highlight w:val="none"/>
                      <w:lang w:val="en-US" w:eastAsia="zh-CN"/>
                    </w:rPr>
                    <w:t>色度</w:t>
                  </w:r>
                </w:p>
              </w:tc>
              <w:tc>
                <w:tcPr>
                  <w:tcW w:w="3000" w:type="dxa"/>
                  <w:tcBorders>
                    <w:tl2br w:val="nil"/>
                    <w:tr2bl w:val="nil"/>
                  </w:tcBorders>
                  <w:vAlign w:val="center"/>
                </w:tcPr>
                <w:p w14:paraId="7777DA6F">
                  <w:pPr>
                    <w:pStyle w:val="9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定期经废水处理设施</w:t>
                  </w:r>
                  <w:r>
                    <w:rPr>
                      <w:rFonts w:hint="eastAsia" w:ascii="Times New Roman" w:hAnsi="Times New Roman" w:eastAsia="宋体" w:cs="Times New Roman"/>
                      <w:b w:val="0"/>
                      <w:bCs/>
                      <w:color w:val="auto"/>
                      <w:spacing w:val="0"/>
                      <w:position w:val="0"/>
                      <w:sz w:val="21"/>
                      <w:szCs w:val="21"/>
                      <w:highlight w:val="none"/>
                      <w:lang w:val="en-US" w:eastAsia="zh-CN"/>
                    </w:rPr>
                    <w:t>处理</w:t>
                  </w:r>
                  <w:r>
                    <w:rPr>
                      <w:rFonts w:hint="eastAsia" w:cs="Times New Roman"/>
                      <w:b w:val="0"/>
                      <w:bCs/>
                      <w:color w:val="auto"/>
                      <w:spacing w:val="0"/>
                      <w:position w:val="0"/>
                      <w:sz w:val="21"/>
                      <w:szCs w:val="21"/>
                      <w:highlight w:val="none"/>
                      <w:lang w:val="en-US" w:eastAsia="zh-CN"/>
                    </w:rPr>
                    <w:t>（一月处理一次）</w:t>
                  </w:r>
                  <w:r>
                    <w:rPr>
                      <w:rFonts w:hint="eastAsia" w:ascii="Times New Roman" w:hAnsi="Times New Roman" w:eastAsia="宋体" w:cs="Times New Roman"/>
                      <w:b w:val="0"/>
                      <w:bCs/>
                      <w:color w:val="auto"/>
                      <w:spacing w:val="0"/>
                      <w:position w:val="0"/>
                      <w:sz w:val="21"/>
                      <w:szCs w:val="21"/>
                      <w:highlight w:val="none"/>
                      <w:lang w:val="en-US" w:eastAsia="zh-CN"/>
                    </w:rPr>
                    <w:t>后回用</w:t>
                  </w:r>
                  <w:r>
                    <w:rPr>
                      <w:rFonts w:hint="eastAsia" w:cs="Times New Roman"/>
                      <w:b w:val="0"/>
                      <w:bCs/>
                      <w:color w:val="auto"/>
                      <w:spacing w:val="0"/>
                      <w:position w:val="0"/>
                      <w:sz w:val="21"/>
                      <w:szCs w:val="21"/>
                      <w:highlight w:val="none"/>
                      <w:lang w:val="en-US" w:eastAsia="zh-CN"/>
                    </w:rPr>
                    <w:t>，一年更换一次作为危废，定期委托有资质单位进行处理</w:t>
                  </w:r>
                </w:p>
              </w:tc>
            </w:tr>
            <w:tr w14:paraId="771D3A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top"/>
                </w:tcPr>
                <w:p w14:paraId="63805528">
                  <w:pPr>
                    <w:pStyle w:val="63"/>
                    <w:rPr>
                      <w:rFonts w:hint="default" w:ascii="Times New Roman" w:hAnsi="Times New Roman" w:eastAsia="宋体" w:cs="Times New Roman"/>
                      <w:b w:val="0"/>
                      <w:bCs/>
                      <w:color w:val="auto"/>
                      <w:spacing w:val="0"/>
                      <w:position w:val="0"/>
                      <w:sz w:val="21"/>
                      <w:szCs w:val="21"/>
                      <w:highlight w:val="none"/>
                      <w:vertAlign w:val="baseline"/>
                      <w:lang w:val="en-US" w:eastAsia="zh-CN"/>
                    </w:rPr>
                  </w:pPr>
                </w:p>
              </w:tc>
              <w:tc>
                <w:tcPr>
                  <w:tcW w:w="1394" w:type="dxa"/>
                  <w:tcBorders>
                    <w:tl2br w:val="nil"/>
                    <w:tr2bl w:val="nil"/>
                  </w:tcBorders>
                  <w:vAlign w:val="center"/>
                </w:tcPr>
                <w:p w14:paraId="45427F0F">
                  <w:pPr>
                    <w:pStyle w:val="94"/>
                    <w:adjustRightInd w:val="0"/>
                    <w:snapToGrid w:val="0"/>
                    <w:ind w:left="-63" w:leftChars="-30" w:right="-63" w:rightChars="-30" w:firstLine="0" w:firstLineChars="0"/>
                    <w:jc w:val="center"/>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eastAsia" w:cs="Times New Roman"/>
                      <w:b w:val="0"/>
                      <w:bCs/>
                      <w:color w:val="auto"/>
                      <w:spacing w:val="0"/>
                      <w:kern w:val="2"/>
                      <w:position w:val="0"/>
                      <w:sz w:val="21"/>
                      <w:szCs w:val="21"/>
                      <w:highlight w:val="none"/>
                      <w:lang w:val="en-US" w:eastAsia="zh-CN" w:bidi="ar-SA"/>
                    </w:rPr>
                    <w:t>/</w:t>
                  </w:r>
                </w:p>
              </w:tc>
              <w:tc>
                <w:tcPr>
                  <w:tcW w:w="1708" w:type="dxa"/>
                  <w:tcBorders>
                    <w:tl2br w:val="nil"/>
                    <w:tr2bl w:val="nil"/>
                  </w:tcBorders>
                  <w:vAlign w:val="center"/>
                </w:tcPr>
                <w:p w14:paraId="787326EC">
                  <w:pPr>
                    <w:pStyle w:val="94"/>
                    <w:adjustRightInd w:val="0"/>
                    <w:snapToGrid w:val="0"/>
                    <w:ind w:left="-63" w:leftChars="-30" w:right="-63" w:rightChars="-30" w:firstLine="0" w:firstLineChars="0"/>
                    <w:rPr>
                      <w:rFonts w:hint="default" w:cs="Times New Roman"/>
                      <w:b w:val="0"/>
                      <w:bCs/>
                      <w:color w:val="auto"/>
                      <w:spacing w:val="0"/>
                      <w:position w:val="0"/>
                      <w:sz w:val="21"/>
                      <w:szCs w:val="21"/>
                      <w:highlight w:val="none"/>
                      <w:lang w:val="en-US" w:eastAsia="zh-CN"/>
                    </w:rPr>
                  </w:pPr>
                  <w:r>
                    <w:rPr>
                      <w:rFonts w:hint="eastAsia"/>
                      <w:b w:val="0"/>
                      <w:bCs/>
                      <w:color w:val="auto"/>
                      <w:sz w:val="21"/>
                      <w:szCs w:val="21"/>
                      <w:highlight w:val="none"/>
                      <w:lang w:val="en-US" w:eastAsia="zh-CN"/>
                    </w:rPr>
                    <w:t>喷枪清洗废水</w:t>
                  </w:r>
                </w:p>
              </w:tc>
              <w:tc>
                <w:tcPr>
                  <w:tcW w:w="1560" w:type="dxa"/>
                  <w:vMerge w:val="continue"/>
                  <w:tcBorders>
                    <w:tl2br w:val="nil"/>
                    <w:tr2bl w:val="nil"/>
                  </w:tcBorders>
                  <w:vAlign w:val="center"/>
                </w:tcPr>
                <w:p w14:paraId="5DDC5761">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position w:val="0"/>
                      <w:sz w:val="21"/>
                      <w:szCs w:val="21"/>
                      <w:highlight w:val="none"/>
                    </w:rPr>
                  </w:pPr>
                </w:p>
              </w:tc>
              <w:tc>
                <w:tcPr>
                  <w:tcW w:w="3000" w:type="dxa"/>
                  <w:tcBorders>
                    <w:tl2br w:val="nil"/>
                    <w:tr2bl w:val="nil"/>
                  </w:tcBorders>
                  <w:vAlign w:val="center"/>
                </w:tcPr>
                <w:p w14:paraId="5DC4D278">
                  <w:pPr>
                    <w:pStyle w:val="9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喷枪清洗废液作为危险废物委托有资质单位处置</w:t>
                  </w:r>
                </w:p>
              </w:tc>
            </w:tr>
            <w:tr w14:paraId="6ED5B9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tcBorders>
                    <w:tl2br w:val="nil"/>
                    <w:tr2bl w:val="nil"/>
                  </w:tcBorders>
                  <w:vAlign w:val="center"/>
                </w:tcPr>
                <w:p w14:paraId="6F04EAF3">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default" w:ascii="Times New Roman" w:hAnsi="Times New Roman" w:eastAsia="宋体" w:cs="Times New Roman"/>
                      <w:b w:val="0"/>
                      <w:bCs/>
                      <w:color w:val="auto"/>
                      <w:spacing w:val="0"/>
                      <w:position w:val="0"/>
                      <w:sz w:val="21"/>
                      <w:szCs w:val="21"/>
                      <w:highlight w:val="none"/>
                    </w:rPr>
                    <w:t>废气</w:t>
                  </w:r>
                </w:p>
              </w:tc>
              <w:tc>
                <w:tcPr>
                  <w:tcW w:w="1394" w:type="dxa"/>
                  <w:tcBorders>
                    <w:tl2br w:val="nil"/>
                    <w:tr2bl w:val="nil"/>
                  </w:tcBorders>
                  <w:vAlign w:val="center"/>
                </w:tcPr>
                <w:p w14:paraId="1D1D99F4">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default" w:ascii="Times New Roman" w:hAnsi="Times New Roman" w:eastAsia="宋体" w:cs="Times New Roman"/>
                      <w:b w:val="0"/>
                      <w:bCs/>
                      <w:color w:val="auto"/>
                      <w:spacing w:val="0"/>
                      <w:position w:val="0"/>
                      <w:sz w:val="21"/>
                      <w:szCs w:val="21"/>
                      <w:highlight w:val="none"/>
                    </w:rPr>
                    <w:t>DA001</w:t>
                  </w:r>
                </w:p>
              </w:tc>
              <w:tc>
                <w:tcPr>
                  <w:tcW w:w="1708" w:type="dxa"/>
                  <w:tcBorders>
                    <w:tl2br w:val="nil"/>
                    <w:tr2bl w:val="nil"/>
                  </w:tcBorders>
                  <w:vAlign w:val="center"/>
                </w:tcPr>
                <w:p w14:paraId="298F1749">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eastAsia" w:cs="Times New Roman"/>
                      <w:b w:val="0"/>
                      <w:bCs/>
                      <w:color w:val="auto"/>
                      <w:spacing w:val="0"/>
                      <w:kern w:val="2"/>
                      <w:position w:val="0"/>
                      <w:sz w:val="21"/>
                      <w:szCs w:val="21"/>
                      <w:highlight w:val="none"/>
                      <w:lang w:val="en-US" w:eastAsia="zh-CN" w:bidi="ar-SA"/>
                    </w:rPr>
                    <w:t>调漆、喷漆、晾干G1~G3</w:t>
                  </w:r>
                </w:p>
              </w:tc>
              <w:tc>
                <w:tcPr>
                  <w:tcW w:w="1560" w:type="dxa"/>
                  <w:tcBorders>
                    <w:tl2br w:val="nil"/>
                    <w:tr2bl w:val="nil"/>
                  </w:tcBorders>
                  <w:vAlign w:val="center"/>
                </w:tcPr>
                <w:p w14:paraId="1D9EA8A6">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default" w:ascii="Times New Roman" w:hAnsi="Times New Roman" w:eastAsia="宋体" w:cs="Times New Roman"/>
                      <w:b w:val="0"/>
                      <w:bCs/>
                      <w:color w:val="auto"/>
                      <w:spacing w:val="0"/>
                      <w:position w:val="0"/>
                      <w:sz w:val="21"/>
                      <w:szCs w:val="21"/>
                      <w:highlight w:val="none"/>
                      <w:lang w:eastAsia="zh-CN"/>
                    </w:rPr>
                    <w:t>二甲苯、</w:t>
                  </w:r>
                  <w:r>
                    <w:rPr>
                      <w:rFonts w:hint="eastAsia" w:cs="Times New Roman"/>
                      <w:b w:val="0"/>
                      <w:bCs/>
                      <w:color w:val="auto"/>
                      <w:spacing w:val="0"/>
                      <w:position w:val="0"/>
                      <w:sz w:val="21"/>
                      <w:szCs w:val="21"/>
                      <w:highlight w:val="none"/>
                      <w:lang w:val="en-US" w:eastAsia="zh-CN"/>
                    </w:rPr>
                    <w:t>苯系物、</w:t>
                  </w:r>
                  <w:r>
                    <w:rPr>
                      <w:rFonts w:hint="default" w:ascii="Times New Roman" w:hAnsi="Times New Roman" w:eastAsia="宋体" w:cs="Times New Roman"/>
                      <w:b w:val="0"/>
                      <w:bCs/>
                      <w:color w:val="auto"/>
                      <w:spacing w:val="0"/>
                      <w:position w:val="0"/>
                      <w:sz w:val="21"/>
                      <w:szCs w:val="21"/>
                      <w:highlight w:val="none"/>
                      <w:lang w:eastAsia="zh-CN"/>
                    </w:rPr>
                    <w:t>乙酸乙酯与乙酸丁酯合计</w:t>
                  </w:r>
                  <w:r>
                    <w:rPr>
                      <w:rFonts w:hint="eastAsia" w:cs="Times New Roman"/>
                      <w:b w:val="0"/>
                      <w:bCs/>
                      <w:color w:val="auto"/>
                      <w:spacing w:val="0"/>
                      <w:position w:val="0"/>
                      <w:sz w:val="21"/>
                      <w:szCs w:val="21"/>
                      <w:highlight w:val="none"/>
                      <w:lang w:eastAsia="zh-CN"/>
                    </w:rPr>
                    <w:t>、</w:t>
                  </w:r>
                  <w:r>
                    <w:rPr>
                      <w:rFonts w:hint="default" w:ascii="Times New Roman" w:hAnsi="Times New Roman" w:eastAsia="宋体" w:cs="Times New Roman"/>
                      <w:b w:val="0"/>
                      <w:bCs/>
                      <w:color w:val="auto"/>
                      <w:spacing w:val="0"/>
                      <w:position w:val="0"/>
                      <w:sz w:val="21"/>
                      <w:szCs w:val="21"/>
                      <w:highlight w:val="none"/>
                      <w:lang w:val="en-US" w:eastAsia="zh-CN"/>
                    </w:rPr>
                    <w:t>非甲烷</w:t>
                  </w:r>
                  <w:r>
                    <w:rPr>
                      <w:rFonts w:hint="default" w:ascii="Times New Roman" w:hAnsi="Times New Roman" w:eastAsia="宋体" w:cs="Times New Roman"/>
                      <w:b w:val="0"/>
                      <w:bCs/>
                      <w:color w:val="auto"/>
                      <w:spacing w:val="0"/>
                      <w:position w:val="0"/>
                      <w:sz w:val="21"/>
                      <w:szCs w:val="21"/>
                      <w:highlight w:val="none"/>
                    </w:rPr>
                    <w:t>总烃</w:t>
                  </w:r>
                  <w:r>
                    <w:rPr>
                      <w:rFonts w:hint="eastAsia" w:cs="Times New Roman"/>
                      <w:b w:val="0"/>
                      <w:bCs/>
                      <w:color w:val="auto"/>
                      <w:spacing w:val="0"/>
                      <w:position w:val="0"/>
                      <w:sz w:val="21"/>
                      <w:szCs w:val="21"/>
                      <w:highlight w:val="none"/>
                      <w:lang w:eastAsia="zh-CN"/>
                    </w:rPr>
                    <w:t>、</w:t>
                  </w:r>
                  <w:r>
                    <w:rPr>
                      <w:rFonts w:hint="default" w:ascii="Times New Roman" w:hAnsi="Times New Roman" w:eastAsia="宋体" w:cs="Times New Roman"/>
                      <w:b w:val="0"/>
                      <w:bCs/>
                      <w:color w:val="auto"/>
                      <w:spacing w:val="0"/>
                      <w:position w:val="0"/>
                      <w:sz w:val="21"/>
                      <w:szCs w:val="21"/>
                      <w:highlight w:val="none"/>
                      <w:lang w:eastAsia="zh-CN"/>
                    </w:rPr>
                    <w:t>颗粒物</w:t>
                  </w:r>
                </w:p>
              </w:tc>
              <w:tc>
                <w:tcPr>
                  <w:tcW w:w="3000" w:type="dxa"/>
                  <w:tcBorders>
                    <w:tl2br w:val="nil"/>
                    <w:tr2bl w:val="nil"/>
                  </w:tcBorders>
                  <w:vAlign w:val="center"/>
                </w:tcPr>
                <w:p w14:paraId="0846C8F7">
                  <w:pPr>
                    <w:pStyle w:val="9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b w:val="0"/>
                      <w:bCs/>
                      <w:color w:val="auto"/>
                      <w:spacing w:val="0"/>
                      <w:position w:val="0"/>
                      <w:sz w:val="21"/>
                      <w:szCs w:val="21"/>
                      <w:highlight w:val="none"/>
                      <w:lang w:val="en-US" w:eastAsia="zh-CN"/>
                    </w:rPr>
                  </w:pPr>
                  <w:r>
                    <w:rPr>
                      <w:rFonts w:hint="eastAsia"/>
                      <w:b w:val="0"/>
                      <w:bCs/>
                      <w:color w:val="auto"/>
                      <w:sz w:val="21"/>
                      <w:szCs w:val="21"/>
                      <w:highlight w:val="none"/>
                    </w:rPr>
                    <w:t>调漆、喷漆废气经水帘柜处理后，与晾干废气一同经集气装置负压收集后</w:t>
                  </w:r>
                  <w:r>
                    <w:rPr>
                      <w:b w:val="0"/>
                      <w:bCs/>
                      <w:color w:val="auto"/>
                      <w:sz w:val="21"/>
                      <w:szCs w:val="21"/>
                      <w:highlight w:val="none"/>
                    </w:rPr>
                    <w:t>再引入</w:t>
                  </w:r>
                  <w:r>
                    <w:rPr>
                      <w:rFonts w:hint="eastAsia"/>
                      <w:b w:val="0"/>
                      <w:bCs/>
                      <w:color w:val="auto"/>
                      <w:sz w:val="21"/>
                      <w:szCs w:val="21"/>
                      <w:highlight w:val="none"/>
                    </w:rPr>
                    <w:t>“</w:t>
                  </w:r>
                  <w:r>
                    <w:rPr>
                      <w:rFonts w:hint="eastAsia"/>
                      <w:b w:val="0"/>
                      <w:bCs/>
                      <w:color w:val="auto"/>
                      <w:sz w:val="21"/>
                      <w:szCs w:val="21"/>
                      <w:highlight w:val="none"/>
                      <w:lang w:eastAsia="zh-CN"/>
                    </w:rPr>
                    <w:t>气旋塔+过滤棉+二级活性炭吸附装置</w:t>
                  </w:r>
                  <w:r>
                    <w:rPr>
                      <w:rFonts w:hint="eastAsia"/>
                      <w:b w:val="0"/>
                      <w:bCs/>
                      <w:color w:val="auto"/>
                      <w:sz w:val="21"/>
                      <w:szCs w:val="21"/>
                      <w:highlight w:val="none"/>
                    </w:rPr>
                    <w:t>”处理，通过</w:t>
                  </w:r>
                  <w:r>
                    <w:rPr>
                      <w:rFonts w:hint="eastAsia"/>
                      <w:b w:val="0"/>
                      <w:bCs/>
                      <w:color w:val="auto"/>
                      <w:sz w:val="21"/>
                      <w:szCs w:val="21"/>
                      <w:highlight w:val="none"/>
                      <w:lang w:val="en-US" w:eastAsia="zh-CN"/>
                    </w:rPr>
                    <w:t>2</w:t>
                  </w:r>
                  <w:r>
                    <w:rPr>
                      <w:rFonts w:hint="eastAsia"/>
                      <w:b w:val="0"/>
                      <w:bCs/>
                      <w:color w:val="auto"/>
                      <w:sz w:val="21"/>
                      <w:szCs w:val="21"/>
                      <w:highlight w:val="none"/>
                    </w:rPr>
                    <w:t>5m高排气筒（DA00</w:t>
                  </w:r>
                  <w:r>
                    <w:rPr>
                      <w:rFonts w:hint="eastAsia"/>
                      <w:b w:val="0"/>
                      <w:bCs/>
                      <w:color w:val="auto"/>
                      <w:sz w:val="21"/>
                      <w:szCs w:val="21"/>
                      <w:highlight w:val="none"/>
                      <w:lang w:val="en-US" w:eastAsia="zh-CN"/>
                    </w:rPr>
                    <w:t>1</w:t>
                  </w:r>
                  <w:r>
                    <w:rPr>
                      <w:rFonts w:hint="eastAsia"/>
                      <w:b w:val="0"/>
                      <w:bCs/>
                      <w:color w:val="auto"/>
                      <w:sz w:val="21"/>
                      <w:szCs w:val="21"/>
                      <w:highlight w:val="none"/>
                    </w:rPr>
                    <w:t>）排放</w:t>
                  </w:r>
                </w:p>
              </w:tc>
            </w:tr>
            <w:tr w14:paraId="344ADC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restart"/>
                  <w:tcBorders>
                    <w:tl2br w:val="nil"/>
                    <w:tr2bl w:val="nil"/>
                  </w:tcBorders>
                  <w:vAlign w:val="center"/>
                </w:tcPr>
                <w:p w14:paraId="47DF5B98">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position w:val="0"/>
                      <w:sz w:val="21"/>
                      <w:szCs w:val="21"/>
                      <w:highlight w:val="none"/>
                    </w:rPr>
                  </w:pPr>
                  <w:r>
                    <w:rPr>
                      <w:rFonts w:ascii="Times New Roman" w:hAnsi="Times New Roman" w:eastAsia="宋体" w:cs="Times New Roman"/>
                      <w:b w:val="0"/>
                      <w:bCs/>
                      <w:color w:val="auto"/>
                      <w:spacing w:val="0"/>
                      <w:position w:val="0"/>
                      <w:sz w:val="21"/>
                      <w:szCs w:val="21"/>
                      <w:highlight w:val="none"/>
                    </w:rPr>
                    <w:t>噪声</w:t>
                  </w:r>
                </w:p>
              </w:tc>
              <w:tc>
                <w:tcPr>
                  <w:tcW w:w="1394" w:type="dxa"/>
                  <w:vMerge w:val="restart"/>
                  <w:tcBorders>
                    <w:tl2br w:val="nil"/>
                    <w:tr2bl w:val="nil"/>
                  </w:tcBorders>
                  <w:vAlign w:val="center"/>
                </w:tcPr>
                <w:p w14:paraId="5B364764">
                  <w:pPr>
                    <w:pStyle w:val="94"/>
                    <w:adjustRightInd w:val="0"/>
                    <w:snapToGrid w:val="0"/>
                    <w:ind w:left="-63" w:leftChars="-30" w:right="-63" w:rightChars="-30" w:firstLine="0" w:firstLineChars="0"/>
                    <w:rPr>
                      <w:rFonts w:hint="eastAsia" w:ascii="Times New Roman" w:hAnsi="Times New Roman" w:eastAsia="宋体" w:cs="Times New Roman"/>
                      <w:b w:val="0"/>
                      <w:bCs/>
                      <w:color w:val="auto"/>
                      <w:spacing w:val="0"/>
                      <w:position w:val="0"/>
                      <w:sz w:val="21"/>
                      <w:szCs w:val="21"/>
                      <w:highlight w:val="none"/>
                    </w:rPr>
                  </w:pPr>
                  <w:r>
                    <w:rPr>
                      <w:rFonts w:hint="eastAsia" w:ascii="Times New Roman" w:hAnsi="Times New Roman" w:eastAsia="宋体" w:cs="Times New Roman"/>
                      <w:b w:val="0"/>
                      <w:bCs/>
                      <w:color w:val="auto"/>
                      <w:spacing w:val="0"/>
                      <w:position w:val="0"/>
                      <w:sz w:val="21"/>
                      <w:szCs w:val="21"/>
                      <w:highlight w:val="none"/>
                    </w:rPr>
                    <w:t>生产设备</w:t>
                  </w:r>
                </w:p>
                <w:p w14:paraId="760D21C6">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0"/>
                      <w:position w:val="0"/>
                      <w:sz w:val="21"/>
                      <w:szCs w:val="21"/>
                      <w:highlight w:val="none"/>
                      <w:lang w:val="en-US" w:eastAsia="zh-CN"/>
                    </w:rPr>
                  </w:pPr>
                  <w:r>
                    <w:rPr>
                      <w:rFonts w:hint="eastAsia" w:ascii="Times New Roman" w:hAnsi="Times New Roman" w:eastAsia="宋体" w:cs="Times New Roman"/>
                      <w:b w:val="0"/>
                      <w:bCs/>
                      <w:color w:val="auto"/>
                      <w:spacing w:val="0"/>
                      <w:position w:val="0"/>
                      <w:sz w:val="21"/>
                      <w:szCs w:val="21"/>
                      <w:highlight w:val="none"/>
                    </w:rPr>
                    <w:t>运行噪声</w:t>
                  </w:r>
                </w:p>
              </w:tc>
              <w:tc>
                <w:tcPr>
                  <w:tcW w:w="1708" w:type="dxa"/>
                  <w:tcBorders>
                    <w:tl2br w:val="nil"/>
                    <w:tr2bl w:val="nil"/>
                  </w:tcBorders>
                  <w:vAlign w:val="center"/>
                </w:tcPr>
                <w:p w14:paraId="67845679">
                  <w:pPr>
                    <w:keepNext w:val="0"/>
                    <w:keepLines w:val="0"/>
                    <w:pageBreakBefore w:val="0"/>
                    <w:widowControl w:val="0"/>
                    <w:tabs>
                      <w:tab w:val="left" w:pos="1440"/>
                    </w:tabs>
                    <w:kinsoku/>
                    <w:wordWrap/>
                    <w:overflowPunct/>
                    <w:topLinePunct w:val="0"/>
                    <w:autoSpaceDE/>
                    <w:autoSpaceDN/>
                    <w:bidi w:val="0"/>
                    <w:spacing w:line="240" w:lineRule="auto"/>
                    <w:ind w:right="0" w:rightChars="0" w:firstLine="0" w:firstLineChars="0"/>
                    <w:jc w:val="center"/>
                    <w:textAlignment w:val="auto"/>
                    <w:rPr>
                      <w:rFonts w:hint="default" w:ascii="Times New Roman" w:hAnsi="Times New Roman" w:eastAsia="宋体" w:cs="Times New Roman"/>
                      <w:b w:val="0"/>
                      <w:bCs/>
                      <w:color w:val="auto"/>
                      <w:spacing w:val="0"/>
                      <w:position w:val="0"/>
                      <w:sz w:val="21"/>
                      <w:szCs w:val="21"/>
                      <w:highlight w:val="none"/>
                      <w:lang w:eastAsia="zh-CN"/>
                    </w:rPr>
                  </w:pPr>
                  <w:r>
                    <w:rPr>
                      <w:rFonts w:hint="eastAsia" w:ascii="Times New Roman" w:hAnsi="Times New Roman" w:eastAsia="宋体" w:cs="Times New Roman"/>
                      <w:b w:val="0"/>
                      <w:bCs/>
                      <w:color w:val="auto"/>
                      <w:spacing w:val="0"/>
                      <w:sz w:val="21"/>
                      <w:szCs w:val="21"/>
                      <w:highlight w:val="none"/>
                      <w:lang w:val="en-US" w:eastAsia="zh-CN"/>
                    </w:rPr>
                    <w:t>生产设备</w:t>
                  </w:r>
                  <w:r>
                    <w:rPr>
                      <w:rFonts w:hint="eastAsia" w:cs="Times New Roman"/>
                      <w:b w:val="0"/>
                      <w:bCs/>
                      <w:color w:val="auto"/>
                      <w:spacing w:val="0"/>
                      <w:sz w:val="21"/>
                      <w:szCs w:val="21"/>
                      <w:highlight w:val="none"/>
                      <w:lang w:val="en-US" w:eastAsia="zh-CN"/>
                    </w:rPr>
                    <w:t>及空压机</w:t>
                  </w:r>
                  <w:r>
                    <w:rPr>
                      <w:rFonts w:hint="eastAsia" w:ascii="宋体" w:hAnsi="宋体" w:eastAsia="宋体" w:cs="宋体"/>
                      <w:b w:val="0"/>
                      <w:bCs/>
                      <w:i w:val="0"/>
                      <w:iCs w:val="0"/>
                      <w:color w:val="auto"/>
                      <w:kern w:val="0"/>
                      <w:sz w:val="21"/>
                      <w:szCs w:val="21"/>
                      <w:highlight w:val="none"/>
                      <w:u w:val="none"/>
                      <w:lang w:val="en-US" w:eastAsia="zh-CN" w:bidi="ar"/>
                    </w:rPr>
                    <w:t>运行噪声</w:t>
                  </w:r>
                </w:p>
              </w:tc>
              <w:tc>
                <w:tcPr>
                  <w:tcW w:w="1560" w:type="dxa"/>
                  <w:vMerge w:val="restart"/>
                  <w:tcBorders>
                    <w:tl2br w:val="nil"/>
                    <w:tr2bl w:val="nil"/>
                  </w:tcBorders>
                  <w:vAlign w:val="center"/>
                </w:tcPr>
                <w:p w14:paraId="3DBC3754">
                  <w:pPr>
                    <w:keepNext w:val="0"/>
                    <w:keepLines w:val="0"/>
                    <w:pageBreakBefore w:val="0"/>
                    <w:widowControl w:val="0"/>
                    <w:tabs>
                      <w:tab w:val="left" w:pos="1440"/>
                    </w:tabs>
                    <w:kinsoku/>
                    <w:wordWrap/>
                    <w:overflowPunct/>
                    <w:topLinePunct w:val="0"/>
                    <w:autoSpaceDE/>
                    <w:autoSpaceDN/>
                    <w:bidi w:val="0"/>
                    <w:spacing w:line="240" w:lineRule="auto"/>
                    <w:ind w:right="0" w:rightChars="0" w:firstLine="0" w:firstLineChars="0"/>
                    <w:jc w:val="center"/>
                    <w:textAlignment w:val="auto"/>
                    <w:rPr>
                      <w:rFonts w:hint="default" w:ascii="Times New Roman" w:hAnsi="Times New Roman" w:eastAsia="宋体" w:cs="Times New Roman"/>
                      <w:b w:val="0"/>
                      <w:bCs/>
                      <w:color w:val="auto"/>
                      <w:spacing w:val="0"/>
                      <w:position w:val="0"/>
                      <w:sz w:val="21"/>
                      <w:szCs w:val="21"/>
                      <w:highlight w:val="none"/>
                    </w:rPr>
                  </w:pPr>
                  <w:r>
                    <w:rPr>
                      <w:rFonts w:hint="eastAsia" w:ascii="Times New Roman" w:hAnsi="Times New Roman" w:eastAsia="宋体" w:cs="Times New Roman"/>
                      <w:b w:val="0"/>
                      <w:bCs/>
                      <w:color w:val="auto"/>
                      <w:spacing w:val="0"/>
                      <w:sz w:val="21"/>
                      <w:szCs w:val="21"/>
                      <w:highlight w:val="none"/>
                      <w:lang w:val="en-US" w:eastAsia="zh-CN"/>
                    </w:rPr>
                    <w:t>等效A声级</w:t>
                  </w:r>
                </w:p>
              </w:tc>
              <w:tc>
                <w:tcPr>
                  <w:tcW w:w="3000" w:type="dxa"/>
                  <w:tcBorders>
                    <w:tl2br w:val="nil"/>
                    <w:tr2bl w:val="nil"/>
                  </w:tcBorders>
                  <w:vAlign w:val="center"/>
                </w:tcPr>
                <w:p w14:paraId="3BF3CFA7">
                  <w:pPr>
                    <w:keepNext w:val="0"/>
                    <w:keepLines w:val="0"/>
                    <w:pageBreakBefore w:val="0"/>
                    <w:widowControl w:val="0"/>
                    <w:tabs>
                      <w:tab w:val="left" w:pos="1440"/>
                    </w:tabs>
                    <w:kinsoku/>
                    <w:wordWrap w:val="0"/>
                    <w:overflowPunct/>
                    <w:topLinePunct w:val="0"/>
                    <w:autoSpaceDE/>
                    <w:autoSpaceDN/>
                    <w:bidi w:val="0"/>
                    <w:spacing w:line="240" w:lineRule="auto"/>
                    <w:ind w:right="0" w:rightChars="0" w:firstLine="0" w:firstLineChars="0"/>
                    <w:jc w:val="center"/>
                    <w:textAlignment w:val="auto"/>
                    <w:rPr>
                      <w:rFonts w:hint="default" w:ascii="Times New Roman" w:hAnsi="Times New Roman" w:eastAsia="宋体" w:cs="Times New Roman"/>
                      <w:b w:val="0"/>
                      <w:bCs/>
                      <w:color w:val="auto"/>
                      <w:spacing w:val="0"/>
                      <w:kern w:val="0"/>
                      <w:position w:val="0"/>
                      <w:sz w:val="21"/>
                      <w:szCs w:val="21"/>
                      <w:highlight w:val="none"/>
                      <w:lang w:val="en-US" w:eastAsia="zh-CN"/>
                    </w:rPr>
                  </w:pPr>
                  <w:r>
                    <w:rPr>
                      <w:rFonts w:hint="eastAsia" w:cs="Times New Roman"/>
                      <w:b w:val="0"/>
                      <w:bCs/>
                      <w:color w:val="auto"/>
                      <w:spacing w:val="0"/>
                      <w:w w:val="100"/>
                      <w:position w:val="0"/>
                      <w:highlight w:val="none"/>
                      <w:lang w:val="en-US" w:eastAsia="zh-CN"/>
                    </w:rPr>
                    <w:t>隔声减振</w:t>
                  </w:r>
                </w:p>
              </w:tc>
            </w:tr>
            <w:tr w14:paraId="772FA9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14:paraId="35474110">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c>
                <w:tcPr>
                  <w:tcW w:w="1394" w:type="dxa"/>
                  <w:vMerge w:val="continue"/>
                  <w:tcBorders>
                    <w:tl2br w:val="nil"/>
                    <w:tr2bl w:val="nil"/>
                  </w:tcBorders>
                  <w:vAlign w:val="center"/>
                </w:tcPr>
                <w:p w14:paraId="0485A374">
                  <w:pPr>
                    <w:pStyle w:val="94"/>
                    <w:adjustRightInd w:val="0"/>
                    <w:snapToGrid w:val="0"/>
                    <w:ind w:left="-63" w:leftChars="-30" w:right="-63" w:rightChars="-30" w:firstLine="0" w:firstLineChars="0"/>
                    <w:rPr>
                      <w:rFonts w:hint="eastAsia" w:ascii="Times New Roman" w:hAnsi="Times New Roman" w:eastAsia="宋体" w:cs="Times New Roman"/>
                      <w:b w:val="0"/>
                      <w:bCs/>
                      <w:color w:val="auto"/>
                      <w:spacing w:val="0"/>
                      <w:position w:val="0"/>
                      <w:sz w:val="21"/>
                      <w:szCs w:val="21"/>
                      <w:highlight w:val="none"/>
                    </w:rPr>
                  </w:pPr>
                </w:p>
              </w:tc>
              <w:tc>
                <w:tcPr>
                  <w:tcW w:w="1708" w:type="dxa"/>
                  <w:tcBorders>
                    <w:tl2br w:val="nil"/>
                    <w:tr2bl w:val="nil"/>
                  </w:tcBorders>
                  <w:vAlign w:val="center"/>
                </w:tcPr>
                <w:p w14:paraId="2F4BCB27">
                  <w:pPr>
                    <w:keepNext w:val="0"/>
                    <w:keepLines w:val="0"/>
                    <w:pageBreakBefore w:val="0"/>
                    <w:widowControl w:val="0"/>
                    <w:tabs>
                      <w:tab w:val="left" w:pos="1440"/>
                    </w:tabs>
                    <w:kinsoku/>
                    <w:wordWrap/>
                    <w:overflowPunct/>
                    <w:topLinePunct w:val="0"/>
                    <w:autoSpaceDE/>
                    <w:autoSpaceDN/>
                    <w:bidi w:val="0"/>
                    <w:spacing w:line="240" w:lineRule="auto"/>
                    <w:ind w:right="0" w:rightChars="0" w:firstLine="0" w:firstLineChars="0"/>
                    <w:jc w:val="center"/>
                    <w:textAlignment w:val="auto"/>
                    <w:rPr>
                      <w:rFonts w:ascii="Times New Roman" w:hAnsi="Times New Roman" w:eastAsia="宋体" w:cs="Times New Roman"/>
                      <w:b w:val="0"/>
                      <w:bCs/>
                      <w:color w:val="auto"/>
                      <w:spacing w:val="0"/>
                      <w:position w:val="0"/>
                      <w:sz w:val="21"/>
                      <w:szCs w:val="21"/>
                      <w:highlight w:val="none"/>
                    </w:rPr>
                  </w:pPr>
                  <w:r>
                    <w:rPr>
                      <w:rFonts w:hint="eastAsia" w:ascii="Times New Roman" w:hAnsi="Times New Roman" w:eastAsia="宋体" w:cs="Times New Roman"/>
                      <w:b w:val="0"/>
                      <w:bCs/>
                      <w:color w:val="auto"/>
                      <w:spacing w:val="0"/>
                      <w:sz w:val="21"/>
                      <w:szCs w:val="21"/>
                      <w:highlight w:val="none"/>
                      <w:lang w:val="en-US" w:eastAsia="zh-CN"/>
                    </w:rPr>
                    <w:t>风机（室外）</w:t>
                  </w:r>
                  <w:r>
                    <w:rPr>
                      <w:rFonts w:hint="eastAsia" w:ascii="宋体" w:hAnsi="宋体" w:eastAsia="宋体" w:cs="宋体"/>
                      <w:b w:val="0"/>
                      <w:bCs/>
                      <w:i w:val="0"/>
                      <w:iCs w:val="0"/>
                      <w:color w:val="auto"/>
                      <w:kern w:val="0"/>
                      <w:sz w:val="21"/>
                      <w:szCs w:val="21"/>
                      <w:highlight w:val="none"/>
                      <w:u w:val="none"/>
                      <w:lang w:val="en-US" w:eastAsia="zh-CN" w:bidi="ar"/>
                    </w:rPr>
                    <w:t>运行噪声</w:t>
                  </w:r>
                </w:p>
              </w:tc>
              <w:tc>
                <w:tcPr>
                  <w:tcW w:w="1560" w:type="dxa"/>
                  <w:vMerge w:val="continue"/>
                  <w:tcBorders>
                    <w:tl2br w:val="nil"/>
                    <w:tr2bl w:val="nil"/>
                  </w:tcBorders>
                  <w:vAlign w:val="center"/>
                </w:tcPr>
                <w:p w14:paraId="644EE6D5">
                  <w:pPr>
                    <w:keepNext w:val="0"/>
                    <w:keepLines w:val="0"/>
                    <w:pageBreakBefore w:val="0"/>
                    <w:widowControl w:val="0"/>
                    <w:tabs>
                      <w:tab w:val="left" w:pos="1440"/>
                    </w:tabs>
                    <w:kinsoku/>
                    <w:wordWrap/>
                    <w:overflowPunct/>
                    <w:topLinePunct w:val="0"/>
                    <w:autoSpaceDE/>
                    <w:autoSpaceDN/>
                    <w:bidi w:val="0"/>
                    <w:spacing w:line="240" w:lineRule="auto"/>
                    <w:ind w:right="0" w:rightChars="0" w:firstLine="0" w:firstLineChars="0"/>
                    <w:jc w:val="center"/>
                    <w:textAlignment w:val="auto"/>
                    <w:rPr>
                      <w:rFonts w:ascii="Times New Roman" w:hAnsi="Times New Roman" w:eastAsia="宋体" w:cs="Times New Roman"/>
                      <w:b w:val="0"/>
                      <w:bCs/>
                      <w:color w:val="auto"/>
                      <w:spacing w:val="0"/>
                      <w:position w:val="0"/>
                      <w:sz w:val="21"/>
                      <w:szCs w:val="21"/>
                      <w:highlight w:val="none"/>
                    </w:rPr>
                  </w:pPr>
                </w:p>
              </w:tc>
              <w:tc>
                <w:tcPr>
                  <w:tcW w:w="3000" w:type="dxa"/>
                  <w:tcBorders>
                    <w:tl2br w:val="nil"/>
                    <w:tr2bl w:val="nil"/>
                  </w:tcBorders>
                  <w:vAlign w:val="center"/>
                </w:tcPr>
                <w:p w14:paraId="58ADBB2B">
                  <w:pPr>
                    <w:widowControl/>
                    <w:jc w:val="center"/>
                    <w:textAlignment w:val="center"/>
                    <w:rPr>
                      <w:rFonts w:ascii="Times New Roman" w:hAnsi="Times New Roman" w:eastAsia="宋体" w:cs="Times New Roman"/>
                      <w:b w:val="0"/>
                      <w:bCs/>
                      <w:color w:val="auto"/>
                      <w:spacing w:val="0"/>
                      <w:position w:val="0"/>
                      <w:sz w:val="21"/>
                      <w:szCs w:val="21"/>
                      <w:highlight w:val="none"/>
                    </w:rPr>
                  </w:pPr>
                  <w:r>
                    <w:rPr>
                      <w:rFonts w:hint="eastAsia" w:cs="Times New Roman"/>
                      <w:b w:val="0"/>
                      <w:bCs/>
                      <w:color w:val="auto"/>
                      <w:spacing w:val="0"/>
                      <w:w w:val="100"/>
                      <w:position w:val="0"/>
                      <w:highlight w:val="none"/>
                      <w:lang w:val="en-US" w:eastAsia="zh-CN"/>
                    </w:rPr>
                    <w:t>消声+隔声减振+隔声罩</w:t>
                  </w:r>
                </w:p>
              </w:tc>
            </w:tr>
            <w:tr w14:paraId="723E76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restart"/>
                  <w:tcBorders>
                    <w:tl2br w:val="nil"/>
                    <w:tr2bl w:val="nil"/>
                  </w:tcBorders>
                  <w:vAlign w:val="center"/>
                </w:tcPr>
                <w:p w14:paraId="43FB63F1">
                  <w:pPr>
                    <w:pStyle w:val="94"/>
                    <w:adjustRightInd w:val="0"/>
                    <w:snapToGrid w:val="0"/>
                    <w:rPr>
                      <w:rFonts w:ascii="Times New Roman" w:hAnsi="Times New Roman" w:eastAsia="宋体" w:cs="Times New Roman"/>
                      <w:b w:val="0"/>
                      <w:bCs/>
                      <w:color w:val="auto"/>
                      <w:spacing w:val="0"/>
                      <w:position w:val="0"/>
                      <w:sz w:val="21"/>
                      <w:szCs w:val="21"/>
                      <w:highlight w:val="none"/>
                    </w:rPr>
                  </w:pPr>
                  <w:r>
                    <w:rPr>
                      <w:rFonts w:ascii="Times New Roman" w:hAnsi="Times New Roman" w:eastAsia="宋体" w:cs="Times New Roman"/>
                      <w:b w:val="0"/>
                      <w:bCs/>
                      <w:color w:val="auto"/>
                      <w:spacing w:val="0"/>
                      <w:position w:val="0"/>
                      <w:sz w:val="21"/>
                      <w:szCs w:val="21"/>
                      <w:highlight w:val="none"/>
                    </w:rPr>
                    <w:t>一般</w:t>
                  </w:r>
                </w:p>
                <w:p w14:paraId="54DF6FB0">
                  <w:pPr>
                    <w:pStyle w:val="94"/>
                    <w:adjustRightInd w:val="0"/>
                    <w:snapToGrid w:val="0"/>
                    <w:rPr>
                      <w:rFonts w:ascii="Times New Roman" w:hAnsi="Times New Roman" w:eastAsia="宋体" w:cs="Times New Roman"/>
                      <w:b w:val="0"/>
                      <w:bCs/>
                      <w:color w:val="auto"/>
                      <w:spacing w:val="0"/>
                      <w:position w:val="0"/>
                      <w:sz w:val="21"/>
                      <w:szCs w:val="21"/>
                      <w:highlight w:val="none"/>
                    </w:rPr>
                  </w:pPr>
                  <w:r>
                    <w:rPr>
                      <w:rFonts w:ascii="Times New Roman" w:hAnsi="Times New Roman" w:eastAsia="宋体" w:cs="Times New Roman"/>
                      <w:b w:val="0"/>
                      <w:bCs/>
                      <w:color w:val="auto"/>
                      <w:spacing w:val="0"/>
                      <w:position w:val="0"/>
                      <w:sz w:val="21"/>
                      <w:szCs w:val="21"/>
                      <w:highlight w:val="none"/>
                    </w:rPr>
                    <w:t>固废</w:t>
                  </w:r>
                </w:p>
              </w:tc>
              <w:tc>
                <w:tcPr>
                  <w:tcW w:w="1394" w:type="dxa"/>
                  <w:tcBorders>
                    <w:tl2br w:val="nil"/>
                    <w:tr2bl w:val="nil"/>
                  </w:tcBorders>
                  <w:vAlign w:val="center"/>
                </w:tcPr>
                <w:p w14:paraId="05066595">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废钉子S2</w:t>
                  </w:r>
                </w:p>
              </w:tc>
              <w:tc>
                <w:tcPr>
                  <w:tcW w:w="1708" w:type="dxa"/>
                  <w:vMerge w:val="restart"/>
                  <w:tcBorders>
                    <w:tl2br w:val="nil"/>
                    <w:tr2bl w:val="nil"/>
                  </w:tcBorders>
                  <w:vAlign w:val="center"/>
                </w:tcPr>
                <w:p w14:paraId="4B5EB606">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组装工序</w:t>
                  </w:r>
                </w:p>
              </w:tc>
              <w:tc>
                <w:tcPr>
                  <w:tcW w:w="1560" w:type="dxa"/>
                  <w:tcBorders>
                    <w:tl2br w:val="nil"/>
                    <w:tr2bl w:val="nil"/>
                  </w:tcBorders>
                  <w:vAlign w:val="center"/>
                </w:tcPr>
                <w:p w14:paraId="70D0EF5A">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r>
                    <w:rPr>
                      <w:rFonts w:hint="eastAsia" w:cs="Times New Roman"/>
                      <w:b w:val="0"/>
                      <w:bCs/>
                      <w:color w:val="auto"/>
                      <w:spacing w:val="0"/>
                      <w:position w:val="0"/>
                      <w:sz w:val="21"/>
                      <w:szCs w:val="21"/>
                      <w:highlight w:val="none"/>
                      <w:lang w:val="en-US" w:eastAsia="zh-CN"/>
                    </w:rPr>
                    <w:t>废钉子</w:t>
                  </w:r>
                </w:p>
              </w:tc>
              <w:tc>
                <w:tcPr>
                  <w:tcW w:w="3000" w:type="dxa"/>
                  <w:vMerge w:val="restart"/>
                  <w:tcBorders>
                    <w:tl2br w:val="nil"/>
                    <w:tr2bl w:val="nil"/>
                  </w:tcBorders>
                  <w:vAlign w:val="center"/>
                </w:tcPr>
                <w:p w14:paraId="613D887D">
                  <w:pPr>
                    <w:pStyle w:val="10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ascii="Times New Roman" w:hAnsi="Times New Roman" w:eastAsia="宋体" w:cs="Times New Roman"/>
                      <w:b w:val="0"/>
                      <w:bCs/>
                      <w:color w:val="auto"/>
                      <w:spacing w:val="0"/>
                      <w:position w:val="0"/>
                      <w:sz w:val="21"/>
                      <w:szCs w:val="21"/>
                      <w:highlight w:val="none"/>
                    </w:rPr>
                  </w:pPr>
                  <w:r>
                    <w:rPr>
                      <w:rFonts w:hint="eastAsia" w:ascii="Times New Roman" w:hAnsi="Times New Roman" w:eastAsia="宋体" w:cs="Times New Roman"/>
                      <w:b w:val="0"/>
                      <w:bCs/>
                      <w:color w:val="auto"/>
                      <w:spacing w:val="0"/>
                      <w:position w:val="0"/>
                      <w:sz w:val="21"/>
                      <w:szCs w:val="21"/>
                      <w:highlight w:val="none"/>
                    </w:rPr>
                    <w:t>分类收集后，</w:t>
                  </w:r>
                  <w:r>
                    <w:rPr>
                      <w:rFonts w:ascii="Times New Roman" w:hAnsi="Times New Roman" w:eastAsia="宋体" w:cs="Times New Roman"/>
                      <w:b w:val="0"/>
                      <w:bCs/>
                      <w:color w:val="auto"/>
                      <w:spacing w:val="0"/>
                      <w:position w:val="0"/>
                      <w:sz w:val="21"/>
                      <w:szCs w:val="21"/>
                      <w:highlight w:val="none"/>
                    </w:rPr>
                    <w:t>暂存于厂区</w:t>
                  </w:r>
                  <w:r>
                    <w:rPr>
                      <w:rFonts w:hint="eastAsia" w:cs="Times New Roman"/>
                      <w:b w:val="0"/>
                      <w:bCs/>
                      <w:color w:val="auto"/>
                      <w:spacing w:val="0"/>
                      <w:position w:val="0"/>
                      <w:sz w:val="21"/>
                      <w:szCs w:val="21"/>
                      <w:highlight w:val="none"/>
                      <w:lang w:val="en-US" w:eastAsia="zh-CN"/>
                    </w:rPr>
                    <w:t>一般固废间</w:t>
                  </w:r>
                  <w:r>
                    <w:rPr>
                      <w:rFonts w:ascii="Times New Roman" w:hAnsi="Times New Roman" w:eastAsia="宋体" w:cs="Times New Roman"/>
                      <w:b w:val="0"/>
                      <w:bCs/>
                      <w:color w:val="auto"/>
                      <w:spacing w:val="0"/>
                      <w:position w:val="0"/>
                      <w:sz w:val="21"/>
                      <w:szCs w:val="21"/>
                      <w:highlight w:val="none"/>
                    </w:rPr>
                    <w:t>，</w:t>
                  </w:r>
                  <w:r>
                    <w:rPr>
                      <w:rFonts w:hint="default" w:ascii="Times New Roman" w:hAnsi="Times New Roman" w:eastAsia="宋体" w:cs="Times New Roman"/>
                      <w:b w:val="0"/>
                      <w:bCs/>
                      <w:color w:val="auto"/>
                      <w:spacing w:val="0"/>
                      <w:position w:val="0"/>
                      <w:sz w:val="21"/>
                      <w:szCs w:val="21"/>
                      <w:highlight w:val="none"/>
                      <w:lang w:val="en-US" w:eastAsia="zh-CN"/>
                    </w:rPr>
                    <w:t>交由相关单位进行</w:t>
                  </w:r>
                  <w:r>
                    <w:rPr>
                      <w:rFonts w:hint="eastAsia" w:cs="Times New Roman"/>
                      <w:b w:val="0"/>
                      <w:bCs/>
                      <w:color w:val="auto"/>
                      <w:spacing w:val="0"/>
                      <w:position w:val="0"/>
                      <w:sz w:val="21"/>
                      <w:szCs w:val="21"/>
                      <w:highlight w:val="none"/>
                      <w:lang w:val="en-US" w:eastAsia="zh-CN"/>
                    </w:rPr>
                    <w:t>综合</w:t>
                  </w:r>
                  <w:r>
                    <w:rPr>
                      <w:rFonts w:hint="default" w:ascii="Times New Roman" w:hAnsi="Times New Roman" w:eastAsia="宋体" w:cs="Times New Roman"/>
                      <w:b w:val="0"/>
                      <w:bCs/>
                      <w:color w:val="auto"/>
                      <w:spacing w:val="0"/>
                      <w:position w:val="0"/>
                      <w:sz w:val="21"/>
                      <w:szCs w:val="21"/>
                      <w:highlight w:val="none"/>
                      <w:lang w:val="en-US" w:eastAsia="zh-CN"/>
                    </w:rPr>
                    <w:t>利用</w:t>
                  </w:r>
                </w:p>
              </w:tc>
            </w:tr>
            <w:tr w14:paraId="76325A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14:paraId="0194FF25">
                  <w:pPr>
                    <w:pStyle w:val="94"/>
                    <w:adjustRightInd w:val="0"/>
                    <w:snapToGrid w:val="0"/>
                    <w:rPr>
                      <w:rFonts w:ascii="Times New Roman" w:hAnsi="Times New Roman" w:eastAsia="宋体" w:cs="Times New Roman"/>
                      <w:b w:val="0"/>
                      <w:bCs/>
                      <w:color w:val="auto"/>
                      <w:spacing w:val="0"/>
                      <w:position w:val="0"/>
                      <w:sz w:val="21"/>
                      <w:szCs w:val="21"/>
                      <w:highlight w:val="none"/>
                    </w:rPr>
                  </w:pPr>
                </w:p>
              </w:tc>
              <w:tc>
                <w:tcPr>
                  <w:tcW w:w="1394" w:type="dxa"/>
                  <w:tcBorders>
                    <w:tl2br w:val="nil"/>
                    <w:tr2bl w:val="nil"/>
                  </w:tcBorders>
                  <w:vAlign w:val="center"/>
                </w:tcPr>
                <w:p w14:paraId="72C89998">
                  <w:pPr>
                    <w:pStyle w:val="94"/>
                    <w:adjustRightInd w:val="0"/>
                    <w:snapToGrid w:val="0"/>
                    <w:ind w:left="-63" w:leftChars="-30" w:right="-63" w:rightChars="-30" w:firstLine="0" w:firstLineChars="0"/>
                    <w:rPr>
                      <w:rFonts w:hint="default"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废纱布S3</w:t>
                  </w:r>
                </w:p>
              </w:tc>
              <w:tc>
                <w:tcPr>
                  <w:tcW w:w="1708" w:type="dxa"/>
                  <w:vMerge w:val="continue"/>
                  <w:tcBorders>
                    <w:tl2br w:val="nil"/>
                    <w:tr2bl w:val="nil"/>
                  </w:tcBorders>
                  <w:vAlign w:val="center"/>
                </w:tcPr>
                <w:p w14:paraId="263D4D6B">
                  <w:pPr>
                    <w:pStyle w:val="94"/>
                    <w:adjustRightInd w:val="0"/>
                    <w:snapToGrid w:val="0"/>
                    <w:ind w:left="-63" w:leftChars="-30" w:right="-63" w:rightChars="-30" w:firstLine="0" w:firstLineChars="0"/>
                    <w:rPr>
                      <w:rFonts w:hint="eastAsia" w:cs="Times New Roman"/>
                      <w:b w:val="0"/>
                      <w:bCs/>
                      <w:color w:val="auto"/>
                      <w:spacing w:val="0"/>
                      <w:position w:val="0"/>
                      <w:sz w:val="21"/>
                      <w:szCs w:val="21"/>
                      <w:highlight w:val="none"/>
                      <w:lang w:val="en-US" w:eastAsia="zh-CN"/>
                    </w:rPr>
                  </w:pPr>
                </w:p>
              </w:tc>
              <w:tc>
                <w:tcPr>
                  <w:tcW w:w="1560" w:type="dxa"/>
                  <w:tcBorders>
                    <w:tl2br w:val="nil"/>
                    <w:tr2bl w:val="nil"/>
                  </w:tcBorders>
                  <w:vAlign w:val="center"/>
                </w:tcPr>
                <w:p w14:paraId="758A2D3A">
                  <w:pPr>
                    <w:pStyle w:val="94"/>
                    <w:adjustRightInd w:val="0"/>
                    <w:snapToGrid w:val="0"/>
                    <w:ind w:left="-63" w:leftChars="-30" w:right="-63" w:rightChars="-30" w:firstLine="0" w:firstLineChars="0"/>
                    <w:rPr>
                      <w:rFonts w:hint="default"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废纱布</w:t>
                  </w:r>
                </w:p>
              </w:tc>
              <w:tc>
                <w:tcPr>
                  <w:tcW w:w="3000" w:type="dxa"/>
                  <w:vMerge w:val="continue"/>
                  <w:tcBorders>
                    <w:tl2br w:val="nil"/>
                    <w:tr2bl w:val="nil"/>
                  </w:tcBorders>
                  <w:vAlign w:val="center"/>
                </w:tcPr>
                <w:p w14:paraId="718FAF53">
                  <w:pPr>
                    <w:pStyle w:val="10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imes New Roman" w:hAnsi="Times New Roman" w:eastAsia="宋体" w:cs="Times New Roman"/>
                      <w:b w:val="0"/>
                      <w:bCs/>
                      <w:color w:val="auto"/>
                      <w:spacing w:val="0"/>
                      <w:position w:val="0"/>
                      <w:sz w:val="21"/>
                      <w:szCs w:val="21"/>
                      <w:highlight w:val="none"/>
                    </w:rPr>
                  </w:pPr>
                </w:p>
              </w:tc>
            </w:tr>
            <w:tr w14:paraId="2030A1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14:paraId="7AEEA490">
                  <w:pPr>
                    <w:pStyle w:val="94"/>
                    <w:adjustRightInd w:val="0"/>
                    <w:snapToGrid w:val="0"/>
                    <w:rPr>
                      <w:rFonts w:ascii="Times New Roman" w:hAnsi="Times New Roman" w:eastAsia="宋体" w:cs="Times New Roman"/>
                      <w:b w:val="0"/>
                      <w:bCs/>
                      <w:color w:val="auto"/>
                      <w:spacing w:val="0"/>
                      <w:position w:val="0"/>
                      <w:sz w:val="21"/>
                      <w:szCs w:val="21"/>
                      <w:highlight w:val="none"/>
                    </w:rPr>
                  </w:pPr>
                </w:p>
              </w:tc>
              <w:tc>
                <w:tcPr>
                  <w:tcW w:w="1394" w:type="dxa"/>
                  <w:tcBorders>
                    <w:tl2br w:val="nil"/>
                    <w:tr2bl w:val="nil"/>
                  </w:tcBorders>
                  <w:vAlign w:val="center"/>
                </w:tcPr>
                <w:p w14:paraId="3D030490">
                  <w:pPr>
                    <w:pStyle w:val="94"/>
                    <w:adjustRightInd w:val="0"/>
                    <w:snapToGrid w:val="0"/>
                    <w:ind w:left="-63" w:leftChars="-30" w:right="-63" w:rightChars="-30" w:firstLine="0" w:firstLineChars="0"/>
                    <w:rPr>
                      <w:rFonts w:hint="default" w:cs="Times New Roman"/>
                      <w:b w:val="0"/>
                      <w:bCs/>
                      <w:color w:val="auto"/>
                      <w:spacing w:val="0"/>
                      <w:kern w:val="0"/>
                      <w:position w:val="0"/>
                      <w:sz w:val="21"/>
                      <w:szCs w:val="21"/>
                      <w:highlight w:val="none"/>
                      <w:lang w:val="en-US" w:eastAsia="zh-CN" w:bidi="ar"/>
                    </w:rPr>
                  </w:pPr>
                  <w:r>
                    <w:rPr>
                      <w:rFonts w:hint="eastAsia" w:cs="Times New Roman"/>
                      <w:b w:val="0"/>
                      <w:bCs/>
                      <w:color w:val="auto"/>
                      <w:spacing w:val="0"/>
                      <w:kern w:val="0"/>
                      <w:position w:val="0"/>
                      <w:sz w:val="21"/>
                      <w:szCs w:val="21"/>
                      <w:highlight w:val="none"/>
                      <w:lang w:val="en-US" w:eastAsia="zh-CN" w:bidi="ar"/>
                    </w:rPr>
                    <w:t>废包装材料S11</w:t>
                  </w:r>
                </w:p>
              </w:tc>
              <w:tc>
                <w:tcPr>
                  <w:tcW w:w="1708" w:type="dxa"/>
                  <w:tcBorders>
                    <w:tl2br w:val="nil"/>
                    <w:tr2bl w:val="nil"/>
                  </w:tcBorders>
                  <w:vAlign w:val="center"/>
                </w:tcPr>
                <w:p w14:paraId="0F9F95A2">
                  <w:pPr>
                    <w:pStyle w:val="94"/>
                    <w:adjustRightInd w:val="0"/>
                    <w:snapToGrid w:val="0"/>
                    <w:ind w:left="-63" w:leftChars="-30" w:right="-63" w:rightChars="-30" w:firstLine="0" w:firstLineChars="0"/>
                    <w:rPr>
                      <w:rFonts w:hint="eastAsia"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原料使用</w:t>
                  </w:r>
                </w:p>
              </w:tc>
              <w:tc>
                <w:tcPr>
                  <w:tcW w:w="1560" w:type="dxa"/>
                  <w:tcBorders>
                    <w:tl2br w:val="nil"/>
                    <w:tr2bl w:val="nil"/>
                  </w:tcBorders>
                  <w:vAlign w:val="center"/>
                </w:tcPr>
                <w:p w14:paraId="126B0268">
                  <w:pPr>
                    <w:pStyle w:val="94"/>
                    <w:adjustRightInd w:val="0"/>
                    <w:snapToGrid w:val="0"/>
                    <w:ind w:left="-63" w:leftChars="-30" w:right="-63" w:rightChars="-30" w:firstLine="0" w:firstLineChars="0"/>
                    <w:rPr>
                      <w:rFonts w:hint="eastAsia" w:cs="Times New Roman"/>
                      <w:b w:val="0"/>
                      <w:bCs/>
                      <w:color w:val="auto"/>
                      <w:spacing w:val="0"/>
                      <w:kern w:val="0"/>
                      <w:position w:val="0"/>
                      <w:sz w:val="21"/>
                      <w:szCs w:val="21"/>
                      <w:highlight w:val="none"/>
                      <w:lang w:val="en-US" w:eastAsia="zh-CN" w:bidi="ar"/>
                    </w:rPr>
                  </w:pPr>
                  <w:r>
                    <w:rPr>
                      <w:rFonts w:hint="eastAsia" w:cs="Times New Roman"/>
                      <w:b w:val="0"/>
                      <w:bCs/>
                      <w:color w:val="auto"/>
                      <w:spacing w:val="0"/>
                      <w:kern w:val="0"/>
                      <w:position w:val="0"/>
                      <w:sz w:val="21"/>
                      <w:szCs w:val="21"/>
                      <w:highlight w:val="none"/>
                      <w:lang w:val="en-US" w:eastAsia="zh-CN" w:bidi="ar"/>
                    </w:rPr>
                    <w:t>废纸箱</w:t>
                  </w:r>
                </w:p>
              </w:tc>
              <w:tc>
                <w:tcPr>
                  <w:tcW w:w="3000" w:type="dxa"/>
                  <w:vMerge w:val="continue"/>
                  <w:tcBorders>
                    <w:tl2br w:val="nil"/>
                    <w:tr2bl w:val="nil"/>
                  </w:tcBorders>
                  <w:vAlign w:val="center"/>
                </w:tcPr>
                <w:p w14:paraId="38277090">
                  <w:pPr>
                    <w:pStyle w:val="10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rPr>
                      <w:rFonts w:hint="eastAsia" w:ascii="Times New Roman" w:hAnsi="Times New Roman" w:eastAsia="宋体" w:cs="Times New Roman"/>
                      <w:b w:val="0"/>
                      <w:bCs/>
                      <w:color w:val="auto"/>
                      <w:spacing w:val="0"/>
                      <w:position w:val="0"/>
                      <w:sz w:val="21"/>
                      <w:szCs w:val="21"/>
                      <w:highlight w:val="none"/>
                    </w:rPr>
                  </w:pPr>
                </w:p>
              </w:tc>
            </w:tr>
            <w:tr w14:paraId="0629EB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restart"/>
                  <w:tcBorders>
                    <w:tl2br w:val="nil"/>
                    <w:tr2bl w:val="nil"/>
                  </w:tcBorders>
                  <w:vAlign w:val="center"/>
                </w:tcPr>
                <w:p w14:paraId="1A55297B">
                  <w:pPr>
                    <w:pStyle w:val="94"/>
                    <w:adjustRightInd w:val="0"/>
                    <w:snapToGrid w:val="0"/>
                    <w:ind w:left="-63" w:leftChars="-30" w:right="-63" w:rightChars="-30" w:firstLine="0" w:firstLineChars="0"/>
                    <w:rPr>
                      <w:rFonts w:hint="eastAsia" w:ascii="Times New Roman" w:hAnsi="Times New Roman" w:eastAsia="宋体" w:cs="Times New Roman"/>
                      <w:b w:val="0"/>
                      <w:bCs/>
                      <w:color w:val="auto"/>
                      <w:spacing w:val="0"/>
                      <w:position w:val="0"/>
                      <w:sz w:val="21"/>
                      <w:szCs w:val="21"/>
                      <w:highlight w:val="none"/>
                      <w:lang w:val="en-US" w:eastAsia="zh-CN"/>
                    </w:rPr>
                  </w:pPr>
                  <w:r>
                    <w:rPr>
                      <w:rFonts w:hint="eastAsia" w:ascii="Times New Roman" w:hAnsi="Times New Roman" w:eastAsia="宋体" w:cs="Times New Roman"/>
                      <w:b w:val="0"/>
                      <w:bCs/>
                      <w:color w:val="auto"/>
                      <w:spacing w:val="0"/>
                      <w:position w:val="0"/>
                      <w:sz w:val="21"/>
                      <w:szCs w:val="21"/>
                      <w:highlight w:val="none"/>
                      <w:lang w:val="en-US" w:eastAsia="zh-CN"/>
                    </w:rPr>
                    <w:t>危险</w:t>
                  </w:r>
                </w:p>
                <w:p w14:paraId="04245BB7">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position w:val="0"/>
                      <w:sz w:val="21"/>
                      <w:szCs w:val="21"/>
                      <w:highlight w:val="none"/>
                      <w:lang w:val="en-US" w:eastAsia="zh-CN"/>
                    </w:rPr>
                  </w:pPr>
                  <w:r>
                    <w:rPr>
                      <w:rFonts w:hint="eastAsia" w:ascii="Times New Roman" w:hAnsi="Times New Roman" w:eastAsia="宋体" w:cs="Times New Roman"/>
                      <w:b w:val="0"/>
                      <w:bCs/>
                      <w:color w:val="auto"/>
                      <w:spacing w:val="0"/>
                      <w:position w:val="0"/>
                      <w:sz w:val="21"/>
                      <w:szCs w:val="21"/>
                      <w:highlight w:val="none"/>
                      <w:lang w:val="en-US" w:eastAsia="zh-CN"/>
                    </w:rPr>
                    <w:t>废物</w:t>
                  </w:r>
                </w:p>
              </w:tc>
              <w:tc>
                <w:tcPr>
                  <w:tcW w:w="1394" w:type="dxa"/>
                  <w:tcBorders>
                    <w:tl2br w:val="nil"/>
                    <w:tr2bl w:val="nil"/>
                  </w:tcBorders>
                  <w:vAlign w:val="center"/>
                </w:tcPr>
                <w:p w14:paraId="5AC90084">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0"/>
                      <w:position w:val="0"/>
                      <w:sz w:val="21"/>
                      <w:szCs w:val="21"/>
                      <w:highlight w:val="none"/>
                      <w:lang w:val="en-US" w:eastAsia="zh-CN"/>
                    </w:rPr>
                  </w:pPr>
                  <w:r>
                    <w:rPr>
                      <w:rFonts w:hint="eastAsia" w:ascii="Times New Roman" w:hAnsi="Times New Roman" w:eastAsia="宋体" w:cs="Times New Roman"/>
                      <w:b w:val="0"/>
                      <w:bCs/>
                      <w:color w:val="auto"/>
                      <w:spacing w:val="0"/>
                      <w:kern w:val="0"/>
                      <w:position w:val="0"/>
                      <w:sz w:val="21"/>
                      <w:szCs w:val="21"/>
                      <w:highlight w:val="none"/>
                      <w:lang w:val="en-US" w:eastAsia="zh-CN" w:bidi="ar"/>
                    </w:rPr>
                    <w:t>废活性炭S</w:t>
                  </w:r>
                  <w:r>
                    <w:rPr>
                      <w:rFonts w:hint="eastAsia" w:cs="Times New Roman"/>
                      <w:b w:val="0"/>
                      <w:bCs/>
                      <w:color w:val="auto"/>
                      <w:spacing w:val="0"/>
                      <w:kern w:val="0"/>
                      <w:position w:val="0"/>
                      <w:sz w:val="21"/>
                      <w:szCs w:val="21"/>
                      <w:highlight w:val="none"/>
                      <w:lang w:val="en-US" w:eastAsia="zh-CN" w:bidi="ar"/>
                    </w:rPr>
                    <w:t>5</w:t>
                  </w:r>
                </w:p>
              </w:tc>
              <w:tc>
                <w:tcPr>
                  <w:tcW w:w="1708" w:type="dxa"/>
                  <w:vMerge w:val="restart"/>
                  <w:tcBorders>
                    <w:tl2br w:val="nil"/>
                    <w:tr2bl w:val="nil"/>
                  </w:tcBorders>
                  <w:vAlign w:val="center"/>
                </w:tcPr>
                <w:p w14:paraId="6B907AB9">
                  <w:pPr>
                    <w:pStyle w:val="9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position w:val="0"/>
                      <w:sz w:val="21"/>
                      <w:szCs w:val="21"/>
                      <w:highlight w:val="none"/>
                      <w:lang w:val="en-US" w:eastAsia="zh-CN"/>
                    </w:rPr>
                  </w:pPr>
                  <w:r>
                    <w:rPr>
                      <w:rFonts w:hint="eastAsia" w:ascii="Times New Roman" w:hAnsi="Times New Roman" w:eastAsia="宋体" w:cs="Times New Roman"/>
                      <w:b w:val="0"/>
                      <w:bCs/>
                      <w:color w:val="auto"/>
                      <w:spacing w:val="0"/>
                      <w:kern w:val="0"/>
                      <w:position w:val="0"/>
                      <w:sz w:val="21"/>
                      <w:szCs w:val="21"/>
                      <w:highlight w:val="none"/>
                      <w:lang w:val="en-US" w:eastAsia="zh-CN" w:bidi="ar"/>
                    </w:rPr>
                    <w:t>废气处理</w:t>
                  </w:r>
                </w:p>
              </w:tc>
              <w:tc>
                <w:tcPr>
                  <w:tcW w:w="1560" w:type="dxa"/>
                  <w:vMerge w:val="restart"/>
                  <w:tcBorders>
                    <w:tl2br w:val="nil"/>
                    <w:tr2bl w:val="nil"/>
                  </w:tcBorders>
                  <w:vAlign w:val="center"/>
                </w:tcPr>
                <w:p w14:paraId="2711C792">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position w:val="0"/>
                      <w:sz w:val="21"/>
                      <w:szCs w:val="21"/>
                      <w:highlight w:val="none"/>
                      <w:lang w:val="en-US" w:eastAsia="zh-CN"/>
                    </w:rPr>
                  </w:pPr>
                  <w:r>
                    <w:rPr>
                      <w:rFonts w:hint="eastAsia" w:ascii="Times New Roman" w:hAnsi="Times New Roman" w:eastAsia="宋体" w:cs="Times New Roman"/>
                      <w:b w:val="0"/>
                      <w:bCs/>
                      <w:color w:val="auto"/>
                      <w:spacing w:val="0"/>
                      <w:kern w:val="0"/>
                      <w:position w:val="0"/>
                      <w:sz w:val="21"/>
                      <w:szCs w:val="21"/>
                      <w:highlight w:val="none"/>
                      <w:lang w:val="en-US" w:eastAsia="zh-CN" w:bidi="ar"/>
                    </w:rPr>
                    <w:t>有机物</w:t>
                  </w:r>
                </w:p>
              </w:tc>
              <w:tc>
                <w:tcPr>
                  <w:tcW w:w="3000" w:type="dxa"/>
                  <w:vMerge w:val="restart"/>
                  <w:tcBorders>
                    <w:tl2br w:val="nil"/>
                    <w:tr2bl w:val="nil"/>
                  </w:tcBorders>
                  <w:vAlign w:val="center"/>
                </w:tcPr>
                <w:p w14:paraId="41541C35">
                  <w:pPr>
                    <w:pStyle w:val="9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ascii="Times New Roman" w:hAnsi="Times New Roman" w:eastAsia="宋体" w:cs="Times New Roman"/>
                      <w:b w:val="0"/>
                      <w:bCs/>
                      <w:color w:val="auto"/>
                      <w:spacing w:val="0"/>
                      <w:position w:val="0"/>
                      <w:sz w:val="21"/>
                      <w:szCs w:val="21"/>
                      <w:highlight w:val="none"/>
                    </w:rPr>
                  </w:pPr>
                  <w:r>
                    <w:rPr>
                      <w:rFonts w:hint="eastAsia" w:ascii="Times New Roman" w:hAnsi="Times New Roman" w:eastAsia="宋体" w:cs="Times New Roman"/>
                      <w:b w:val="0"/>
                      <w:bCs/>
                      <w:color w:val="auto"/>
                      <w:spacing w:val="0"/>
                      <w:position w:val="0"/>
                      <w:sz w:val="21"/>
                      <w:szCs w:val="21"/>
                      <w:highlight w:val="none"/>
                    </w:rPr>
                    <w:t>分类收集后，</w:t>
                  </w:r>
                  <w:r>
                    <w:rPr>
                      <w:rFonts w:ascii="Times New Roman" w:hAnsi="Times New Roman" w:eastAsia="宋体" w:cs="Times New Roman"/>
                      <w:b w:val="0"/>
                      <w:bCs/>
                      <w:color w:val="auto"/>
                      <w:spacing w:val="0"/>
                      <w:position w:val="0"/>
                      <w:sz w:val="21"/>
                      <w:szCs w:val="21"/>
                      <w:highlight w:val="none"/>
                    </w:rPr>
                    <w:t>暂存于厂区危险废物暂存间，定期委托有资质单位进行处置</w:t>
                  </w:r>
                </w:p>
              </w:tc>
            </w:tr>
            <w:tr w14:paraId="412AC4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14:paraId="41C5F558">
                  <w:pPr>
                    <w:pStyle w:val="94"/>
                    <w:adjustRightInd w:val="0"/>
                    <w:snapToGrid w:val="0"/>
                    <w:ind w:left="-63" w:leftChars="-30" w:right="-63" w:rightChars="-30" w:firstLine="0" w:firstLineChars="0"/>
                    <w:rPr>
                      <w:rFonts w:hint="eastAsia" w:ascii="Times New Roman" w:hAnsi="Times New Roman" w:eastAsia="宋体" w:cs="Times New Roman"/>
                      <w:b w:val="0"/>
                      <w:bCs/>
                      <w:color w:val="auto"/>
                      <w:spacing w:val="0"/>
                      <w:position w:val="0"/>
                      <w:sz w:val="21"/>
                      <w:szCs w:val="21"/>
                      <w:highlight w:val="none"/>
                      <w:lang w:val="en-US" w:eastAsia="zh-CN"/>
                    </w:rPr>
                  </w:pPr>
                </w:p>
              </w:tc>
              <w:tc>
                <w:tcPr>
                  <w:tcW w:w="1394" w:type="dxa"/>
                  <w:tcBorders>
                    <w:tl2br w:val="nil"/>
                    <w:tr2bl w:val="nil"/>
                  </w:tcBorders>
                  <w:vAlign w:val="center"/>
                </w:tcPr>
                <w:p w14:paraId="77E4ACBA">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0"/>
                      <w:position w:val="0"/>
                      <w:sz w:val="21"/>
                      <w:szCs w:val="21"/>
                      <w:highlight w:val="none"/>
                      <w:lang w:val="en-US" w:eastAsia="zh-CN" w:bidi="ar"/>
                    </w:rPr>
                  </w:pPr>
                  <w:r>
                    <w:rPr>
                      <w:rFonts w:hint="eastAsia" w:cs="Times New Roman"/>
                      <w:b w:val="0"/>
                      <w:bCs/>
                      <w:color w:val="auto"/>
                      <w:spacing w:val="0"/>
                      <w:kern w:val="0"/>
                      <w:position w:val="0"/>
                      <w:sz w:val="21"/>
                      <w:szCs w:val="21"/>
                      <w:highlight w:val="none"/>
                      <w:lang w:val="en-US" w:eastAsia="zh-CN" w:bidi="ar"/>
                    </w:rPr>
                    <w:t>废过滤棉S6</w:t>
                  </w:r>
                </w:p>
              </w:tc>
              <w:tc>
                <w:tcPr>
                  <w:tcW w:w="1708" w:type="dxa"/>
                  <w:vMerge w:val="continue"/>
                  <w:tcBorders>
                    <w:tl2br w:val="nil"/>
                    <w:tr2bl w:val="nil"/>
                  </w:tcBorders>
                  <w:vAlign w:val="center"/>
                </w:tcPr>
                <w:p w14:paraId="775F0FA6">
                  <w:pPr>
                    <w:pStyle w:val="9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pacing w:val="0"/>
                      <w:kern w:val="0"/>
                      <w:position w:val="0"/>
                      <w:sz w:val="21"/>
                      <w:szCs w:val="21"/>
                      <w:highlight w:val="none"/>
                      <w:lang w:val="en-US" w:eastAsia="zh-CN" w:bidi="ar"/>
                    </w:rPr>
                  </w:pPr>
                </w:p>
              </w:tc>
              <w:tc>
                <w:tcPr>
                  <w:tcW w:w="1560" w:type="dxa"/>
                  <w:vMerge w:val="continue"/>
                  <w:tcBorders>
                    <w:tl2br w:val="nil"/>
                    <w:tr2bl w:val="nil"/>
                  </w:tcBorders>
                  <w:vAlign w:val="center"/>
                </w:tcPr>
                <w:p w14:paraId="6EBD6012">
                  <w:pPr>
                    <w:pStyle w:val="94"/>
                    <w:adjustRightInd w:val="0"/>
                    <w:snapToGrid w:val="0"/>
                    <w:ind w:left="-63" w:leftChars="-30" w:right="-63" w:rightChars="-30" w:firstLine="0" w:firstLineChars="0"/>
                    <w:rPr>
                      <w:rFonts w:hint="eastAsia" w:ascii="Times New Roman" w:hAnsi="Times New Roman" w:eastAsia="宋体" w:cs="Times New Roman"/>
                      <w:b w:val="0"/>
                      <w:bCs/>
                      <w:color w:val="auto"/>
                      <w:spacing w:val="0"/>
                      <w:kern w:val="0"/>
                      <w:position w:val="0"/>
                      <w:sz w:val="21"/>
                      <w:szCs w:val="21"/>
                      <w:highlight w:val="none"/>
                      <w:lang w:val="en-US" w:eastAsia="zh-CN" w:bidi="ar"/>
                    </w:rPr>
                  </w:pPr>
                </w:p>
              </w:tc>
              <w:tc>
                <w:tcPr>
                  <w:tcW w:w="3000" w:type="dxa"/>
                  <w:vMerge w:val="continue"/>
                  <w:tcBorders>
                    <w:tl2br w:val="nil"/>
                    <w:tr2bl w:val="nil"/>
                  </w:tcBorders>
                  <w:vAlign w:val="center"/>
                </w:tcPr>
                <w:p w14:paraId="38B0D4F9">
                  <w:pPr>
                    <w:pStyle w:val="9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b w:val="0"/>
                      <w:bCs/>
                      <w:color w:val="auto"/>
                      <w:spacing w:val="0"/>
                      <w:position w:val="0"/>
                      <w:sz w:val="21"/>
                      <w:szCs w:val="21"/>
                      <w:highlight w:val="none"/>
                    </w:rPr>
                  </w:pPr>
                </w:p>
              </w:tc>
            </w:tr>
            <w:tr w14:paraId="57A580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14:paraId="0D8084BE">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c>
                <w:tcPr>
                  <w:tcW w:w="1394" w:type="dxa"/>
                  <w:tcBorders>
                    <w:tl2br w:val="nil"/>
                    <w:tr2bl w:val="nil"/>
                  </w:tcBorders>
                  <w:shd w:val="clear" w:color="auto" w:fill="auto"/>
                  <w:vAlign w:val="center"/>
                </w:tcPr>
                <w:p w14:paraId="5D104A62">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0"/>
                      <w:position w:val="0"/>
                      <w:sz w:val="21"/>
                      <w:szCs w:val="21"/>
                      <w:highlight w:val="none"/>
                      <w:lang w:val="en-US" w:eastAsia="zh-CN" w:bidi="ar"/>
                    </w:rPr>
                  </w:pPr>
                  <w:r>
                    <w:rPr>
                      <w:rFonts w:hint="eastAsia" w:ascii="Times New Roman" w:hAnsi="Times New Roman" w:eastAsia="宋体" w:cs="Times New Roman"/>
                      <w:b w:val="0"/>
                      <w:bCs/>
                      <w:color w:val="auto"/>
                      <w:spacing w:val="0"/>
                      <w:kern w:val="0"/>
                      <w:position w:val="0"/>
                      <w:sz w:val="21"/>
                      <w:szCs w:val="21"/>
                      <w:highlight w:val="none"/>
                      <w:lang w:val="en-US" w:eastAsia="zh-CN" w:bidi="ar"/>
                    </w:rPr>
                    <w:t>漆渣</w:t>
                  </w:r>
                  <w:r>
                    <w:rPr>
                      <w:rFonts w:hint="eastAsia" w:cs="Times New Roman"/>
                      <w:b w:val="0"/>
                      <w:bCs/>
                      <w:color w:val="auto"/>
                      <w:spacing w:val="0"/>
                      <w:kern w:val="0"/>
                      <w:position w:val="0"/>
                      <w:sz w:val="21"/>
                      <w:szCs w:val="21"/>
                      <w:highlight w:val="none"/>
                      <w:lang w:val="en-US" w:eastAsia="zh-CN" w:bidi="ar"/>
                    </w:rPr>
                    <w:t>S1</w:t>
                  </w:r>
                </w:p>
              </w:tc>
              <w:tc>
                <w:tcPr>
                  <w:tcW w:w="1708" w:type="dxa"/>
                  <w:tcBorders>
                    <w:tl2br w:val="nil"/>
                    <w:tr2bl w:val="nil"/>
                  </w:tcBorders>
                  <w:shd w:val="clear" w:color="auto" w:fill="auto"/>
                  <w:vAlign w:val="center"/>
                </w:tcPr>
                <w:p w14:paraId="74D3948C">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eastAsia" w:ascii="Times New Roman" w:hAnsi="Times New Roman" w:eastAsia="宋体" w:cs="Times New Roman"/>
                      <w:b w:val="0"/>
                      <w:bCs/>
                      <w:color w:val="auto"/>
                      <w:spacing w:val="0"/>
                      <w:kern w:val="0"/>
                      <w:position w:val="0"/>
                      <w:sz w:val="21"/>
                      <w:szCs w:val="21"/>
                      <w:highlight w:val="none"/>
                      <w:lang w:val="en-US" w:eastAsia="zh-CN" w:bidi="ar"/>
                    </w:rPr>
                    <w:t>喷漆过程产生</w:t>
                  </w:r>
                </w:p>
              </w:tc>
              <w:tc>
                <w:tcPr>
                  <w:tcW w:w="1560" w:type="dxa"/>
                  <w:tcBorders>
                    <w:tl2br w:val="nil"/>
                    <w:tr2bl w:val="nil"/>
                  </w:tcBorders>
                  <w:shd w:val="clear" w:color="auto" w:fill="auto"/>
                  <w:vAlign w:val="center"/>
                </w:tcPr>
                <w:p w14:paraId="58C42411">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eastAsia" w:ascii="Times New Roman" w:hAnsi="Times New Roman" w:eastAsia="宋体" w:cs="Times New Roman"/>
                      <w:b w:val="0"/>
                      <w:bCs/>
                      <w:color w:val="auto"/>
                      <w:spacing w:val="0"/>
                      <w:kern w:val="0"/>
                      <w:position w:val="0"/>
                      <w:sz w:val="21"/>
                      <w:szCs w:val="21"/>
                      <w:highlight w:val="none"/>
                      <w:lang w:val="en-US" w:eastAsia="zh-CN" w:bidi="ar"/>
                    </w:rPr>
                    <w:t>漆渣</w:t>
                  </w:r>
                </w:p>
              </w:tc>
              <w:tc>
                <w:tcPr>
                  <w:tcW w:w="3000" w:type="dxa"/>
                  <w:vMerge w:val="continue"/>
                  <w:tcBorders>
                    <w:tl2br w:val="nil"/>
                    <w:tr2bl w:val="nil"/>
                  </w:tcBorders>
                  <w:vAlign w:val="center"/>
                </w:tcPr>
                <w:p w14:paraId="33417D08">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r>
            <w:tr w14:paraId="4C8552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14:paraId="10C3BC0B">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c>
                <w:tcPr>
                  <w:tcW w:w="1394" w:type="dxa"/>
                  <w:tcBorders>
                    <w:tl2br w:val="nil"/>
                    <w:tr2bl w:val="nil"/>
                  </w:tcBorders>
                  <w:shd w:val="clear" w:color="auto" w:fill="auto"/>
                  <w:vAlign w:val="center"/>
                </w:tcPr>
                <w:p w14:paraId="624489F6">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0"/>
                      <w:position w:val="0"/>
                      <w:sz w:val="21"/>
                      <w:szCs w:val="21"/>
                      <w:highlight w:val="none"/>
                      <w:lang w:val="en-US" w:eastAsia="zh-CN" w:bidi="ar"/>
                    </w:rPr>
                  </w:pPr>
                  <w:r>
                    <w:rPr>
                      <w:rFonts w:hint="eastAsia" w:ascii="Times New Roman" w:hAnsi="Times New Roman" w:eastAsia="宋体" w:cs="Times New Roman"/>
                      <w:b w:val="0"/>
                      <w:bCs/>
                      <w:color w:val="auto"/>
                      <w:spacing w:val="0"/>
                      <w:position w:val="0"/>
                      <w:sz w:val="21"/>
                      <w:szCs w:val="21"/>
                      <w:highlight w:val="none"/>
                      <w:vertAlign w:val="baseline"/>
                      <w:lang w:val="en-US" w:eastAsia="zh-CN"/>
                    </w:rPr>
                    <w:t>沉淀</w:t>
                  </w:r>
                  <w:r>
                    <w:rPr>
                      <w:rFonts w:hint="eastAsia" w:ascii="Times New Roman" w:hAnsi="Times New Roman" w:eastAsia="宋体" w:cs="Times New Roman"/>
                      <w:b w:val="0"/>
                      <w:bCs/>
                      <w:color w:val="auto"/>
                      <w:spacing w:val="0"/>
                      <w:kern w:val="0"/>
                      <w:position w:val="0"/>
                      <w:sz w:val="21"/>
                      <w:szCs w:val="21"/>
                      <w:highlight w:val="none"/>
                      <w:lang w:val="en-US" w:eastAsia="zh-CN" w:bidi="ar"/>
                    </w:rPr>
                    <w:t>污泥</w:t>
                  </w:r>
                  <w:r>
                    <w:rPr>
                      <w:rFonts w:hint="eastAsia" w:cs="Times New Roman"/>
                      <w:b w:val="0"/>
                      <w:bCs/>
                      <w:color w:val="auto"/>
                      <w:spacing w:val="0"/>
                      <w:kern w:val="0"/>
                      <w:position w:val="0"/>
                      <w:sz w:val="21"/>
                      <w:szCs w:val="21"/>
                      <w:highlight w:val="none"/>
                      <w:lang w:val="en-US" w:eastAsia="zh-CN" w:bidi="ar"/>
                    </w:rPr>
                    <w:t>S7</w:t>
                  </w:r>
                </w:p>
              </w:tc>
              <w:tc>
                <w:tcPr>
                  <w:tcW w:w="1708" w:type="dxa"/>
                  <w:tcBorders>
                    <w:tl2br w:val="nil"/>
                    <w:tr2bl w:val="nil"/>
                  </w:tcBorders>
                  <w:shd w:val="clear" w:color="auto" w:fill="auto"/>
                  <w:vAlign w:val="center"/>
                </w:tcPr>
                <w:p w14:paraId="25F602AD">
                  <w:pPr>
                    <w:pStyle w:val="9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pacing w:val="0"/>
                      <w:kern w:val="0"/>
                      <w:position w:val="0"/>
                      <w:sz w:val="21"/>
                      <w:szCs w:val="21"/>
                      <w:highlight w:val="none"/>
                      <w:lang w:val="en-US" w:eastAsia="zh-CN" w:bidi="ar"/>
                    </w:rPr>
                  </w:pPr>
                  <w:r>
                    <w:rPr>
                      <w:rFonts w:hint="eastAsia" w:cs="Times New Roman"/>
                      <w:b w:val="0"/>
                      <w:bCs/>
                      <w:color w:val="auto"/>
                      <w:spacing w:val="0"/>
                      <w:kern w:val="0"/>
                      <w:position w:val="0"/>
                      <w:sz w:val="21"/>
                      <w:szCs w:val="21"/>
                      <w:highlight w:val="none"/>
                      <w:lang w:val="en-US" w:eastAsia="zh-CN" w:bidi="ar"/>
                    </w:rPr>
                    <w:t>废水</w:t>
                  </w:r>
                  <w:r>
                    <w:rPr>
                      <w:rFonts w:hint="eastAsia" w:ascii="Times New Roman" w:hAnsi="Times New Roman" w:eastAsia="宋体" w:cs="Times New Roman"/>
                      <w:b w:val="0"/>
                      <w:bCs/>
                      <w:color w:val="auto"/>
                      <w:spacing w:val="0"/>
                      <w:kern w:val="0"/>
                      <w:position w:val="0"/>
                      <w:sz w:val="21"/>
                      <w:szCs w:val="21"/>
                      <w:highlight w:val="none"/>
                      <w:lang w:val="en-US" w:eastAsia="zh-CN" w:bidi="ar"/>
                    </w:rPr>
                    <w:t>处理设施</w:t>
                  </w:r>
                </w:p>
              </w:tc>
              <w:tc>
                <w:tcPr>
                  <w:tcW w:w="1560" w:type="dxa"/>
                  <w:tcBorders>
                    <w:tl2br w:val="nil"/>
                    <w:tr2bl w:val="nil"/>
                  </w:tcBorders>
                  <w:shd w:val="clear" w:color="auto" w:fill="auto"/>
                  <w:vAlign w:val="center"/>
                </w:tcPr>
                <w:p w14:paraId="73771518">
                  <w:pPr>
                    <w:pStyle w:val="94"/>
                    <w:adjustRightInd w:val="0"/>
                    <w:snapToGrid w:val="0"/>
                    <w:ind w:left="-63" w:leftChars="-30" w:right="-63" w:rightChars="-30" w:firstLine="0" w:firstLineChars="0"/>
                    <w:rPr>
                      <w:rFonts w:hint="eastAsia" w:ascii="Times New Roman" w:hAnsi="Times New Roman" w:eastAsia="宋体" w:cs="Times New Roman"/>
                      <w:b w:val="0"/>
                      <w:bCs/>
                      <w:color w:val="auto"/>
                      <w:spacing w:val="0"/>
                      <w:kern w:val="2"/>
                      <w:position w:val="0"/>
                      <w:sz w:val="21"/>
                      <w:szCs w:val="21"/>
                      <w:highlight w:val="none"/>
                      <w:lang w:val="en-US" w:eastAsia="zh-CN" w:bidi="ar-SA"/>
                    </w:rPr>
                  </w:pPr>
                  <w:r>
                    <w:rPr>
                      <w:rFonts w:hint="eastAsia" w:ascii="Times New Roman" w:hAnsi="Times New Roman" w:eastAsia="宋体" w:cs="Times New Roman"/>
                      <w:b w:val="0"/>
                      <w:bCs/>
                      <w:color w:val="auto"/>
                      <w:spacing w:val="0"/>
                      <w:position w:val="0"/>
                      <w:sz w:val="21"/>
                      <w:szCs w:val="21"/>
                      <w:highlight w:val="none"/>
                      <w:lang w:val="en-US" w:eastAsia="zh-CN"/>
                    </w:rPr>
                    <w:t>污泥混合物</w:t>
                  </w:r>
                </w:p>
              </w:tc>
              <w:tc>
                <w:tcPr>
                  <w:tcW w:w="3000" w:type="dxa"/>
                  <w:vMerge w:val="continue"/>
                  <w:tcBorders>
                    <w:tl2br w:val="nil"/>
                    <w:tr2bl w:val="nil"/>
                  </w:tcBorders>
                  <w:vAlign w:val="center"/>
                </w:tcPr>
                <w:p w14:paraId="14D599C1">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r>
            <w:tr w14:paraId="4BF593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14:paraId="7E2F14B1">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c>
                <w:tcPr>
                  <w:tcW w:w="1394" w:type="dxa"/>
                  <w:tcBorders>
                    <w:tl2br w:val="nil"/>
                    <w:tr2bl w:val="nil"/>
                  </w:tcBorders>
                  <w:shd w:val="clear" w:color="auto" w:fill="auto"/>
                  <w:vAlign w:val="center"/>
                </w:tcPr>
                <w:p w14:paraId="76A5E1FE">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0"/>
                      <w:position w:val="0"/>
                      <w:sz w:val="21"/>
                      <w:szCs w:val="21"/>
                      <w:highlight w:val="none"/>
                      <w:lang w:val="en-US" w:eastAsia="zh-CN" w:bidi="ar"/>
                    </w:rPr>
                  </w:pPr>
                  <w:r>
                    <w:rPr>
                      <w:rFonts w:hint="eastAsia" w:cs="Times New Roman"/>
                      <w:b w:val="0"/>
                      <w:bCs/>
                      <w:color w:val="auto"/>
                      <w:spacing w:val="0"/>
                      <w:kern w:val="0"/>
                      <w:position w:val="0"/>
                      <w:sz w:val="21"/>
                      <w:szCs w:val="21"/>
                      <w:highlight w:val="none"/>
                      <w:lang w:val="en-US" w:eastAsia="zh-CN" w:bidi="ar"/>
                    </w:rPr>
                    <w:t>水帘气旋废液S8</w:t>
                  </w:r>
                </w:p>
              </w:tc>
              <w:tc>
                <w:tcPr>
                  <w:tcW w:w="1708" w:type="dxa"/>
                  <w:vMerge w:val="restart"/>
                  <w:tcBorders>
                    <w:tl2br w:val="nil"/>
                    <w:tr2bl w:val="nil"/>
                  </w:tcBorders>
                  <w:shd w:val="clear" w:color="auto" w:fill="auto"/>
                  <w:vAlign w:val="center"/>
                </w:tcPr>
                <w:p w14:paraId="3B14C6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pacing w:val="0"/>
                      <w:kern w:val="0"/>
                      <w:position w:val="0"/>
                      <w:sz w:val="21"/>
                      <w:szCs w:val="21"/>
                      <w:highlight w:val="none"/>
                      <w:lang w:val="en-US" w:eastAsia="zh-CN" w:bidi="ar"/>
                    </w:rPr>
                  </w:pPr>
                  <w:r>
                    <w:rPr>
                      <w:rFonts w:hint="eastAsia" w:ascii="Times New Roman" w:hAnsi="Times New Roman" w:eastAsia="宋体" w:cs="Times New Roman"/>
                      <w:b w:val="0"/>
                      <w:bCs/>
                      <w:color w:val="auto"/>
                      <w:spacing w:val="0"/>
                      <w:position w:val="0"/>
                      <w:sz w:val="21"/>
                      <w:szCs w:val="21"/>
                      <w:highlight w:val="none"/>
                      <w:lang w:val="en-US" w:eastAsia="zh-CN"/>
                    </w:rPr>
                    <w:t>喷漆工序</w:t>
                  </w:r>
                </w:p>
              </w:tc>
              <w:tc>
                <w:tcPr>
                  <w:tcW w:w="1560" w:type="dxa"/>
                  <w:tcBorders>
                    <w:tl2br w:val="nil"/>
                    <w:tr2bl w:val="nil"/>
                  </w:tcBorders>
                  <w:shd w:val="clear" w:color="auto" w:fill="auto"/>
                  <w:vAlign w:val="center"/>
                </w:tcPr>
                <w:p w14:paraId="4CCB15DF">
                  <w:pPr>
                    <w:adjustRightInd w:val="0"/>
                    <w:snapToGrid w:val="0"/>
                    <w:ind w:left="-63" w:leftChars="-30" w:right="-63" w:rightChars="-30" w:firstLine="0" w:firstLineChars="0"/>
                    <w:jc w:val="center"/>
                    <w:rPr>
                      <w:rFonts w:hint="eastAsia" w:ascii="Times New Roman" w:hAnsi="Times New Roman" w:eastAsia="宋体" w:cs="Times New Roman"/>
                      <w:b w:val="0"/>
                      <w:bCs/>
                      <w:color w:val="auto"/>
                      <w:spacing w:val="0"/>
                      <w:position w:val="0"/>
                      <w:sz w:val="21"/>
                      <w:szCs w:val="21"/>
                      <w:highlight w:val="none"/>
                      <w:lang w:val="en-US" w:eastAsia="zh-CN"/>
                    </w:rPr>
                  </w:pPr>
                  <w:r>
                    <w:rPr>
                      <w:rFonts w:hint="eastAsia" w:ascii="Times New Roman" w:hAnsi="Times New Roman" w:eastAsia="宋体" w:cs="Times New Roman"/>
                      <w:b w:val="0"/>
                      <w:bCs/>
                      <w:color w:val="auto"/>
                      <w:spacing w:val="0"/>
                      <w:kern w:val="0"/>
                      <w:position w:val="0"/>
                      <w:sz w:val="21"/>
                      <w:szCs w:val="21"/>
                      <w:highlight w:val="none"/>
                      <w:lang w:val="en-US" w:eastAsia="zh-CN" w:bidi="ar"/>
                    </w:rPr>
                    <w:t>有机物</w:t>
                  </w:r>
                </w:p>
              </w:tc>
              <w:tc>
                <w:tcPr>
                  <w:tcW w:w="3000" w:type="dxa"/>
                  <w:vMerge w:val="continue"/>
                  <w:tcBorders>
                    <w:tl2br w:val="nil"/>
                    <w:tr2bl w:val="nil"/>
                  </w:tcBorders>
                  <w:vAlign w:val="center"/>
                </w:tcPr>
                <w:p w14:paraId="7D92888D">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r>
            <w:tr w14:paraId="10104F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14:paraId="439C9435">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c>
                <w:tcPr>
                  <w:tcW w:w="1394" w:type="dxa"/>
                  <w:tcBorders>
                    <w:tl2br w:val="nil"/>
                    <w:tr2bl w:val="nil"/>
                  </w:tcBorders>
                  <w:shd w:val="clear" w:color="auto" w:fill="auto"/>
                  <w:vAlign w:val="center"/>
                </w:tcPr>
                <w:p w14:paraId="67FCD886">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0"/>
                      <w:position w:val="0"/>
                      <w:sz w:val="21"/>
                      <w:szCs w:val="21"/>
                      <w:highlight w:val="none"/>
                      <w:lang w:val="en-US" w:eastAsia="zh-CN" w:bidi="ar"/>
                    </w:rPr>
                  </w:pPr>
                  <w:r>
                    <w:rPr>
                      <w:rFonts w:hint="eastAsia" w:cs="Times New Roman"/>
                      <w:b w:val="0"/>
                      <w:bCs/>
                      <w:color w:val="auto"/>
                      <w:spacing w:val="0"/>
                      <w:kern w:val="0"/>
                      <w:position w:val="0"/>
                      <w:sz w:val="21"/>
                      <w:szCs w:val="21"/>
                      <w:highlight w:val="none"/>
                      <w:lang w:val="en-US" w:eastAsia="zh-CN" w:bidi="ar"/>
                    </w:rPr>
                    <w:t>喷枪清洗废液S9</w:t>
                  </w:r>
                </w:p>
              </w:tc>
              <w:tc>
                <w:tcPr>
                  <w:tcW w:w="1708" w:type="dxa"/>
                  <w:vMerge w:val="continue"/>
                  <w:tcBorders>
                    <w:tl2br w:val="nil"/>
                    <w:tr2bl w:val="nil"/>
                  </w:tcBorders>
                  <w:shd w:val="clear" w:color="auto" w:fill="auto"/>
                  <w:vAlign w:val="center"/>
                </w:tcPr>
                <w:p w14:paraId="2346B2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pacing w:val="0"/>
                      <w:kern w:val="0"/>
                      <w:position w:val="0"/>
                      <w:sz w:val="21"/>
                      <w:szCs w:val="21"/>
                      <w:highlight w:val="none"/>
                      <w:lang w:val="en-US" w:eastAsia="zh-CN" w:bidi="ar"/>
                    </w:rPr>
                  </w:pPr>
                </w:p>
              </w:tc>
              <w:tc>
                <w:tcPr>
                  <w:tcW w:w="1560" w:type="dxa"/>
                  <w:tcBorders>
                    <w:tl2br w:val="nil"/>
                    <w:tr2bl w:val="nil"/>
                  </w:tcBorders>
                  <w:shd w:val="clear" w:color="auto" w:fill="auto"/>
                  <w:vAlign w:val="center"/>
                </w:tcPr>
                <w:p w14:paraId="010D52EA">
                  <w:pPr>
                    <w:adjustRightInd w:val="0"/>
                    <w:snapToGrid w:val="0"/>
                    <w:ind w:left="-63" w:leftChars="-30" w:right="-63" w:rightChars="-30" w:firstLine="0" w:firstLineChars="0"/>
                    <w:jc w:val="center"/>
                    <w:rPr>
                      <w:rFonts w:hint="eastAsia" w:ascii="Times New Roman" w:hAnsi="Times New Roman" w:eastAsia="宋体" w:cs="Times New Roman"/>
                      <w:b w:val="0"/>
                      <w:bCs/>
                      <w:color w:val="auto"/>
                      <w:spacing w:val="0"/>
                      <w:position w:val="0"/>
                      <w:sz w:val="21"/>
                      <w:szCs w:val="21"/>
                      <w:highlight w:val="none"/>
                      <w:lang w:val="en-US" w:eastAsia="zh-CN"/>
                    </w:rPr>
                  </w:pPr>
                  <w:r>
                    <w:rPr>
                      <w:rFonts w:hint="eastAsia" w:ascii="Times New Roman" w:hAnsi="Times New Roman" w:eastAsia="宋体" w:cs="Times New Roman"/>
                      <w:b w:val="0"/>
                      <w:bCs/>
                      <w:color w:val="auto"/>
                      <w:spacing w:val="0"/>
                      <w:kern w:val="0"/>
                      <w:position w:val="0"/>
                      <w:sz w:val="21"/>
                      <w:szCs w:val="21"/>
                      <w:highlight w:val="none"/>
                      <w:lang w:val="en-US" w:eastAsia="zh-CN" w:bidi="ar"/>
                    </w:rPr>
                    <w:t>有机物</w:t>
                  </w:r>
                </w:p>
              </w:tc>
              <w:tc>
                <w:tcPr>
                  <w:tcW w:w="3000" w:type="dxa"/>
                  <w:vMerge w:val="continue"/>
                  <w:tcBorders>
                    <w:tl2br w:val="nil"/>
                    <w:tr2bl w:val="nil"/>
                  </w:tcBorders>
                  <w:vAlign w:val="center"/>
                </w:tcPr>
                <w:p w14:paraId="2CA61E0C">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r>
            <w:tr w14:paraId="7A9FB5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14:paraId="79CB8427">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c>
                <w:tcPr>
                  <w:tcW w:w="1394" w:type="dxa"/>
                  <w:tcBorders>
                    <w:tl2br w:val="nil"/>
                    <w:tr2bl w:val="nil"/>
                  </w:tcBorders>
                  <w:shd w:val="clear" w:color="auto" w:fill="auto"/>
                  <w:vAlign w:val="center"/>
                </w:tcPr>
                <w:p w14:paraId="7C719836">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kern w:val="0"/>
                      <w:position w:val="0"/>
                      <w:sz w:val="21"/>
                      <w:szCs w:val="21"/>
                      <w:highlight w:val="none"/>
                      <w:lang w:val="en-US" w:eastAsia="zh-CN" w:bidi="ar-SA"/>
                    </w:rPr>
                  </w:pPr>
                  <w:r>
                    <w:rPr>
                      <w:rFonts w:hint="eastAsia" w:cs="Times New Roman"/>
                      <w:b w:val="0"/>
                      <w:bCs/>
                      <w:color w:val="auto"/>
                      <w:spacing w:val="0"/>
                      <w:kern w:val="0"/>
                      <w:position w:val="0"/>
                      <w:sz w:val="21"/>
                      <w:szCs w:val="21"/>
                      <w:highlight w:val="none"/>
                      <w:lang w:val="en-US" w:eastAsia="zh-CN" w:bidi="ar"/>
                    </w:rPr>
                    <w:t>废化学品包装物S10</w:t>
                  </w:r>
                </w:p>
              </w:tc>
              <w:tc>
                <w:tcPr>
                  <w:tcW w:w="1708" w:type="dxa"/>
                  <w:tcBorders>
                    <w:tl2br w:val="nil"/>
                    <w:tr2bl w:val="nil"/>
                  </w:tcBorders>
                  <w:shd w:val="clear" w:color="auto" w:fill="auto"/>
                  <w:vAlign w:val="center"/>
                </w:tcPr>
                <w:p w14:paraId="39B9B423">
                  <w:pPr>
                    <w:pStyle w:val="94"/>
                    <w:adjustRightInd w:val="0"/>
                    <w:snapToGrid w:val="0"/>
                    <w:ind w:left="-63" w:leftChars="-30" w:right="-63" w:rightChars="-30" w:firstLine="0" w:firstLineChars="0"/>
                    <w:rPr>
                      <w:rFonts w:hint="eastAsia" w:ascii="Times New Roman" w:hAnsi="Times New Roman" w:eastAsia="宋体" w:cs="Times New Roman"/>
                      <w:b w:val="0"/>
                      <w:bCs/>
                      <w:color w:val="auto"/>
                      <w:spacing w:val="0"/>
                      <w:kern w:val="2"/>
                      <w:position w:val="0"/>
                      <w:sz w:val="21"/>
                      <w:szCs w:val="21"/>
                      <w:highlight w:val="none"/>
                      <w:lang w:val="en-US" w:eastAsia="zh-CN" w:bidi="ar-SA"/>
                    </w:rPr>
                  </w:pPr>
                  <w:r>
                    <w:rPr>
                      <w:rFonts w:hint="eastAsia" w:cs="Times New Roman"/>
                      <w:b w:val="0"/>
                      <w:bCs/>
                      <w:color w:val="auto"/>
                      <w:spacing w:val="0"/>
                      <w:position w:val="0"/>
                      <w:sz w:val="21"/>
                      <w:szCs w:val="21"/>
                      <w:highlight w:val="none"/>
                      <w:lang w:val="en-US" w:eastAsia="zh-CN"/>
                    </w:rPr>
                    <w:t>调漆</w:t>
                  </w:r>
                  <w:r>
                    <w:rPr>
                      <w:rFonts w:hint="eastAsia" w:ascii="Times New Roman" w:hAnsi="Times New Roman" w:eastAsia="宋体" w:cs="Times New Roman"/>
                      <w:b w:val="0"/>
                      <w:bCs/>
                      <w:color w:val="auto"/>
                      <w:spacing w:val="0"/>
                      <w:position w:val="0"/>
                      <w:sz w:val="21"/>
                      <w:szCs w:val="21"/>
                      <w:highlight w:val="none"/>
                      <w:lang w:val="en-US" w:eastAsia="zh-CN"/>
                    </w:rPr>
                    <w:t>工序</w:t>
                  </w:r>
                </w:p>
              </w:tc>
              <w:tc>
                <w:tcPr>
                  <w:tcW w:w="1560" w:type="dxa"/>
                  <w:tcBorders>
                    <w:tl2br w:val="nil"/>
                    <w:tr2bl w:val="nil"/>
                  </w:tcBorders>
                  <w:shd w:val="clear" w:color="auto" w:fill="auto"/>
                  <w:vAlign w:val="center"/>
                </w:tcPr>
                <w:p w14:paraId="5770DBC0">
                  <w:pPr>
                    <w:pStyle w:val="94"/>
                    <w:adjustRightInd w:val="0"/>
                    <w:snapToGrid w:val="0"/>
                    <w:ind w:left="-63" w:leftChars="-30" w:right="-63" w:rightChars="-30" w:firstLine="0" w:firstLineChars="0"/>
                    <w:rPr>
                      <w:rFonts w:hint="eastAsia" w:ascii="Times New Roman" w:hAnsi="Times New Roman" w:eastAsia="宋体" w:cs="Times New Roman"/>
                      <w:b w:val="0"/>
                      <w:bCs/>
                      <w:color w:val="auto"/>
                      <w:spacing w:val="0"/>
                      <w:kern w:val="2"/>
                      <w:position w:val="0"/>
                      <w:sz w:val="21"/>
                      <w:szCs w:val="21"/>
                      <w:highlight w:val="none"/>
                      <w:lang w:val="en-US" w:eastAsia="zh-CN" w:bidi="ar-SA"/>
                    </w:rPr>
                  </w:pPr>
                  <w:r>
                    <w:rPr>
                      <w:rFonts w:hint="eastAsia" w:ascii="Times New Roman" w:hAnsi="Times New Roman" w:eastAsia="宋体" w:cs="Times New Roman"/>
                      <w:b w:val="0"/>
                      <w:bCs/>
                      <w:color w:val="auto"/>
                      <w:spacing w:val="0"/>
                      <w:position w:val="0"/>
                      <w:sz w:val="21"/>
                      <w:szCs w:val="21"/>
                      <w:highlight w:val="none"/>
                      <w:lang w:val="en-US" w:eastAsia="zh-CN"/>
                    </w:rPr>
                    <w:t>沾染化学品的容器</w:t>
                  </w:r>
                </w:p>
              </w:tc>
              <w:tc>
                <w:tcPr>
                  <w:tcW w:w="3000" w:type="dxa"/>
                  <w:vMerge w:val="continue"/>
                  <w:tcBorders>
                    <w:tl2br w:val="nil"/>
                    <w:tr2bl w:val="nil"/>
                  </w:tcBorders>
                  <w:vAlign w:val="center"/>
                </w:tcPr>
                <w:p w14:paraId="2A62D9BF">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r>
            <w:tr w14:paraId="7D25FB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14:paraId="4B24DEF1">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c>
                <w:tcPr>
                  <w:tcW w:w="1394" w:type="dxa"/>
                  <w:tcBorders>
                    <w:tl2br w:val="nil"/>
                    <w:tr2bl w:val="nil"/>
                  </w:tcBorders>
                  <w:shd w:val="clear" w:color="auto" w:fill="auto"/>
                  <w:vAlign w:val="center"/>
                </w:tcPr>
                <w:p w14:paraId="0B544322">
                  <w:pPr>
                    <w:pStyle w:val="94"/>
                    <w:adjustRightInd w:val="0"/>
                    <w:snapToGrid w:val="0"/>
                    <w:ind w:left="-63" w:leftChars="-30" w:right="-63" w:rightChars="-30" w:firstLine="0" w:firstLineChars="0"/>
                    <w:rPr>
                      <w:rFonts w:hint="default" w:cs="Times New Roman"/>
                      <w:b w:val="0"/>
                      <w:bCs/>
                      <w:color w:val="auto"/>
                      <w:spacing w:val="0"/>
                      <w:kern w:val="0"/>
                      <w:position w:val="0"/>
                      <w:sz w:val="21"/>
                      <w:szCs w:val="21"/>
                      <w:highlight w:val="none"/>
                      <w:lang w:val="en-US" w:eastAsia="zh-CN" w:bidi="ar"/>
                    </w:rPr>
                  </w:pPr>
                  <w:r>
                    <w:rPr>
                      <w:rFonts w:hint="eastAsia" w:cs="Times New Roman"/>
                      <w:b w:val="0"/>
                      <w:bCs/>
                      <w:color w:val="auto"/>
                      <w:spacing w:val="0"/>
                      <w:kern w:val="0"/>
                      <w:position w:val="0"/>
                      <w:sz w:val="21"/>
                      <w:szCs w:val="21"/>
                      <w:highlight w:val="none"/>
                      <w:lang w:val="en-US" w:eastAsia="zh-CN" w:bidi="ar"/>
                    </w:rPr>
                    <w:t>废润滑油S12</w:t>
                  </w:r>
                </w:p>
              </w:tc>
              <w:tc>
                <w:tcPr>
                  <w:tcW w:w="1708" w:type="dxa"/>
                  <w:vMerge w:val="restart"/>
                  <w:tcBorders>
                    <w:tl2br w:val="nil"/>
                    <w:tr2bl w:val="nil"/>
                  </w:tcBorders>
                  <w:shd w:val="clear" w:color="auto" w:fill="auto"/>
                  <w:vAlign w:val="center"/>
                </w:tcPr>
                <w:p w14:paraId="7C2E6FD0">
                  <w:pPr>
                    <w:pStyle w:val="94"/>
                    <w:adjustRightInd w:val="0"/>
                    <w:snapToGrid w:val="0"/>
                    <w:ind w:left="-63" w:leftChars="-30" w:right="-63" w:rightChars="-30" w:firstLine="0" w:firstLineChars="0"/>
                    <w:rPr>
                      <w:rFonts w:hint="default"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设备维修</w:t>
                  </w:r>
                </w:p>
              </w:tc>
              <w:tc>
                <w:tcPr>
                  <w:tcW w:w="1560" w:type="dxa"/>
                  <w:tcBorders>
                    <w:tl2br w:val="nil"/>
                    <w:tr2bl w:val="nil"/>
                  </w:tcBorders>
                  <w:shd w:val="clear" w:color="auto" w:fill="auto"/>
                  <w:vAlign w:val="center"/>
                </w:tcPr>
                <w:p w14:paraId="39BD764E">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矿物油</w:t>
                  </w:r>
                </w:p>
              </w:tc>
              <w:tc>
                <w:tcPr>
                  <w:tcW w:w="3000" w:type="dxa"/>
                  <w:vMerge w:val="continue"/>
                  <w:tcBorders>
                    <w:tl2br w:val="nil"/>
                    <w:tr2bl w:val="nil"/>
                  </w:tcBorders>
                  <w:vAlign w:val="center"/>
                </w:tcPr>
                <w:p w14:paraId="713E7620">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r>
            <w:tr w14:paraId="00658B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14:paraId="5CA0BA36">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c>
                <w:tcPr>
                  <w:tcW w:w="1394" w:type="dxa"/>
                  <w:tcBorders>
                    <w:tl2br w:val="nil"/>
                    <w:tr2bl w:val="nil"/>
                  </w:tcBorders>
                  <w:shd w:val="clear" w:color="auto" w:fill="auto"/>
                  <w:vAlign w:val="center"/>
                </w:tcPr>
                <w:p w14:paraId="423C9AFD">
                  <w:pPr>
                    <w:pStyle w:val="94"/>
                    <w:adjustRightInd w:val="0"/>
                    <w:snapToGrid w:val="0"/>
                    <w:ind w:left="-63" w:leftChars="-30" w:right="-63" w:rightChars="-30" w:firstLine="0" w:firstLineChars="0"/>
                    <w:rPr>
                      <w:rFonts w:hint="default" w:cs="Times New Roman"/>
                      <w:b w:val="0"/>
                      <w:bCs/>
                      <w:color w:val="auto"/>
                      <w:spacing w:val="0"/>
                      <w:kern w:val="0"/>
                      <w:position w:val="0"/>
                      <w:sz w:val="21"/>
                      <w:szCs w:val="21"/>
                      <w:highlight w:val="none"/>
                      <w:lang w:val="en-US" w:eastAsia="zh-CN" w:bidi="ar"/>
                    </w:rPr>
                  </w:pPr>
                  <w:r>
                    <w:rPr>
                      <w:rFonts w:hint="eastAsia" w:cs="Times New Roman"/>
                      <w:b w:val="0"/>
                      <w:bCs/>
                      <w:color w:val="auto"/>
                      <w:spacing w:val="0"/>
                      <w:kern w:val="0"/>
                      <w:position w:val="0"/>
                      <w:sz w:val="21"/>
                      <w:szCs w:val="21"/>
                      <w:highlight w:val="none"/>
                      <w:lang w:val="en-US" w:eastAsia="zh-CN" w:bidi="ar"/>
                    </w:rPr>
                    <w:t>润滑油空桶S13</w:t>
                  </w:r>
                </w:p>
              </w:tc>
              <w:tc>
                <w:tcPr>
                  <w:tcW w:w="1708" w:type="dxa"/>
                  <w:vMerge w:val="continue"/>
                  <w:tcBorders>
                    <w:tl2br w:val="nil"/>
                    <w:tr2bl w:val="nil"/>
                  </w:tcBorders>
                  <w:shd w:val="clear" w:color="auto" w:fill="auto"/>
                  <w:vAlign w:val="center"/>
                </w:tcPr>
                <w:p w14:paraId="33B98BA5">
                  <w:pPr>
                    <w:pStyle w:val="94"/>
                    <w:adjustRightInd w:val="0"/>
                    <w:snapToGrid w:val="0"/>
                    <w:ind w:left="-63" w:leftChars="-30" w:right="-63" w:rightChars="-30" w:firstLine="0" w:firstLineChars="0"/>
                    <w:rPr>
                      <w:rFonts w:hint="eastAsia" w:cs="Times New Roman"/>
                      <w:b w:val="0"/>
                      <w:bCs/>
                      <w:color w:val="auto"/>
                      <w:spacing w:val="0"/>
                      <w:position w:val="0"/>
                      <w:sz w:val="21"/>
                      <w:szCs w:val="21"/>
                      <w:highlight w:val="none"/>
                      <w:lang w:val="en-US" w:eastAsia="zh-CN"/>
                    </w:rPr>
                  </w:pPr>
                </w:p>
              </w:tc>
              <w:tc>
                <w:tcPr>
                  <w:tcW w:w="1560" w:type="dxa"/>
                  <w:tcBorders>
                    <w:tl2br w:val="nil"/>
                    <w:tr2bl w:val="nil"/>
                  </w:tcBorders>
                  <w:shd w:val="clear" w:color="auto" w:fill="auto"/>
                  <w:vAlign w:val="center"/>
                </w:tcPr>
                <w:p w14:paraId="7E43E156">
                  <w:pPr>
                    <w:pStyle w:val="94"/>
                    <w:adjustRightInd w:val="0"/>
                    <w:snapToGrid w:val="0"/>
                    <w:ind w:left="-63" w:leftChars="-30" w:right="-63" w:rightChars="-30" w:firstLine="0" w:firstLineChars="0"/>
                    <w:rPr>
                      <w:rFonts w:hint="eastAsia" w:ascii="Times New Roman" w:hAnsi="Times New Roman" w:eastAsia="宋体"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矿物油</w:t>
                  </w:r>
                </w:p>
              </w:tc>
              <w:tc>
                <w:tcPr>
                  <w:tcW w:w="3000" w:type="dxa"/>
                  <w:vMerge w:val="continue"/>
                  <w:tcBorders>
                    <w:tl2br w:val="nil"/>
                    <w:tr2bl w:val="nil"/>
                  </w:tcBorders>
                  <w:vAlign w:val="center"/>
                </w:tcPr>
                <w:p w14:paraId="18F08493">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r>
            <w:tr w14:paraId="6959C8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vAlign w:val="center"/>
                </w:tcPr>
                <w:p w14:paraId="44DEF169">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c>
                <w:tcPr>
                  <w:tcW w:w="1394" w:type="dxa"/>
                  <w:tcBorders>
                    <w:tl2br w:val="nil"/>
                    <w:tr2bl w:val="nil"/>
                  </w:tcBorders>
                  <w:shd w:val="clear" w:color="auto" w:fill="auto"/>
                  <w:vAlign w:val="center"/>
                </w:tcPr>
                <w:p w14:paraId="454774A8">
                  <w:pPr>
                    <w:pStyle w:val="94"/>
                    <w:adjustRightInd w:val="0"/>
                    <w:snapToGrid w:val="0"/>
                    <w:ind w:left="-63" w:leftChars="-30" w:right="-63" w:rightChars="-30" w:firstLine="0" w:firstLineChars="0"/>
                    <w:rPr>
                      <w:rFonts w:hint="eastAsia" w:cs="Times New Roman"/>
                      <w:b w:val="0"/>
                      <w:bCs/>
                      <w:color w:val="auto"/>
                      <w:spacing w:val="0"/>
                      <w:kern w:val="0"/>
                      <w:position w:val="0"/>
                      <w:sz w:val="21"/>
                      <w:szCs w:val="21"/>
                      <w:highlight w:val="none"/>
                      <w:lang w:val="en-US" w:eastAsia="zh-CN" w:bidi="ar"/>
                    </w:rPr>
                  </w:pPr>
                  <w:r>
                    <w:rPr>
                      <w:rFonts w:hint="eastAsia" w:cs="Times New Roman"/>
                      <w:b w:val="0"/>
                      <w:bCs/>
                      <w:color w:val="auto"/>
                      <w:spacing w:val="0"/>
                      <w:position w:val="0"/>
                      <w:sz w:val="21"/>
                      <w:szCs w:val="21"/>
                      <w:highlight w:val="none"/>
                      <w:lang w:val="en-US" w:eastAsia="zh-CN"/>
                    </w:rPr>
                    <w:t>废含油抹布及手套S14</w:t>
                  </w:r>
                </w:p>
              </w:tc>
              <w:tc>
                <w:tcPr>
                  <w:tcW w:w="1708" w:type="dxa"/>
                  <w:tcBorders>
                    <w:tl2br w:val="nil"/>
                    <w:tr2bl w:val="nil"/>
                  </w:tcBorders>
                  <w:shd w:val="clear" w:color="auto" w:fill="auto"/>
                  <w:vAlign w:val="center"/>
                </w:tcPr>
                <w:p w14:paraId="334FF672">
                  <w:pPr>
                    <w:pStyle w:val="94"/>
                    <w:adjustRightInd w:val="0"/>
                    <w:snapToGrid w:val="0"/>
                    <w:ind w:left="-63" w:leftChars="-30" w:right="-63" w:rightChars="-30" w:firstLine="0" w:firstLineChars="0"/>
                    <w:rPr>
                      <w:rFonts w:hint="eastAsia" w:ascii="Times New Roman" w:hAnsi="Times New Roman" w:eastAsia="宋体" w:cs="Times New Roman"/>
                      <w:b/>
                      <w:bCs w:val="0"/>
                      <w:color w:val="auto"/>
                      <w:spacing w:val="0"/>
                      <w:kern w:val="2"/>
                      <w:position w:val="0"/>
                      <w:sz w:val="21"/>
                      <w:szCs w:val="21"/>
                      <w:highlight w:val="none"/>
                      <w:lang w:val="en-US" w:eastAsia="zh-CN" w:bidi="ar-SA"/>
                    </w:rPr>
                  </w:pPr>
                  <w:r>
                    <w:rPr>
                      <w:rFonts w:hint="eastAsia" w:cs="Times New Roman"/>
                      <w:b w:val="0"/>
                      <w:bCs/>
                      <w:color w:val="auto"/>
                      <w:spacing w:val="0"/>
                      <w:position w:val="0"/>
                      <w:sz w:val="21"/>
                      <w:szCs w:val="21"/>
                      <w:highlight w:val="none"/>
                      <w:lang w:val="en-US" w:eastAsia="zh-CN"/>
                    </w:rPr>
                    <w:t>设备维修</w:t>
                  </w:r>
                </w:p>
              </w:tc>
              <w:tc>
                <w:tcPr>
                  <w:tcW w:w="1560" w:type="dxa"/>
                  <w:tcBorders>
                    <w:tl2br w:val="nil"/>
                    <w:tr2bl w:val="nil"/>
                  </w:tcBorders>
                  <w:shd w:val="clear" w:color="auto" w:fill="auto"/>
                  <w:vAlign w:val="center"/>
                </w:tcPr>
                <w:p w14:paraId="68E54253">
                  <w:pPr>
                    <w:pStyle w:val="94"/>
                    <w:adjustRightInd w:val="0"/>
                    <w:snapToGrid w:val="0"/>
                    <w:ind w:left="-63" w:leftChars="-30" w:right="-63" w:rightChars="-30" w:firstLine="0" w:firstLineChars="0"/>
                    <w:rPr>
                      <w:rFonts w:hint="eastAsia" w:ascii="Times New Roman" w:hAnsi="Times New Roman" w:eastAsia="宋体" w:cs="Times New Roman"/>
                      <w:b/>
                      <w:bCs w:val="0"/>
                      <w:color w:val="auto"/>
                      <w:spacing w:val="0"/>
                      <w:kern w:val="2"/>
                      <w:position w:val="0"/>
                      <w:sz w:val="21"/>
                      <w:szCs w:val="21"/>
                      <w:highlight w:val="none"/>
                      <w:lang w:val="en-US" w:eastAsia="zh-CN" w:bidi="ar-SA"/>
                    </w:rPr>
                  </w:pPr>
                  <w:r>
                    <w:rPr>
                      <w:rFonts w:hint="eastAsia" w:cs="Times New Roman"/>
                      <w:b w:val="0"/>
                      <w:bCs/>
                      <w:color w:val="auto"/>
                      <w:spacing w:val="0"/>
                      <w:position w:val="0"/>
                      <w:sz w:val="21"/>
                      <w:szCs w:val="21"/>
                      <w:highlight w:val="none"/>
                      <w:lang w:val="en-US" w:eastAsia="zh-CN"/>
                    </w:rPr>
                    <w:t>矿物油</w:t>
                  </w:r>
                </w:p>
              </w:tc>
              <w:tc>
                <w:tcPr>
                  <w:tcW w:w="3000" w:type="dxa"/>
                  <w:vMerge w:val="continue"/>
                  <w:tcBorders>
                    <w:tl2br w:val="nil"/>
                    <w:tr2bl w:val="nil"/>
                  </w:tcBorders>
                  <w:vAlign w:val="center"/>
                </w:tcPr>
                <w:p w14:paraId="4AD7CC86">
                  <w:pPr>
                    <w:pStyle w:val="94"/>
                    <w:adjustRightInd w:val="0"/>
                    <w:snapToGrid w:val="0"/>
                    <w:ind w:left="-63" w:leftChars="-30" w:right="-63" w:rightChars="-30" w:firstLine="0" w:firstLineChars="0"/>
                    <w:rPr>
                      <w:rFonts w:ascii="Times New Roman" w:hAnsi="Times New Roman" w:eastAsia="宋体" w:cs="Times New Roman"/>
                      <w:b w:val="0"/>
                      <w:bCs/>
                      <w:color w:val="auto"/>
                      <w:spacing w:val="0"/>
                      <w:position w:val="0"/>
                      <w:sz w:val="21"/>
                      <w:szCs w:val="21"/>
                      <w:highlight w:val="none"/>
                    </w:rPr>
                  </w:pPr>
                </w:p>
              </w:tc>
            </w:tr>
            <w:tr w14:paraId="7154DC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6" w:type="dxa"/>
                  <w:gridSpan w:val="2"/>
                  <w:tcBorders>
                    <w:tl2br w:val="nil"/>
                    <w:tr2bl w:val="nil"/>
                  </w:tcBorders>
                  <w:vAlign w:val="center"/>
                </w:tcPr>
                <w:p w14:paraId="058EA290">
                  <w:pPr>
                    <w:pStyle w:val="94"/>
                    <w:adjustRightInd w:val="0"/>
                    <w:snapToGrid w:val="0"/>
                    <w:ind w:left="-63" w:leftChars="-30" w:right="-63" w:rightChars="-30" w:firstLine="0" w:firstLineChars="0"/>
                    <w:rPr>
                      <w:rFonts w:hint="eastAsia" w:ascii="Times New Roman" w:hAnsi="Times New Roman" w:eastAsia="宋体" w:cs="Times New Roman"/>
                      <w:b w:val="0"/>
                      <w:bCs/>
                      <w:color w:val="auto"/>
                      <w:spacing w:val="0"/>
                      <w:position w:val="0"/>
                      <w:sz w:val="21"/>
                      <w:szCs w:val="21"/>
                      <w:highlight w:val="none"/>
                      <w:lang w:val="en-US" w:eastAsia="zh-CN"/>
                    </w:rPr>
                  </w:pPr>
                  <w:r>
                    <w:rPr>
                      <w:rFonts w:hint="default" w:ascii="Times New Roman" w:hAnsi="Times New Roman" w:eastAsia="宋体" w:cs="Times New Roman"/>
                      <w:b w:val="0"/>
                      <w:bCs/>
                      <w:color w:val="auto"/>
                      <w:spacing w:val="0"/>
                      <w:position w:val="0"/>
                      <w:sz w:val="21"/>
                      <w:szCs w:val="21"/>
                      <w:highlight w:val="none"/>
                      <w:lang w:val="en-US" w:eastAsia="zh-CN"/>
                    </w:rPr>
                    <w:t>生活垃圾</w:t>
                  </w:r>
                  <w:r>
                    <w:rPr>
                      <w:rFonts w:hint="eastAsia" w:cs="Times New Roman"/>
                      <w:b w:val="0"/>
                      <w:bCs/>
                      <w:color w:val="auto"/>
                      <w:spacing w:val="0"/>
                      <w:position w:val="0"/>
                      <w:sz w:val="21"/>
                      <w:szCs w:val="21"/>
                      <w:highlight w:val="none"/>
                      <w:lang w:val="en-US" w:eastAsia="zh-CN"/>
                    </w:rPr>
                    <w:t>S4</w:t>
                  </w:r>
                </w:p>
              </w:tc>
              <w:tc>
                <w:tcPr>
                  <w:tcW w:w="1708" w:type="dxa"/>
                  <w:tcBorders>
                    <w:tl2br w:val="nil"/>
                    <w:tr2bl w:val="nil"/>
                  </w:tcBorders>
                  <w:vAlign w:val="center"/>
                </w:tcPr>
                <w:p w14:paraId="3CCEA15C">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position w:val="0"/>
                      <w:sz w:val="21"/>
                      <w:szCs w:val="21"/>
                      <w:highlight w:val="none"/>
                      <w:lang w:val="en-US" w:eastAsia="zh-CN"/>
                    </w:rPr>
                  </w:pPr>
                  <w:r>
                    <w:rPr>
                      <w:rFonts w:hint="default" w:ascii="Times New Roman" w:hAnsi="Times New Roman" w:eastAsia="宋体" w:cs="Times New Roman"/>
                      <w:b w:val="0"/>
                      <w:bCs/>
                      <w:color w:val="auto"/>
                      <w:spacing w:val="0"/>
                      <w:position w:val="0"/>
                      <w:sz w:val="21"/>
                      <w:szCs w:val="21"/>
                      <w:highlight w:val="none"/>
                      <w:lang w:val="en-US" w:eastAsia="zh-CN"/>
                    </w:rPr>
                    <w:t>生活垃圾</w:t>
                  </w:r>
                </w:p>
              </w:tc>
              <w:tc>
                <w:tcPr>
                  <w:tcW w:w="1560" w:type="dxa"/>
                  <w:tcBorders>
                    <w:tl2br w:val="nil"/>
                    <w:tr2bl w:val="nil"/>
                  </w:tcBorders>
                  <w:vAlign w:val="center"/>
                </w:tcPr>
                <w:p w14:paraId="43F34033">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position w:val="0"/>
                      <w:sz w:val="21"/>
                      <w:szCs w:val="21"/>
                      <w:highlight w:val="none"/>
                      <w:lang w:val="en-US" w:eastAsia="zh-CN"/>
                    </w:rPr>
                  </w:pPr>
                  <w:r>
                    <w:rPr>
                      <w:rFonts w:hint="eastAsia" w:ascii="Times New Roman" w:hAnsi="Times New Roman" w:eastAsia="宋体" w:cs="Times New Roman"/>
                      <w:b w:val="0"/>
                      <w:bCs/>
                      <w:color w:val="auto"/>
                      <w:spacing w:val="0"/>
                      <w:position w:val="0"/>
                      <w:sz w:val="21"/>
                      <w:szCs w:val="21"/>
                      <w:highlight w:val="none"/>
                      <w:lang w:val="en-US" w:eastAsia="zh-CN"/>
                    </w:rPr>
                    <w:t>/</w:t>
                  </w:r>
                </w:p>
              </w:tc>
              <w:tc>
                <w:tcPr>
                  <w:tcW w:w="3000" w:type="dxa"/>
                  <w:tcBorders>
                    <w:tl2br w:val="nil"/>
                    <w:tr2bl w:val="nil"/>
                  </w:tcBorders>
                  <w:vAlign w:val="center"/>
                </w:tcPr>
                <w:p w14:paraId="6043232E">
                  <w:pPr>
                    <w:pStyle w:val="94"/>
                    <w:adjustRightInd w:val="0"/>
                    <w:snapToGrid w:val="0"/>
                    <w:ind w:left="-63" w:leftChars="-30" w:right="-63" w:rightChars="-30" w:firstLine="0" w:firstLineChars="0"/>
                    <w:rPr>
                      <w:rFonts w:hint="eastAsia" w:ascii="Times New Roman" w:hAnsi="Times New Roman" w:eastAsia="宋体" w:cs="Times New Roman"/>
                      <w:b w:val="0"/>
                      <w:bCs/>
                      <w:color w:val="auto"/>
                      <w:spacing w:val="0"/>
                      <w:position w:val="0"/>
                      <w:sz w:val="21"/>
                      <w:szCs w:val="21"/>
                      <w:highlight w:val="none"/>
                      <w:lang w:val="en-US" w:eastAsia="zh-CN"/>
                    </w:rPr>
                  </w:pPr>
                  <w:r>
                    <w:rPr>
                      <w:rFonts w:hint="eastAsia" w:ascii="Times New Roman" w:hAnsi="Times New Roman" w:eastAsia="宋体" w:cs="Times New Roman"/>
                      <w:b w:val="0"/>
                      <w:bCs/>
                      <w:color w:val="auto"/>
                      <w:spacing w:val="0"/>
                      <w:position w:val="0"/>
                      <w:sz w:val="21"/>
                      <w:szCs w:val="21"/>
                      <w:highlight w:val="none"/>
                      <w:lang w:val="en-US" w:eastAsia="zh-CN"/>
                    </w:rPr>
                    <w:t>厂区放垃圾桶，集中收集后由环卫部门统一清运</w:t>
                  </w:r>
                </w:p>
              </w:tc>
            </w:tr>
          </w:tbl>
          <w:p w14:paraId="5AD494F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spacing w:val="0"/>
                <w:highlight w:val="none"/>
                <w:lang w:val="en-US" w:eastAsia="zh-CN"/>
              </w:rPr>
            </w:pPr>
          </w:p>
        </w:tc>
      </w:tr>
      <w:tr w14:paraId="3DAC2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60" w:hRule="atLeast"/>
          <w:jc w:val="center"/>
        </w:trPr>
        <w:tc>
          <w:tcPr>
            <w:tcW w:w="1359" w:type="dxa"/>
            <w:vAlign w:val="center"/>
          </w:tcPr>
          <w:p w14:paraId="18670A62">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Times New Roman"/>
                <w:bCs/>
                <w:color w:val="auto"/>
                <w:spacing w:val="0"/>
                <w:kern w:val="2"/>
                <w:position w:val="0"/>
                <w:sz w:val="24"/>
                <w:szCs w:val="24"/>
                <w:highlight w:val="none"/>
              </w:rPr>
            </w:pPr>
            <w:r>
              <w:rPr>
                <w:rFonts w:hint="eastAsia" w:ascii="Times New Roman" w:hAnsi="Times New Roman" w:eastAsia="宋体" w:cs="Times New Roman"/>
                <w:bCs/>
                <w:color w:val="auto"/>
                <w:spacing w:val="0"/>
                <w:kern w:val="2"/>
                <w:position w:val="0"/>
                <w:sz w:val="24"/>
                <w:szCs w:val="24"/>
                <w:highlight w:val="none"/>
              </w:rPr>
              <w:t>与项目有关的原有环境污染问题</w:t>
            </w:r>
          </w:p>
        </w:tc>
        <w:tc>
          <w:tcPr>
            <w:tcW w:w="13480" w:type="dxa"/>
            <w:vAlign w:val="center"/>
          </w:tcPr>
          <w:p w14:paraId="424A902C">
            <w:pPr>
              <w:pStyle w:val="63"/>
              <w:keepNext w:val="0"/>
              <w:keepLines w:val="0"/>
              <w:pageBreakBefore w:val="0"/>
              <w:widowControl/>
              <w:kinsoku/>
              <w:wordWrap/>
              <w:overflowPunct/>
              <w:topLinePunct w:val="0"/>
              <w:autoSpaceDE/>
              <w:autoSpaceDN/>
              <w:bidi w:val="0"/>
              <w:adjustRightInd/>
              <w:snapToGrid w:val="0"/>
              <w:spacing w:line="360" w:lineRule="auto"/>
              <w:ind w:firstLine="0" w:firstLineChars="0"/>
              <w:jc w:val="both"/>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lang w:val="en-US" w:eastAsia="zh-CN"/>
              </w:rPr>
              <w:t>2.</w:t>
            </w:r>
            <w:r>
              <w:rPr>
                <w:rFonts w:hint="eastAsia" w:ascii="Times New Roman" w:hAnsi="Times New Roman" w:eastAsia="宋体" w:cs="Times New Roman"/>
                <w:b/>
                <w:bCs/>
                <w:color w:val="auto"/>
                <w:spacing w:val="0"/>
                <w:position w:val="0"/>
                <w:sz w:val="24"/>
                <w:szCs w:val="24"/>
                <w:highlight w:val="none"/>
                <w:lang w:val="en-US" w:eastAsia="zh-CN"/>
              </w:rPr>
              <w:t>9</w:t>
            </w:r>
            <w:r>
              <w:rPr>
                <w:rFonts w:hint="default" w:ascii="Times New Roman" w:hAnsi="Times New Roman" w:eastAsia="宋体" w:cs="Times New Roman"/>
                <w:b/>
                <w:bCs/>
                <w:color w:val="auto"/>
                <w:spacing w:val="0"/>
                <w:position w:val="0"/>
                <w:sz w:val="24"/>
                <w:szCs w:val="24"/>
                <w:highlight w:val="none"/>
                <w:lang w:val="en-US" w:eastAsia="zh-CN"/>
              </w:rPr>
              <w:t>与项目有关的原有环境污染问题</w:t>
            </w:r>
          </w:p>
          <w:p w14:paraId="056AD44E">
            <w:pPr>
              <w:pStyle w:val="63"/>
              <w:keepNext w:val="0"/>
              <w:keepLines w:val="0"/>
              <w:pageBreakBefore w:val="0"/>
              <w:widowControl/>
              <w:kinsoku/>
              <w:wordWrap/>
              <w:overflowPunct/>
              <w:topLinePunct w:val="0"/>
              <w:autoSpaceDE/>
              <w:autoSpaceDN/>
              <w:bidi w:val="0"/>
              <w:adjustRightInd/>
              <w:snapToGrid w:val="0"/>
              <w:spacing w:line="360" w:lineRule="auto"/>
              <w:ind w:firstLine="0" w:firstLineChars="0"/>
              <w:jc w:val="both"/>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lang w:val="en-US" w:eastAsia="zh-CN"/>
              </w:rPr>
              <w:t>2.</w:t>
            </w:r>
            <w:r>
              <w:rPr>
                <w:rFonts w:hint="eastAsia" w:ascii="Times New Roman" w:hAnsi="Times New Roman" w:eastAsia="宋体" w:cs="Times New Roman"/>
                <w:b/>
                <w:bCs/>
                <w:color w:val="auto"/>
                <w:spacing w:val="0"/>
                <w:position w:val="0"/>
                <w:sz w:val="24"/>
                <w:szCs w:val="24"/>
                <w:highlight w:val="none"/>
                <w:lang w:val="en-US" w:eastAsia="zh-CN"/>
              </w:rPr>
              <w:t>9</w:t>
            </w:r>
            <w:r>
              <w:rPr>
                <w:rFonts w:hint="default" w:ascii="Times New Roman" w:hAnsi="Times New Roman" w:eastAsia="宋体" w:cs="Times New Roman"/>
                <w:b/>
                <w:bCs/>
                <w:color w:val="auto"/>
                <w:spacing w:val="0"/>
                <w:position w:val="0"/>
                <w:sz w:val="24"/>
                <w:szCs w:val="24"/>
                <w:highlight w:val="none"/>
                <w:lang w:val="en-US" w:eastAsia="zh-CN"/>
              </w:rPr>
              <w:t>.1</w:t>
            </w:r>
            <w:r>
              <w:rPr>
                <w:rFonts w:hint="eastAsia" w:cs="Times New Roman"/>
                <w:b/>
                <w:bCs/>
                <w:color w:val="auto"/>
                <w:spacing w:val="0"/>
                <w:position w:val="0"/>
                <w:sz w:val="24"/>
                <w:szCs w:val="24"/>
                <w:highlight w:val="none"/>
                <w:lang w:val="en-US" w:eastAsia="zh-CN"/>
              </w:rPr>
              <w:t>迁建</w:t>
            </w:r>
            <w:r>
              <w:rPr>
                <w:rFonts w:hint="default" w:ascii="Times New Roman" w:hAnsi="Times New Roman" w:eastAsia="宋体" w:cs="Times New Roman"/>
                <w:b/>
                <w:bCs/>
                <w:color w:val="auto"/>
                <w:spacing w:val="0"/>
                <w:position w:val="0"/>
                <w:sz w:val="24"/>
                <w:szCs w:val="24"/>
                <w:highlight w:val="none"/>
                <w:lang w:val="en-US" w:eastAsia="zh-CN"/>
              </w:rPr>
              <w:t>前项目环保手续执行情况</w:t>
            </w:r>
          </w:p>
          <w:p w14:paraId="0041D11B">
            <w:pPr>
              <w:pStyle w:val="63"/>
              <w:keepNext w:val="0"/>
              <w:keepLines w:val="0"/>
              <w:pageBreakBefore w:val="0"/>
              <w:widowControl/>
              <w:kinsoku w:val="0"/>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u w:val="none"/>
                <w:lang w:val="en-US" w:eastAsia="zh-CN"/>
              </w:rPr>
            </w:pPr>
            <w:r>
              <w:rPr>
                <w:rFonts w:hint="eastAsia" w:cs="Times New Roman"/>
                <w:color w:val="auto"/>
                <w:spacing w:val="0"/>
                <w:position w:val="0"/>
                <w:sz w:val="24"/>
                <w:szCs w:val="24"/>
                <w:highlight w:val="none"/>
                <w:u w:val="none"/>
                <w:lang w:eastAsia="zh-CN"/>
              </w:rPr>
              <w:t>福州市搜一家具有限公司</w:t>
            </w:r>
            <w:r>
              <w:rPr>
                <w:rFonts w:hint="eastAsia" w:ascii="Times New Roman" w:hAnsi="Times New Roman" w:eastAsia="宋体" w:cs="Times New Roman"/>
                <w:color w:val="auto"/>
                <w:spacing w:val="0"/>
                <w:position w:val="0"/>
                <w:sz w:val="24"/>
                <w:szCs w:val="24"/>
                <w:highlight w:val="none"/>
                <w:u w:val="none"/>
                <w:lang w:val="en-US" w:eastAsia="zh-CN"/>
              </w:rPr>
              <w:t>成立于2015年5月，主要从事</w:t>
            </w:r>
            <w:r>
              <w:rPr>
                <w:rFonts w:hint="eastAsia" w:cs="Times New Roman"/>
                <w:color w:val="auto"/>
                <w:spacing w:val="0"/>
                <w:kern w:val="0"/>
                <w:position w:val="0"/>
                <w:sz w:val="24"/>
                <w:szCs w:val="24"/>
                <w:highlight w:val="none"/>
                <w:lang w:val="en-US" w:eastAsia="zh-CN" w:bidi="ar"/>
              </w:rPr>
              <w:t>木质屏风</w:t>
            </w:r>
            <w:r>
              <w:rPr>
                <w:rFonts w:hint="eastAsia" w:ascii="Times New Roman" w:hAnsi="Times New Roman" w:eastAsia="宋体" w:cs="Times New Roman"/>
                <w:color w:val="auto"/>
                <w:spacing w:val="0"/>
                <w:kern w:val="0"/>
                <w:position w:val="0"/>
                <w:sz w:val="24"/>
                <w:szCs w:val="24"/>
                <w:highlight w:val="none"/>
                <w:lang w:val="en-US" w:eastAsia="zh-CN" w:bidi="ar"/>
              </w:rPr>
              <w:t>的生产，选址位于</w:t>
            </w:r>
            <w:r>
              <w:rPr>
                <w:rFonts w:hint="eastAsia" w:cs="Times New Roman"/>
                <w:color w:val="auto"/>
                <w:spacing w:val="0"/>
                <w:position w:val="0"/>
                <w:sz w:val="24"/>
                <w:szCs w:val="24"/>
                <w:highlight w:val="none"/>
                <w:u w:val="none"/>
                <w:lang w:val="en-US" w:eastAsia="zh-CN"/>
              </w:rPr>
              <w:t>福</w:t>
            </w:r>
            <w:r>
              <w:rPr>
                <w:rFonts w:hint="eastAsia" w:ascii="Times New Roman" w:hAnsi="Times New Roman" w:eastAsia="宋体" w:cs="Times New Roman"/>
                <w:color w:val="auto"/>
                <w:spacing w:val="0"/>
                <w:position w:val="0"/>
                <w:sz w:val="24"/>
                <w:szCs w:val="24"/>
                <w:highlight w:val="none"/>
                <w:u w:val="none"/>
                <w:lang w:val="en-US" w:eastAsia="zh-CN"/>
              </w:rPr>
              <w:t>建省福州市闽侯县荆溪镇长龙三路23、25号（</w:t>
            </w:r>
            <w:r>
              <w:rPr>
                <w:rFonts w:hint="eastAsia" w:cs="Times New Roman"/>
                <w:color w:val="auto"/>
                <w:spacing w:val="0"/>
                <w:position w:val="0"/>
                <w:sz w:val="24"/>
                <w:szCs w:val="24"/>
                <w:highlight w:val="none"/>
                <w:u w:val="none"/>
                <w:lang w:val="en-US" w:eastAsia="zh-CN"/>
              </w:rPr>
              <w:t>福建省奥德瑞电子科技有限公司</w:t>
            </w:r>
            <w:r>
              <w:rPr>
                <w:rFonts w:hint="eastAsia" w:ascii="Times New Roman" w:hAnsi="Times New Roman" w:eastAsia="宋体" w:cs="Times New Roman"/>
                <w:color w:val="auto"/>
                <w:spacing w:val="0"/>
                <w:position w:val="0"/>
                <w:sz w:val="24"/>
                <w:szCs w:val="24"/>
                <w:highlight w:val="none"/>
                <w:u w:val="none"/>
                <w:lang w:val="en-US" w:eastAsia="zh-CN"/>
              </w:rPr>
              <w:t>8#厂房）</w:t>
            </w:r>
            <w:r>
              <w:rPr>
                <w:rFonts w:hint="eastAsia" w:cs="Times New Roman"/>
                <w:color w:val="auto"/>
                <w:spacing w:val="0"/>
                <w:position w:val="0"/>
                <w:sz w:val="24"/>
                <w:szCs w:val="24"/>
                <w:highlight w:val="none"/>
                <w:u w:val="none"/>
                <w:lang w:val="en-US" w:eastAsia="zh-CN"/>
              </w:rPr>
              <w:t>，</w:t>
            </w:r>
            <w:r>
              <w:rPr>
                <w:rFonts w:hint="eastAsia" w:ascii="Times New Roman" w:hAnsi="Times New Roman" w:eastAsia="宋体" w:cs="Times New Roman"/>
                <w:color w:val="auto"/>
                <w:spacing w:val="0"/>
                <w:kern w:val="0"/>
                <w:position w:val="0"/>
                <w:sz w:val="24"/>
                <w:szCs w:val="24"/>
                <w:highlight w:val="none"/>
                <w:lang w:val="en-US" w:eastAsia="zh-CN" w:bidi="ar"/>
              </w:rPr>
              <w:t>租赁</w:t>
            </w:r>
            <w:r>
              <w:rPr>
                <w:rFonts w:hint="eastAsia" w:cs="Times New Roman"/>
                <w:color w:val="auto"/>
                <w:spacing w:val="0"/>
                <w:position w:val="0"/>
                <w:sz w:val="24"/>
                <w:szCs w:val="24"/>
                <w:highlight w:val="none"/>
                <w:u w:val="none"/>
                <w:lang w:val="en-US" w:eastAsia="zh-CN"/>
              </w:rPr>
              <w:t>福建省奥德瑞电子科技有限公司</w:t>
            </w:r>
            <w:r>
              <w:rPr>
                <w:rFonts w:hint="eastAsia" w:ascii="Times New Roman" w:hAnsi="Times New Roman" w:eastAsia="宋体" w:cs="Times New Roman"/>
                <w:color w:val="auto"/>
                <w:spacing w:val="0"/>
                <w:position w:val="0"/>
                <w:sz w:val="24"/>
                <w:szCs w:val="24"/>
                <w:highlight w:val="none"/>
                <w:u w:val="none"/>
                <w:lang w:val="en-US" w:eastAsia="zh-CN"/>
              </w:rPr>
              <w:t>8#闲置厂房进行生产。在20</w:t>
            </w:r>
            <w:r>
              <w:rPr>
                <w:rFonts w:hint="eastAsia" w:cs="Times New Roman"/>
                <w:color w:val="auto"/>
                <w:spacing w:val="0"/>
                <w:position w:val="0"/>
                <w:sz w:val="24"/>
                <w:szCs w:val="24"/>
                <w:highlight w:val="none"/>
                <w:u w:val="none"/>
                <w:lang w:val="en-US" w:eastAsia="zh-CN"/>
              </w:rPr>
              <w:t>21</w:t>
            </w:r>
            <w:r>
              <w:rPr>
                <w:rFonts w:hint="eastAsia" w:ascii="Times New Roman" w:hAnsi="Times New Roman" w:eastAsia="宋体" w:cs="Times New Roman"/>
                <w:color w:val="auto"/>
                <w:spacing w:val="0"/>
                <w:position w:val="0"/>
                <w:sz w:val="24"/>
                <w:szCs w:val="24"/>
                <w:highlight w:val="none"/>
                <w:u w:val="none"/>
                <w:lang w:val="en-US" w:eastAsia="zh-CN"/>
              </w:rPr>
              <w:t>年</w:t>
            </w:r>
            <w:r>
              <w:rPr>
                <w:rFonts w:hint="eastAsia" w:cs="Times New Roman"/>
                <w:color w:val="auto"/>
                <w:spacing w:val="0"/>
                <w:position w:val="0"/>
                <w:sz w:val="24"/>
                <w:szCs w:val="24"/>
                <w:highlight w:val="none"/>
                <w:u w:val="none"/>
                <w:lang w:val="en-US" w:eastAsia="zh-CN"/>
              </w:rPr>
              <w:t>6</w:t>
            </w:r>
            <w:r>
              <w:rPr>
                <w:rFonts w:hint="eastAsia" w:ascii="Times New Roman" w:hAnsi="Times New Roman" w:eastAsia="宋体" w:cs="Times New Roman"/>
                <w:color w:val="auto"/>
                <w:spacing w:val="0"/>
                <w:position w:val="0"/>
                <w:sz w:val="24"/>
                <w:szCs w:val="24"/>
                <w:highlight w:val="none"/>
                <w:u w:val="none"/>
                <w:lang w:val="en-US" w:eastAsia="zh-CN"/>
              </w:rPr>
              <w:t>月</w:t>
            </w:r>
            <w:r>
              <w:rPr>
                <w:rFonts w:hint="eastAsia" w:cs="Times New Roman"/>
                <w:color w:val="auto"/>
                <w:spacing w:val="0"/>
                <w:position w:val="0"/>
                <w:sz w:val="24"/>
                <w:szCs w:val="24"/>
                <w:highlight w:val="none"/>
                <w:u w:val="none"/>
                <w:lang w:eastAsia="zh-CN"/>
              </w:rPr>
              <w:t>福州市搜一家具有限公司</w:t>
            </w:r>
            <w:r>
              <w:rPr>
                <w:rFonts w:hint="eastAsia" w:cs="Times New Roman"/>
                <w:color w:val="auto"/>
                <w:spacing w:val="0"/>
                <w:position w:val="0"/>
                <w:sz w:val="24"/>
                <w:szCs w:val="24"/>
                <w:highlight w:val="none"/>
                <w:u w:val="none"/>
                <w:lang w:val="en-US" w:eastAsia="zh-CN"/>
              </w:rPr>
              <w:t>委</w:t>
            </w:r>
            <w:r>
              <w:rPr>
                <w:rFonts w:hint="eastAsia" w:ascii="Times New Roman" w:hAnsi="Times New Roman" w:eastAsia="宋体" w:cs="Times New Roman"/>
                <w:color w:val="auto"/>
                <w:spacing w:val="0"/>
                <w:position w:val="0"/>
                <w:sz w:val="24"/>
                <w:szCs w:val="24"/>
                <w:highlight w:val="none"/>
                <w:u w:val="none"/>
                <w:lang w:val="en-US" w:eastAsia="zh-CN"/>
              </w:rPr>
              <w:t>托</w:t>
            </w:r>
            <w:r>
              <w:rPr>
                <w:rFonts w:hint="eastAsia" w:cs="Times New Roman"/>
                <w:color w:val="auto"/>
                <w:spacing w:val="0"/>
                <w:position w:val="0"/>
                <w:sz w:val="24"/>
                <w:szCs w:val="24"/>
                <w:highlight w:val="none"/>
                <w:u w:val="none"/>
                <w:lang w:val="en-US" w:eastAsia="zh-CN"/>
              </w:rPr>
              <w:t>福建海涵环保咨询</w:t>
            </w:r>
            <w:r>
              <w:rPr>
                <w:rFonts w:hint="eastAsia" w:ascii="Times New Roman" w:hAnsi="Times New Roman" w:eastAsia="宋体" w:cs="Times New Roman"/>
                <w:color w:val="auto"/>
                <w:spacing w:val="0"/>
                <w:position w:val="0"/>
                <w:sz w:val="24"/>
                <w:szCs w:val="24"/>
                <w:highlight w:val="none"/>
                <w:u w:val="none"/>
                <w:lang w:val="en-US" w:eastAsia="zh-CN"/>
              </w:rPr>
              <w:t>有限公司编制《</w:t>
            </w:r>
            <w:r>
              <w:rPr>
                <w:rFonts w:hint="eastAsia" w:cs="Times New Roman"/>
                <w:color w:val="auto"/>
                <w:spacing w:val="0"/>
                <w:position w:val="0"/>
                <w:sz w:val="24"/>
                <w:szCs w:val="24"/>
                <w:highlight w:val="none"/>
                <w:u w:val="none"/>
                <w:lang w:eastAsia="zh-CN"/>
              </w:rPr>
              <w:t>福州市搜一家具有限公司</w:t>
            </w:r>
            <w:r>
              <w:rPr>
                <w:rFonts w:hint="eastAsia" w:cs="Times New Roman"/>
                <w:color w:val="auto"/>
                <w:spacing w:val="0"/>
                <w:position w:val="0"/>
                <w:sz w:val="24"/>
                <w:szCs w:val="24"/>
                <w:highlight w:val="none"/>
                <w:u w:val="none"/>
                <w:lang w:val="en-US" w:eastAsia="zh-CN"/>
              </w:rPr>
              <w:t>木质屏风生产</w:t>
            </w:r>
            <w:r>
              <w:rPr>
                <w:rFonts w:hint="eastAsia" w:ascii="Times New Roman" w:hAnsi="Times New Roman" w:eastAsia="宋体" w:cs="Times New Roman"/>
                <w:color w:val="auto"/>
                <w:spacing w:val="0"/>
                <w:position w:val="0"/>
                <w:sz w:val="24"/>
                <w:szCs w:val="24"/>
                <w:highlight w:val="none"/>
                <w:u w:val="none"/>
                <w:lang w:val="en-US" w:eastAsia="zh-CN"/>
              </w:rPr>
              <w:t>项目环境影响报告表》，于</w:t>
            </w:r>
            <w:r>
              <w:rPr>
                <w:rFonts w:ascii="Times New Roman" w:hAnsi="Times New Roman" w:eastAsia="宋体" w:cs="Times New Roman"/>
                <w:color w:val="auto"/>
                <w:sz w:val="24"/>
                <w:highlight w:val="none"/>
              </w:rPr>
              <w:t>20</w:t>
            </w:r>
            <w:r>
              <w:rPr>
                <w:rFonts w:hint="eastAsia" w:cs="Times New Roman"/>
                <w:color w:val="auto"/>
                <w:sz w:val="24"/>
                <w:highlight w:val="none"/>
                <w:lang w:val="en-US" w:eastAsia="zh-CN"/>
              </w:rPr>
              <w:t>21</w:t>
            </w:r>
            <w:r>
              <w:rPr>
                <w:rFonts w:ascii="Times New Roman" w:hAnsi="Times New Roman" w:eastAsia="宋体" w:cs="Times New Roman"/>
                <w:color w:val="auto"/>
                <w:sz w:val="24"/>
                <w:highlight w:val="none"/>
              </w:rPr>
              <w:t>年</w:t>
            </w:r>
            <w:r>
              <w:rPr>
                <w:rFonts w:hint="eastAsia" w:cs="Times New Roman"/>
                <w:color w:val="auto"/>
                <w:sz w:val="24"/>
                <w:highlight w:val="none"/>
                <w:lang w:val="en-US" w:eastAsia="zh-CN"/>
              </w:rPr>
              <w:t>8</w:t>
            </w:r>
            <w:r>
              <w:rPr>
                <w:rFonts w:ascii="Times New Roman" w:hAnsi="Times New Roman" w:eastAsia="宋体" w:cs="Times New Roman"/>
                <w:color w:val="auto"/>
                <w:sz w:val="24"/>
                <w:highlight w:val="none"/>
              </w:rPr>
              <w:t>月</w:t>
            </w:r>
            <w:r>
              <w:rPr>
                <w:rFonts w:hint="eastAsia" w:cs="Times New Roman"/>
                <w:color w:val="auto"/>
                <w:sz w:val="24"/>
                <w:highlight w:val="none"/>
                <w:lang w:val="en-US" w:eastAsia="zh-CN"/>
              </w:rPr>
              <w:t>5</w:t>
            </w:r>
            <w:r>
              <w:rPr>
                <w:rFonts w:ascii="Times New Roman" w:hAnsi="Times New Roman" w:eastAsia="宋体" w:cs="Times New Roman"/>
                <w:color w:val="auto"/>
                <w:sz w:val="24"/>
                <w:highlight w:val="none"/>
              </w:rPr>
              <w:t>日</w:t>
            </w:r>
            <w:r>
              <w:rPr>
                <w:rFonts w:hint="eastAsia" w:ascii="Times New Roman" w:hAnsi="Times New Roman" w:eastAsia="宋体" w:cs="Times New Roman"/>
                <w:color w:val="auto"/>
                <w:spacing w:val="0"/>
                <w:position w:val="0"/>
                <w:sz w:val="24"/>
                <w:szCs w:val="24"/>
                <w:highlight w:val="none"/>
                <w:u w:val="none"/>
                <w:lang w:val="en-US" w:eastAsia="zh-CN"/>
              </w:rPr>
              <w:t>取得批复</w:t>
            </w:r>
            <w:r>
              <w:rPr>
                <w:rFonts w:hint="eastAsia" w:cs="Times New Roman"/>
                <w:color w:val="auto"/>
                <w:spacing w:val="0"/>
                <w:position w:val="0"/>
                <w:sz w:val="24"/>
                <w:szCs w:val="24"/>
                <w:highlight w:val="none"/>
                <w:u w:val="none"/>
                <w:lang w:val="en-US" w:eastAsia="zh-CN"/>
              </w:rPr>
              <w:t>（</w:t>
            </w:r>
            <w:r>
              <w:rPr>
                <w:rFonts w:hint="eastAsia" w:cs="Times New Roman"/>
                <w:color w:val="auto"/>
                <w:sz w:val="24"/>
                <w:highlight w:val="none"/>
                <w:lang w:val="en-US" w:eastAsia="zh-CN"/>
              </w:rPr>
              <w:t>侯环评</w:t>
            </w:r>
            <w:r>
              <w:rPr>
                <w:rFonts w:hint="eastAsia" w:ascii="Times New Roman" w:hAnsi="Times New Roman" w:eastAsia="宋体" w:cs="Times New Roman"/>
                <w:color w:val="auto"/>
                <w:sz w:val="24"/>
                <w:highlight w:val="none"/>
              </w:rPr>
              <w:t>[2</w:t>
            </w:r>
            <w:r>
              <w:rPr>
                <w:rFonts w:hint="eastAsia" w:ascii="Times New Roman" w:hAnsi="Times New Roman" w:eastAsia="宋体" w:cs="Times New Roman"/>
                <w:color w:val="auto"/>
                <w:sz w:val="24"/>
                <w:highlight w:val="none"/>
                <w:lang w:val="en-US" w:eastAsia="zh-CN"/>
              </w:rPr>
              <w:t>0</w:t>
            </w:r>
            <w:r>
              <w:rPr>
                <w:rFonts w:hint="eastAsia" w:cs="Times New Roman"/>
                <w:color w:val="auto"/>
                <w:sz w:val="24"/>
                <w:highlight w:val="none"/>
                <w:lang w:val="en-US" w:eastAsia="zh-CN"/>
              </w:rPr>
              <w:t>21</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108</w:t>
            </w:r>
            <w:r>
              <w:rPr>
                <w:rFonts w:ascii="Times New Roman" w:hAnsi="Times New Roman" w:eastAsia="宋体" w:cs="Times New Roman"/>
                <w:color w:val="auto"/>
                <w:sz w:val="24"/>
                <w:highlight w:val="none"/>
              </w:rPr>
              <w:t>号</w:t>
            </w:r>
            <w:r>
              <w:rPr>
                <w:rFonts w:hint="eastAsia" w:ascii="Times New Roman" w:hAnsi="Times New Roman" w:eastAsia="宋体" w:cs="Times New Roman"/>
                <w:color w:val="auto"/>
                <w:spacing w:val="0"/>
                <w:position w:val="0"/>
                <w:sz w:val="24"/>
                <w:szCs w:val="24"/>
                <w:highlight w:val="none"/>
                <w:u w:val="none"/>
                <w:lang w:val="en-US" w:eastAsia="zh-CN"/>
              </w:rPr>
              <w:t>）（详见附件1</w:t>
            </w:r>
            <w:r>
              <w:rPr>
                <w:rFonts w:hint="eastAsia" w:cs="Times New Roman"/>
                <w:color w:val="auto"/>
                <w:spacing w:val="0"/>
                <w:position w:val="0"/>
                <w:sz w:val="24"/>
                <w:szCs w:val="24"/>
                <w:highlight w:val="none"/>
                <w:u w:val="none"/>
                <w:lang w:val="en-US" w:eastAsia="zh-CN"/>
              </w:rPr>
              <w:t>0</w:t>
            </w:r>
            <w:r>
              <w:rPr>
                <w:rFonts w:hint="eastAsia" w:ascii="Times New Roman" w:hAnsi="Times New Roman" w:eastAsia="宋体" w:cs="Times New Roman"/>
                <w:color w:val="auto"/>
                <w:spacing w:val="0"/>
                <w:position w:val="0"/>
                <w:sz w:val="24"/>
                <w:szCs w:val="24"/>
                <w:highlight w:val="none"/>
                <w:u w:val="none"/>
                <w:lang w:val="en-US" w:eastAsia="zh-CN"/>
              </w:rPr>
              <w:t>）；在20</w:t>
            </w:r>
            <w:r>
              <w:rPr>
                <w:rFonts w:hint="eastAsia" w:cs="Times New Roman"/>
                <w:color w:val="auto"/>
                <w:spacing w:val="0"/>
                <w:position w:val="0"/>
                <w:sz w:val="24"/>
                <w:szCs w:val="24"/>
                <w:highlight w:val="none"/>
                <w:u w:val="none"/>
                <w:lang w:val="en-US" w:eastAsia="zh-CN"/>
              </w:rPr>
              <w:t>21</w:t>
            </w:r>
            <w:r>
              <w:rPr>
                <w:rFonts w:hint="eastAsia" w:ascii="Times New Roman" w:hAnsi="Times New Roman" w:eastAsia="宋体" w:cs="Times New Roman"/>
                <w:color w:val="auto"/>
                <w:spacing w:val="0"/>
                <w:position w:val="0"/>
                <w:sz w:val="24"/>
                <w:szCs w:val="24"/>
                <w:highlight w:val="none"/>
                <w:u w:val="none"/>
                <w:lang w:val="en-US" w:eastAsia="zh-CN"/>
              </w:rPr>
              <w:t>年</w:t>
            </w:r>
            <w:r>
              <w:rPr>
                <w:rFonts w:hint="eastAsia" w:cs="Times New Roman"/>
                <w:color w:val="auto"/>
                <w:spacing w:val="0"/>
                <w:position w:val="0"/>
                <w:sz w:val="24"/>
                <w:szCs w:val="24"/>
                <w:highlight w:val="none"/>
                <w:u w:val="none"/>
                <w:lang w:val="en-US" w:eastAsia="zh-CN"/>
              </w:rPr>
              <w:t>12</w:t>
            </w:r>
            <w:r>
              <w:rPr>
                <w:rFonts w:hint="eastAsia" w:ascii="Times New Roman" w:hAnsi="Times New Roman" w:eastAsia="宋体" w:cs="Times New Roman"/>
                <w:color w:val="auto"/>
                <w:spacing w:val="0"/>
                <w:position w:val="0"/>
                <w:sz w:val="24"/>
                <w:szCs w:val="24"/>
                <w:highlight w:val="none"/>
                <w:u w:val="none"/>
                <w:lang w:val="en-US" w:eastAsia="zh-CN"/>
              </w:rPr>
              <w:t>月，</w:t>
            </w:r>
            <w:r>
              <w:rPr>
                <w:rFonts w:hint="eastAsia" w:cs="Times New Roman"/>
                <w:color w:val="auto"/>
                <w:spacing w:val="0"/>
                <w:position w:val="0"/>
                <w:sz w:val="24"/>
                <w:szCs w:val="24"/>
                <w:highlight w:val="none"/>
                <w:u w:val="none"/>
                <w:lang w:eastAsia="zh-CN"/>
              </w:rPr>
              <w:t>福州市搜一家具有限公司</w:t>
            </w:r>
            <w:r>
              <w:rPr>
                <w:rFonts w:hint="eastAsia" w:ascii="Times New Roman" w:hAnsi="Times New Roman" w:eastAsia="宋体" w:cs="Times New Roman"/>
                <w:color w:val="auto"/>
                <w:spacing w:val="0"/>
                <w:position w:val="0"/>
                <w:sz w:val="24"/>
                <w:szCs w:val="24"/>
                <w:highlight w:val="none"/>
                <w:u w:val="none"/>
                <w:lang w:val="en-US" w:eastAsia="zh-CN"/>
              </w:rPr>
              <w:t>开展关于“</w:t>
            </w:r>
            <w:r>
              <w:rPr>
                <w:rFonts w:hint="eastAsia" w:ascii="Times New Roman" w:hAnsi="Times New Roman" w:eastAsia="宋体" w:cs="Times New Roman"/>
                <w:color w:val="auto"/>
                <w:spacing w:val="0"/>
                <w:position w:val="0"/>
                <w:sz w:val="24"/>
                <w:szCs w:val="24"/>
                <w:highlight w:val="none"/>
                <w:u w:val="none"/>
                <w:lang w:eastAsia="zh-CN"/>
              </w:rPr>
              <w:t>福州市搜一家具有限公司木质屏风生产项目</w:t>
            </w:r>
            <w:r>
              <w:rPr>
                <w:rFonts w:hint="eastAsia" w:ascii="Times New Roman" w:hAnsi="Times New Roman" w:eastAsia="宋体" w:cs="Times New Roman"/>
                <w:color w:val="auto"/>
                <w:spacing w:val="0"/>
                <w:position w:val="0"/>
                <w:sz w:val="24"/>
                <w:szCs w:val="24"/>
                <w:highlight w:val="none"/>
                <w:u w:val="none"/>
                <w:lang w:val="en-US" w:eastAsia="zh-CN"/>
              </w:rPr>
              <w:t>”竣工环境保护自主验收工作，根据建设项目环境保护相关法律、</w:t>
            </w:r>
            <w:r>
              <w:rPr>
                <w:rFonts w:hint="eastAsia" w:cs="Times New Roman"/>
                <w:color w:val="auto"/>
                <w:spacing w:val="0"/>
                <w:position w:val="0"/>
                <w:sz w:val="24"/>
                <w:szCs w:val="24"/>
                <w:highlight w:val="none"/>
                <w:u w:val="none"/>
                <w:lang w:val="en-US" w:eastAsia="zh-CN"/>
              </w:rPr>
              <w:t>法规</w:t>
            </w:r>
            <w:r>
              <w:rPr>
                <w:rFonts w:hint="eastAsia" w:ascii="Times New Roman" w:hAnsi="Times New Roman" w:eastAsia="宋体" w:cs="Times New Roman"/>
                <w:color w:val="auto"/>
                <w:spacing w:val="0"/>
                <w:position w:val="0"/>
                <w:sz w:val="24"/>
                <w:szCs w:val="24"/>
                <w:highlight w:val="none"/>
                <w:u w:val="none"/>
                <w:lang w:val="en-US" w:eastAsia="zh-CN"/>
              </w:rPr>
              <w:t>和规章制度，“</w:t>
            </w:r>
            <w:r>
              <w:rPr>
                <w:rFonts w:hint="eastAsia" w:cs="Times New Roman"/>
                <w:color w:val="auto"/>
                <w:spacing w:val="0"/>
                <w:position w:val="0"/>
                <w:sz w:val="24"/>
                <w:szCs w:val="24"/>
                <w:highlight w:val="none"/>
                <w:u w:val="none"/>
                <w:lang w:eastAsia="zh-CN"/>
              </w:rPr>
              <w:t>福州市搜一家具有限公司</w:t>
            </w:r>
            <w:r>
              <w:rPr>
                <w:rFonts w:hint="eastAsia" w:cs="Times New Roman"/>
                <w:color w:val="auto"/>
                <w:spacing w:val="0"/>
                <w:position w:val="0"/>
                <w:sz w:val="24"/>
                <w:szCs w:val="24"/>
                <w:highlight w:val="none"/>
                <w:u w:val="none"/>
                <w:lang w:val="en-US" w:eastAsia="zh-CN"/>
              </w:rPr>
              <w:t>木质屏风生产</w:t>
            </w:r>
            <w:r>
              <w:rPr>
                <w:rFonts w:hint="eastAsia" w:ascii="Times New Roman" w:hAnsi="Times New Roman" w:eastAsia="宋体" w:cs="Times New Roman"/>
                <w:color w:val="auto"/>
                <w:spacing w:val="0"/>
                <w:position w:val="0"/>
                <w:sz w:val="24"/>
                <w:szCs w:val="24"/>
                <w:highlight w:val="none"/>
                <w:u w:val="none"/>
                <w:lang w:val="en-US" w:eastAsia="zh-CN"/>
              </w:rPr>
              <w:t>项目”符合竣工环境保护验收（详见附件</w:t>
            </w:r>
            <w:r>
              <w:rPr>
                <w:rFonts w:hint="eastAsia" w:cs="Times New Roman"/>
                <w:color w:val="auto"/>
                <w:spacing w:val="0"/>
                <w:sz w:val="24"/>
                <w:szCs w:val="24"/>
                <w:highlight w:val="none"/>
                <w:lang w:val="en-US" w:eastAsia="zh-CN"/>
              </w:rPr>
              <w:t>11</w:t>
            </w:r>
            <w:r>
              <w:rPr>
                <w:rFonts w:hint="eastAsia" w:ascii="Times New Roman" w:hAnsi="Times New Roman" w:eastAsia="宋体" w:cs="Times New Roman"/>
                <w:color w:val="auto"/>
                <w:spacing w:val="0"/>
                <w:position w:val="0"/>
                <w:sz w:val="24"/>
                <w:szCs w:val="24"/>
                <w:highlight w:val="none"/>
                <w:u w:val="none"/>
                <w:lang w:val="en-US" w:eastAsia="zh-CN"/>
              </w:rPr>
              <w:t>）。在2021年11月25日在全国排污许可证管理信息平台上取的了“固定污染源排污登记回执”单（登记编号：91350121MA2Y0DLHXN001Y）（详见附件1</w:t>
            </w:r>
            <w:r>
              <w:rPr>
                <w:rFonts w:hint="eastAsia" w:cs="Times New Roman"/>
                <w:color w:val="auto"/>
                <w:spacing w:val="0"/>
                <w:position w:val="0"/>
                <w:sz w:val="24"/>
                <w:szCs w:val="24"/>
                <w:highlight w:val="none"/>
                <w:u w:val="none"/>
                <w:lang w:val="en-US" w:eastAsia="zh-CN"/>
              </w:rPr>
              <w:t>3</w:t>
            </w:r>
            <w:r>
              <w:rPr>
                <w:rFonts w:hint="eastAsia" w:ascii="Times New Roman" w:hAnsi="Times New Roman" w:eastAsia="宋体" w:cs="Times New Roman"/>
                <w:color w:val="auto"/>
                <w:spacing w:val="0"/>
                <w:position w:val="0"/>
                <w:sz w:val="24"/>
                <w:szCs w:val="24"/>
                <w:highlight w:val="none"/>
                <w:u w:val="none"/>
                <w:lang w:val="en-US" w:eastAsia="zh-CN"/>
              </w:rPr>
              <w:t>）。</w:t>
            </w:r>
          </w:p>
          <w:p w14:paraId="0B08BE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spacing w:val="0"/>
                <w:sz w:val="24"/>
                <w:highlight w:val="none"/>
              </w:rPr>
            </w:pPr>
            <w:r>
              <w:rPr>
                <w:rFonts w:ascii="Times New Roman" w:hAnsi="Times New Roman" w:eastAsia="宋体" w:cs="Times New Roman"/>
                <w:b/>
                <w:bCs/>
                <w:color w:val="auto"/>
                <w:spacing w:val="0"/>
                <w:sz w:val="24"/>
                <w:highlight w:val="none"/>
              </w:rPr>
              <w:t>表</w:t>
            </w:r>
            <w:r>
              <w:rPr>
                <w:rFonts w:hint="eastAsia" w:ascii="Times New Roman" w:hAnsi="Times New Roman" w:eastAsia="宋体" w:cs="Times New Roman"/>
                <w:b/>
                <w:bCs/>
                <w:color w:val="auto"/>
                <w:spacing w:val="0"/>
                <w:sz w:val="24"/>
                <w:highlight w:val="none"/>
              </w:rPr>
              <w:t>2</w:t>
            </w:r>
            <w:r>
              <w:rPr>
                <w:rFonts w:hint="eastAsia" w:ascii="Times New Roman" w:hAnsi="Times New Roman" w:eastAsia="宋体" w:cs="Times New Roman"/>
                <w:b/>
                <w:bCs/>
                <w:color w:val="auto"/>
                <w:spacing w:val="0"/>
                <w:sz w:val="24"/>
                <w:highlight w:val="none"/>
                <w:lang w:val="en-US" w:eastAsia="zh-CN"/>
              </w:rPr>
              <w:t xml:space="preserve">.9.1-1 </w:t>
            </w:r>
            <w:r>
              <w:rPr>
                <w:rFonts w:hint="eastAsia" w:cs="Times New Roman"/>
                <w:b/>
                <w:bCs/>
                <w:color w:val="auto"/>
                <w:spacing w:val="0"/>
                <w:sz w:val="24"/>
                <w:highlight w:val="none"/>
                <w:lang w:eastAsia="zh-CN"/>
              </w:rPr>
              <w:t>迁建</w:t>
            </w:r>
            <w:r>
              <w:rPr>
                <w:rFonts w:ascii="Times New Roman" w:hAnsi="Times New Roman" w:eastAsia="宋体" w:cs="Times New Roman"/>
                <w:b/>
                <w:bCs/>
                <w:color w:val="auto"/>
                <w:spacing w:val="0"/>
                <w:sz w:val="24"/>
                <w:highlight w:val="none"/>
              </w:rPr>
              <w:t>前工程环保手续办理情况表</w:t>
            </w:r>
          </w:p>
          <w:tbl>
            <w:tblPr>
              <w:tblStyle w:val="29"/>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16"/>
              <w:gridCol w:w="900"/>
              <w:gridCol w:w="1917"/>
              <w:gridCol w:w="1274"/>
              <w:gridCol w:w="1126"/>
            </w:tblGrid>
            <w:tr w14:paraId="7E56EA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6" w:type="dxa"/>
                  <w:tcBorders>
                    <w:tl2br w:val="nil"/>
                    <w:tr2bl w:val="nil"/>
                  </w:tcBorders>
                  <w:vAlign w:val="center"/>
                </w:tcPr>
                <w:p w14:paraId="26CA6F6B">
                  <w:pPr>
                    <w:jc w:val="center"/>
                    <w:rPr>
                      <w:rFonts w:ascii="Times New Roman" w:hAnsi="Times New Roman" w:eastAsia="宋体" w:cs="Times New Roman"/>
                      <w:b/>
                      <w:bCs/>
                      <w:color w:val="auto"/>
                      <w:spacing w:val="0"/>
                      <w:sz w:val="21"/>
                      <w:szCs w:val="21"/>
                      <w:highlight w:val="none"/>
                    </w:rPr>
                  </w:pPr>
                  <w:r>
                    <w:rPr>
                      <w:rFonts w:ascii="Times New Roman" w:hAnsi="Times New Roman" w:eastAsia="宋体" w:cs="Times New Roman"/>
                      <w:b/>
                      <w:bCs/>
                      <w:color w:val="auto"/>
                      <w:spacing w:val="0"/>
                      <w:sz w:val="21"/>
                      <w:szCs w:val="21"/>
                      <w:highlight w:val="none"/>
                    </w:rPr>
                    <w:t>名称</w:t>
                  </w:r>
                </w:p>
              </w:tc>
              <w:tc>
                <w:tcPr>
                  <w:tcW w:w="900" w:type="dxa"/>
                  <w:tcBorders>
                    <w:tl2br w:val="nil"/>
                    <w:tr2bl w:val="nil"/>
                  </w:tcBorders>
                  <w:vAlign w:val="center"/>
                </w:tcPr>
                <w:p w14:paraId="7A34908F">
                  <w:pPr>
                    <w:jc w:val="center"/>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建设</w:t>
                  </w:r>
                </w:p>
                <w:p w14:paraId="08974D81">
                  <w:pPr>
                    <w:jc w:val="center"/>
                    <w:rPr>
                      <w:rFonts w:ascii="Times New Roman" w:hAnsi="Times New Roman" w:eastAsia="宋体" w:cs="Times New Roman"/>
                      <w:b/>
                      <w:bCs/>
                      <w:color w:val="auto"/>
                      <w:spacing w:val="0"/>
                      <w:sz w:val="21"/>
                      <w:szCs w:val="21"/>
                      <w:highlight w:val="none"/>
                    </w:rPr>
                  </w:pPr>
                  <w:r>
                    <w:rPr>
                      <w:rFonts w:ascii="Times New Roman" w:hAnsi="Times New Roman" w:eastAsia="宋体" w:cs="Times New Roman"/>
                      <w:b/>
                      <w:bCs/>
                      <w:color w:val="auto"/>
                      <w:spacing w:val="0"/>
                      <w:sz w:val="21"/>
                      <w:szCs w:val="21"/>
                      <w:highlight w:val="none"/>
                    </w:rPr>
                    <w:t>规模</w:t>
                  </w:r>
                </w:p>
              </w:tc>
              <w:tc>
                <w:tcPr>
                  <w:tcW w:w="1917" w:type="dxa"/>
                  <w:tcBorders>
                    <w:tl2br w:val="nil"/>
                    <w:tr2bl w:val="nil"/>
                  </w:tcBorders>
                  <w:vAlign w:val="center"/>
                </w:tcPr>
                <w:p w14:paraId="019B1BF7">
                  <w:pPr>
                    <w:jc w:val="center"/>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lang w:val="en-US" w:eastAsia="zh-CN"/>
                    </w:rPr>
                    <w:t>时间</w:t>
                  </w:r>
                </w:p>
              </w:tc>
              <w:tc>
                <w:tcPr>
                  <w:tcW w:w="1274" w:type="dxa"/>
                  <w:tcBorders>
                    <w:tl2br w:val="nil"/>
                    <w:tr2bl w:val="nil"/>
                  </w:tcBorders>
                  <w:vAlign w:val="center"/>
                </w:tcPr>
                <w:p w14:paraId="685170FF">
                  <w:pPr>
                    <w:jc w:val="center"/>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地址</w:t>
                  </w:r>
                </w:p>
              </w:tc>
              <w:tc>
                <w:tcPr>
                  <w:tcW w:w="1126" w:type="dxa"/>
                  <w:tcBorders>
                    <w:tl2br w:val="nil"/>
                    <w:tr2bl w:val="nil"/>
                  </w:tcBorders>
                  <w:vAlign w:val="center"/>
                </w:tcPr>
                <w:p w14:paraId="13D458C7">
                  <w:pPr>
                    <w:jc w:val="center"/>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备注</w:t>
                  </w:r>
                </w:p>
              </w:tc>
            </w:tr>
            <w:tr w14:paraId="280A59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6" w:type="dxa"/>
                  <w:tcBorders>
                    <w:tl2br w:val="nil"/>
                    <w:tr2bl w:val="nil"/>
                  </w:tcBorders>
                  <w:vAlign w:val="center"/>
                </w:tcPr>
                <w:p w14:paraId="75FC9BA8">
                  <w:pPr>
                    <w:jc w:val="both"/>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position w:val="0"/>
                      <w:sz w:val="21"/>
                      <w:szCs w:val="21"/>
                      <w:highlight w:val="none"/>
                      <w:u w:val="none"/>
                      <w:lang w:eastAsia="zh-CN"/>
                    </w:rPr>
                    <w:t>福州市搜一家具有限公司木质屏风生产项目</w:t>
                  </w:r>
                  <w:r>
                    <w:rPr>
                      <w:rFonts w:hint="eastAsia" w:ascii="Times New Roman" w:hAnsi="Times New Roman" w:eastAsia="宋体" w:cs="Times New Roman"/>
                      <w:color w:val="auto"/>
                      <w:spacing w:val="0"/>
                      <w:position w:val="0"/>
                      <w:sz w:val="21"/>
                      <w:szCs w:val="21"/>
                      <w:highlight w:val="none"/>
                      <w:u w:val="none"/>
                      <w:lang w:val="en-US" w:eastAsia="zh-CN"/>
                    </w:rPr>
                    <w:t>环境影响报告表</w:t>
                  </w:r>
                </w:p>
              </w:tc>
              <w:tc>
                <w:tcPr>
                  <w:tcW w:w="900" w:type="dxa"/>
                  <w:vMerge w:val="restart"/>
                  <w:tcBorders>
                    <w:tl2br w:val="nil"/>
                    <w:tr2bl w:val="nil"/>
                  </w:tcBorders>
                  <w:vAlign w:val="center"/>
                </w:tcPr>
                <w:p w14:paraId="4FF56E1D">
                  <w:pPr>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年产</w:t>
                  </w:r>
                  <w:r>
                    <w:rPr>
                      <w:rFonts w:hint="eastAsia" w:cs="Times New Roman"/>
                      <w:color w:val="auto"/>
                      <w:spacing w:val="0"/>
                      <w:sz w:val="21"/>
                      <w:szCs w:val="21"/>
                      <w:highlight w:val="none"/>
                      <w:lang w:val="en-US" w:eastAsia="zh-CN"/>
                    </w:rPr>
                    <w:t>木质屏风4800个</w:t>
                  </w:r>
                </w:p>
              </w:tc>
              <w:tc>
                <w:tcPr>
                  <w:tcW w:w="1917" w:type="dxa"/>
                  <w:tcBorders>
                    <w:tl2br w:val="nil"/>
                    <w:tr2bl w:val="nil"/>
                  </w:tcBorders>
                  <w:vAlign w:val="center"/>
                </w:tcPr>
                <w:p w14:paraId="287814AE">
                  <w:pPr>
                    <w:jc w:val="center"/>
                    <w:rPr>
                      <w:rFonts w:hint="eastAsia" w:ascii="Times New Roman" w:hAnsi="Times New Roman" w:eastAsia="宋体" w:cs="Times New Roman"/>
                      <w:color w:val="auto"/>
                      <w:spacing w:val="0"/>
                      <w:position w:val="0"/>
                      <w:sz w:val="21"/>
                      <w:szCs w:val="21"/>
                      <w:highlight w:val="none"/>
                      <w:u w:val="none"/>
                      <w:lang w:val="en-US" w:eastAsia="zh-CN"/>
                    </w:rPr>
                  </w:pPr>
                  <w:r>
                    <w:rPr>
                      <w:rFonts w:hint="eastAsia" w:ascii="Times New Roman" w:hAnsi="Times New Roman" w:eastAsia="宋体" w:cs="Times New Roman"/>
                      <w:color w:val="auto"/>
                      <w:spacing w:val="0"/>
                      <w:position w:val="0"/>
                      <w:sz w:val="21"/>
                      <w:szCs w:val="21"/>
                      <w:highlight w:val="none"/>
                      <w:u w:val="none"/>
                      <w:lang w:val="en-US" w:eastAsia="zh-CN"/>
                    </w:rPr>
                    <w:t>获取批复时间：</w:t>
                  </w:r>
                </w:p>
                <w:p w14:paraId="76E827FC">
                  <w:pPr>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u w:val="none"/>
                      <w:lang w:val="en-US" w:eastAsia="zh-CN"/>
                    </w:rPr>
                    <w:t>20</w:t>
                  </w:r>
                  <w:r>
                    <w:rPr>
                      <w:rFonts w:hint="eastAsia" w:cs="Times New Roman"/>
                      <w:color w:val="auto"/>
                      <w:spacing w:val="0"/>
                      <w:position w:val="0"/>
                      <w:sz w:val="21"/>
                      <w:szCs w:val="21"/>
                      <w:highlight w:val="none"/>
                      <w:u w:val="none"/>
                      <w:lang w:val="en-US" w:eastAsia="zh-CN"/>
                    </w:rPr>
                    <w:t>21</w:t>
                  </w:r>
                  <w:r>
                    <w:rPr>
                      <w:rFonts w:hint="eastAsia" w:ascii="Times New Roman" w:hAnsi="Times New Roman" w:eastAsia="宋体" w:cs="Times New Roman"/>
                      <w:color w:val="auto"/>
                      <w:spacing w:val="0"/>
                      <w:position w:val="0"/>
                      <w:sz w:val="21"/>
                      <w:szCs w:val="21"/>
                      <w:highlight w:val="none"/>
                      <w:u w:val="none"/>
                      <w:lang w:val="en-US" w:eastAsia="zh-CN"/>
                    </w:rPr>
                    <w:t>年</w:t>
                  </w:r>
                  <w:r>
                    <w:rPr>
                      <w:rFonts w:hint="eastAsia" w:cs="Times New Roman"/>
                      <w:color w:val="auto"/>
                      <w:spacing w:val="0"/>
                      <w:position w:val="0"/>
                      <w:sz w:val="21"/>
                      <w:szCs w:val="21"/>
                      <w:highlight w:val="none"/>
                      <w:u w:val="none"/>
                      <w:lang w:val="en-US" w:eastAsia="zh-CN"/>
                    </w:rPr>
                    <w:t>8</w:t>
                  </w:r>
                  <w:r>
                    <w:rPr>
                      <w:rFonts w:hint="eastAsia" w:ascii="Times New Roman" w:hAnsi="Times New Roman" w:eastAsia="宋体" w:cs="Times New Roman"/>
                      <w:color w:val="auto"/>
                      <w:spacing w:val="0"/>
                      <w:position w:val="0"/>
                      <w:sz w:val="21"/>
                      <w:szCs w:val="21"/>
                      <w:highlight w:val="none"/>
                      <w:u w:val="none"/>
                      <w:lang w:val="en-US" w:eastAsia="zh-CN"/>
                    </w:rPr>
                    <w:t>月</w:t>
                  </w:r>
                  <w:r>
                    <w:rPr>
                      <w:rFonts w:hint="eastAsia" w:cs="Times New Roman"/>
                      <w:color w:val="auto"/>
                      <w:spacing w:val="0"/>
                      <w:position w:val="0"/>
                      <w:sz w:val="21"/>
                      <w:szCs w:val="21"/>
                      <w:highlight w:val="none"/>
                      <w:u w:val="none"/>
                      <w:lang w:val="en-US" w:eastAsia="zh-CN"/>
                    </w:rPr>
                    <w:t>5</w:t>
                  </w:r>
                  <w:r>
                    <w:rPr>
                      <w:rFonts w:hint="eastAsia" w:ascii="Times New Roman" w:hAnsi="Times New Roman" w:eastAsia="宋体" w:cs="Times New Roman"/>
                      <w:color w:val="auto"/>
                      <w:spacing w:val="0"/>
                      <w:position w:val="0"/>
                      <w:sz w:val="21"/>
                      <w:szCs w:val="21"/>
                      <w:highlight w:val="none"/>
                      <w:u w:val="none"/>
                      <w:lang w:val="en-US" w:eastAsia="zh-CN"/>
                    </w:rPr>
                    <w:t>日</w:t>
                  </w:r>
                </w:p>
              </w:tc>
              <w:tc>
                <w:tcPr>
                  <w:tcW w:w="1274" w:type="dxa"/>
                  <w:vMerge w:val="restart"/>
                  <w:tcBorders>
                    <w:tl2br w:val="nil"/>
                    <w:tr2bl w:val="nil"/>
                  </w:tcBorders>
                  <w:vAlign w:val="center"/>
                </w:tcPr>
                <w:p w14:paraId="24DB80CA">
                  <w:pPr>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u w:val="none"/>
                      <w:lang w:val="en-US" w:eastAsia="zh-CN"/>
                    </w:rPr>
                    <w:t>福建省福州市闽侯县荆溪镇长龙三路23、25号（</w:t>
                  </w:r>
                  <w:r>
                    <w:rPr>
                      <w:rFonts w:hint="eastAsia" w:cs="Times New Roman"/>
                      <w:color w:val="auto"/>
                      <w:spacing w:val="0"/>
                      <w:position w:val="0"/>
                      <w:sz w:val="21"/>
                      <w:szCs w:val="21"/>
                      <w:highlight w:val="none"/>
                      <w:u w:val="none"/>
                      <w:lang w:val="en-US" w:eastAsia="zh-CN"/>
                    </w:rPr>
                    <w:t>福建省奥德瑞电子科技有限公司</w:t>
                  </w:r>
                  <w:r>
                    <w:rPr>
                      <w:rFonts w:hint="eastAsia" w:ascii="Times New Roman" w:hAnsi="Times New Roman" w:eastAsia="宋体" w:cs="Times New Roman"/>
                      <w:color w:val="auto"/>
                      <w:spacing w:val="0"/>
                      <w:position w:val="0"/>
                      <w:sz w:val="21"/>
                      <w:szCs w:val="21"/>
                      <w:highlight w:val="none"/>
                      <w:u w:val="none"/>
                      <w:lang w:val="en-US" w:eastAsia="zh-CN"/>
                    </w:rPr>
                    <w:t>8#厂房）</w:t>
                  </w:r>
                </w:p>
              </w:tc>
              <w:tc>
                <w:tcPr>
                  <w:tcW w:w="1126" w:type="dxa"/>
                  <w:tcBorders>
                    <w:tl2br w:val="nil"/>
                    <w:tr2bl w:val="nil"/>
                  </w:tcBorders>
                  <w:vAlign w:val="center"/>
                </w:tcPr>
                <w:p w14:paraId="1CD6F600">
                  <w:pPr>
                    <w:jc w:val="center"/>
                    <w:rPr>
                      <w:rFonts w:hint="default" w:ascii="Times New Roman" w:hAnsi="Times New Roman" w:eastAsia="宋体" w:cs="Times New Roman"/>
                      <w:color w:val="auto"/>
                      <w:spacing w:val="0"/>
                      <w:position w:val="0"/>
                      <w:sz w:val="21"/>
                      <w:szCs w:val="21"/>
                      <w:highlight w:val="none"/>
                      <w:u w:val="none"/>
                      <w:lang w:val="en-US" w:eastAsia="zh-CN"/>
                    </w:rPr>
                  </w:pPr>
                  <w:r>
                    <w:rPr>
                      <w:rFonts w:hint="eastAsia" w:cs="Times New Roman"/>
                      <w:b w:val="0"/>
                      <w:bCs/>
                      <w:color w:val="auto"/>
                      <w:spacing w:val="0"/>
                      <w:w w:val="100"/>
                      <w:position w:val="0"/>
                      <w:sz w:val="21"/>
                      <w:szCs w:val="21"/>
                      <w:highlight w:val="none"/>
                      <w:lang w:val="en-US" w:eastAsia="zh-CN"/>
                    </w:rPr>
                    <w:t>福州市生态环境局</w:t>
                  </w:r>
                </w:p>
              </w:tc>
            </w:tr>
            <w:tr w14:paraId="4EB097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6" w:type="dxa"/>
                  <w:tcBorders>
                    <w:tl2br w:val="nil"/>
                    <w:tr2bl w:val="nil"/>
                  </w:tcBorders>
                  <w:vAlign w:val="center"/>
                </w:tcPr>
                <w:p w14:paraId="1E068036">
                  <w:pPr>
                    <w:jc w:val="both"/>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position w:val="0"/>
                      <w:sz w:val="21"/>
                      <w:szCs w:val="21"/>
                      <w:highlight w:val="none"/>
                      <w:u w:val="none"/>
                      <w:lang w:eastAsia="zh-CN"/>
                    </w:rPr>
                    <w:t>福州市搜一家具有限公司木质屏风生产项目</w:t>
                  </w:r>
                  <w:r>
                    <w:rPr>
                      <w:rFonts w:hint="default" w:ascii="Times New Roman" w:hAnsi="Times New Roman" w:eastAsia="宋体" w:cs="Times New Roman"/>
                      <w:color w:val="auto"/>
                      <w:spacing w:val="0"/>
                      <w:position w:val="0"/>
                      <w:sz w:val="21"/>
                      <w:szCs w:val="21"/>
                      <w:highlight w:val="none"/>
                      <w:u w:val="none"/>
                      <w:lang w:val="en-US" w:eastAsia="zh-CN"/>
                    </w:rPr>
                    <w:t>竣工环境保护验收监测报告表</w:t>
                  </w:r>
                </w:p>
              </w:tc>
              <w:tc>
                <w:tcPr>
                  <w:tcW w:w="900" w:type="dxa"/>
                  <w:vMerge w:val="continue"/>
                  <w:tcBorders>
                    <w:tl2br w:val="nil"/>
                    <w:tr2bl w:val="nil"/>
                  </w:tcBorders>
                  <w:vAlign w:val="center"/>
                </w:tcPr>
                <w:p w14:paraId="300829C8">
                  <w:pPr>
                    <w:jc w:val="center"/>
                    <w:rPr>
                      <w:rFonts w:hint="eastAsia" w:ascii="Times New Roman" w:hAnsi="Times New Roman" w:eastAsia="宋体" w:cs="Times New Roman"/>
                      <w:color w:val="auto"/>
                      <w:spacing w:val="0"/>
                      <w:sz w:val="21"/>
                      <w:szCs w:val="21"/>
                      <w:highlight w:val="none"/>
                      <w:lang w:eastAsia="zh-CN"/>
                    </w:rPr>
                  </w:pPr>
                </w:p>
              </w:tc>
              <w:tc>
                <w:tcPr>
                  <w:tcW w:w="1917" w:type="dxa"/>
                  <w:tcBorders>
                    <w:tl2br w:val="nil"/>
                    <w:tr2bl w:val="nil"/>
                  </w:tcBorders>
                  <w:vAlign w:val="center"/>
                </w:tcPr>
                <w:p w14:paraId="55A7E3EF">
                  <w:pPr>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编制完成时间：</w:t>
                  </w:r>
                </w:p>
                <w:p w14:paraId="37ABD1E6">
                  <w:pPr>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u w:val="none"/>
                      <w:lang w:val="en-US" w:eastAsia="zh-CN"/>
                    </w:rPr>
                    <w:t>20</w:t>
                  </w:r>
                  <w:r>
                    <w:rPr>
                      <w:rFonts w:hint="eastAsia" w:cs="Times New Roman"/>
                      <w:color w:val="auto"/>
                      <w:spacing w:val="0"/>
                      <w:position w:val="0"/>
                      <w:sz w:val="21"/>
                      <w:szCs w:val="21"/>
                      <w:highlight w:val="none"/>
                      <w:u w:val="none"/>
                      <w:lang w:val="en-US" w:eastAsia="zh-CN"/>
                    </w:rPr>
                    <w:t>21</w:t>
                  </w:r>
                  <w:r>
                    <w:rPr>
                      <w:rFonts w:hint="eastAsia" w:ascii="Times New Roman" w:hAnsi="Times New Roman" w:eastAsia="宋体" w:cs="Times New Roman"/>
                      <w:color w:val="auto"/>
                      <w:spacing w:val="0"/>
                      <w:position w:val="0"/>
                      <w:sz w:val="21"/>
                      <w:szCs w:val="21"/>
                      <w:highlight w:val="none"/>
                      <w:u w:val="none"/>
                      <w:lang w:val="en-US" w:eastAsia="zh-CN"/>
                    </w:rPr>
                    <w:t>年</w:t>
                  </w:r>
                  <w:r>
                    <w:rPr>
                      <w:rFonts w:hint="eastAsia" w:cs="Times New Roman"/>
                      <w:color w:val="auto"/>
                      <w:spacing w:val="0"/>
                      <w:position w:val="0"/>
                      <w:sz w:val="21"/>
                      <w:szCs w:val="21"/>
                      <w:highlight w:val="none"/>
                      <w:u w:val="none"/>
                      <w:lang w:val="en-US" w:eastAsia="zh-CN"/>
                    </w:rPr>
                    <w:t>12</w:t>
                  </w:r>
                  <w:r>
                    <w:rPr>
                      <w:rFonts w:hint="eastAsia" w:ascii="Times New Roman" w:hAnsi="Times New Roman" w:eastAsia="宋体" w:cs="Times New Roman"/>
                      <w:color w:val="auto"/>
                      <w:spacing w:val="0"/>
                      <w:position w:val="0"/>
                      <w:sz w:val="21"/>
                      <w:szCs w:val="21"/>
                      <w:highlight w:val="none"/>
                      <w:u w:val="none"/>
                      <w:lang w:val="en-US" w:eastAsia="zh-CN"/>
                    </w:rPr>
                    <w:t>月</w:t>
                  </w:r>
                </w:p>
              </w:tc>
              <w:tc>
                <w:tcPr>
                  <w:tcW w:w="1274" w:type="dxa"/>
                  <w:vMerge w:val="continue"/>
                  <w:tcBorders>
                    <w:tl2br w:val="nil"/>
                    <w:tr2bl w:val="nil"/>
                  </w:tcBorders>
                  <w:vAlign w:val="center"/>
                </w:tcPr>
                <w:p w14:paraId="30707AAA">
                  <w:pPr>
                    <w:jc w:val="center"/>
                    <w:rPr>
                      <w:rFonts w:hint="eastAsia" w:ascii="Times New Roman" w:hAnsi="Times New Roman" w:eastAsia="宋体" w:cs="Times New Roman"/>
                      <w:color w:val="auto"/>
                      <w:spacing w:val="0"/>
                      <w:sz w:val="21"/>
                      <w:szCs w:val="21"/>
                      <w:highlight w:val="none"/>
                      <w:lang w:val="en-US" w:eastAsia="zh-CN"/>
                    </w:rPr>
                  </w:pPr>
                </w:p>
              </w:tc>
              <w:tc>
                <w:tcPr>
                  <w:tcW w:w="1126" w:type="dxa"/>
                  <w:tcBorders>
                    <w:tl2br w:val="nil"/>
                    <w:tr2bl w:val="nil"/>
                  </w:tcBorders>
                  <w:vAlign w:val="center"/>
                </w:tcPr>
                <w:p w14:paraId="6D218BE6">
                  <w:pPr>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Cs w:val="21"/>
                      <w:highlight w:val="none"/>
                    </w:rPr>
                    <w:t>组织验收自查</w:t>
                  </w:r>
                </w:p>
              </w:tc>
            </w:tr>
            <w:tr w14:paraId="625482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6" w:type="dxa"/>
                  <w:tcBorders>
                    <w:tl2br w:val="nil"/>
                    <w:tr2bl w:val="nil"/>
                  </w:tcBorders>
                  <w:vAlign w:val="center"/>
                </w:tcPr>
                <w:p w14:paraId="1DC214B1">
                  <w:pPr>
                    <w:keepNext w:val="0"/>
                    <w:keepLines w:val="0"/>
                    <w:pageBreakBefore w:val="0"/>
                    <w:widowControl w:val="0"/>
                    <w:kinsoku/>
                    <w:wordWrap/>
                    <w:overflowPunct w:val="0"/>
                    <w:topLinePunct w:val="0"/>
                    <w:autoSpaceDE/>
                    <w:autoSpaceDN/>
                    <w:bidi w:val="0"/>
                    <w:adjustRightInd/>
                    <w:snapToGrid/>
                    <w:jc w:val="both"/>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position w:val="0"/>
                      <w:sz w:val="21"/>
                      <w:szCs w:val="21"/>
                      <w:highlight w:val="none"/>
                      <w:u w:val="none"/>
                      <w:lang w:val="en-US" w:eastAsia="zh-CN"/>
                    </w:rPr>
                    <w:t>固定污染源排污登记回执</w:t>
                  </w:r>
                  <w:r>
                    <w:rPr>
                      <w:rFonts w:hint="eastAsia" w:cs="Times New Roman"/>
                      <w:color w:val="auto"/>
                      <w:spacing w:val="0"/>
                      <w:position w:val="0"/>
                      <w:sz w:val="21"/>
                      <w:szCs w:val="21"/>
                      <w:highlight w:val="none"/>
                      <w:u w:val="none"/>
                      <w:lang w:val="en-US" w:eastAsia="zh-CN"/>
                    </w:rPr>
                    <w:t>（编号：91350121MA2Y0DLHXN001Y）</w:t>
                  </w:r>
                </w:p>
              </w:tc>
              <w:tc>
                <w:tcPr>
                  <w:tcW w:w="900" w:type="dxa"/>
                  <w:vMerge w:val="continue"/>
                  <w:tcBorders>
                    <w:tl2br w:val="nil"/>
                    <w:tr2bl w:val="nil"/>
                  </w:tcBorders>
                  <w:vAlign w:val="center"/>
                </w:tcPr>
                <w:p w14:paraId="75FDF0AB">
                  <w:pPr>
                    <w:jc w:val="center"/>
                    <w:rPr>
                      <w:rFonts w:hint="eastAsia" w:ascii="Times New Roman" w:hAnsi="Times New Roman" w:eastAsia="宋体" w:cs="Times New Roman"/>
                      <w:color w:val="auto"/>
                      <w:spacing w:val="0"/>
                      <w:sz w:val="21"/>
                      <w:szCs w:val="21"/>
                      <w:highlight w:val="none"/>
                      <w:lang w:eastAsia="zh-CN"/>
                    </w:rPr>
                  </w:pPr>
                </w:p>
              </w:tc>
              <w:tc>
                <w:tcPr>
                  <w:tcW w:w="1917" w:type="dxa"/>
                  <w:tcBorders>
                    <w:tl2br w:val="nil"/>
                    <w:tr2bl w:val="nil"/>
                  </w:tcBorders>
                  <w:vAlign w:val="center"/>
                </w:tcPr>
                <w:p w14:paraId="6F881936">
                  <w:pPr>
                    <w:jc w:val="center"/>
                    <w:rPr>
                      <w:rFonts w:hint="eastAsia" w:ascii="Times New Roman" w:hAnsi="Times New Roman" w:eastAsia="宋体" w:cs="Times New Roman"/>
                      <w:color w:val="auto"/>
                      <w:spacing w:val="0"/>
                      <w:position w:val="0"/>
                      <w:sz w:val="21"/>
                      <w:szCs w:val="21"/>
                      <w:highlight w:val="none"/>
                      <w:u w:val="none"/>
                      <w:lang w:val="en-US" w:eastAsia="zh-CN"/>
                    </w:rPr>
                  </w:pPr>
                  <w:r>
                    <w:rPr>
                      <w:rFonts w:hint="eastAsia" w:ascii="Times New Roman" w:hAnsi="Times New Roman" w:eastAsia="宋体" w:cs="Times New Roman"/>
                      <w:color w:val="auto"/>
                      <w:spacing w:val="0"/>
                      <w:position w:val="0"/>
                      <w:sz w:val="21"/>
                      <w:szCs w:val="21"/>
                      <w:highlight w:val="none"/>
                      <w:u w:val="none"/>
                      <w:lang w:val="en-US" w:eastAsia="zh-CN"/>
                    </w:rPr>
                    <w:t>获取时间：</w:t>
                  </w:r>
                </w:p>
                <w:p w14:paraId="044CC291">
                  <w:pPr>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u w:val="none"/>
                      <w:lang w:val="en-US" w:eastAsia="zh-CN"/>
                    </w:rPr>
                    <w:t>202</w:t>
                  </w:r>
                  <w:r>
                    <w:rPr>
                      <w:rFonts w:hint="eastAsia" w:cs="Times New Roman"/>
                      <w:color w:val="auto"/>
                      <w:spacing w:val="0"/>
                      <w:position w:val="0"/>
                      <w:sz w:val="21"/>
                      <w:szCs w:val="21"/>
                      <w:highlight w:val="none"/>
                      <w:u w:val="none"/>
                      <w:lang w:val="en-US" w:eastAsia="zh-CN"/>
                    </w:rPr>
                    <w:t>1</w:t>
                  </w:r>
                  <w:r>
                    <w:rPr>
                      <w:rFonts w:hint="eastAsia" w:ascii="Times New Roman" w:hAnsi="Times New Roman" w:eastAsia="宋体" w:cs="Times New Roman"/>
                      <w:color w:val="auto"/>
                      <w:spacing w:val="0"/>
                      <w:position w:val="0"/>
                      <w:sz w:val="21"/>
                      <w:szCs w:val="21"/>
                      <w:highlight w:val="none"/>
                      <w:u w:val="none"/>
                      <w:lang w:val="en-US" w:eastAsia="zh-CN"/>
                    </w:rPr>
                    <w:t>年</w:t>
                  </w:r>
                  <w:r>
                    <w:rPr>
                      <w:rFonts w:hint="eastAsia" w:cs="Times New Roman"/>
                      <w:color w:val="auto"/>
                      <w:spacing w:val="0"/>
                      <w:position w:val="0"/>
                      <w:sz w:val="21"/>
                      <w:szCs w:val="21"/>
                      <w:highlight w:val="none"/>
                      <w:u w:val="none"/>
                      <w:lang w:val="en-US" w:eastAsia="zh-CN"/>
                    </w:rPr>
                    <w:t>11</w:t>
                  </w:r>
                  <w:r>
                    <w:rPr>
                      <w:rFonts w:hint="eastAsia" w:ascii="Times New Roman" w:hAnsi="Times New Roman" w:eastAsia="宋体" w:cs="Times New Roman"/>
                      <w:color w:val="auto"/>
                      <w:spacing w:val="0"/>
                      <w:position w:val="0"/>
                      <w:sz w:val="21"/>
                      <w:szCs w:val="21"/>
                      <w:highlight w:val="none"/>
                      <w:u w:val="none"/>
                      <w:lang w:val="en-US" w:eastAsia="zh-CN"/>
                    </w:rPr>
                    <w:t>月</w:t>
                  </w:r>
                  <w:r>
                    <w:rPr>
                      <w:rFonts w:hint="eastAsia" w:cs="Times New Roman"/>
                      <w:color w:val="auto"/>
                      <w:spacing w:val="0"/>
                      <w:position w:val="0"/>
                      <w:sz w:val="21"/>
                      <w:szCs w:val="21"/>
                      <w:highlight w:val="none"/>
                      <w:u w:val="none"/>
                      <w:lang w:val="en-US" w:eastAsia="zh-CN"/>
                    </w:rPr>
                    <w:t>2</w:t>
                  </w:r>
                  <w:r>
                    <w:rPr>
                      <w:rFonts w:hint="eastAsia" w:ascii="Times New Roman" w:hAnsi="Times New Roman" w:eastAsia="宋体" w:cs="Times New Roman"/>
                      <w:color w:val="auto"/>
                      <w:spacing w:val="0"/>
                      <w:position w:val="0"/>
                      <w:sz w:val="21"/>
                      <w:szCs w:val="21"/>
                      <w:highlight w:val="none"/>
                      <w:u w:val="none"/>
                      <w:lang w:val="en-US" w:eastAsia="zh-CN"/>
                    </w:rPr>
                    <w:t>5日</w:t>
                  </w:r>
                </w:p>
              </w:tc>
              <w:tc>
                <w:tcPr>
                  <w:tcW w:w="1274" w:type="dxa"/>
                  <w:vMerge w:val="continue"/>
                  <w:tcBorders>
                    <w:tl2br w:val="nil"/>
                    <w:tr2bl w:val="nil"/>
                  </w:tcBorders>
                  <w:vAlign w:val="center"/>
                </w:tcPr>
                <w:p w14:paraId="0C069335">
                  <w:pPr>
                    <w:jc w:val="center"/>
                    <w:rPr>
                      <w:rFonts w:hint="eastAsia" w:ascii="Times New Roman" w:hAnsi="Times New Roman" w:eastAsia="宋体" w:cs="Times New Roman"/>
                      <w:color w:val="auto"/>
                      <w:spacing w:val="0"/>
                      <w:sz w:val="21"/>
                      <w:szCs w:val="21"/>
                      <w:highlight w:val="none"/>
                      <w:lang w:val="en-US" w:eastAsia="zh-CN"/>
                    </w:rPr>
                  </w:pPr>
                </w:p>
              </w:tc>
              <w:tc>
                <w:tcPr>
                  <w:tcW w:w="1126" w:type="dxa"/>
                  <w:tcBorders>
                    <w:tl2br w:val="nil"/>
                    <w:tr2bl w:val="nil"/>
                  </w:tcBorders>
                  <w:vAlign w:val="center"/>
                </w:tcPr>
                <w:p w14:paraId="1907398B">
                  <w:pPr>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bl>
          <w:p w14:paraId="14177565">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ascii="Times New Roman" w:hAnsi="Times New Roman" w:eastAsia="宋体" w:cs="Times New Roman"/>
                <w:b/>
                <w:bCs/>
                <w:color w:val="auto"/>
                <w:spacing w:val="0"/>
                <w:kern w:val="0"/>
                <w:sz w:val="24"/>
                <w:szCs w:val="24"/>
                <w:highlight w:val="none"/>
                <w:lang w:val="en-US" w:eastAsia="zh-CN" w:bidi="ar"/>
              </w:rPr>
            </w:pPr>
            <w:r>
              <w:rPr>
                <w:rFonts w:ascii="宋体" w:hAnsi="宋体" w:eastAsia="宋体" w:cs="宋体"/>
                <w:color w:val="auto"/>
                <w:sz w:val="24"/>
                <w:szCs w:val="24"/>
                <w:highlight w:val="none"/>
              </w:rPr>
              <w:t>项目</w:t>
            </w:r>
            <w:r>
              <w:rPr>
                <w:rFonts w:hint="eastAsia" w:ascii="宋体" w:hAnsi="宋体" w:eastAsia="宋体" w:cs="宋体"/>
                <w:color w:val="auto"/>
                <w:sz w:val="24"/>
                <w:szCs w:val="24"/>
                <w:highlight w:val="none"/>
              </w:rPr>
              <w:t>现有工业厂房</w:t>
            </w:r>
            <w:r>
              <w:rPr>
                <w:rFonts w:ascii="宋体" w:hAnsi="宋体" w:eastAsia="宋体" w:cs="宋体"/>
                <w:color w:val="auto"/>
                <w:sz w:val="24"/>
                <w:szCs w:val="24"/>
                <w:highlight w:val="none"/>
              </w:rPr>
              <w:t>原为一家广告公司</w:t>
            </w:r>
            <w:r>
              <w:rPr>
                <w:rFonts w:hint="eastAsia" w:ascii="宋体" w:hAnsi="宋体" w:eastAsia="宋体" w:cs="宋体"/>
                <w:color w:val="auto"/>
                <w:sz w:val="24"/>
                <w:szCs w:val="24"/>
                <w:highlight w:val="none"/>
                <w:lang w:val="en-US" w:eastAsia="zh-CN"/>
              </w:rPr>
              <w:t>用于成品仓</w:t>
            </w:r>
            <w:r>
              <w:rPr>
                <w:rFonts w:ascii="宋体" w:hAnsi="宋体" w:eastAsia="宋体" w:cs="宋体"/>
                <w:color w:val="auto"/>
                <w:sz w:val="24"/>
                <w:szCs w:val="24"/>
                <w:highlight w:val="none"/>
              </w:rPr>
              <w:t>库</w:t>
            </w:r>
            <w:r>
              <w:rPr>
                <w:rFonts w:hint="eastAsia" w:ascii="宋体" w:hAnsi="宋体" w:eastAsia="宋体" w:cs="宋体"/>
                <w:color w:val="auto"/>
                <w:sz w:val="24"/>
                <w:szCs w:val="24"/>
                <w:highlight w:val="none"/>
                <w:lang w:val="en-US" w:eastAsia="zh-CN"/>
              </w:rPr>
              <w:t>使用</w:t>
            </w:r>
            <w:r>
              <w:rPr>
                <w:rFonts w:ascii="宋体" w:hAnsi="宋体" w:eastAsia="宋体" w:cs="宋体"/>
                <w:color w:val="auto"/>
                <w:sz w:val="24"/>
                <w:szCs w:val="24"/>
                <w:highlight w:val="none"/>
              </w:rPr>
              <w:t>，仅开展仓储及简单办公活动，未开展任何工业生产、加工、喷涂等涉污工序，无生产废水、废气、危险废物排放。建设单位已对厂房地面、排水管网、固废暂存点及周边区域开展全面排查，未发现化学品泄漏、废液渗漏、土壤及地下水污染痕迹</w:t>
            </w:r>
            <w:r>
              <w:rPr>
                <w:rFonts w:hint="eastAsia" w:ascii="宋体" w:hAnsi="宋体" w:eastAsia="宋体" w:cs="宋体"/>
                <w:color w:val="auto"/>
                <w:sz w:val="24"/>
                <w:szCs w:val="24"/>
                <w:highlight w:val="none"/>
                <w:lang w:val="en-US" w:eastAsia="zh-CN"/>
              </w:rPr>
              <w:t>等</w:t>
            </w:r>
            <w:r>
              <w:rPr>
                <w:rFonts w:ascii="宋体" w:hAnsi="宋体" w:eastAsia="宋体" w:cs="宋体"/>
                <w:color w:val="auto"/>
                <w:sz w:val="24"/>
                <w:szCs w:val="24"/>
                <w:highlight w:val="none"/>
              </w:rPr>
              <w:t>，不存在遗留环境污染隐患，场地环境现状满足项目建设要求，无历史环境遗留问题。</w:t>
            </w:r>
          </w:p>
          <w:p w14:paraId="77B7ABD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eastAsia="宋体" w:cs="Times New Roman"/>
                <w:color w:val="auto"/>
                <w:spacing w:val="0"/>
                <w:sz w:val="24"/>
                <w:szCs w:val="24"/>
                <w:highlight w:val="none"/>
              </w:rPr>
            </w:pPr>
            <w:r>
              <w:rPr>
                <w:rFonts w:hint="default" w:ascii="Times New Roman" w:hAnsi="Times New Roman" w:eastAsia="宋体" w:cs="Times New Roman"/>
                <w:b/>
                <w:bCs/>
                <w:color w:val="auto"/>
                <w:spacing w:val="0"/>
                <w:kern w:val="0"/>
                <w:sz w:val="24"/>
                <w:szCs w:val="24"/>
                <w:highlight w:val="none"/>
                <w:lang w:val="en-US" w:eastAsia="zh-CN" w:bidi="ar"/>
              </w:rPr>
              <w:t>2.</w:t>
            </w:r>
            <w:r>
              <w:rPr>
                <w:rFonts w:hint="eastAsia" w:ascii="Times New Roman" w:hAnsi="Times New Roman" w:eastAsia="宋体" w:cs="Times New Roman"/>
                <w:b/>
                <w:bCs/>
                <w:color w:val="auto"/>
                <w:spacing w:val="0"/>
                <w:kern w:val="0"/>
                <w:sz w:val="24"/>
                <w:szCs w:val="24"/>
                <w:highlight w:val="none"/>
                <w:lang w:val="en-US" w:eastAsia="zh-CN" w:bidi="ar"/>
              </w:rPr>
              <w:t>9</w:t>
            </w:r>
            <w:r>
              <w:rPr>
                <w:rFonts w:hint="default" w:ascii="Times New Roman" w:hAnsi="Times New Roman" w:eastAsia="宋体" w:cs="Times New Roman"/>
                <w:b/>
                <w:bCs/>
                <w:color w:val="auto"/>
                <w:spacing w:val="0"/>
                <w:kern w:val="0"/>
                <w:sz w:val="24"/>
                <w:szCs w:val="24"/>
                <w:highlight w:val="none"/>
                <w:lang w:val="en-US" w:eastAsia="zh-CN" w:bidi="ar"/>
              </w:rPr>
              <w:t>.2</w:t>
            </w:r>
            <w:r>
              <w:rPr>
                <w:rFonts w:hint="eastAsia" w:cs="Times New Roman"/>
                <w:b/>
                <w:bCs/>
                <w:color w:val="auto"/>
                <w:spacing w:val="0"/>
                <w:kern w:val="0"/>
                <w:sz w:val="24"/>
                <w:szCs w:val="24"/>
                <w:highlight w:val="none"/>
                <w:lang w:val="en-US" w:eastAsia="zh-CN" w:bidi="ar"/>
              </w:rPr>
              <w:t>迁建</w:t>
            </w:r>
            <w:r>
              <w:rPr>
                <w:rFonts w:hint="eastAsia" w:ascii="Times New Roman" w:hAnsi="Times New Roman" w:eastAsia="宋体" w:cs="Times New Roman"/>
                <w:b/>
                <w:bCs/>
                <w:color w:val="auto"/>
                <w:spacing w:val="0"/>
                <w:kern w:val="0"/>
                <w:sz w:val="24"/>
                <w:szCs w:val="24"/>
                <w:highlight w:val="none"/>
                <w:lang w:val="en-US" w:eastAsia="zh-CN" w:bidi="ar"/>
              </w:rPr>
              <w:t>前项目基本情况</w:t>
            </w:r>
          </w:p>
          <w:p w14:paraId="58444CDA">
            <w:pPr>
              <w:pStyle w:val="63"/>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u w:val="none"/>
                <w:lang w:val="en-US" w:eastAsia="zh-CN"/>
              </w:rPr>
            </w:pPr>
            <w:r>
              <w:rPr>
                <w:rFonts w:hint="default" w:ascii="Times New Roman" w:hAnsi="Times New Roman" w:eastAsia="宋体" w:cs="Times New Roman"/>
                <w:color w:val="auto"/>
                <w:spacing w:val="0"/>
                <w:position w:val="0"/>
                <w:sz w:val="24"/>
                <w:szCs w:val="24"/>
                <w:highlight w:val="none"/>
                <w:u w:val="none"/>
                <w:lang w:val="en-US" w:eastAsia="zh-CN"/>
              </w:rPr>
              <w:t>本次</w:t>
            </w:r>
            <w:r>
              <w:rPr>
                <w:rFonts w:hint="eastAsia" w:cs="Times New Roman"/>
                <w:color w:val="auto"/>
                <w:spacing w:val="0"/>
                <w:position w:val="0"/>
                <w:sz w:val="24"/>
                <w:szCs w:val="24"/>
                <w:highlight w:val="none"/>
                <w:u w:val="none"/>
                <w:lang w:val="en-US" w:eastAsia="zh-CN"/>
              </w:rPr>
              <w:t>迁建</w:t>
            </w:r>
            <w:r>
              <w:rPr>
                <w:rFonts w:hint="default" w:ascii="Times New Roman" w:hAnsi="Times New Roman" w:eastAsia="宋体" w:cs="Times New Roman"/>
                <w:color w:val="auto"/>
                <w:spacing w:val="0"/>
                <w:position w:val="0"/>
                <w:sz w:val="24"/>
                <w:szCs w:val="24"/>
                <w:highlight w:val="none"/>
                <w:u w:val="none"/>
                <w:lang w:val="en-US" w:eastAsia="zh-CN"/>
              </w:rPr>
              <w:t>前项目基本情况引用</w:t>
            </w:r>
            <w:r>
              <w:rPr>
                <w:rFonts w:hint="eastAsia" w:cs="Times New Roman"/>
                <w:color w:val="auto"/>
                <w:spacing w:val="0"/>
                <w:position w:val="0"/>
                <w:sz w:val="24"/>
                <w:szCs w:val="24"/>
                <w:highlight w:val="none"/>
                <w:u w:val="none"/>
                <w:lang w:val="en-US" w:eastAsia="zh-CN"/>
              </w:rPr>
              <w:t>迁建</w:t>
            </w:r>
            <w:r>
              <w:rPr>
                <w:rFonts w:hint="default" w:ascii="Times New Roman" w:hAnsi="Times New Roman" w:eastAsia="宋体" w:cs="Times New Roman"/>
                <w:color w:val="auto"/>
                <w:spacing w:val="0"/>
                <w:position w:val="0"/>
                <w:sz w:val="24"/>
                <w:szCs w:val="24"/>
                <w:highlight w:val="none"/>
                <w:u w:val="none"/>
                <w:lang w:val="en-US" w:eastAsia="zh-CN"/>
              </w:rPr>
              <w:t>前环评《</w:t>
            </w:r>
            <w:r>
              <w:rPr>
                <w:rFonts w:hint="eastAsia" w:ascii="Times New Roman" w:hAnsi="Times New Roman" w:eastAsia="宋体" w:cs="Times New Roman"/>
                <w:color w:val="auto"/>
                <w:spacing w:val="0"/>
                <w:position w:val="0"/>
                <w:sz w:val="24"/>
                <w:szCs w:val="24"/>
                <w:highlight w:val="none"/>
                <w:u w:val="none"/>
                <w:lang w:eastAsia="zh-CN"/>
              </w:rPr>
              <w:t>福州市搜一家具有限公司木质屏风生产项目</w:t>
            </w:r>
            <w:r>
              <w:rPr>
                <w:rFonts w:hint="eastAsia" w:ascii="Times New Roman" w:hAnsi="Times New Roman" w:eastAsia="宋体" w:cs="Times New Roman"/>
                <w:color w:val="auto"/>
                <w:spacing w:val="0"/>
                <w:position w:val="0"/>
                <w:sz w:val="24"/>
                <w:szCs w:val="24"/>
                <w:highlight w:val="none"/>
                <w:u w:val="none"/>
                <w:lang w:val="en-US" w:eastAsia="zh-CN"/>
              </w:rPr>
              <w:t>环境影响报告表</w:t>
            </w:r>
            <w:r>
              <w:rPr>
                <w:rFonts w:hint="default" w:ascii="Times New Roman" w:hAnsi="Times New Roman" w:eastAsia="宋体" w:cs="Times New Roman"/>
                <w:color w:val="auto"/>
                <w:spacing w:val="0"/>
                <w:position w:val="0"/>
                <w:sz w:val="24"/>
                <w:szCs w:val="24"/>
                <w:highlight w:val="none"/>
                <w:u w:val="none"/>
                <w:lang w:val="en-US" w:eastAsia="zh-CN"/>
              </w:rPr>
              <w:t>》及其批复文件，并结合《</w:t>
            </w:r>
            <w:r>
              <w:rPr>
                <w:rFonts w:hint="eastAsia" w:ascii="Times New Roman" w:hAnsi="Times New Roman" w:eastAsia="宋体" w:cs="Times New Roman"/>
                <w:color w:val="auto"/>
                <w:spacing w:val="0"/>
                <w:position w:val="0"/>
                <w:sz w:val="24"/>
                <w:szCs w:val="24"/>
                <w:highlight w:val="none"/>
                <w:u w:val="none"/>
                <w:lang w:eastAsia="zh-CN"/>
              </w:rPr>
              <w:t>福州市搜一家具有限公司木质屏风生产项目</w:t>
            </w:r>
            <w:r>
              <w:rPr>
                <w:rFonts w:hint="default" w:ascii="Times New Roman" w:hAnsi="Times New Roman" w:eastAsia="宋体" w:cs="Times New Roman"/>
                <w:color w:val="auto"/>
                <w:spacing w:val="0"/>
                <w:position w:val="0"/>
                <w:sz w:val="24"/>
                <w:szCs w:val="24"/>
                <w:highlight w:val="none"/>
                <w:u w:val="none"/>
                <w:lang w:val="en-US" w:eastAsia="zh-CN"/>
              </w:rPr>
              <w:t>竣工环境保护验收监测报告表》，</w:t>
            </w:r>
            <w:r>
              <w:rPr>
                <w:rFonts w:hint="eastAsia" w:cs="Times New Roman"/>
                <w:color w:val="auto"/>
                <w:spacing w:val="0"/>
                <w:position w:val="0"/>
                <w:sz w:val="24"/>
                <w:szCs w:val="24"/>
                <w:highlight w:val="none"/>
                <w:u w:val="none"/>
                <w:lang w:val="en-US" w:eastAsia="zh-CN"/>
              </w:rPr>
              <w:t>迁建</w:t>
            </w:r>
            <w:r>
              <w:rPr>
                <w:rFonts w:hint="default" w:ascii="Times New Roman" w:hAnsi="Times New Roman" w:eastAsia="宋体" w:cs="Times New Roman"/>
                <w:color w:val="auto"/>
                <w:spacing w:val="0"/>
                <w:position w:val="0"/>
                <w:sz w:val="24"/>
                <w:szCs w:val="24"/>
                <w:highlight w:val="none"/>
                <w:u w:val="none"/>
                <w:lang w:val="en-US" w:eastAsia="zh-CN"/>
              </w:rPr>
              <w:t>前项目情况具体如下。</w:t>
            </w:r>
          </w:p>
          <w:p w14:paraId="314B29DE">
            <w:pPr>
              <w:pStyle w:val="6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pacing w:val="0"/>
                <w:highlight w:val="none"/>
                <w:lang w:val="en-US" w:eastAsia="zh-CN"/>
              </w:rPr>
            </w:pPr>
            <w:r>
              <w:rPr>
                <w:rFonts w:hint="default" w:ascii="Times New Roman" w:hAnsi="Times New Roman" w:eastAsia="宋体" w:cs="Times New Roman"/>
                <w:b/>
                <w:bCs/>
                <w:color w:val="auto"/>
                <w:spacing w:val="0"/>
                <w:highlight w:val="none"/>
                <w:lang w:val="en-US" w:eastAsia="zh-CN"/>
              </w:rPr>
              <w:t>表2</w:t>
            </w:r>
            <w:r>
              <w:rPr>
                <w:rFonts w:hint="eastAsia" w:ascii="Times New Roman" w:hAnsi="Times New Roman" w:eastAsia="宋体" w:cs="Times New Roman"/>
                <w:b/>
                <w:bCs/>
                <w:color w:val="auto"/>
                <w:spacing w:val="0"/>
                <w:highlight w:val="none"/>
                <w:lang w:val="en-US" w:eastAsia="zh-CN"/>
              </w:rPr>
              <w:t>.9.2-1</w:t>
            </w:r>
            <w:r>
              <w:rPr>
                <w:rFonts w:hint="default" w:ascii="Times New Roman" w:hAnsi="Times New Roman" w:eastAsia="宋体" w:cs="Times New Roman"/>
                <w:b/>
                <w:bCs/>
                <w:color w:val="auto"/>
                <w:spacing w:val="0"/>
                <w:highlight w:val="none"/>
                <w:lang w:val="en-US" w:eastAsia="zh-CN"/>
              </w:rPr>
              <w:t xml:space="preserve"> </w:t>
            </w:r>
            <w:r>
              <w:rPr>
                <w:rFonts w:hint="eastAsia" w:ascii="Times New Roman" w:hAnsi="Times New Roman" w:cs="Times New Roman"/>
                <w:b/>
                <w:bCs/>
                <w:color w:val="auto"/>
                <w:spacing w:val="0"/>
                <w:highlight w:val="none"/>
                <w:lang w:val="en-US" w:eastAsia="zh-CN"/>
              </w:rPr>
              <w:t>迁建</w:t>
            </w:r>
            <w:r>
              <w:rPr>
                <w:rFonts w:hint="default" w:ascii="Times New Roman" w:hAnsi="Times New Roman" w:eastAsia="宋体" w:cs="Times New Roman"/>
                <w:b/>
                <w:bCs/>
                <w:color w:val="auto"/>
                <w:spacing w:val="0"/>
                <w:highlight w:val="none"/>
                <w:lang w:val="en-US" w:eastAsia="zh-CN"/>
              </w:rPr>
              <w:t>前项目</w:t>
            </w:r>
            <w:r>
              <w:rPr>
                <w:rFonts w:hint="default" w:ascii="Times New Roman" w:hAnsi="Times New Roman" w:eastAsia="宋体" w:cs="Times New Roman"/>
                <w:b/>
                <w:bCs/>
                <w:color w:val="auto"/>
                <w:spacing w:val="0"/>
                <w:position w:val="0"/>
                <w:sz w:val="24"/>
                <w:szCs w:val="24"/>
                <w:highlight w:val="none"/>
                <w:u w:val="none"/>
                <w:lang w:val="en-US" w:eastAsia="zh-CN"/>
              </w:rPr>
              <w:t>基本</w:t>
            </w:r>
            <w:r>
              <w:rPr>
                <w:rFonts w:hint="default" w:ascii="Times New Roman" w:hAnsi="Times New Roman" w:eastAsia="宋体" w:cs="Times New Roman"/>
                <w:b/>
                <w:bCs/>
                <w:color w:val="auto"/>
                <w:spacing w:val="0"/>
                <w:highlight w:val="none"/>
                <w:lang w:val="en-US" w:eastAsia="zh-CN"/>
              </w:rPr>
              <w:t>情况</w:t>
            </w:r>
            <w:r>
              <w:rPr>
                <w:rFonts w:hint="eastAsia" w:ascii="Times New Roman" w:hAnsi="Times New Roman" w:eastAsia="宋体" w:cs="Times New Roman"/>
                <w:b/>
                <w:bCs/>
                <w:color w:val="auto"/>
                <w:spacing w:val="0"/>
                <w:highlight w:val="none"/>
                <w:lang w:val="en-US" w:eastAsia="zh-CN"/>
              </w:rPr>
              <w:t>一览</w:t>
            </w:r>
            <w:r>
              <w:rPr>
                <w:rFonts w:hint="default" w:ascii="Times New Roman" w:hAnsi="Times New Roman" w:eastAsia="宋体" w:cs="Times New Roman"/>
                <w:b/>
                <w:bCs/>
                <w:color w:val="auto"/>
                <w:spacing w:val="0"/>
                <w:highlight w:val="none"/>
                <w:lang w:val="en-US" w:eastAsia="zh-CN"/>
              </w:rPr>
              <w:t>表</w:t>
            </w:r>
          </w:p>
          <w:tbl>
            <w:tblPr>
              <w:tblStyle w:val="29"/>
              <w:tblW w:w="8734" w:type="dxa"/>
              <w:jc w:val="center"/>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Layout w:type="fixed"/>
              <w:tblCellMar>
                <w:top w:w="0" w:type="dxa"/>
                <w:left w:w="23" w:type="dxa"/>
                <w:bottom w:w="0" w:type="dxa"/>
                <w:right w:w="23" w:type="dxa"/>
              </w:tblCellMar>
            </w:tblPr>
            <w:tblGrid>
              <w:gridCol w:w="1249"/>
              <w:gridCol w:w="7485"/>
            </w:tblGrid>
            <w:tr w14:paraId="474D5481">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715" w:type="pct"/>
                  <w:tcBorders>
                    <w:bottom w:val="single" w:color="auto" w:sz="4" w:space="0"/>
                    <w:right w:val="single" w:color="auto" w:sz="4" w:space="0"/>
                  </w:tcBorders>
                  <w:noWrap w:val="0"/>
                  <w:vAlign w:val="center"/>
                </w:tcPr>
                <w:p w14:paraId="459E4492">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项目</w:t>
                  </w:r>
                </w:p>
              </w:tc>
              <w:tc>
                <w:tcPr>
                  <w:tcW w:w="4284" w:type="pct"/>
                  <w:tcBorders>
                    <w:left w:val="single" w:color="auto" w:sz="4" w:space="0"/>
                    <w:bottom w:val="single" w:color="auto" w:sz="4" w:space="0"/>
                    <w:right w:val="nil"/>
                  </w:tcBorders>
                  <w:noWrap w:val="0"/>
                  <w:vAlign w:val="center"/>
                </w:tcPr>
                <w:p w14:paraId="29706CAB">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迁建前</w:t>
                  </w:r>
                </w:p>
              </w:tc>
            </w:tr>
            <w:tr w14:paraId="244D4E1C">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715" w:type="pct"/>
                  <w:tcBorders>
                    <w:top w:val="single" w:color="auto" w:sz="4" w:space="0"/>
                    <w:bottom w:val="single" w:color="auto" w:sz="4" w:space="0"/>
                    <w:right w:val="single" w:color="auto" w:sz="4" w:space="0"/>
                  </w:tcBorders>
                  <w:noWrap w:val="0"/>
                  <w:vAlign w:val="center"/>
                </w:tcPr>
                <w:p w14:paraId="3A7334C4">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公司名称</w:t>
                  </w:r>
                </w:p>
              </w:tc>
              <w:tc>
                <w:tcPr>
                  <w:tcW w:w="4284" w:type="pct"/>
                  <w:tcBorders>
                    <w:top w:val="single" w:color="auto" w:sz="4" w:space="0"/>
                    <w:left w:val="single" w:color="auto" w:sz="4" w:space="0"/>
                    <w:bottom w:val="single" w:color="auto" w:sz="4" w:space="0"/>
                    <w:right w:val="nil"/>
                  </w:tcBorders>
                  <w:noWrap w:val="0"/>
                  <w:vAlign w:val="center"/>
                </w:tcPr>
                <w:p w14:paraId="797A4502">
                  <w:pPr>
                    <w:widowControl/>
                    <w:jc w:val="center"/>
                    <w:rPr>
                      <w:rFonts w:hint="default" w:ascii="Times New Roman" w:hAnsi="Times New Roman" w:eastAsia="宋体" w:cs="Times New Roman"/>
                      <w:color w:val="auto"/>
                      <w:spacing w:val="0"/>
                      <w:kern w:val="0"/>
                      <w:szCs w:val="21"/>
                      <w:highlight w:val="none"/>
                      <w:lang w:eastAsia="zh-CN"/>
                    </w:rPr>
                  </w:pPr>
                  <w:r>
                    <w:rPr>
                      <w:rFonts w:hint="eastAsia" w:cs="Times New Roman"/>
                      <w:color w:val="auto"/>
                      <w:spacing w:val="0"/>
                      <w:kern w:val="0"/>
                      <w:szCs w:val="21"/>
                      <w:highlight w:val="none"/>
                      <w:lang w:eastAsia="zh-CN"/>
                    </w:rPr>
                    <w:t>福州市搜一家具有限公司</w:t>
                  </w:r>
                </w:p>
              </w:tc>
            </w:tr>
            <w:tr w14:paraId="58CED138">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715" w:type="pct"/>
                  <w:tcBorders>
                    <w:top w:val="single" w:color="auto" w:sz="4" w:space="0"/>
                    <w:bottom w:val="single" w:color="auto" w:sz="4" w:space="0"/>
                    <w:right w:val="single" w:color="auto" w:sz="4" w:space="0"/>
                  </w:tcBorders>
                  <w:noWrap w:val="0"/>
                  <w:vAlign w:val="center"/>
                </w:tcPr>
                <w:p w14:paraId="304BD699">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厂址</w:t>
                  </w:r>
                </w:p>
              </w:tc>
              <w:tc>
                <w:tcPr>
                  <w:tcW w:w="4284" w:type="pct"/>
                  <w:tcBorders>
                    <w:top w:val="single" w:color="auto" w:sz="4" w:space="0"/>
                    <w:left w:val="single" w:color="auto" w:sz="4" w:space="0"/>
                    <w:bottom w:val="single" w:color="auto" w:sz="4" w:space="0"/>
                    <w:right w:val="nil"/>
                  </w:tcBorders>
                  <w:noWrap w:val="0"/>
                  <w:vAlign w:val="center"/>
                </w:tcPr>
                <w:p w14:paraId="57E5E3DC">
                  <w:pPr>
                    <w:widowControl/>
                    <w:jc w:val="center"/>
                    <w:rPr>
                      <w:rFonts w:hint="eastAsia" w:cs="Times New Roman"/>
                      <w:bCs/>
                      <w:color w:val="auto"/>
                      <w:spacing w:val="0"/>
                      <w:kern w:val="0"/>
                      <w:szCs w:val="21"/>
                      <w:highlight w:val="none"/>
                      <w:lang w:eastAsia="zh-CN"/>
                    </w:rPr>
                  </w:pPr>
                  <w:r>
                    <w:rPr>
                      <w:rFonts w:hint="eastAsia" w:cs="Times New Roman"/>
                      <w:bCs/>
                      <w:color w:val="auto"/>
                      <w:spacing w:val="0"/>
                      <w:kern w:val="0"/>
                      <w:szCs w:val="21"/>
                      <w:highlight w:val="none"/>
                      <w:lang w:eastAsia="zh-CN"/>
                    </w:rPr>
                    <w:t>福建省福州市闽侯县荆溪镇长龙三路23、25号</w:t>
                  </w:r>
                </w:p>
                <w:p w14:paraId="65D767CF">
                  <w:pPr>
                    <w:widowControl/>
                    <w:jc w:val="center"/>
                    <w:rPr>
                      <w:rFonts w:hint="default" w:ascii="Times New Roman" w:hAnsi="Times New Roman" w:eastAsia="宋体" w:cs="Times New Roman"/>
                      <w:color w:val="auto"/>
                      <w:spacing w:val="0"/>
                      <w:kern w:val="0"/>
                      <w:szCs w:val="21"/>
                      <w:highlight w:val="none"/>
                      <w:lang w:eastAsia="zh-CN"/>
                    </w:rPr>
                  </w:pPr>
                  <w:r>
                    <w:rPr>
                      <w:rFonts w:hint="eastAsia" w:cs="Times New Roman"/>
                      <w:bCs/>
                      <w:color w:val="auto"/>
                      <w:spacing w:val="0"/>
                      <w:kern w:val="0"/>
                      <w:szCs w:val="21"/>
                      <w:highlight w:val="none"/>
                      <w:lang w:eastAsia="zh-CN"/>
                    </w:rPr>
                    <w:t>（福建省奥德瑞电子科技有限公司</w:t>
                  </w:r>
                  <w:r>
                    <w:rPr>
                      <w:rFonts w:hint="eastAsia" w:cs="Times New Roman"/>
                      <w:bCs/>
                      <w:color w:val="auto"/>
                      <w:spacing w:val="0"/>
                      <w:kern w:val="0"/>
                      <w:szCs w:val="21"/>
                      <w:highlight w:val="none"/>
                      <w:lang w:val="en-US" w:eastAsia="zh-CN"/>
                    </w:rPr>
                    <w:t>8</w:t>
                  </w:r>
                  <w:r>
                    <w:rPr>
                      <w:rFonts w:hint="eastAsia" w:cs="Times New Roman"/>
                      <w:bCs/>
                      <w:color w:val="auto"/>
                      <w:spacing w:val="0"/>
                      <w:kern w:val="0"/>
                      <w:szCs w:val="21"/>
                      <w:highlight w:val="none"/>
                      <w:lang w:eastAsia="zh-CN"/>
                    </w:rPr>
                    <w:t>#厂房）</w:t>
                  </w:r>
                </w:p>
              </w:tc>
            </w:tr>
            <w:tr w14:paraId="42DAC483">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715" w:type="pct"/>
                  <w:tcBorders>
                    <w:top w:val="single" w:color="auto" w:sz="4" w:space="0"/>
                    <w:bottom w:val="single" w:color="auto" w:sz="4" w:space="0"/>
                    <w:right w:val="single" w:color="auto" w:sz="4" w:space="0"/>
                  </w:tcBorders>
                  <w:noWrap w:val="0"/>
                  <w:vAlign w:val="center"/>
                </w:tcPr>
                <w:p w14:paraId="7A4D562E">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法人代表</w:t>
                  </w:r>
                </w:p>
              </w:tc>
              <w:tc>
                <w:tcPr>
                  <w:tcW w:w="4284" w:type="pct"/>
                  <w:tcBorders>
                    <w:top w:val="single" w:color="auto" w:sz="4" w:space="0"/>
                    <w:left w:val="single" w:color="auto" w:sz="4" w:space="0"/>
                    <w:bottom w:val="single" w:color="auto" w:sz="4" w:space="0"/>
                    <w:right w:val="nil"/>
                  </w:tcBorders>
                  <w:noWrap w:val="0"/>
                  <w:vAlign w:val="center"/>
                </w:tcPr>
                <w:p w14:paraId="7C8362D0">
                  <w:pPr>
                    <w:widowControl/>
                    <w:jc w:val="center"/>
                    <w:rPr>
                      <w:rFonts w:hint="default" w:ascii="Times New Roman" w:hAnsi="Times New Roman" w:eastAsia="宋体" w:cs="Times New Roman"/>
                      <w:color w:val="auto"/>
                      <w:spacing w:val="0"/>
                      <w:kern w:val="0"/>
                      <w:szCs w:val="21"/>
                      <w:highlight w:val="none"/>
                      <w:lang w:val="en-US" w:eastAsia="zh-CN"/>
                    </w:rPr>
                  </w:pPr>
                  <w:r>
                    <w:rPr>
                      <w:rFonts w:hint="eastAsia" w:cs="Times New Roman"/>
                      <w:color w:val="auto"/>
                      <w:spacing w:val="0"/>
                      <w:kern w:val="0"/>
                      <w:szCs w:val="21"/>
                      <w:highlight w:val="none"/>
                      <w:lang w:val="en-US" w:eastAsia="zh-CN"/>
                    </w:rPr>
                    <w:t>虞有真</w:t>
                  </w:r>
                </w:p>
              </w:tc>
            </w:tr>
            <w:tr w14:paraId="49727B86">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715" w:type="pct"/>
                  <w:tcBorders>
                    <w:top w:val="single" w:color="auto" w:sz="4" w:space="0"/>
                    <w:bottom w:val="single" w:color="auto" w:sz="4" w:space="0"/>
                    <w:right w:val="single" w:color="auto" w:sz="4" w:space="0"/>
                  </w:tcBorders>
                  <w:noWrap w:val="0"/>
                  <w:vAlign w:val="center"/>
                </w:tcPr>
                <w:p w14:paraId="2C4C5929">
                  <w:pPr>
                    <w:widowControl/>
                    <w:jc w:val="center"/>
                    <w:rPr>
                      <w:rFonts w:hint="eastAsia" w:ascii="Times New Roman" w:hAnsi="Times New Roman" w:eastAsia="宋体" w:cs="Times New Roman"/>
                      <w:color w:val="auto"/>
                      <w:spacing w:val="0"/>
                      <w:kern w:val="0"/>
                      <w:szCs w:val="21"/>
                      <w:highlight w:val="none"/>
                      <w:lang w:val="en-US" w:eastAsia="zh-CN"/>
                    </w:rPr>
                  </w:pPr>
                  <w:r>
                    <w:rPr>
                      <w:rFonts w:hint="eastAsia" w:cs="Times New Roman"/>
                      <w:color w:val="auto"/>
                      <w:spacing w:val="0"/>
                      <w:kern w:val="0"/>
                      <w:szCs w:val="21"/>
                      <w:highlight w:val="none"/>
                      <w:lang w:val="en-US" w:eastAsia="zh-CN"/>
                    </w:rPr>
                    <w:t>总投资</w:t>
                  </w:r>
                </w:p>
              </w:tc>
              <w:tc>
                <w:tcPr>
                  <w:tcW w:w="4284" w:type="pct"/>
                  <w:tcBorders>
                    <w:top w:val="single" w:color="auto" w:sz="4" w:space="0"/>
                    <w:left w:val="single" w:color="auto" w:sz="4" w:space="0"/>
                    <w:bottom w:val="single" w:color="auto" w:sz="4" w:space="0"/>
                    <w:right w:val="nil"/>
                  </w:tcBorders>
                  <w:noWrap w:val="0"/>
                  <w:vAlign w:val="center"/>
                </w:tcPr>
                <w:p w14:paraId="60267E61">
                  <w:pPr>
                    <w:widowControl/>
                    <w:jc w:val="center"/>
                    <w:rPr>
                      <w:rFonts w:hint="default" w:cs="Times New Roman"/>
                      <w:color w:val="auto"/>
                      <w:spacing w:val="0"/>
                      <w:kern w:val="0"/>
                      <w:szCs w:val="21"/>
                      <w:highlight w:val="none"/>
                      <w:lang w:val="en-US" w:eastAsia="zh-CN"/>
                    </w:rPr>
                  </w:pPr>
                  <w:r>
                    <w:rPr>
                      <w:rFonts w:hint="eastAsia" w:cs="Times New Roman"/>
                      <w:color w:val="auto"/>
                      <w:spacing w:val="0"/>
                      <w:kern w:val="0"/>
                      <w:szCs w:val="21"/>
                      <w:highlight w:val="none"/>
                      <w:lang w:val="en-US" w:eastAsia="zh-CN"/>
                    </w:rPr>
                    <w:t>25万元</w:t>
                  </w:r>
                </w:p>
              </w:tc>
            </w:tr>
            <w:tr w14:paraId="78287956">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715" w:type="pct"/>
                  <w:tcBorders>
                    <w:top w:val="single" w:color="auto" w:sz="4" w:space="0"/>
                    <w:bottom w:val="single" w:color="auto" w:sz="4" w:space="0"/>
                    <w:right w:val="single" w:color="auto" w:sz="4" w:space="0"/>
                  </w:tcBorders>
                  <w:noWrap w:val="0"/>
                  <w:vAlign w:val="center"/>
                </w:tcPr>
                <w:p w14:paraId="6CBEFB91">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建筑面积</w:t>
                  </w:r>
                </w:p>
              </w:tc>
              <w:tc>
                <w:tcPr>
                  <w:tcW w:w="4284" w:type="pct"/>
                  <w:tcBorders>
                    <w:top w:val="single" w:color="auto" w:sz="4" w:space="0"/>
                    <w:left w:val="single" w:color="auto" w:sz="4" w:space="0"/>
                    <w:bottom w:val="single" w:color="auto" w:sz="4" w:space="0"/>
                    <w:right w:val="nil"/>
                  </w:tcBorders>
                  <w:noWrap w:val="0"/>
                  <w:vAlign w:val="center"/>
                </w:tcPr>
                <w:p w14:paraId="469E3D02">
                  <w:pPr>
                    <w:widowControl/>
                    <w:jc w:val="center"/>
                    <w:rPr>
                      <w:rFonts w:hint="default" w:ascii="Times New Roman" w:hAnsi="Times New Roman" w:eastAsia="宋体" w:cs="Times New Roman"/>
                      <w:color w:val="auto"/>
                      <w:spacing w:val="0"/>
                      <w:kern w:val="0"/>
                      <w:szCs w:val="21"/>
                      <w:highlight w:val="none"/>
                      <w:lang w:val="en-US" w:eastAsia="zh-CN"/>
                    </w:rPr>
                  </w:pPr>
                  <w:r>
                    <w:rPr>
                      <w:rFonts w:hint="eastAsia" w:ascii="Times New Roman" w:hAnsi="Times New Roman" w:eastAsia="宋体" w:cs="Times New Roman"/>
                      <w:color w:val="auto"/>
                      <w:spacing w:val="0"/>
                      <w:kern w:val="0"/>
                      <w:szCs w:val="21"/>
                      <w:highlight w:val="none"/>
                      <w:lang w:val="en-US" w:eastAsia="zh-CN"/>
                    </w:rPr>
                    <w:t>建筑面积</w:t>
                  </w:r>
                  <w:r>
                    <w:rPr>
                      <w:rFonts w:hint="eastAsia" w:cs="Times New Roman"/>
                      <w:color w:val="auto"/>
                      <w:spacing w:val="0"/>
                      <w:kern w:val="0"/>
                      <w:szCs w:val="21"/>
                      <w:highlight w:val="none"/>
                      <w:lang w:val="en-US" w:eastAsia="zh-CN"/>
                    </w:rPr>
                    <w:t>48</w:t>
                  </w:r>
                  <w:r>
                    <w:rPr>
                      <w:rFonts w:hint="eastAsia" w:ascii="Times New Roman" w:hAnsi="Times New Roman" w:eastAsia="宋体" w:cs="Times New Roman"/>
                      <w:color w:val="auto"/>
                      <w:spacing w:val="0"/>
                      <w:kern w:val="0"/>
                      <w:szCs w:val="21"/>
                      <w:highlight w:val="none"/>
                      <w:lang w:val="en-US" w:eastAsia="zh-CN"/>
                    </w:rPr>
                    <w:t>00m</w:t>
                  </w:r>
                  <w:r>
                    <w:rPr>
                      <w:rFonts w:hint="eastAsia" w:ascii="Times New Roman" w:hAnsi="Times New Roman" w:eastAsia="宋体" w:cs="Times New Roman"/>
                      <w:color w:val="auto"/>
                      <w:spacing w:val="0"/>
                      <w:kern w:val="0"/>
                      <w:szCs w:val="21"/>
                      <w:highlight w:val="none"/>
                      <w:vertAlign w:val="superscript"/>
                      <w:lang w:val="en-US" w:eastAsia="zh-CN"/>
                    </w:rPr>
                    <w:t>2</w:t>
                  </w:r>
                </w:p>
              </w:tc>
            </w:tr>
            <w:tr w14:paraId="333BA2AB">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715" w:type="pct"/>
                  <w:tcBorders>
                    <w:top w:val="single" w:color="auto" w:sz="4" w:space="0"/>
                    <w:bottom w:val="single" w:color="auto" w:sz="4" w:space="0"/>
                    <w:right w:val="single" w:color="auto" w:sz="4" w:space="0"/>
                  </w:tcBorders>
                  <w:noWrap w:val="0"/>
                  <w:vAlign w:val="center"/>
                </w:tcPr>
                <w:p w14:paraId="65AB1DA3">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生产规模</w:t>
                  </w:r>
                </w:p>
              </w:tc>
              <w:tc>
                <w:tcPr>
                  <w:tcW w:w="4284" w:type="pct"/>
                  <w:tcBorders>
                    <w:top w:val="single" w:color="auto" w:sz="4" w:space="0"/>
                    <w:left w:val="single" w:color="auto" w:sz="4" w:space="0"/>
                    <w:bottom w:val="single" w:color="auto" w:sz="4" w:space="0"/>
                    <w:right w:val="nil"/>
                  </w:tcBorders>
                  <w:noWrap w:val="0"/>
                  <w:vAlign w:val="center"/>
                </w:tcPr>
                <w:p w14:paraId="48CC8738">
                  <w:pPr>
                    <w:widowControl/>
                    <w:jc w:val="center"/>
                    <w:rPr>
                      <w:rFonts w:hint="default" w:ascii="Times New Roman" w:hAnsi="Times New Roman" w:eastAsia="宋体" w:cs="Times New Roman"/>
                      <w:color w:val="auto"/>
                      <w:spacing w:val="0"/>
                      <w:kern w:val="0"/>
                      <w:szCs w:val="21"/>
                      <w:highlight w:val="none"/>
                      <w:lang w:val="en-US" w:eastAsia="zh-CN"/>
                    </w:rPr>
                  </w:pPr>
                  <w:r>
                    <w:rPr>
                      <w:rFonts w:hint="eastAsia" w:cs="Times New Roman"/>
                      <w:color w:val="auto"/>
                      <w:spacing w:val="0"/>
                      <w:kern w:val="0"/>
                      <w:szCs w:val="21"/>
                      <w:highlight w:val="none"/>
                      <w:lang w:val="en-US" w:eastAsia="zh-CN"/>
                    </w:rPr>
                    <w:t>年产木质屏风4800个</w:t>
                  </w:r>
                </w:p>
              </w:tc>
            </w:tr>
            <w:tr w14:paraId="5A9CD730">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715" w:type="pct"/>
                  <w:tcBorders>
                    <w:top w:val="single" w:color="auto" w:sz="4" w:space="0"/>
                    <w:bottom w:val="single" w:color="auto" w:sz="4" w:space="0"/>
                    <w:right w:val="single" w:color="auto" w:sz="4" w:space="0"/>
                  </w:tcBorders>
                  <w:noWrap w:val="0"/>
                  <w:vAlign w:val="center"/>
                </w:tcPr>
                <w:p w14:paraId="65320EB2">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rPr>
                    <w:t>职工人数</w:t>
                  </w:r>
                </w:p>
              </w:tc>
              <w:tc>
                <w:tcPr>
                  <w:tcW w:w="4284" w:type="pct"/>
                  <w:tcBorders>
                    <w:top w:val="single" w:color="auto" w:sz="4" w:space="0"/>
                    <w:left w:val="single" w:color="auto" w:sz="4" w:space="0"/>
                    <w:bottom w:val="single" w:color="auto" w:sz="4" w:space="0"/>
                    <w:right w:val="nil"/>
                  </w:tcBorders>
                  <w:noWrap w:val="0"/>
                  <w:vAlign w:val="center"/>
                </w:tcPr>
                <w:p w14:paraId="048DD7B8">
                  <w:pPr>
                    <w:widowControl/>
                    <w:jc w:val="center"/>
                    <w:rPr>
                      <w:rFonts w:hint="default" w:ascii="Times New Roman" w:hAnsi="Times New Roman" w:eastAsia="宋体" w:cs="Times New Roman"/>
                      <w:color w:val="auto"/>
                      <w:spacing w:val="0"/>
                      <w:kern w:val="0"/>
                      <w:szCs w:val="21"/>
                      <w:highlight w:val="none"/>
                      <w:lang w:val="en-US" w:eastAsia="zh-CN"/>
                    </w:rPr>
                  </w:pPr>
                  <w:r>
                    <w:rPr>
                      <w:rFonts w:hint="eastAsia" w:cs="Times New Roman"/>
                      <w:color w:val="auto"/>
                      <w:spacing w:val="0"/>
                      <w:kern w:val="0"/>
                      <w:szCs w:val="21"/>
                      <w:highlight w:val="none"/>
                      <w:lang w:val="en-US" w:eastAsia="zh-CN"/>
                    </w:rPr>
                    <w:t>20人</w:t>
                  </w:r>
                </w:p>
              </w:tc>
            </w:tr>
            <w:tr w14:paraId="76CE0806">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715" w:type="pct"/>
                  <w:tcBorders>
                    <w:top w:val="single" w:color="auto" w:sz="4" w:space="0"/>
                    <w:bottom w:val="single" w:color="auto" w:sz="4" w:space="0"/>
                    <w:right w:val="single" w:color="auto" w:sz="4" w:space="0"/>
                  </w:tcBorders>
                  <w:noWrap w:val="0"/>
                  <w:vAlign w:val="center"/>
                </w:tcPr>
                <w:p w14:paraId="1508EF11">
                  <w:pPr>
                    <w:widowControl/>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Cs w:val="21"/>
                      <w:highlight w:val="none"/>
                      <w:lang w:bidi="ar"/>
                    </w:rPr>
                    <w:t>工作制度</w:t>
                  </w:r>
                </w:p>
              </w:tc>
              <w:tc>
                <w:tcPr>
                  <w:tcW w:w="4284" w:type="pct"/>
                  <w:tcBorders>
                    <w:top w:val="single" w:color="auto" w:sz="4" w:space="0"/>
                    <w:left w:val="single" w:color="auto" w:sz="4" w:space="0"/>
                    <w:bottom w:val="single" w:color="auto" w:sz="4" w:space="0"/>
                    <w:right w:val="nil"/>
                  </w:tcBorders>
                  <w:noWrap w:val="0"/>
                  <w:vAlign w:val="center"/>
                </w:tcPr>
                <w:p w14:paraId="785C54A8">
                  <w:pPr>
                    <w:widowControl/>
                    <w:jc w:val="center"/>
                    <w:rPr>
                      <w:rFonts w:hint="default" w:ascii="Times New Roman" w:hAnsi="Times New Roman" w:eastAsia="宋体" w:cs="Times New Roman"/>
                      <w:color w:val="auto"/>
                      <w:spacing w:val="0"/>
                      <w:kern w:val="0"/>
                      <w:szCs w:val="21"/>
                      <w:highlight w:val="none"/>
                      <w:lang w:val="en-US" w:eastAsia="zh-CN"/>
                    </w:rPr>
                  </w:pPr>
                  <w:r>
                    <w:rPr>
                      <w:rFonts w:hint="eastAsia" w:ascii="Times New Roman" w:hAnsi="Times New Roman" w:eastAsia="宋体" w:cs="Times New Roman"/>
                      <w:color w:val="auto"/>
                      <w:spacing w:val="0"/>
                      <w:kern w:val="0"/>
                      <w:szCs w:val="21"/>
                      <w:highlight w:val="none"/>
                      <w:lang w:val="en-US" w:eastAsia="zh-CN"/>
                    </w:rPr>
                    <w:t>年工作300天，每天工作8小时</w:t>
                  </w:r>
                  <w:r>
                    <w:rPr>
                      <w:rFonts w:hint="eastAsia" w:cs="Times New Roman"/>
                      <w:color w:val="auto"/>
                      <w:spacing w:val="0"/>
                      <w:kern w:val="0"/>
                      <w:szCs w:val="21"/>
                      <w:highlight w:val="none"/>
                      <w:lang w:val="en-US" w:eastAsia="zh-CN"/>
                    </w:rPr>
                    <w:t>，不住厂</w:t>
                  </w:r>
                </w:p>
              </w:tc>
            </w:tr>
          </w:tbl>
          <w:p w14:paraId="00BA0666">
            <w:pPr>
              <w:pStyle w:val="3"/>
              <w:spacing w:before="120" w:beforeLines="50" w:after="0" w:line="360" w:lineRule="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2.</w:t>
            </w:r>
            <w:r>
              <w:rPr>
                <w:rFonts w:hint="eastAsia" w:ascii="Times New Roman" w:hAnsi="Times New Roman" w:eastAsia="宋体" w:cs="Times New Roman"/>
                <w:color w:val="auto"/>
                <w:spacing w:val="0"/>
                <w:sz w:val="24"/>
                <w:szCs w:val="24"/>
                <w:highlight w:val="none"/>
                <w:lang w:val="en-US" w:eastAsia="zh-CN"/>
              </w:rPr>
              <w:t>9.2.1 迁建</w:t>
            </w:r>
            <w:r>
              <w:rPr>
                <w:rFonts w:hint="default" w:ascii="Times New Roman" w:hAnsi="Times New Roman" w:eastAsia="宋体" w:cs="Times New Roman"/>
                <w:color w:val="auto"/>
                <w:spacing w:val="0"/>
                <w:sz w:val="24"/>
                <w:szCs w:val="24"/>
                <w:highlight w:val="none"/>
              </w:rPr>
              <w:t>前工艺流程</w:t>
            </w:r>
          </w:p>
          <w:p w14:paraId="2EAF0F6D">
            <w:pPr>
              <w:spacing w:line="360" w:lineRule="auto"/>
              <w:ind w:firstLine="482" w:firstLineChars="200"/>
              <w:jc w:val="left"/>
              <w:rPr>
                <w:rFonts w:hint="default" w:ascii="Times New Roman" w:hAnsi="Times New Roman" w:eastAsia="宋体" w:cs="Times New Roman"/>
                <w:b/>
                <w:bCs/>
                <w:color w:val="auto"/>
                <w:spacing w:val="0"/>
                <w:sz w:val="24"/>
                <w:highlight w:val="none"/>
              </w:rPr>
            </w:pPr>
            <w:r>
              <w:rPr>
                <w:rFonts w:hint="default" w:ascii="Times New Roman" w:hAnsi="Times New Roman" w:eastAsia="宋体" w:cs="Times New Roman"/>
                <w:b/>
                <w:bCs/>
                <w:color w:val="auto"/>
                <w:spacing w:val="0"/>
                <w:sz w:val="24"/>
                <w:highlight w:val="none"/>
              </w:rPr>
              <w:t>（1）工艺流程</w:t>
            </w:r>
          </w:p>
          <w:p w14:paraId="0A75303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eastAsia" w:cs="Times New Roman"/>
                <w:b w:val="0"/>
                <w:bCs w:val="0"/>
                <w:color w:val="auto"/>
                <w:spacing w:val="0"/>
                <w:kern w:val="0"/>
                <w:sz w:val="24"/>
                <w:highlight w:val="none"/>
                <w:lang w:val="en-US" w:eastAsia="zh-CN"/>
              </w:rPr>
              <w:t>项目迁建前工艺流程与迁建后工艺基本一致，</w:t>
            </w:r>
            <w:r>
              <w:rPr>
                <w:rFonts w:hint="eastAsia" w:ascii="Times New Roman" w:hAnsi="Times New Roman" w:eastAsia="宋体" w:cs="Times New Roman"/>
                <w:b w:val="0"/>
                <w:bCs/>
                <w:color w:val="auto"/>
                <w:spacing w:val="0"/>
                <w:kern w:val="0"/>
                <w:sz w:val="24"/>
                <w:szCs w:val="24"/>
                <w:highlight w:val="none"/>
                <w:lang w:val="en-US" w:eastAsia="zh-CN" w:bidi="ar-SA"/>
              </w:rPr>
              <w:t>仅无</w:t>
            </w:r>
            <w:r>
              <w:rPr>
                <w:rFonts w:hint="eastAsia" w:cs="Times New Roman"/>
                <w:b w:val="0"/>
                <w:bCs/>
                <w:color w:val="auto"/>
                <w:spacing w:val="0"/>
                <w:kern w:val="0"/>
                <w:sz w:val="24"/>
                <w:szCs w:val="24"/>
                <w:highlight w:val="none"/>
                <w:lang w:val="en-US" w:eastAsia="zh-CN" w:bidi="ar-SA"/>
              </w:rPr>
              <w:t>修整、打印</w:t>
            </w:r>
            <w:r>
              <w:rPr>
                <w:rFonts w:hint="eastAsia" w:ascii="Times New Roman" w:hAnsi="Times New Roman" w:eastAsia="宋体" w:cs="Times New Roman"/>
                <w:b w:val="0"/>
                <w:bCs/>
                <w:color w:val="auto"/>
                <w:spacing w:val="0"/>
                <w:kern w:val="0"/>
                <w:sz w:val="24"/>
                <w:szCs w:val="24"/>
                <w:highlight w:val="none"/>
                <w:lang w:val="en-US" w:eastAsia="zh-CN" w:bidi="ar-SA"/>
              </w:rPr>
              <w:t>工序</w:t>
            </w:r>
            <w:r>
              <w:rPr>
                <w:rFonts w:hint="eastAsia" w:cs="Times New Roman"/>
                <w:b w:val="0"/>
                <w:bCs w:val="0"/>
                <w:color w:val="auto"/>
                <w:spacing w:val="0"/>
                <w:kern w:val="0"/>
                <w:sz w:val="24"/>
                <w:highlight w:val="none"/>
                <w:lang w:val="en-US" w:eastAsia="zh-CN"/>
              </w:rPr>
              <w:t>。</w:t>
            </w:r>
          </w:p>
          <w:p w14:paraId="71E3F528">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2.</w:t>
            </w:r>
            <w:r>
              <w:rPr>
                <w:rFonts w:hint="eastAsia" w:ascii="Times New Roman" w:hAnsi="Times New Roman" w:eastAsia="宋体" w:cs="Times New Roman"/>
                <w:color w:val="auto"/>
                <w:spacing w:val="0"/>
                <w:sz w:val="24"/>
                <w:szCs w:val="24"/>
                <w:highlight w:val="none"/>
                <w:lang w:val="en-US" w:eastAsia="zh-CN"/>
              </w:rPr>
              <w:t>9.2.2 迁建</w:t>
            </w:r>
            <w:r>
              <w:rPr>
                <w:rFonts w:hint="default" w:ascii="Times New Roman" w:hAnsi="Times New Roman" w:eastAsia="宋体" w:cs="Times New Roman"/>
                <w:color w:val="auto"/>
                <w:spacing w:val="0"/>
                <w:sz w:val="24"/>
                <w:szCs w:val="24"/>
                <w:highlight w:val="none"/>
              </w:rPr>
              <w:t>前污染物排放情况</w:t>
            </w:r>
          </w:p>
          <w:p w14:paraId="422B3B1A">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bCs/>
                <w:color w:val="auto"/>
                <w:spacing w:val="0"/>
                <w:sz w:val="24"/>
                <w:highlight w:val="none"/>
                <w:lang w:eastAsia="zh-CN"/>
              </w:rPr>
            </w:pPr>
            <w:r>
              <w:rPr>
                <w:rFonts w:hint="default" w:ascii="Times New Roman" w:hAnsi="Times New Roman" w:eastAsia="宋体" w:cs="Times New Roman"/>
                <w:bCs/>
                <w:color w:val="auto"/>
                <w:spacing w:val="0"/>
                <w:sz w:val="24"/>
                <w:highlight w:val="none"/>
              </w:rPr>
              <w:t>根据</w:t>
            </w:r>
            <w:r>
              <w:rPr>
                <w:rFonts w:hint="eastAsia" w:cs="Times New Roman"/>
                <w:color w:val="auto"/>
                <w:spacing w:val="0"/>
                <w:position w:val="0"/>
                <w:sz w:val="24"/>
                <w:szCs w:val="24"/>
                <w:highlight w:val="none"/>
                <w:u w:val="none"/>
                <w:lang w:eastAsia="zh-CN"/>
              </w:rPr>
              <w:t>福州市搜一家具有限公司</w:t>
            </w:r>
            <w:r>
              <w:rPr>
                <w:rFonts w:hint="default" w:ascii="Times New Roman" w:hAnsi="Times New Roman" w:eastAsia="宋体" w:cs="Times New Roman"/>
                <w:bCs/>
                <w:color w:val="auto"/>
                <w:spacing w:val="0"/>
                <w:sz w:val="24"/>
                <w:highlight w:val="none"/>
              </w:rPr>
              <w:t>《</w:t>
            </w:r>
            <w:r>
              <w:rPr>
                <w:rFonts w:hint="eastAsia" w:cs="Times New Roman"/>
                <w:color w:val="auto"/>
                <w:spacing w:val="0"/>
                <w:position w:val="0"/>
                <w:sz w:val="24"/>
                <w:szCs w:val="24"/>
                <w:highlight w:val="none"/>
                <w:u w:val="none"/>
                <w:lang w:eastAsia="zh-CN"/>
              </w:rPr>
              <w:t>福州市搜一家具有限公司</w:t>
            </w:r>
            <w:r>
              <w:rPr>
                <w:rFonts w:hint="eastAsia" w:cs="Times New Roman"/>
                <w:color w:val="auto"/>
                <w:spacing w:val="0"/>
                <w:position w:val="0"/>
                <w:sz w:val="24"/>
                <w:szCs w:val="24"/>
                <w:highlight w:val="none"/>
                <w:u w:val="none"/>
                <w:lang w:val="en-US" w:eastAsia="zh-CN"/>
              </w:rPr>
              <w:t>木质屏风生产</w:t>
            </w:r>
            <w:r>
              <w:rPr>
                <w:rFonts w:hint="eastAsia" w:ascii="Times New Roman" w:hAnsi="Times New Roman" w:eastAsia="宋体" w:cs="Times New Roman"/>
                <w:color w:val="auto"/>
                <w:spacing w:val="0"/>
                <w:position w:val="0"/>
                <w:sz w:val="24"/>
                <w:szCs w:val="24"/>
                <w:highlight w:val="none"/>
                <w:u w:val="none"/>
                <w:lang w:val="en-US" w:eastAsia="zh-CN"/>
              </w:rPr>
              <w:t>项目环境影响报告表</w:t>
            </w:r>
            <w:r>
              <w:rPr>
                <w:rFonts w:hint="default" w:ascii="Times New Roman" w:hAnsi="Times New Roman" w:eastAsia="宋体" w:cs="Times New Roman"/>
                <w:bCs/>
                <w:color w:val="auto"/>
                <w:spacing w:val="0"/>
                <w:sz w:val="24"/>
                <w:highlight w:val="none"/>
              </w:rPr>
              <w:t>》内容及批复（编号：</w:t>
            </w:r>
            <w:r>
              <w:rPr>
                <w:rFonts w:hint="eastAsia" w:cs="Times New Roman"/>
                <w:color w:val="auto"/>
                <w:sz w:val="24"/>
                <w:highlight w:val="none"/>
                <w:lang w:val="en-US" w:eastAsia="zh-CN"/>
              </w:rPr>
              <w:t>侯环评</w:t>
            </w:r>
            <w:r>
              <w:rPr>
                <w:rFonts w:hint="eastAsia" w:ascii="Times New Roman" w:hAnsi="Times New Roman" w:eastAsia="宋体" w:cs="Times New Roman"/>
                <w:color w:val="auto"/>
                <w:sz w:val="24"/>
                <w:highlight w:val="none"/>
              </w:rPr>
              <w:t>[2</w:t>
            </w:r>
            <w:r>
              <w:rPr>
                <w:rFonts w:hint="eastAsia" w:ascii="Times New Roman" w:hAnsi="Times New Roman" w:eastAsia="宋体" w:cs="Times New Roman"/>
                <w:color w:val="auto"/>
                <w:sz w:val="24"/>
                <w:highlight w:val="none"/>
                <w:lang w:val="en-US" w:eastAsia="zh-CN"/>
              </w:rPr>
              <w:t>0</w:t>
            </w:r>
            <w:r>
              <w:rPr>
                <w:rFonts w:hint="eastAsia" w:cs="Times New Roman"/>
                <w:color w:val="auto"/>
                <w:sz w:val="24"/>
                <w:highlight w:val="none"/>
                <w:lang w:val="en-US" w:eastAsia="zh-CN"/>
              </w:rPr>
              <w:t>21</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108</w:t>
            </w:r>
            <w:r>
              <w:rPr>
                <w:rFonts w:ascii="Times New Roman" w:hAnsi="Times New Roman" w:eastAsia="宋体" w:cs="Times New Roman"/>
                <w:color w:val="auto"/>
                <w:sz w:val="24"/>
                <w:highlight w:val="none"/>
              </w:rPr>
              <w:t>号</w:t>
            </w:r>
            <w:r>
              <w:rPr>
                <w:rFonts w:hint="default" w:ascii="Times New Roman" w:hAnsi="Times New Roman" w:eastAsia="宋体" w:cs="Times New Roman"/>
                <w:bCs/>
                <w:color w:val="auto"/>
                <w:spacing w:val="0"/>
                <w:sz w:val="24"/>
                <w:highlight w:val="none"/>
              </w:rPr>
              <w:t>）、《</w:t>
            </w:r>
            <w:r>
              <w:rPr>
                <w:rFonts w:hint="eastAsia" w:cs="Times New Roman"/>
                <w:color w:val="auto"/>
                <w:spacing w:val="0"/>
                <w:position w:val="0"/>
                <w:sz w:val="24"/>
                <w:szCs w:val="24"/>
                <w:highlight w:val="none"/>
                <w:u w:val="none"/>
                <w:lang w:eastAsia="zh-CN"/>
              </w:rPr>
              <w:t>福州市搜一家具有限公司</w:t>
            </w:r>
            <w:r>
              <w:rPr>
                <w:rFonts w:hint="eastAsia" w:cs="Times New Roman"/>
                <w:color w:val="auto"/>
                <w:spacing w:val="0"/>
                <w:position w:val="0"/>
                <w:sz w:val="24"/>
                <w:szCs w:val="24"/>
                <w:highlight w:val="none"/>
                <w:u w:val="none"/>
                <w:lang w:val="en-US" w:eastAsia="zh-CN"/>
              </w:rPr>
              <w:t>木质屏风生产</w:t>
            </w:r>
            <w:r>
              <w:rPr>
                <w:rFonts w:hint="eastAsia" w:ascii="Times New Roman" w:hAnsi="Times New Roman" w:eastAsia="宋体" w:cs="Times New Roman"/>
                <w:color w:val="auto"/>
                <w:spacing w:val="0"/>
                <w:position w:val="0"/>
                <w:sz w:val="24"/>
                <w:szCs w:val="24"/>
                <w:highlight w:val="none"/>
                <w:u w:val="none"/>
                <w:lang w:val="en-US" w:eastAsia="zh-CN"/>
              </w:rPr>
              <w:t>项目</w:t>
            </w:r>
            <w:r>
              <w:rPr>
                <w:rFonts w:hint="default" w:ascii="Times New Roman" w:hAnsi="Times New Roman" w:eastAsia="宋体" w:cs="Times New Roman"/>
                <w:bCs/>
                <w:color w:val="auto"/>
                <w:spacing w:val="0"/>
                <w:sz w:val="24"/>
                <w:highlight w:val="none"/>
              </w:rPr>
              <w:t>竣工环境保护验收监测报告表》及项目排污登记（编号：91350121MA2Y0DLHXN001Y），现有工程主要污染源强及其环保措施情况如下</w:t>
            </w:r>
            <w:r>
              <w:rPr>
                <w:rFonts w:hint="default" w:ascii="Times New Roman" w:hAnsi="Times New Roman" w:eastAsia="宋体" w:cs="Times New Roman"/>
                <w:bCs/>
                <w:color w:val="auto"/>
                <w:spacing w:val="0"/>
                <w:sz w:val="24"/>
                <w:highlight w:val="none"/>
                <w:lang w:eastAsia="zh-CN"/>
              </w:rPr>
              <w:t>：</w:t>
            </w:r>
          </w:p>
          <w:p w14:paraId="1D6751A9">
            <w:pPr>
              <w:pStyle w:val="28"/>
              <w:pageBreakBefore w:val="0"/>
              <w:widowControl w:val="0"/>
              <w:numPr>
                <w:ilvl w:val="0"/>
                <w:numId w:val="0"/>
              </w:numPr>
              <w:kinsoku/>
              <w:wordWrap/>
              <w:overflowPunct/>
              <w:topLinePunct w:val="0"/>
              <w:autoSpaceDE/>
              <w:autoSpaceDN/>
              <w:bidi w:val="0"/>
              <w:adjustRightInd/>
              <w:snapToGrid/>
              <w:spacing w:after="0" w:line="360" w:lineRule="auto"/>
              <w:ind w:left="0" w:leftChars="0" w:firstLine="422" w:firstLineChars="200"/>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b/>
                <w:bCs/>
                <w:color w:val="auto"/>
                <w:spacing w:val="0"/>
                <w:kern w:val="2"/>
                <w:sz w:val="21"/>
                <w:szCs w:val="24"/>
                <w:highlight w:val="none"/>
                <w:lang w:val="en-US" w:eastAsia="zh-CN" w:bidi="ar-SA"/>
              </w:rPr>
              <w:t>（1）</w:t>
            </w:r>
            <w:r>
              <w:rPr>
                <w:rFonts w:hint="eastAsia" w:cs="Times New Roman"/>
                <w:b/>
                <w:bCs/>
                <w:color w:val="auto"/>
                <w:spacing w:val="0"/>
                <w:sz w:val="24"/>
                <w:szCs w:val="24"/>
                <w:highlight w:val="none"/>
                <w:lang w:val="en-US" w:eastAsia="zh-CN"/>
              </w:rPr>
              <w:t>废水</w:t>
            </w:r>
          </w:p>
          <w:p w14:paraId="39B9494E">
            <w:pPr>
              <w:widowControl/>
              <w:spacing w:line="360" w:lineRule="auto"/>
              <w:ind w:firstLine="480" w:firstLineChars="200"/>
              <w:rPr>
                <w:rFonts w:hint="eastAsia"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kern w:val="0"/>
                <w:sz w:val="24"/>
                <w:highlight w:val="none"/>
                <w:lang w:val="en-US" w:eastAsia="zh-CN" w:bidi="ar"/>
              </w:rPr>
              <w:t>现有工程</w:t>
            </w:r>
            <w:r>
              <w:rPr>
                <w:rFonts w:hint="eastAsia" w:ascii="Times New Roman" w:hAnsi="Times New Roman" w:eastAsia="宋体" w:cs="Times New Roman"/>
                <w:color w:val="auto"/>
                <w:kern w:val="0"/>
                <w:sz w:val="24"/>
                <w:highlight w:val="none"/>
                <w:lang w:bidi="ar"/>
              </w:rPr>
              <w:t>无生产废水</w:t>
            </w:r>
            <w:r>
              <w:rPr>
                <w:rFonts w:hint="eastAsia" w:cs="Times New Roman"/>
                <w:color w:val="auto"/>
                <w:kern w:val="0"/>
                <w:sz w:val="24"/>
                <w:highlight w:val="none"/>
                <w:lang w:val="en-US" w:eastAsia="zh-CN" w:bidi="ar"/>
              </w:rPr>
              <w:t>外排</w:t>
            </w:r>
            <w:r>
              <w:rPr>
                <w:rFonts w:hint="eastAsia" w:ascii="Times New Roman" w:hAnsi="Times New Roman" w:eastAsia="宋体" w:cs="Times New Roman"/>
                <w:color w:val="auto"/>
                <w:kern w:val="0"/>
                <w:sz w:val="24"/>
                <w:highlight w:val="none"/>
                <w:lang w:eastAsia="zh-CN" w:bidi="ar"/>
              </w:rPr>
              <w:t>，</w:t>
            </w:r>
            <w:r>
              <w:rPr>
                <w:rFonts w:hint="eastAsia" w:cs="Times New Roman"/>
                <w:color w:val="auto"/>
                <w:kern w:val="0"/>
                <w:sz w:val="24"/>
                <w:highlight w:val="none"/>
                <w:lang w:val="en-US" w:eastAsia="zh-CN" w:bidi="ar"/>
              </w:rPr>
              <w:t>水帘气旋废水定期更换作危废。</w:t>
            </w:r>
            <w:r>
              <w:rPr>
                <w:rFonts w:ascii="Times New Roman" w:hAnsi="Times New Roman" w:eastAsia="宋体" w:cs="Times New Roman"/>
                <w:color w:val="auto"/>
                <w:kern w:val="0"/>
                <w:sz w:val="24"/>
                <w:highlight w:val="none"/>
                <w:lang w:bidi="ar"/>
              </w:rPr>
              <w:t>废水主要来源于职工生活污水。</w:t>
            </w:r>
            <w:r>
              <w:rPr>
                <w:rFonts w:hint="eastAsia" w:ascii="Times New Roman" w:hAnsi="Times New Roman" w:eastAsia="宋体" w:cs="Times New Roman"/>
                <w:b w:val="0"/>
                <w:bCs w:val="0"/>
                <w:color w:val="auto"/>
                <w:sz w:val="24"/>
                <w:szCs w:val="24"/>
                <w:highlight w:val="none"/>
                <w:lang w:val="en-US" w:eastAsia="zh-CN"/>
              </w:rPr>
              <w:t>现有工程</w:t>
            </w:r>
            <w:r>
              <w:rPr>
                <w:rFonts w:hint="default" w:ascii="Times New Roman" w:hAnsi="Times New Roman" w:eastAsia="宋体" w:cs="Times New Roman"/>
                <w:b w:val="0"/>
                <w:bCs w:val="0"/>
                <w:color w:val="auto"/>
                <w:sz w:val="24"/>
                <w:szCs w:val="24"/>
                <w:highlight w:val="none"/>
                <w:lang w:val="en-US" w:eastAsia="zh-CN"/>
              </w:rPr>
              <w:t>职工人数为</w:t>
            </w:r>
            <w:r>
              <w:rPr>
                <w:rFonts w:hint="eastAsia" w:ascii="Times New Roman" w:hAnsi="Times New Roman" w:eastAsia="宋体" w:cs="Times New Roman"/>
                <w:b w:val="0"/>
                <w:bCs w:val="0"/>
                <w:color w:val="auto"/>
                <w:sz w:val="24"/>
                <w:szCs w:val="24"/>
                <w:highlight w:val="none"/>
                <w:lang w:val="en-US" w:eastAsia="zh-CN"/>
              </w:rPr>
              <w:t>20</w:t>
            </w:r>
            <w:r>
              <w:rPr>
                <w:rFonts w:hint="default" w:ascii="Times New Roman" w:hAnsi="Times New Roman" w:eastAsia="宋体" w:cs="Times New Roman"/>
                <w:b w:val="0"/>
                <w:bCs w:val="0"/>
                <w:color w:val="auto"/>
                <w:sz w:val="24"/>
                <w:szCs w:val="24"/>
                <w:highlight w:val="none"/>
                <w:lang w:val="en-US" w:eastAsia="zh-CN"/>
              </w:rPr>
              <w:t>人</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均不</w:t>
            </w:r>
            <w:r>
              <w:rPr>
                <w:rFonts w:hint="default" w:ascii="Times New Roman" w:hAnsi="Times New Roman" w:eastAsia="宋体" w:cs="Times New Roman"/>
                <w:b w:val="0"/>
                <w:bCs w:val="0"/>
                <w:color w:val="auto"/>
                <w:sz w:val="24"/>
                <w:szCs w:val="24"/>
                <w:highlight w:val="none"/>
                <w:lang w:val="en-US" w:eastAsia="zh-CN"/>
              </w:rPr>
              <w:t>住厂</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根据业主提供资料</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生活用水量为</w:t>
            </w:r>
            <w:r>
              <w:rPr>
                <w:rFonts w:hint="eastAsia" w:cs="Times New Roman"/>
                <w:color w:val="auto"/>
                <w:spacing w:val="0"/>
                <w:position w:val="0"/>
                <w:sz w:val="24"/>
                <w:highlight w:val="none"/>
                <w:lang w:val="en-US" w:eastAsia="zh-CN"/>
              </w:rPr>
              <w:t>300</w:t>
            </w:r>
            <w:r>
              <w:rPr>
                <w:rFonts w:hint="default" w:ascii="Times New Roman" w:hAnsi="Times New Roman" w:eastAsia="宋体" w:cs="Times New Roman"/>
                <w:b w:val="0"/>
                <w:bCs w:val="0"/>
                <w:color w:val="auto"/>
                <w:sz w:val="24"/>
                <w:szCs w:val="24"/>
                <w:highlight w:val="none"/>
                <w:lang w:val="en-US" w:eastAsia="zh-CN"/>
              </w:rPr>
              <w:t>t/a</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t/d</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生活污水排放量为</w:t>
            </w:r>
            <w:r>
              <w:rPr>
                <w:rFonts w:hint="eastAsia" w:cs="Times New Roman"/>
                <w:b w:val="0"/>
                <w:bCs w:val="0"/>
                <w:color w:val="auto"/>
                <w:sz w:val="24"/>
                <w:szCs w:val="24"/>
                <w:highlight w:val="none"/>
                <w:lang w:val="en-US" w:eastAsia="zh-CN"/>
              </w:rPr>
              <w:t>240</w:t>
            </w:r>
            <w:r>
              <w:rPr>
                <w:rFonts w:hint="default" w:ascii="Times New Roman" w:hAnsi="Times New Roman" w:eastAsia="宋体" w:cs="Times New Roman"/>
                <w:b w:val="0"/>
                <w:bCs w:val="0"/>
                <w:color w:val="auto"/>
                <w:sz w:val="24"/>
                <w:szCs w:val="24"/>
                <w:highlight w:val="none"/>
                <w:lang w:val="en-US" w:eastAsia="zh-CN"/>
              </w:rPr>
              <w:t>t/a</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0.8</w:t>
            </w:r>
            <w:r>
              <w:rPr>
                <w:rFonts w:hint="default" w:ascii="Times New Roman" w:hAnsi="Times New Roman" w:eastAsia="宋体" w:cs="Times New Roman"/>
                <w:b w:val="0"/>
                <w:bCs w:val="0"/>
                <w:color w:val="auto"/>
                <w:sz w:val="24"/>
                <w:szCs w:val="24"/>
                <w:highlight w:val="none"/>
                <w:lang w:val="en-US" w:eastAsia="zh-CN"/>
              </w:rPr>
              <w:t>t/d</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color w:val="auto"/>
                <w:kern w:val="0"/>
                <w:sz w:val="24"/>
                <w:highlight w:val="none"/>
                <w:lang w:bidi="ar"/>
              </w:rPr>
              <w:t>职工生活污水水质简单，污染物负荷量小，主要污染物为</w:t>
            </w:r>
            <w:r>
              <w:rPr>
                <w:rFonts w:hint="eastAsia" w:ascii="Times New Roman" w:hAnsi="Times New Roman" w:eastAsia="宋体" w:cs="Times New Roman"/>
                <w:color w:val="auto"/>
                <w:sz w:val="24"/>
                <w:highlight w:val="none"/>
              </w:rPr>
              <w:t>COD</w:t>
            </w:r>
            <w:r>
              <w:rPr>
                <w:rFonts w:hint="eastAsia" w:ascii="Times New Roman" w:hAnsi="Times New Roman" w:eastAsia="宋体" w:cs="Times New Roman"/>
                <w:color w:val="auto"/>
                <w:sz w:val="24"/>
                <w:highlight w:val="none"/>
                <w:vertAlign w:val="subscript"/>
              </w:rPr>
              <w:t>Cr</w:t>
            </w:r>
            <w:r>
              <w:rPr>
                <w:rFonts w:hint="eastAsia" w:ascii="Times New Roman" w:hAnsi="Times New Roman" w:eastAsia="宋体" w:cs="Times New Roman"/>
                <w:color w:val="auto"/>
                <w:kern w:val="0"/>
                <w:sz w:val="24"/>
                <w:highlight w:val="none"/>
                <w:lang w:bidi="ar"/>
              </w:rPr>
              <w:t>、</w:t>
            </w:r>
            <w:r>
              <w:rPr>
                <w:rFonts w:ascii="Times New Roman" w:hAnsi="Times New Roman" w:eastAsia="宋体" w:cs="Times New Roman"/>
                <w:color w:val="auto"/>
                <w:kern w:val="0"/>
                <w:sz w:val="24"/>
                <w:highlight w:val="none"/>
                <w:lang w:bidi="ar"/>
              </w:rPr>
              <w:t>BOD</w:t>
            </w:r>
            <w:r>
              <w:rPr>
                <w:rFonts w:ascii="Times New Roman" w:hAnsi="Times New Roman" w:eastAsia="宋体" w:cs="Times New Roman"/>
                <w:color w:val="auto"/>
                <w:kern w:val="0"/>
                <w:sz w:val="24"/>
                <w:highlight w:val="none"/>
                <w:vertAlign w:val="subscript"/>
                <w:lang w:bidi="ar"/>
              </w:rPr>
              <w:t>5</w:t>
            </w:r>
            <w:r>
              <w:rPr>
                <w:rFonts w:hint="eastAsia" w:ascii="Times New Roman" w:hAnsi="Times New Roman" w:eastAsia="宋体" w:cs="Times New Roman"/>
                <w:color w:val="auto"/>
                <w:kern w:val="0"/>
                <w:sz w:val="24"/>
                <w:highlight w:val="none"/>
                <w:lang w:bidi="ar"/>
              </w:rPr>
              <w:t>、氨氮、</w:t>
            </w:r>
            <w:r>
              <w:rPr>
                <w:rFonts w:ascii="Times New Roman" w:hAnsi="Times New Roman" w:eastAsia="宋体" w:cs="Times New Roman"/>
                <w:color w:val="auto"/>
                <w:kern w:val="0"/>
                <w:sz w:val="24"/>
                <w:highlight w:val="none"/>
                <w:lang w:bidi="ar"/>
              </w:rPr>
              <w:t>SS</w:t>
            </w:r>
            <w:r>
              <w:rPr>
                <w:rFonts w:hint="eastAsia" w:ascii="Times New Roman" w:hAnsi="Times New Roman" w:eastAsia="宋体" w:cs="Times New Roman"/>
                <w:color w:val="auto"/>
                <w:kern w:val="0"/>
                <w:sz w:val="24"/>
                <w:highlight w:val="none"/>
                <w:lang w:bidi="ar"/>
              </w:rPr>
              <w:t>、总氮</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总磷</w:t>
            </w:r>
            <w:r>
              <w:rPr>
                <w:rFonts w:hint="eastAsia" w:ascii="Times New Roman" w:hAnsi="Times New Roman" w:eastAsia="宋体" w:cs="Times New Roman"/>
                <w:color w:val="auto"/>
                <w:kern w:val="0"/>
                <w:sz w:val="24"/>
                <w:highlight w:val="none"/>
                <w:lang w:bidi="ar"/>
              </w:rPr>
              <w:t>等。根据《排放源统计调查产排污核算方法和系数手册》（生态环境部公告</w:t>
            </w:r>
            <w:r>
              <w:rPr>
                <w:rFonts w:ascii="Times New Roman" w:hAnsi="Times New Roman" w:eastAsia="宋体" w:cs="Times New Roman"/>
                <w:color w:val="auto"/>
                <w:kern w:val="0"/>
                <w:sz w:val="24"/>
                <w:highlight w:val="none"/>
                <w:lang w:bidi="ar"/>
              </w:rPr>
              <w:t>2021</w:t>
            </w:r>
            <w:r>
              <w:rPr>
                <w:rFonts w:hint="eastAsia" w:ascii="Times New Roman" w:hAnsi="Times New Roman" w:eastAsia="宋体" w:cs="Times New Roman"/>
                <w:color w:val="auto"/>
                <w:kern w:val="0"/>
                <w:sz w:val="24"/>
                <w:highlight w:val="none"/>
                <w:lang w:bidi="ar"/>
              </w:rPr>
              <w:t>年第</w:t>
            </w:r>
            <w:r>
              <w:rPr>
                <w:rFonts w:ascii="Times New Roman" w:hAnsi="Times New Roman" w:eastAsia="宋体" w:cs="Times New Roman"/>
                <w:color w:val="auto"/>
                <w:kern w:val="0"/>
                <w:sz w:val="24"/>
                <w:highlight w:val="none"/>
                <w:lang w:bidi="ar"/>
              </w:rPr>
              <w:t>24</w:t>
            </w:r>
            <w:r>
              <w:rPr>
                <w:rFonts w:hint="eastAsia" w:ascii="Times New Roman" w:hAnsi="Times New Roman" w:eastAsia="宋体" w:cs="Times New Roman"/>
                <w:color w:val="auto"/>
                <w:kern w:val="0"/>
                <w:sz w:val="24"/>
                <w:highlight w:val="none"/>
                <w:lang w:bidi="ar"/>
              </w:rPr>
              <w:t>号）的生活源产排污核算系数手册中四区产污系数：折污系数为</w:t>
            </w:r>
            <w:r>
              <w:rPr>
                <w:rFonts w:ascii="Times New Roman" w:hAnsi="Times New Roman" w:eastAsia="宋体" w:cs="Times New Roman"/>
                <w:color w:val="auto"/>
                <w:kern w:val="0"/>
                <w:sz w:val="24"/>
                <w:highlight w:val="none"/>
                <w:lang w:bidi="ar"/>
              </w:rPr>
              <w:t>0.85</w:t>
            </w:r>
            <w:r>
              <w:rPr>
                <w:rFonts w:hint="eastAsia"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sz w:val="24"/>
                <w:highlight w:val="none"/>
              </w:rPr>
              <w:t>COD</w:t>
            </w:r>
            <w:r>
              <w:rPr>
                <w:rFonts w:hint="eastAsia" w:ascii="Times New Roman" w:hAnsi="Times New Roman" w:eastAsia="宋体" w:cs="Times New Roman"/>
                <w:color w:val="auto"/>
                <w:sz w:val="24"/>
                <w:highlight w:val="none"/>
                <w:vertAlign w:val="subscript"/>
              </w:rPr>
              <w:t>Cr</w:t>
            </w:r>
            <w:r>
              <w:rPr>
                <w:rFonts w:hint="eastAsia" w:ascii="Times New Roman" w:hAnsi="Times New Roman" w:eastAsia="宋体" w:cs="Times New Roman"/>
                <w:color w:val="auto"/>
                <w:kern w:val="0"/>
                <w:sz w:val="24"/>
                <w:highlight w:val="none"/>
                <w:lang w:bidi="ar"/>
              </w:rPr>
              <w:t>：</w:t>
            </w:r>
            <w:r>
              <w:rPr>
                <w:rFonts w:ascii="Times New Roman" w:hAnsi="Times New Roman" w:eastAsia="宋体" w:cs="Times New Roman"/>
                <w:color w:val="auto"/>
                <w:kern w:val="0"/>
                <w:sz w:val="24"/>
                <w:highlight w:val="none"/>
                <w:lang w:bidi="ar"/>
              </w:rPr>
              <w:t>340mg/L</w:t>
            </w:r>
            <w:r>
              <w:rPr>
                <w:rFonts w:hint="eastAsia" w:ascii="Times New Roman" w:hAnsi="Times New Roman" w:eastAsia="宋体" w:cs="Times New Roman"/>
                <w:color w:val="auto"/>
                <w:kern w:val="0"/>
                <w:sz w:val="24"/>
                <w:highlight w:val="none"/>
                <w:lang w:bidi="ar"/>
              </w:rPr>
              <w:t>、氨氮：</w:t>
            </w:r>
            <w:r>
              <w:rPr>
                <w:rFonts w:ascii="Times New Roman" w:hAnsi="Times New Roman" w:eastAsia="宋体" w:cs="Times New Roman"/>
                <w:color w:val="auto"/>
                <w:kern w:val="0"/>
                <w:sz w:val="24"/>
                <w:highlight w:val="none"/>
                <w:lang w:bidi="ar"/>
              </w:rPr>
              <w:t>32.6mg/L</w:t>
            </w:r>
            <w:r>
              <w:rPr>
                <w:rFonts w:hint="eastAsia" w:ascii="Times New Roman" w:hAnsi="Times New Roman" w:eastAsia="宋体" w:cs="Times New Roman"/>
                <w:color w:val="auto"/>
                <w:kern w:val="0"/>
                <w:sz w:val="24"/>
                <w:highlight w:val="none"/>
                <w:lang w:bidi="ar"/>
              </w:rPr>
              <w:t>、总氮：</w:t>
            </w:r>
            <w:r>
              <w:rPr>
                <w:rFonts w:ascii="Times New Roman" w:hAnsi="Times New Roman" w:eastAsia="宋体" w:cs="Times New Roman"/>
                <w:color w:val="auto"/>
                <w:kern w:val="0"/>
                <w:sz w:val="24"/>
                <w:highlight w:val="none"/>
                <w:lang w:bidi="ar"/>
              </w:rPr>
              <w:t>44.8mg/L</w:t>
            </w:r>
            <w:r>
              <w:rPr>
                <w:rFonts w:hint="eastAsia"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spacing w:val="0"/>
                <w:kern w:val="0"/>
                <w:position w:val="0"/>
                <w:sz w:val="24"/>
                <w:szCs w:val="24"/>
                <w:highlight w:val="none"/>
                <w:shd w:val="clear" w:color="auto" w:fill="auto"/>
                <w:lang w:val="en-US" w:eastAsia="zh-CN" w:bidi="ar"/>
              </w:rPr>
              <w:t>总磷：4.27</w:t>
            </w:r>
            <w:r>
              <w:rPr>
                <w:rFonts w:hint="default" w:ascii="Times New Roman" w:hAnsi="Times New Roman" w:eastAsia="宋体" w:cs="Times New Roman"/>
                <w:color w:val="auto"/>
                <w:spacing w:val="0"/>
                <w:kern w:val="0"/>
                <w:position w:val="0"/>
                <w:sz w:val="24"/>
                <w:szCs w:val="24"/>
                <w:highlight w:val="none"/>
                <w:shd w:val="clear" w:color="auto" w:fill="auto"/>
                <w:lang w:val="en-US" w:eastAsia="zh-CN" w:bidi="ar"/>
              </w:rPr>
              <w:t>mg/L</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因二污普无</w:t>
            </w:r>
            <w:r>
              <w:rPr>
                <w:rFonts w:ascii="Times New Roman" w:hAnsi="Times New Roman" w:eastAsia="宋体" w:cs="Times New Roman"/>
                <w:color w:val="auto"/>
                <w:kern w:val="0"/>
                <w:sz w:val="24"/>
                <w:highlight w:val="none"/>
                <w:lang w:bidi="ar"/>
              </w:rPr>
              <w:t>BOD</w:t>
            </w:r>
            <w:r>
              <w:rPr>
                <w:rFonts w:ascii="Times New Roman" w:hAnsi="Times New Roman" w:eastAsia="宋体" w:cs="Times New Roman"/>
                <w:color w:val="auto"/>
                <w:kern w:val="0"/>
                <w:sz w:val="24"/>
                <w:highlight w:val="none"/>
                <w:vertAlign w:val="subscript"/>
                <w:lang w:bidi="ar"/>
              </w:rPr>
              <w:t>5</w:t>
            </w:r>
            <w:r>
              <w:rPr>
                <w:rFonts w:hint="eastAsia" w:ascii="Times New Roman" w:hAnsi="Times New Roman" w:eastAsia="宋体" w:cs="Times New Roman"/>
                <w:color w:val="auto"/>
                <w:kern w:val="0"/>
                <w:sz w:val="24"/>
                <w:highlight w:val="none"/>
                <w:lang w:bidi="ar"/>
              </w:rPr>
              <w:t>和</w:t>
            </w:r>
            <w:r>
              <w:rPr>
                <w:rFonts w:ascii="Times New Roman" w:hAnsi="Times New Roman" w:eastAsia="宋体" w:cs="Times New Roman"/>
                <w:color w:val="auto"/>
                <w:kern w:val="0"/>
                <w:sz w:val="24"/>
                <w:highlight w:val="none"/>
                <w:lang w:bidi="ar"/>
              </w:rPr>
              <w:t xml:space="preserve">SS </w:t>
            </w:r>
            <w:r>
              <w:rPr>
                <w:rFonts w:hint="eastAsia" w:ascii="Times New Roman" w:hAnsi="Times New Roman" w:eastAsia="宋体" w:cs="Times New Roman"/>
                <w:color w:val="auto"/>
                <w:kern w:val="0"/>
                <w:sz w:val="24"/>
                <w:highlight w:val="none"/>
                <w:lang w:bidi="ar"/>
              </w:rPr>
              <w:t>的产污系数，因此，</w:t>
            </w:r>
            <w:r>
              <w:rPr>
                <w:rFonts w:ascii="Times New Roman" w:hAnsi="Times New Roman" w:eastAsia="宋体" w:cs="Times New Roman"/>
                <w:color w:val="auto"/>
                <w:kern w:val="0"/>
                <w:sz w:val="24"/>
                <w:highlight w:val="none"/>
                <w:lang w:bidi="ar"/>
              </w:rPr>
              <w:t>BOD</w:t>
            </w:r>
            <w:r>
              <w:rPr>
                <w:rFonts w:ascii="Times New Roman" w:hAnsi="Times New Roman" w:eastAsia="宋体" w:cs="Times New Roman"/>
                <w:color w:val="auto"/>
                <w:kern w:val="0"/>
                <w:sz w:val="24"/>
                <w:highlight w:val="none"/>
                <w:vertAlign w:val="subscript"/>
                <w:lang w:bidi="ar"/>
              </w:rPr>
              <w:t>5</w:t>
            </w:r>
            <w:r>
              <w:rPr>
                <w:rFonts w:hint="eastAsia" w:ascii="Times New Roman" w:hAnsi="Times New Roman" w:eastAsia="宋体" w:cs="Times New Roman"/>
                <w:color w:val="auto"/>
                <w:kern w:val="0"/>
                <w:sz w:val="24"/>
                <w:highlight w:val="none"/>
                <w:lang w:bidi="ar"/>
              </w:rPr>
              <w:t>产污系数参照《第一次全国污染源普查城镇生活源产排污系数手册》中泉州（二区</w:t>
            </w:r>
            <w:r>
              <w:rPr>
                <w:rFonts w:ascii="Times New Roman" w:hAnsi="Times New Roman" w:eastAsia="宋体" w:cs="Times New Roman"/>
                <w:color w:val="auto"/>
                <w:kern w:val="0"/>
                <w:sz w:val="24"/>
                <w:highlight w:val="none"/>
                <w:lang w:bidi="ar"/>
              </w:rPr>
              <w:t>2</w:t>
            </w:r>
            <w:r>
              <w:rPr>
                <w:rFonts w:hint="eastAsia" w:ascii="Times New Roman" w:hAnsi="Times New Roman" w:eastAsia="宋体" w:cs="Times New Roman"/>
                <w:color w:val="auto"/>
                <w:kern w:val="0"/>
                <w:sz w:val="24"/>
                <w:highlight w:val="none"/>
                <w:lang w:bidi="ar"/>
              </w:rPr>
              <w:t>类城市）的产污系数，</w:t>
            </w:r>
            <w:r>
              <w:rPr>
                <w:rFonts w:ascii="Times New Roman" w:hAnsi="Times New Roman" w:eastAsia="宋体" w:cs="Times New Roman"/>
                <w:color w:val="auto"/>
                <w:kern w:val="0"/>
                <w:sz w:val="24"/>
                <w:highlight w:val="none"/>
                <w:lang w:bidi="ar"/>
              </w:rPr>
              <w:t>BOD</w:t>
            </w:r>
            <w:r>
              <w:rPr>
                <w:rFonts w:ascii="Times New Roman" w:hAnsi="Times New Roman" w:eastAsia="宋体" w:cs="Times New Roman"/>
                <w:color w:val="auto"/>
                <w:kern w:val="0"/>
                <w:sz w:val="24"/>
                <w:highlight w:val="none"/>
                <w:vertAlign w:val="subscript"/>
                <w:lang w:bidi="ar"/>
              </w:rPr>
              <w:t>5</w:t>
            </w:r>
            <w:r>
              <w:rPr>
                <w:rFonts w:hint="eastAsia" w:ascii="Times New Roman" w:hAnsi="Times New Roman" w:eastAsia="宋体" w:cs="Times New Roman"/>
                <w:color w:val="auto"/>
                <w:kern w:val="0"/>
                <w:sz w:val="24"/>
                <w:highlight w:val="none"/>
                <w:lang w:bidi="ar"/>
              </w:rPr>
              <w:t>：</w:t>
            </w:r>
            <w:r>
              <w:rPr>
                <w:rFonts w:ascii="Times New Roman" w:hAnsi="Times New Roman" w:eastAsia="宋体" w:cs="Times New Roman"/>
                <w:color w:val="auto"/>
                <w:kern w:val="0"/>
                <w:sz w:val="24"/>
                <w:highlight w:val="none"/>
                <w:lang w:bidi="ar"/>
              </w:rPr>
              <w:t>177mg/L</w:t>
            </w:r>
            <w:r>
              <w:rPr>
                <w:rFonts w:hint="eastAsia" w:ascii="Times New Roman" w:hAnsi="Times New Roman" w:eastAsia="宋体" w:cs="Times New Roman"/>
                <w:color w:val="auto"/>
                <w:kern w:val="0"/>
                <w:sz w:val="24"/>
                <w:highlight w:val="none"/>
                <w:lang w:bidi="ar"/>
              </w:rPr>
              <w:t>；</w:t>
            </w:r>
            <w:r>
              <w:rPr>
                <w:rFonts w:ascii="Times New Roman" w:hAnsi="Times New Roman" w:eastAsia="宋体" w:cs="Times New Roman"/>
                <w:color w:val="auto"/>
                <w:kern w:val="0"/>
                <w:sz w:val="24"/>
                <w:highlight w:val="none"/>
                <w:lang w:bidi="ar"/>
              </w:rPr>
              <w:t>SS</w:t>
            </w:r>
            <w:r>
              <w:rPr>
                <w:rFonts w:hint="eastAsia" w:ascii="Times New Roman" w:hAnsi="Times New Roman" w:eastAsia="宋体" w:cs="Times New Roman"/>
                <w:color w:val="auto"/>
                <w:kern w:val="0"/>
                <w:sz w:val="24"/>
                <w:highlight w:val="none"/>
                <w:lang w:bidi="ar"/>
              </w:rPr>
              <w:t>产污系数参照《建筑中水设计标准》GB 50336-2018规定的数据，</w:t>
            </w:r>
            <w:r>
              <w:rPr>
                <w:rFonts w:ascii="Times New Roman" w:hAnsi="Times New Roman" w:eastAsia="宋体" w:cs="Times New Roman"/>
                <w:color w:val="auto"/>
                <w:kern w:val="0"/>
                <w:sz w:val="24"/>
                <w:highlight w:val="none"/>
                <w:lang w:bidi="ar"/>
              </w:rPr>
              <w:t>SS</w:t>
            </w:r>
            <w:r>
              <w:rPr>
                <w:rFonts w:hint="eastAsia" w:ascii="Times New Roman" w:hAnsi="Times New Roman" w:eastAsia="宋体" w:cs="Times New Roman"/>
                <w:color w:val="auto"/>
                <w:kern w:val="0"/>
                <w:sz w:val="24"/>
                <w:highlight w:val="none"/>
                <w:lang w:bidi="ar"/>
              </w:rPr>
              <w:t>：</w:t>
            </w:r>
            <w:r>
              <w:rPr>
                <w:rFonts w:ascii="Times New Roman" w:hAnsi="Times New Roman" w:eastAsia="宋体" w:cs="Times New Roman"/>
                <w:color w:val="auto"/>
                <w:kern w:val="0"/>
                <w:sz w:val="24"/>
                <w:highlight w:val="none"/>
                <w:lang w:bidi="ar"/>
              </w:rPr>
              <w:t>260mg/L</w:t>
            </w:r>
            <w:r>
              <w:rPr>
                <w:rFonts w:hint="eastAsia" w:ascii="Times New Roman" w:hAnsi="Times New Roman" w:eastAsia="宋体" w:cs="Times New Roman"/>
                <w:color w:val="auto"/>
                <w:kern w:val="0"/>
                <w:sz w:val="24"/>
                <w:highlight w:val="none"/>
                <w:lang w:bidi="ar"/>
              </w:rPr>
              <w:t>。</w:t>
            </w:r>
          </w:p>
          <w:p w14:paraId="6BE62C25">
            <w:pPr>
              <w:widowControl/>
              <w:spacing w:line="360" w:lineRule="auto"/>
              <w:ind w:firstLine="480" w:firstLineChars="200"/>
              <w:rPr>
                <w:rFonts w:hint="eastAsia" w:ascii="Times New Roman" w:hAnsi="Times New Roman" w:eastAsia="宋体" w:cs="Times New Roman"/>
                <w:color w:val="auto"/>
                <w:kern w:val="0"/>
                <w:sz w:val="24"/>
                <w:highlight w:val="none"/>
                <w:lang w:eastAsia="zh-CN" w:bidi="ar"/>
              </w:rPr>
            </w:pPr>
            <w:r>
              <w:rPr>
                <w:rFonts w:hint="eastAsia" w:ascii="Times New Roman" w:hAnsi="Times New Roman" w:eastAsia="宋体" w:cs="Times New Roman"/>
                <w:color w:val="auto"/>
                <w:kern w:val="0"/>
                <w:sz w:val="24"/>
                <w:highlight w:val="none"/>
                <w:lang w:bidi="ar"/>
              </w:rPr>
              <w:t>参照《第二次全国污染源普查生活污染源产排污系数手册》，</w:t>
            </w:r>
            <w:r>
              <w:rPr>
                <w:rFonts w:hint="eastAsia" w:ascii="Times New Roman" w:hAnsi="Times New Roman" w:eastAsia="宋体" w:cs="Times New Roman"/>
                <w:color w:val="auto"/>
                <w:kern w:val="0"/>
                <w:sz w:val="24"/>
                <w:highlight w:val="none"/>
                <w:lang w:val="en-US" w:eastAsia="zh-CN" w:bidi="ar"/>
              </w:rPr>
              <w:t>福建</w:t>
            </w:r>
            <w:r>
              <w:rPr>
                <w:rFonts w:hint="eastAsia" w:ascii="Times New Roman" w:hAnsi="Times New Roman" w:eastAsia="宋体" w:cs="Times New Roman"/>
                <w:color w:val="auto"/>
                <w:kern w:val="0"/>
                <w:sz w:val="24"/>
                <w:highlight w:val="none"/>
                <w:lang w:bidi="ar"/>
              </w:rPr>
              <w:t>属</w:t>
            </w:r>
            <w:r>
              <w:rPr>
                <w:rFonts w:hint="eastAsia" w:ascii="Times New Roman" w:hAnsi="Times New Roman" w:eastAsia="宋体" w:cs="Times New Roman"/>
                <w:color w:val="auto"/>
                <w:kern w:val="0"/>
                <w:sz w:val="24"/>
                <w:highlight w:val="none"/>
                <w:lang w:val="en-US" w:eastAsia="zh-CN" w:bidi="ar"/>
              </w:rPr>
              <w:t>四</w:t>
            </w:r>
            <w:r>
              <w:rPr>
                <w:rFonts w:hint="eastAsia" w:ascii="Times New Roman" w:hAnsi="Times New Roman" w:eastAsia="宋体" w:cs="Times New Roman"/>
                <w:color w:val="auto"/>
                <w:kern w:val="0"/>
                <w:sz w:val="24"/>
                <w:highlight w:val="none"/>
                <w:lang w:bidi="ar"/>
              </w:rPr>
              <w:t>区，经化粪池处理后主要污染物COD</w:t>
            </w:r>
            <w:r>
              <w:rPr>
                <w:rFonts w:hint="eastAsia" w:cs="Times New Roman"/>
                <w:color w:val="auto"/>
                <w:kern w:val="0"/>
                <w:sz w:val="24"/>
                <w:highlight w:val="none"/>
                <w:lang w:val="en-US" w:eastAsia="zh-CN" w:bidi="ar"/>
              </w:rPr>
              <w:t>cr</w:t>
            </w:r>
            <w:r>
              <w:rPr>
                <w:rFonts w:hint="eastAsia" w:ascii="Times New Roman" w:hAnsi="Times New Roman" w:eastAsia="宋体" w:cs="Times New Roman"/>
                <w:color w:val="auto"/>
                <w:kern w:val="0"/>
                <w:sz w:val="24"/>
                <w:highlight w:val="none"/>
                <w:lang w:bidi="ar"/>
              </w:rPr>
              <w:t>、BOD</w:t>
            </w:r>
            <w:r>
              <w:rPr>
                <w:rFonts w:hint="eastAsia" w:ascii="Times New Roman" w:hAnsi="Times New Roman" w:eastAsia="宋体" w:cs="Times New Roman"/>
                <w:color w:val="auto"/>
                <w:kern w:val="0"/>
                <w:sz w:val="24"/>
                <w:highlight w:val="none"/>
                <w:vertAlign w:val="subscript"/>
                <w:lang w:bidi="ar"/>
              </w:rPr>
              <w:t>5</w:t>
            </w:r>
            <w:r>
              <w:rPr>
                <w:rFonts w:hint="eastAsia" w:ascii="Times New Roman" w:hAnsi="Times New Roman" w:eastAsia="宋体" w:cs="Times New Roman"/>
                <w:color w:val="auto"/>
                <w:kern w:val="0"/>
                <w:sz w:val="24"/>
                <w:highlight w:val="none"/>
                <w:lang w:bidi="ar"/>
              </w:rPr>
              <w:t>、SS</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氨氮</w:t>
            </w:r>
            <w:r>
              <w:rPr>
                <w:rFonts w:hint="eastAsia" w:ascii="Times New Roman" w:hAnsi="Times New Roman" w:eastAsia="宋体" w:cs="Times New Roman"/>
                <w:color w:val="auto"/>
                <w:kern w:val="0"/>
                <w:sz w:val="24"/>
                <w:highlight w:val="none"/>
                <w:lang w:bidi="ar"/>
              </w:rPr>
              <w:t>的去除效率分别为60%</w:t>
            </w:r>
            <w:r>
              <w:rPr>
                <w:rFonts w:hint="eastAsia"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60%</w:t>
            </w:r>
            <w:r>
              <w:rPr>
                <w:rFonts w:hint="eastAsia"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80%</w:t>
            </w:r>
            <w:r>
              <w:rPr>
                <w:rFonts w:hint="eastAsia"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3%</w:t>
            </w:r>
            <w:r>
              <w:rPr>
                <w:rFonts w:hint="eastAsia" w:cs="Times New Roman"/>
                <w:color w:val="auto"/>
                <w:kern w:val="0"/>
                <w:sz w:val="24"/>
                <w:highlight w:val="none"/>
                <w:lang w:eastAsia="zh-CN" w:bidi="ar"/>
              </w:rPr>
              <w:t>，</w:t>
            </w:r>
            <w:r>
              <w:rPr>
                <w:rFonts w:hint="eastAsia" w:ascii="Times New Roman" w:hAnsi="Times New Roman" w:eastAsia="宋体" w:cs="Times New Roman"/>
                <w:b w:val="0"/>
                <w:bCs w:val="0"/>
                <w:color w:val="auto"/>
                <w:sz w:val="24"/>
                <w:szCs w:val="24"/>
                <w:highlight w:val="none"/>
                <w:shd w:val="clear" w:color="auto" w:fill="auto"/>
                <w:lang w:val="en-US" w:eastAsia="zh-CN"/>
              </w:rPr>
              <w:t>总磷参考《三格式化粪池出水水质特征及对周边土壤环境的影响》</w:t>
            </w:r>
            <w:r>
              <w:rPr>
                <w:rFonts w:hint="eastAsia" w:ascii="Times New Roman" w:hAnsi="Times New Roman" w:cs="Times New Roman"/>
                <w:b w:val="0"/>
                <w:bCs w:val="0"/>
                <w:color w:val="auto"/>
                <w:sz w:val="24"/>
                <w:szCs w:val="24"/>
                <w:highlight w:val="none"/>
                <w:shd w:val="clear" w:color="auto" w:fill="auto"/>
                <w:lang w:val="en-US" w:eastAsia="zh-CN"/>
              </w:rPr>
              <w:t>（</w:t>
            </w:r>
            <w:r>
              <w:rPr>
                <w:rFonts w:hint="eastAsia" w:ascii="Times New Roman" w:hAnsi="Times New Roman" w:eastAsia="宋体" w:cs="Times New Roman"/>
                <w:b w:val="0"/>
                <w:bCs w:val="0"/>
                <w:color w:val="auto"/>
                <w:sz w:val="24"/>
                <w:szCs w:val="24"/>
                <w:highlight w:val="none"/>
                <w:shd w:val="clear" w:color="auto" w:fill="auto"/>
                <w:lang w:val="en-US" w:eastAsia="zh-CN"/>
              </w:rPr>
              <w:t>蒯伟，李厚禹等，农业环境科学学报；2021.40(5)：1051-1061</w:t>
            </w:r>
            <w:r>
              <w:rPr>
                <w:rFonts w:hint="eastAsia" w:ascii="Times New Roman" w:hAnsi="Times New Roman" w:cs="Times New Roman"/>
                <w:b w:val="0"/>
                <w:bCs w:val="0"/>
                <w:color w:val="auto"/>
                <w:sz w:val="24"/>
                <w:szCs w:val="24"/>
                <w:highlight w:val="none"/>
                <w:shd w:val="clear" w:color="auto" w:fill="auto"/>
                <w:lang w:val="en-US" w:eastAsia="zh-CN"/>
              </w:rPr>
              <w:t>）</w:t>
            </w:r>
            <w:r>
              <w:rPr>
                <w:rFonts w:hint="eastAsia" w:ascii="Times New Roman" w:hAnsi="Times New Roman" w:eastAsia="宋体" w:cs="Times New Roman"/>
                <w:b w:val="0"/>
                <w:bCs w:val="0"/>
                <w:color w:val="auto"/>
                <w:sz w:val="24"/>
                <w:szCs w:val="24"/>
                <w:highlight w:val="none"/>
                <w:shd w:val="clear" w:color="auto" w:fill="auto"/>
                <w:lang w:val="en-US" w:eastAsia="zh-CN"/>
              </w:rPr>
              <w:t>中，三格式化粪池对总磷平均去除率为26.64%，总氮的去除率参考2009年2月兰州交通大学学报第28卷 第1期《化粪池污水处理能力研究及其评价》，去除率为64.3%</w:t>
            </w:r>
            <w:r>
              <w:rPr>
                <w:rFonts w:hint="eastAsia" w:ascii="Times New Roman" w:hAnsi="Times New Roman" w:eastAsia="宋体" w:cs="Times New Roman"/>
                <w:color w:val="auto"/>
                <w:kern w:val="0"/>
                <w:sz w:val="24"/>
                <w:highlight w:val="none"/>
                <w:lang w:bidi="ar"/>
              </w:rPr>
              <w:t>。类比同类型项目。</w:t>
            </w:r>
            <w:r>
              <w:rPr>
                <w:rFonts w:hint="eastAsia" w:ascii="Times New Roman" w:hAnsi="Times New Roman" w:eastAsia="宋体" w:cs="Times New Roman"/>
                <w:color w:val="auto"/>
                <w:kern w:val="0"/>
                <w:sz w:val="24"/>
                <w:highlight w:val="none"/>
                <w:lang w:eastAsia="zh-CN" w:bidi="ar"/>
              </w:rPr>
              <w:t>因此，项目生活污水排水水质CODcr、BOD</w:t>
            </w:r>
            <w:r>
              <w:rPr>
                <w:rFonts w:hint="eastAsia" w:ascii="Times New Roman" w:hAnsi="Times New Roman" w:eastAsia="宋体" w:cs="Times New Roman"/>
                <w:color w:val="auto"/>
                <w:kern w:val="0"/>
                <w:sz w:val="24"/>
                <w:highlight w:val="none"/>
                <w:vertAlign w:val="subscript"/>
                <w:lang w:eastAsia="zh-CN" w:bidi="ar"/>
              </w:rPr>
              <w:t>5</w:t>
            </w:r>
            <w:r>
              <w:rPr>
                <w:rFonts w:hint="eastAsia" w:ascii="Times New Roman" w:hAnsi="Times New Roman" w:eastAsia="宋体" w:cs="Times New Roman"/>
                <w:color w:val="auto"/>
                <w:kern w:val="0"/>
                <w:sz w:val="24"/>
                <w:highlight w:val="none"/>
                <w:lang w:eastAsia="zh-CN" w:bidi="ar"/>
              </w:rPr>
              <w:t>、SS、氨氮依次为</w:t>
            </w:r>
            <w:r>
              <w:rPr>
                <w:rFonts w:hint="eastAsia" w:cs="Times New Roman"/>
                <w:color w:val="auto"/>
                <w:kern w:val="0"/>
                <w:sz w:val="24"/>
                <w:highlight w:val="none"/>
                <w:lang w:val="en-US" w:eastAsia="zh-CN" w:bidi="ar"/>
              </w:rPr>
              <w:t>136</w:t>
            </w:r>
            <w:r>
              <w:rPr>
                <w:rFonts w:hint="eastAsia" w:ascii="Times New Roman" w:hAnsi="Times New Roman" w:eastAsia="宋体" w:cs="Times New Roman"/>
                <w:color w:val="auto"/>
                <w:kern w:val="0"/>
                <w:sz w:val="24"/>
                <w:highlight w:val="none"/>
                <w:lang w:eastAsia="zh-CN" w:bidi="ar"/>
              </w:rPr>
              <w:t>mg/L、</w:t>
            </w:r>
            <w:r>
              <w:rPr>
                <w:rFonts w:hint="eastAsia" w:cs="Times New Roman"/>
                <w:color w:val="auto"/>
                <w:kern w:val="0"/>
                <w:sz w:val="24"/>
                <w:highlight w:val="none"/>
                <w:lang w:val="en-US" w:eastAsia="zh-CN" w:bidi="ar"/>
              </w:rPr>
              <w:t>70.8</w:t>
            </w:r>
            <w:r>
              <w:rPr>
                <w:rFonts w:hint="eastAsia" w:ascii="Times New Roman" w:hAnsi="Times New Roman" w:eastAsia="宋体" w:cs="Times New Roman"/>
                <w:color w:val="auto"/>
                <w:kern w:val="0"/>
                <w:sz w:val="24"/>
                <w:highlight w:val="none"/>
                <w:lang w:eastAsia="zh-CN" w:bidi="ar"/>
              </w:rPr>
              <w:t>mg/L、</w:t>
            </w:r>
            <w:r>
              <w:rPr>
                <w:rFonts w:hint="eastAsia" w:cs="Times New Roman"/>
                <w:color w:val="auto"/>
                <w:kern w:val="0"/>
                <w:sz w:val="24"/>
                <w:highlight w:val="none"/>
                <w:lang w:val="en-US" w:eastAsia="zh-CN" w:bidi="ar"/>
              </w:rPr>
              <w:t>52</w:t>
            </w:r>
            <w:r>
              <w:rPr>
                <w:rFonts w:hint="eastAsia" w:ascii="Times New Roman" w:hAnsi="Times New Roman" w:eastAsia="宋体" w:cs="Times New Roman"/>
                <w:color w:val="auto"/>
                <w:kern w:val="0"/>
                <w:sz w:val="24"/>
                <w:highlight w:val="none"/>
                <w:lang w:eastAsia="zh-CN" w:bidi="ar"/>
              </w:rPr>
              <w:t>mg/L、</w:t>
            </w:r>
            <w:r>
              <w:rPr>
                <w:rFonts w:hint="eastAsia" w:ascii="Times New Roman" w:hAnsi="Times New Roman" w:eastAsia="宋体" w:cs="Times New Roman"/>
                <w:color w:val="auto"/>
                <w:kern w:val="0"/>
                <w:sz w:val="24"/>
                <w:highlight w:val="none"/>
                <w:lang w:val="en-US" w:eastAsia="zh-CN" w:bidi="ar"/>
              </w:rPr>
              <w:t>31.</w:t>
            </w:r>
            <w:r>
              <w:rPr>
                <w:rFonts w:hint="eastAsia" w:cs="Times New Roman"/>
                <w:color w:val="auto"/>
                <w:kern w:val="0"/>
                <w:sz w:val="24"/>
                <w:highlight w:val="none"/>
                <w:lang w:val="en-US" w:eastAsia="zh-CN" w:bidi="ar"/>
              </w:rPr>
              <w:t>6</w:t>
            </w:r>
            <w:r>
              <w:rPr>
                <w:rFonts w:hint="eastAsia" w:ascii="Times New Roman" w:hAnsi="Times New Roman" w:eastAsia="宋体" w:cs="Times New Roman"/>
                <w:color w:val="auto"/>
                <w:kern w:val="0"/>
                <w:sz w:val="24"/>
                <w:highlight w:val="none"/>
                <w:lang w:eastAsia="zh-CN" w:bidi="ar"/>
              </w:rPr>
              <w:t>mg/L。</w:t>
            </w:r>
          </w:p>
          <w:p w14:paraId="15CDC73F">
            <w:pPr>
              <w:widowControl/>
              <w:spacing w:line="360" w:lineRule="auto"/>
              <w:ind w:firstLine="480" w:firstLineChars="200"/>
              <w:rPr>
                <w:rFonts w:hint="default" w:ascii="Times New Roman" w:hAnsi="Times New Roman" w:eastAsia="宋体" w:cs="Times New Roman"/>
                <w:color w:val="auto"/>
                <w:spacing w:val="0"/>
                <w:position w:val="0"/>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生活污水经化粪池处理后排入</w:t>
            </w:r>
            <w:r>
              <w:rPr>
                <w:rFonts w:hint="eastAsia" w:cs="Times New Roman"/>
                <w:color w:val="auto"/>
                <w:kern w:val="0"/>
                <w:sz w:val="24"/>
                <w:szCs w:val="24"/>
                <w:highlight w:val="none"/>
                <w:lang w:val="en-US" w:eastAsia="zh-CN" w:bidi="ar"/>
              </w:rPr>
              <w:t>闽侯县城关</w:t>
            </w:r>
            <w:r>
              <w:rPr>
                <w:rFonts w:hint="eastAsia" w:ascii="Times New Roman" w:hAnsi="Times New Roman" w:eastAsia="宋体" w:cs="Times New Roman"/>
                <w:color w:val="auto"/>
                <w:kern w:val="0"/>
                <w:sz w:val="24"/>
                <w:szCs w:val="24"/>
                <w:highlight w:val="none"/>
                <w:lang w:val="en-US" w:eastAsia="zh-CN" w:bidi="ar"/>
              </w:rPr>
              <w:t>污水处理厂</w:t>
            </w:r>
            <w:r>
              <w:rPr>
                <w:rFonts w:hint="default" w:ascii="Times New Roman" w:hAnsi="Times New Roman" w:eastAsia="宋体" w:cs="Times New Roman"/>
                <w:color w:val="auto"/>
                <w:kern w:val="0"/>
                <w:sz w:val="24"/>
                <w:szCs w:val="24"/>
                <w:highlight w:val="none"/>
                <w:lang w:val="en-US" w:eastAsia="zh-CN" w:bidi="ar"/>
              </w:rPr>
              <w:t>进一步处理。</w:t>
            </w:r>
            <w:r>
              <w:rPr>
                <w:rFonts w:hint="eastAsia" w:cs="Times New Roman"/>
                <w:color w:val="auto"/>
                <w:kern w:val="0"/>
                <w:sz w:val="24"/>
                <w:szCs w:val="24"/>
                <w:highlight w:val="none"/>
                <w:lang w:val="en-US" w:eastAsia="zh-CN" w:bidi="ar"/>
              </w:rPr>
              <w:t>闽侯县城关污水处理厂出水水质执行该厂设计标准</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即</w:t>
            </w:r>
            <w:r>
              <w:rPr>
                <w:rFonts w:hint="eastAsia" w:ascii="Times New Roman" w:hAnsi="Times New Roman" w:eastAsia="宋体" w:cs="Times New Roman"/>
                <w:color w:val="auto"/>
                <w:sz w:val="24"/>
                <w:szCs w:val="24"/>
                <w:highlight w:val="none"/>
                <w:vertAlign w:val="baseline"/>
                <w:lang w:val="en-US" w:eastAsia="zh-CN"/>
              </w:rPr>
              <w:t>COD</w:t>
            </w:r>
            <w:r>
              <w:rPr>
                <w:rFonts w:hint="eastAsia" w:ascii="Times New Roman" w:hAnsi="Times New Roman" w:eastAsia="宋体" w:cs="Times New Roman"/>
                <w:color w:val="auto"/>
                <w:sz w:val="24"/>
                <w:szCs w:val="24"/>
                <w:highlight w:val="none"/>
                <w:vertAlign w:val="subscript"/>
                <w:lang w:val="en-US" w:eastAsia="zh-CN"/>
              </w:rPr>
              <w:t>Cr</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0mg/L、BOD</w:t>
            </w:r>
            <w:r>
              <w:rPr>
                <w:rFonts w:hint="default" w:ascii="Times New Roman" w:hAnsi="Times New Roman" w:eastAsia="宋体" w:cs="Times New Roman"/>
                <w:color w:val="auto"/>
                <w:kern w:val="0"/>
                <w:sz w:val="24"/>
                <w:szCs w:val="24"/>
                <w:highlight w:val="none"/>
                <w:vertAlign w:val="subscript"/>
                <w:lang w:val="en-US" w:eastAsia="zh-CN" w:bidi="ar"/>
              </w:rPr>
              <w:t>5</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mg/L、SS</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10mg/L、</w:t>
            </w:r>
            <w:r>
              <w:rPr>
                <w:rFonts w:hint="eastAsia" w:ascii="Times New Roman" w:hAnsi="Times New Roman" w:eastAsia="宋体" w:cs="Times New Roman"/>
                <w:color w:val="auto"/>
                <w:kern w:val="0"/>
                <w:sz w:val="24"/>
                <w:szCs w:val="24"/>
                <w:highlight w:val="none"/>
                <w:lang w:val="en-US" w:eastAsia="zh-CN" w:bidi="ar"/>
              </w:rPr>
              <w:t>氨氮：</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mg/L、总氮</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0.5</w:t>
            </w:r>
            <w:r>
              <w:rPr>
                <w:rFonts w:hint="default" w:ascii="Times New Roman" w:hAnsi="Times New Roman" w:eastAsia="宋体" w:cs="Times New Roman"/>
                <w:color w:val="auto"/>
                <w:kern w:val="0"/>
                <w:sz w:val="24"/>
                <w:szCs w:val="24"/>
                <w:highlight w:val="none"/>
                <w:lang w:val="en-US" w:eastAsia="zh-CN" w:bidi="ar"/>
              </w:rPr>
              <w:t>mg/L。</w:t>
            </w:r>
            <w:r>
              <w:rPr>
                <w:rFonts w:hint="eastAsia" w:ascii="Times New Roman" w:hAnsi="Times New Roman" w:eastAsia="宋体" w:cs="Times New Roman"/>
                <w:color w:val="auto"/>
                <w:spacing w:val="0"/>
                <w:position w:val="0"/>
                <w:sz w:val="24"/>
                <w:highlight w:val="none"/>
                <w:lang w:val="en-US" w:eastAsia="zh-CN"/>
              </w:rPr>
              <w:t>现有工程生活污水污染物排放量详见表2.9</w:t>
            </w:r>
            <w:r>
              <w:rPr>
                <w:rFonts w:hint="eastAsia" w:cs="Times New Roman"/>
                <w:color w:val="auto"/>
                <w:spacing w:val="0"/>
                <w:position w:val="0"/>
                <w:sz w:val="24"/>
                <w:highlight w:val="none"/>
                <w:lang w:val="en-US" w:eastAsia="zh-CN"/>
              </w:rPr>
              <w:t>.2</w:t>
            </w:r>
            <w:r>
              <w:rPr>
                <w:rFonts w:hint="eastAsia" w:ascii="Times New Roman" w:hAnsi="Times New Roman" w:eastAsia="宋体" w:cs="Times New Roman"/>
                <w:color w:val="auto"/>
                <w:spacing w:val="0"/>
                <w:position w:val="0"/>
                <w:sz w:val="24"/>
                <w:highlight w:val="none"/>
                <w:lang w:val="en-US" w:eastAsia="zh-CN"/>
              </w:rPr>
              <w:t>-2</w:t>
            </w:r>
            <w:r>
              <w:rPr>
                <w:rFonts w:hint="eastAsia" w:cs="Times New Roman"/>
                <w:color w:val="auto"/>
                <w:spacing w:val="0"/>
                <w:position w:val="0"/>
                <w:sz w:val="24"/>
                <w:highlight w:val="none"/>
                <w:lang w:val="en-US" w:eastAsia="zh-CN"/>
              </w:rPr>
              <w:t>。</w:t>
            </w:r>
          </w:p>
          <w:p w14:paraId="4D67B157">
            <w:pPr>
              <w:jc w:val="center"/>
              <w:rPr>
                <w:rFonts w:hint="eastAsia" w:ascii="Times New Roman" w:hAnsi="Times New Roman" w:eastAsia="宋体" w:cs="Times New Roman"/>
                <w:b/>
                <w:bCs/>
                <w:color w:val="auto"/>
                <w:spacing w:val="0"/>
                <w:position w:val="0"/>
                <w:sz w:val="24"/>
                <w:highlight w:val="none"/>
              </w:rPr>
            </w:pPr>
            <w:r>
              <w:rPr>
                <w:rFonts w:hint="eastAsia" w:ascii="Times New Roman" w:hAnsi="Times New Roman" w:eastAsia="宋体" w:cs="Times New Roman"/>
                <w:b/>
                <w:color w:val="auto"/>
                <w:sz w:val="24"/>
                <w:highlight w:val="none"/>
              </w:rPr>
              <w:t>表</w:t>
            </w:r>
            <w:r>
              <w:rPr>
                <w:rFonts w:hint="eastAsia" w:ascii="Times New Roman" w:hAnsi="Times New Roman" w:eastAsia="宋体" w:cs="Times New Roman"/>
                <w:b/>
                <w:color w:val="auto"/>
                <w:sz w:val="24"/>
                <w:highlight w:val="none"/>
                <w:lang w:val="en-US" w:eastAsia="zh-CN"/>
              </w:rPr>
              <w:t>2.9</w:t>
            </w:r>
            <w:r>
              <w:rPr>
                <w:rFonts w:hint="eastAsia" w:cs="Times New Roman"/>
                <w:b/>
                <w:color w:val="auto"/>
                <w:sz w:val="24"/>
                <w:highlight w:val="none"/>
                <w:lang w:val="en-US" w:eastAsia="zh-CN"/>
              </w:rPr>
              <w:t>.2</w:t>
            </w:r>
            <w:r>
              <w:rPr>
                <w:rFonts w:hint="eastAsia" w:ascii="Times New Roman" w:hAnsi="Times New Roman" w:eastAsia="宋体" w:cs="Times New Roman"/>
                <w:b/>
                <w:color w:val="auto"/>
                <w:sz w:val="24"/>
                <w:highlight w:val="none"/>
                <w:lang w:val="en-US" w:eastAsia="zh-CN"/>
              </w:rPr>
              <w:t>-2  现有工程</w:t>
            </w:r>
            <w:r>
              <w:rPr>
                <w:rFonts w:hint="default" w:ascii="Times New Roman" w:hAnsi="Times New Roman" w:eastAsia="宋体" w:cs="Times New Roman"/>
                <w:b/>
                <w:color w:val="auto"/>
                <w:sz w:val="24"/>
                <w:szCs w:val="24"/>
                <w:highlight w:val="none"/>
              </w:rPr>
              <w:t>生活污水中主要水污染物</w:t>
            </w:r>
            <w:r>
              <w:rPr>
                <w:rFonts w:ascii="Times New Roman" w:hAnsi="Times New Roman" w:eastAsia="宋体" w:cs="Times New Roman"/>
                <w:b/>
                <w:color w:val="auto"/>
                <w:spacing w:val="0"/>
                <w:position w:val="0"/>
                <w:sz w:val="24"/>
                <w:highlight w:val="none"/>
              </w:rPr>
              <w:t>排放状况</w:t>
            </w:r>
            <w:r>
              <w:rPr>
                <w:rFonts w:hint="eastAsia" w:ascii="Times New Roman" w:hAnsi="Times New Roman" w:eastAsia="宋体" w:cs="Times New Roman"/>
                <w:b/>
                <w:color w:val="auto"/>
                <w:spacing w:val="0"/>
                <w:position w:val="0"/>
                <w:sz w:val="24"/>
                <w:highlight w:val="none"/>
              </w:rPr>
              <w:t>一览</w:t>
            </w:r>
            <w:r>
              <w:rPr>
                <w:rFonts w:hint="eastAsia" w:ascii="Times New Roman" w:hAnsi="Times New Roman" w:eastAsia="宋体" w:cs="Times New Roman"/>
                <w:b/>
                <w:bCs/>
                <w:color w:val="auto"/>
                <w:spacing w:val="0"/>
                <w:position w:val="0"/>
                <w:sz w:val="24"/>
                <w:highlight w:val="none"/>
              </w:rPr>
              <w:t>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975"/>
              <w:gridCol w:w="1287"/>
              <w:gridCol w:w="1091"/>
              <w:gridCol w:w="1306"/>
              <w:gridCol w:w="1071"/>
              <w:gridCol w:w="1187"/>
              <w:gridCol w:w="1132"/>
            </w:tblGrid>
            <w:tr w14:paraId="27FCAB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dxa"/>
                  <w:vMerge w:val="restart"/>
                  <w:tcBorders>
                    <w:tl2br w:val="nil"/>
                    <w:tr2bl w:val="nil"/>
                  </w:tcBorders>
                  <w:noWrap w:val="0"/>
                  <w:vAlign w:val="center"/>
                </w:tcPr>
                <w:p w14:paraId="48C0EDF3">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废水类别</w:t>
                  </w:r>
                </w:p>
              </w:tc>
              <w:tc>
                <w:tcPr>
                  <w:tcW w:w="737" w:type="dxa"/>
                  <w:vMerge w:val="restart"/>
                  <w:tcBorders>
                    <w:tl2br w:val="nil"/>
                    <w:tr2bl w:val="nil"/>
                  </w:tcBorders>
                  <w:noWrap w:val="0"/>
                  <w:vAlign w:val="center"/>
                </w:tcPr>
                <w:p w14:paraId="0F36F4E7">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污染物</w:t>
                  </w:r>
                </w:p>
              </w:tc>
              <w:tc>
                <w:tcPr>
                  <w:tcW w:w="1798" w:type="dxa"/>
                  <w:gridSpan w:val="2"/>
                  <w:tcBorders>
                    <w:tl2br w:val="nil"/>
                    <w:tr2bl w:val="nil"/>
                  </w:tcBorders>
                  <w:noWrap w:val="0"/>
                  <w:vAlign w:val="center"/>
                </w:tcPr>
                <w:p w14:paraId="41D1B6CF">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厂区污染物产生</w:t>
                  </w:r>
                </w:p>
              </w:tc>
              <w:tc>
                <w:tcPr>
                  <w:tcW w:w="1798" w:type="dxa"/>
                  <w:gridSpan w:val="2"/>
                  <w:tcBorders>
                    <w:tl2br w:val="nil"/>
                    <w:tr2bl w:val="nil"/>
                  </w:tcBorders>
                  <w:noWrap w:val="0"/>
                  <w:vAlign w:val="center"/>
                </w:tcPr>
                <w:p w14:paraId="51F1094C">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厂区污染物排放</w:t>
                  </w:r>
                </w:p>
              </w:tc>
              <w:tc>
                <w:tcPr>
                  <w:tcW w:w="1754" w:type="dxa"/>
                  <w:gridSpan w:val="2"/>
                  <w:tcBorders>
                    <w:tl2br w:val="nil"/>
                    <w:tr2bl w:val="nil"/>
                  </w:tcBorders>
                  <w:noWrap w:val="0"/>
                  <w:vAlign w:val="center"/>
                </w:tcPr>
                <w:p w14:paraId="26017895">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21"/>
                      <w:szCs w:val="21"/>
                      <w:highlight w:val="none"/>
                    </w:rPr>
                  </w:pPr>
                  <w:r>
                    <w:rPr>
                      <w:rFonts w:hint="eastAsia"/>
                      <w:b/>
                      <w:bCs/>
                      <w:color w:val="auto"/>
                      <w:sz w:val="21"/>
                      <w:szCs w:val="21"/>
                      <w:highlight w:val="none"/>
                    </w:rPr>
                    <w:t>经污水厂处理后</w:t>
                  </w:r>
                </w:p>
              </w:tc>
            </w:tr>
            <w:tr w14:paraId="7BE1E9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18" w:type="dxa"/>
                  <w:vMerge w:val="continue"/>
                  <w:tcBorders>
                    <w:tl2br w:val="nil"/>
                    <w:tr2bl w:val="nil"/>
                  </w:tcBorders>
                  <w:noWrap w:val="0"/>
                  <w:vAlign w:val="center"/>
                </w:tcPr>
                <w:p w14:paraId="565AE8D8">
                  <w:pPr>
                    <w:pStyle w:val="37"/>
                    <w:spacing w:after="0" w:line="240" w:lineRule="auto"/>
                    <w:ind w:left="0" w:leftChars="0" w:firstLine="0" w:firstLineChars="0"/>
                    <w:jc w:val="center"/>
                    <w:rPr>
                      <w:rFonts w:ascii="Times New Roman" w:hAnsi="Times New Roman" w:eastAsia="宋体" w:cs="Times New Roman"/>
                      <w:b/>
                      <w:bCs/>
                      <w:color w:val="auto"/>
                      <w:spacing w:val="0"/>
                      <w:position w:val="0"/>
                      <w:sz w:val="21"/>
                      <w:szCs w:val="21"/>
                      <w:highlight w:val="none"/>
                    </w:rPr>
                  </w:pPr>
                </w:p>
              </w:tc>
              <w:tc>
                <w:tcPr>
                  <w:tcW w:w="737" w:type="dxa"/>
                  <w:vMerge w:val="continue"/>
                  <w:tcBorders>
                    <w:tl2br w:val="nil"/>
                    <w:tr2bl w:val="nil"/>
                  </w:tcBorders>
                  <w:noWrap w:val="0"/>
                  <w:vAlign w:val="center"/>
                </w:tcPr>
                <w:p w14:paraId="171740DC">
                  <w:pPr>
                    <w:pStyle w:val="37"/>
                    <w:spacing w:after="0" w:line="240" w:lineRule="auto"/>
                    <w:ind w:left="0" w:leftChars="0" w:firstLine="0" w:firstLineChars="0"/>
                    <w:jc w:val="center"/>
                    <w:rPr>
                      <w:rFonts w:ascii="Times New Roman" w:hAnsi="Times New Roman" w:eastAsia="宋体" w:cs="Times New Roman"/>
                      <w:b/>
                      <w:bCs/>
                      <w:color w:val="auto"/>
                      <w:spacing w:val="0"/>
                      <w:position w:val="0"/>
                      <w:sz w:val="21"/>
                      <w:szCs w:val="21"/>
                      <w:highlight w:val="none"/>
                    </w:rPr>
                  </w:pPr>
                </w:p>
              </w:tc>
              <w:tc>
                <w:tcPr>
                  <w:tcW w:w="973" w:type="dxa"/>
                  <w:vMerge w:val="restart"/>
                  <w:tcBorders>
                    <w:tl2br w:val="nil"/>
                    <w:tr2bl w:val="nil"/>
                  </w:tcBorders>
                  <w:noWrap w:val="0"/>
                  <w:vAlign w:val="center"/>
                </w:tcPr>
                <w:p w14:paraId="56F90B01">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产生浓度（mg/L）</w:t>
                  </w:r>
                </w:p>
              </w:tc>
              <w:tc>
                <w:tcPr>
                  <w:tcW w:w="825" w:type="dxa"/>
                  <w:vMerge w:val="restart"/>
                  <w:tcBorders>
                    <w:tl2br w:val="nil"/>
                    <w:tr2bl w:val="nil"/>
                  </w:tcBorders>
                  <w:noWrap w:val="0"/>
                  <w:vAlign w:val="center"/>
                </w:tcPr>
                <w:p w14:paraId="228CCA5A">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产生量（t/a）</w:t>
                  </w:r>
                </w:p>
              </w:tc>
              <w:tc>
                <w:tcPr>
                  <w:tcW w:w="988" w:type="dxa"/>
                  <w:vMerge w:val="restart"/>
                  <w:tcBorders>
                    <w:tl2br w:val="nil"/>
                    <w:tr2bl w:val="nil"/>
                  </w:tcBorders>
                  <w:noWrap w:val="0"/>
                  <w:vAlign w:val="center"/>
                </w:tcPr>
                <w:p w14:paraId="606A2361">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出水浓度（mg/L）</w:t>
                  </w:r>
                </w:p>
              </w:tc>
              <w:tc>
                <w:tcPr>
                  <w:tcW w:w="810" w:type="dxa"/>
                  <w:vMerge w:val="restart"/>
                  <w:tcBorders>
                    <w:tl2br w:val="nil"/>
                    <w:tr2bl w:val="nil"/>
                  </w:tcBorders>
                  <w:noWrap w:val="0"/>
                  <w:vAlign w:val="center"/>
                </w:tcPr>
                <w:p w14:paraId="6D3A772C">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排放量（t/a）</w:t>
                  </w:r>
                </w:p>
              </w:tc>
              <w:tc>
                <w:tcPr>
                  <w:tcW w:w="1754" w:type="dxa"/>
                  <w:gridSpan w:val="2"/>
                  <w:tcBorders>
                    <w:tl2br w:val="nil"/>
                    <w:tr2bl w:val="nil"/>
                  </w:tcBorders>
                  <w:noWrap w:val="0"/>
                  <w:vAlign w:val="center"/>
                </w:tcPr>
                <w:p w14:paraId="65BA488F">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21"/>
                      <w:szCs w:val="21"/>
                      <w:highlight w:val="none"/>
                    </w:rPr>
                  </w:pPr>
                  <w:r>
                    <w:rPr>
                      <w:rFonts w:hint="eastAsia" w:cs="Times New Roman"/>
                      <w:b/>
                      <w:bCs/>
                      <w:color w:val="auto"/>
                      <w:kern w:val="2"/>
                      <w:sz w:val="21"/>
                      <w:szCs w:val="21"/>
                      <w:highlight w:val="none"/>
                      <w:lang w:val="en-US" w:eastAsia="zh-CN" w:bidi="ar-SA"/>
                    </w:rPr>
                    <w:t>表1</w:t>
                  </w:r>
                  <w:r>
                    <w:rPr>
                      <w:rFonts w:hint="eastAsia" w:ascii="Times New Roman" w:hAnsi="Times New Roman" w:eastAsia="宋体" w:cs="Times New Roman"/>
                      <w:b/>
                      <w:bCs/>
                      <w:color w:val="auto"/>
                      <w:kern w:val="2"/>
                      <w:sz w:val="21"/>
                      <w:szCs w:val="21"/>
                      <w:highlight w:val="none"/>
                      <w:lang w:val="en-US" w:eastAsia="zh-CN" w:bidi="ar-SA"/>
                    </w:rPr>
                    <w:t>一级A标准</w:t>
                  </w:r>
                </w:p>
              </w:tc>
            </w:tr>
            <w:tr w14:paraId="6549A5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18" w:type="dxa"/>
                  <w:vMerge w:val="continue"/>
                  <w:tcBorders>
                    <w:tl2br w:val="nil"/>
                    <w:tr2bl w:val="nil"/>
                  </w:tcBorders>
                  <w:noWrap w:val="0"/>
                  <w:vAlign w:val="center"/>
                </w:tcPr>
                <w:p w14:paraId="3075B51B">
                  <w:pPr>
                    <w:pStyle w:val="37"/>
                    <w:spacing w:after="0" w:line="240" w:lineRule="auto"/>
                    <w:ind w:left="0" w:leftChars="0" w:firstLine="0" w:firstLineChars="0"/>
                    <w:jc w:val="center"/>
                    <w:rPr>
                      <w:color w:val="auto"/>
                      <w:sz w:val="21"/>
                      <w:szCs w:val="21"/>
                      <w:highlight w:val="none"/>
                    </w:rPr>
                  </w:pPr>
                </w:p>
              </w:tc>
              <w:tc>
                <w:tcPr>
                  <w:tcW w:w="737" w:type="dxa"/>
                  <w:vMerge w:val="continue"/>
                  <w:tcBorders>
                    <w:tl2br w:val="nil"/>
                    <w:tr2bl w:val="nil"/>
                  </w:tcBorders>
                  <w:noWrap w:val="0"/>
                  <w:vAlign w:val="center"/>
                </w:tcPr>
                <w:p w14:paraId="7C6AF216">
                  <w:pPr>
                    <w:pStyle w:val="37"/>
                    <w:spacing w:after="0" w:line="240" w:lineRule="auto"/>
                    <w:ind w:left="0" w:leftChars="0" w:firstLine="0" w:firstLineChars="0"/>
                    <w:jc w:val="center"/>
                    <w:rPr>
                      <w:color w:val="auto"/>
                      <w:sz w:val="21"/>
                      <w:szCs w:val="21"/>
                      <w:highlight w:val="none"/>
                    </w:rPr>
                  </w:pPr>
                </w:p>
              </w:tc>
              <w:tc>
                <w:tcPr>
                  <w:tcW w:w="973" w:type="dxa"/>
                  <w:vMerge w:val="continue"/>
                  <w:tcBorders>
                    <w:tl2br w:val="nil"/>
                    <w:tr2bl w:val="nil"/>
                  </w:tcBorders>
                  <w:noWrap w:val="0"/>
                  <w:vAlign w:val="center"/>
                </w:tcPr>
                <w:p w14:paraId="694F5A0F">
                  <w:pPr>
                    <w:pStyle w:val="37"/>
                    <w:spacing w:after="0" w:line="240" w:lineRule="auto"/>
                    <w:ind w:left="0" w:leftChars="0" w:firstLine="0" w:firstLineChars="0"/>
                    <w:jc w:val="center"/>
                    <w:rPr>
                      <w:color w:val="auto"/>
                      <w:sz w:val="21"/>
                      <w:szCs w:val="21"/>
                      <w:highlight w:val="none"/>
                    </w:rPr>
                  </w:pPr>
                </w:p>
              </w:tc>
              <w:tc>
                <w:tcPr>
                  <w:tcW w:w="825" w:type="dxa"/>
                  <w:vMerge w:val="continue"/>
                  <w:tcBorders>
                    <w:tl2br w:val="nil"/>
                    <w:tr2bl w:val="nil"/>
                  </w:tcBorders>
                  <w:noWrap w:val="0"/>
                  <w:vAlign w:val="center"/>
                </w:tcPr>
                <w:p w14:paraId="0D08F509">
                  <w:pPr>
                    <w:pStyle w:val="37"/>
                    <w:spacing w:after="0" w:line="240" w:lineRule="auto"/>
                    <w:ind w:left="0" w:leftChars="0" w:firstLine="0" w:firstLineChars="0"/>
                    <w:jc w:val="center"/>
                    <w:rPr>
                      <w:color w:val="auto"/>
                      <w:sz w:val="21"/>
                      <w:szCs w:val="21"/>
                      <w:highlight w:val="none"/>
                    </w:rPr>
                  </w:pPr>
                </w:p>
              </w:tc>
              <w:tc>
                <w:tcPr>
                  <w:tcW w:w="988" w:type="dxa"/>
                  <w:vMerge w:val="continue"/>
                  <w:tcBorders>
                    <w:tl2br w:val="nil"/>
                    <w:tr2bl w:val="nil"/>
                  </w:tcBorders>
                  <w:noWrap w:val="0"/>
                  <w:vAlign w:val="center"/>
                </w:tcPr>
                <w:p w14:paraId="4794735F">
                  <w:pPr>
                    <w:pStyle w:val="37"/>
                    <w:spacing w:after="0" w:line="240" w:lineRule="auto"/>
                    <w:ind w:left="0" w:leftChars="0" w:firstLine="0" w:firstLineChars="0"/>
                    <w:jc w:val="center"/>
                    <w:rPr>
                      <w:color w:val="auto"/>
                      <w:sz w:val="21"/>
                      <w:szCs w:val="21"/>
                      <w:highlight w:val="none"/>
                    </w:rPr>
                  </w:pPr>
                </w:p>
              </w:tc>
              <w:tc>
                <w:tcPr>
                  <w:tcW w:w="810" w:type="dxa"/>
                  <w:vMerge w:val="continue"/>
                  <w:tcBorders>
                    <w:tl2br w:val="nil"/>
                    <w:tr2bl w:val="nil"/>
                  </w:tcBorders>
                  <w:noWrap w:val="0"/>
                  <w:vAlign w:val="center"/>
                </w:tcPr>
                <w:p w14:paraId="2F8CD2D7">
                  <w:pPr>
                    <w:pStyle w:val="37"/>
                    <w:spacing w:after="0" w:line="240" w:lineRule="auto"/>
                    <w:ind w:left="0" w:leftChars="0" w:firstLine="0" w:firstLineChars="0"/>
                    <w:jc w:val="center"/>
                    <w:rPr>
                      <w:color w:val="auto"/>
                      <w:sz w:val="21"/>
                      <w:szCs w:val="21"/>
                      <w:highlight w:val="none"/>
                    </w:rPr>
                  </w:pPr>
                </w:p>
              </w:tc>
              <w:tc>
                <w:tcPr>
                  <w:tcW w:w="898" w:type="dxa"/>
                  <w:tcBorders>
                    <w:tl2br w:val="nil"/>
                    <w:tr2bl w:val="nil"/>
                  </w:tcBorders>
                  <w:shd w:val="clear" w:color="auto" w:fill="auto"/>
                  <w:noWrap w:val="0"/>
                  <w:vAlign w:val="center"/>
                </w:tcPr>
                <w:p w14:paraId="3D9338A7">
                  <w:pPr>
                    <w:pStyle w:val="37"/>
                    <w:spacing w:after="0" w:line="240" w:lineRule="auto"/>
                    <w:ind w:left="0" w:leftChars="0" w:firstLine="0" w:firstLineChars="0"/>
                    <w:jc w:val="center"/>
                    <w:rPr>
                      <w:rFonts w:hint="eastAsia" w:ascii="Times New Roman" w:hAnsi="Times New Roman" w:eastAsia="宋体" w:cs="Times New Roman"/>
                      <w:b/>
                      <w:bCs/>
                      <w:color w:val="auto"/>
                      <w:spacing w:val="0"/>
                      <w:kern w:val="0"/>
                      <w:position w:val="0"/>
                      <w:sz w:val="21"/>
                      <w:szCs w:val="21"/>
                      <w:highlight w:val="none"/>
                      <w:lang w:val="en-US" w:eastAsia="zh-CN" w:bidi="ar-SA"/>
                    </w:rPr>
                  </w:pPr>
                  <w:r>
                    <w:rPr>
                      <w:b/>
                      <w:bCs/>
                      <w:color w:val="auto"/>
                      <w:sz w:val="21"/>
                      <w:szCs w:val="21"/>
                      <w:highlight w:val="none"/>
                    </w:rPr>
                    <w:t>浓度</w:t>
                  </w:r>
                  <w:r>
                    <w:rPr>
                      <w:rFonts w:hint="eastAsia"/>
                      <w:b/>
                      <w:bCs/>
                      <w:color w:val="auto"/>
                      <w:sz w:val="21"/>
                      <w:szCs w:val="21"/>
                      <w:highlight w:val="none"/>
                      <w:lang w:eastAsia="zh-CN"/>
                    </w:rPr>
                    <w:t>（</w:t>
                  </w:r>
                  <w:r>
                    <w:rPr>
                      <w:b/>
                      <w:bCs/>
                      <w:color w:val="auto"/>
                      <w:sz w:val="21"/>
                      <w:szCs w:val="21"/>
                      <w:highlight w:val="none"/>
                    </w:rPr>
                    <w:t>mg/L</w:t>
                  </w:r>
                  <w:r>
                    <w:rPr>
                      <w:rFonts w:hint="eastAsia"/>
                      <w:b/>
                      <w:bCs/>
                      <w:color w:val="auto"/>
                      <w:sz w:val="21"/>
                      <w:szCs w:val="21"/>
                      <w:highlight w:val="none"/>
                      <w:lang w:eastAsia="zh-CN"/>
                    </w:rPr>
                    <w:t>）</w:t>
                  </w:r>
                </w:p>
              </w:tc>
              <w:tc>
                <w:tcPr>
                  <w:tcW w:w="856" w:type="dxa"/>
                  <w:tcBorders>
                    <w:tl2br w:val="nil"/>
                    <w:tr2bl w:val="nil"/>
                  </w:tcBorders>
                  <w:shd w:val="clear" w:color="auto" w:fill="auto"/>
                  <w:noWrap w:val="0"/>
                  <w:vAlign w:val="center"/>
                </w:tcPr>
                <w:p w14:paraId="309AD877">
                  <w:pPr>
                    <w:pStyle w:val="37"/>
                    <w:spacing w:after="0" w:line="240" w:lineRule="auto"/>
                    <w:ind w:left="0" w:leftChars="0" w:firstLine="0" w:firstLineChars="0"/>
                    <w:jc w:val="center"/>
                    <w:rPr>
                      <w:rFonts w:hint="eastAsia" w:ascii="Times New Roman" w:hAnsi="Times New Roman" w:eastAsia="宋体" w:cs="Times New Roman"/>
                      <w:b/>
                      <w:bCs/>
                      <w:color w:val="auto"/>
                      <w:spacing w:val="0"/>
                      <w:kern w:val="0"/>
                      <w:position w:val="0"/>
                      <w:sz w:val="21"/>
                      <w:szCs w:val="21"/>
                      <w:highlight w:val="none"/>
                      <w:lang w:val="en-US" w:eastAsia="zh-CN" w:bidi="ar-SA"/>
                    </w:rPr>
                  </w:pPr>
                  <w:r>
                    <w:rPr>
                      <w:rFonts w:hint="eastAsia" w:ascii="Times New Roman" w:hAnsi="Times New Roman" w:eastAsia="宋体" w:cs="Times New Roman"/>
                      <w:b/>
                      <w:bCs/>
                      <w:color w:val="auto"/>
                      <w:spacing w:val="0"/>
                      <w:position w:val="0"/>
                      <w:sz w:val="21"/>
                      <w:szCs w:val="21"/>
                      <w:highlight w:val="none"/>
                    </w:rPr>
                    <w:t>排放量（t/a）</w:t>
                  </w:r>
                </w:p>
              </w:tc>
            </w:tr>
            <w:tr w14:paraId="1CF5A4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dxa"/>
                  <w:vMerge w:val="restart"/>
                  <w:tcBorders>
                    <w:tl2br w:val="nil"/>
                    <w:tr2bl w:val="nil"/>
                  </w:tcBorders>
                  <w:noWrap w:val="0"/>
                  <w:vAlign w:val="center"/>
                </w:tcPr>
                <w:p w14:paraId="095683DF">
                  <w:pPr>
                    <w:pStyle w:val="37"/>
                    <w:spacing w:after="0" w:line="240" w:lineRule="auto"/>
                    <w:ind w:left="0" w:leftChars="0" w:firstLine="0" w:firstLineChars="0"/>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生活污水</w:t>
                  </w:r>
                </w:p>
              </w:tc>
              <w:tc>
                <w:tcPr>
                  <w:tcW w:w="737" w:type="dxa"/>
                  <w:tcBorders>
                    <w:tl2br w:val="nil"/>
                    <w:tr2bl w:val="nil"/>
                  </w:tcBorders>
                  <w:noWrap w:val="0"/>
                  <w:vAlign w:val="center"/>
                </w:tcPr>
                <w:p w14:paraId="382B7B95">
                  <w:pPr>
                    <w:pStyle w:val="37"/>
                    <w:spacing w:after="0" w:line="240" w:lineRule="auto"/>
                    <w:ind w:left="0" w:leftChars="0" w:firstLine="0" w:firstLineChars="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COD</w:t>
                  </w:r>
                  <w:r>
                    <w:rPr>
                      <w:rFonts w:hint="eastAsia" w:ascii="Times New Roman" w:hAnsi="Times New Roman" w:eastAsia="宋体" w:cs="Times New Roman"/>
                      <w:color w:val="auto"/>
                      <w:spacing w:val="0"/>
                      <w:position w:val="0"/>
                      <w:sz w:val="21"/>
                      <w:szCs w:val="21"/>
                      <w:highlight w:val="none"/>
                      <w:vertAlign w:val="subscript"/>
                    </w:rPr>
                    <w:t>Cr</w:t>
                  </w:r>
                </w:p>
              </w:tc>
              <w:tc>
                <w:tcPr>
                  <w:tcW w:w="973" w:type="dxa"/>
                  <w:tcBorders>
                    <w:tl2br w:val="nil"/>
                    <w:tr2bl w:val="nil"/>
                  </w:tcBorders>
                  <w:noWrap w:val="0"/>
                  <w:vAlign w:val="center"/>
                </w:tcPr>
                <w:p w14:paraId="26D01D47">
                  <w:pPr>
                    <w:keepNext/>
                    <w:keepLines/>
                    <w:pageBreakBefore w:val="0"/>
                    <w:widowControl/>
                    <w:suppressLineNumbers w:val="0"/>
                    <w:kinsoku/>
                    <w:wordWrap w:val="0"/>
                    <w:overflowPunct/>
                    <w:topLinePunct/>
                    <w:autoSpaceDE/>
                    <w:autoSpaceDN/>
                    <w:bidi w:val="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825" w:type="dxa"/>
                  <w:tcBorders>
                    <w:tl2br w:val="nil"/>
                    <w:tr2bl w:val="nil"/>
                  </w:tcBorders>
                  <w:noWrap w:val="0"/>
                  <w:vAlign w:val="center"/>
                </w:tcPr>
                <w:p w14:paraId="5FA7DE11">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highlight w:val="none"/>
                      <w:lang w:val="en-US" w:eastAsia="zh-CN"/>
                    </w:rPr>
                  </w:pPr>
                </w:p>
              </w:tc>
              <w:tc>
                <w:tcPr>
                  <w:tcW w:w="988" w:type="dxa"/>
                  <w:tcBorders>
                    <w:tl2br w:val="nil"/>
                    <w:tr2bl w:val="nil"/>
                  </w:tcBorders>
                  <w:noWrap w:val="0"/>
                  <w:vAlign w:val="center"/>
                </w:tcPr>
                <w:p w14:paraId="195D0FCB">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kern w:val="0"/>
                      <w:position w:val="0"/>
                      <w:sz w:val="21"/>
                      <w:szCs w:val="21"/>
                      <w:highlight w:val="none"/>
                      <w:lang w:bidi="ar"/>
                    </w:rPr>
                  </w:pPr>
                </w:p>
              </w:tc>
              <w:tc>
                <w:tcPr>
                  <w:tcW w:w="810" w:type="dxa"/>
                  <w:tcBorders>
                    <w:tl2br w:val="nil"/>
                    <w:tr2bl w:val="nil"/>
                  </w:tcBorders>
                  <w:noWrap w:val="0"/>
                  <w:vAlign w:val="center"/>
                </w:tcPr>
                <w:p w14:paraId="171665D8">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highlight w:val="none"/>
                      <w:lang w:val="en-US" w:eastAsia="zh-CN" w:bidi="ar"/>
                    </w:rPr>
                  </w:pPr>
                </w:p>
              </w:tc>
              <w:tc>
                <w:tcPr>
                  <w:tcW w:w="898" w:type="dxa"/>
                  <w:tcBorders>
                    <w:tl2br w:val="nil"/>
                    <w:tr2bl w:val="nil"/>
                  </w:tcBorders>
                  <w:noWrap w:val="0"/>
                  <w:vAlign w:val="center"/>
                </w:tcPr>
                <w:p w14:paraId="6F8EFFFA">
                  <w:pPr>
                    <w:keepNext w:val="0"/>
                    <w:keepLines w:val="0"/>
                    <w:widowControl/>
                    <w:suppressLineNumbers w:val="0"/>
                    <w:jc w:val="center"/>
                    <w:textAlignment w:val="center"/>
                    <w:rPr>
                      <w:rFonts w:hint="default" w:cs="Times New Roman"/>
                      <w:color w:val="auto"/>
                      <w:spacing w:val="0"/>
                      <w:position w:val="0"/>
                      <w:sz w:val="21"/>
                      <w:szCs w:val="21"/>
                      <w:highlight w:val="none"/>
                      <w:lang w:val="en-US" w:eastAsia="zh-CN" w:bidi="ar"/>
                    </w:rPr>
                  </w:pPr>
                </w:p>
              </w:tc>
              <w:tc>
                <w:tcPr>
                  <w:tcW w:w="856" w:type="dxa"/>
                  <w:tcBorders>
                    <w:tl2br w:val="nil"/>
                    <w:tr2bl w:val="nil"/>
                  </w:tcBorders>
                  <w:noWrap w:val="0"/>
                  <w:vAlign w:val="center"/>
                </w:tcPr>
                <w:p w14:paraId="20DCBC2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0672C9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dxa"/>
                  <w:vMerge w:val="continue"/>
                  <w:tcBorders>
                    <w:tl2br w:val="nil"/>
                    <w:tr2bl w:val="nil"/>
                  </w:tcBorders>
                  <w:noWrap w:val="0"/>
                  <w:vAlign w:val="center"/>
                </w:tcPr>
                <w:p w14:paraId="7C56C790">
                  <w:pPr>
                    <w:pStyle w:val="37"/>
                    <w:spacing w:after="0" w:line="240" w:lineRule="auto"/>
                    <w:ind w:left="0" w:leftChars="0" w:firstLine="0" w:firstLineChars="0"/>
                    <w:jc w:val="center"/>
                    <w:rPr>
                      <w:rFonts w:ascii="Times New Roman" w:hAnsi="Times New Roman" w:eastAsia="宋体" w:cs="Times New Roman"/>
                      <w:color w:val="auto"/>
                      <w:spacing w:val="0"/>
                      <w:position w:val="0"/>
                      <w:sz w:val="21"/>
                      <w:szCs w:val="21"/>
                      <w:highlight w:val="none"/>
                    </w:rPr>
                  </w:pPr>
                </w:p>
              </w:tc>
              <w:tc>
                <w:tcPr>
                  <w:tcW w:w="737" w:type="dxa"/>
                  <w:tcBorders>
                    <w:tl2br w:val="nil"/>
                    <w:tr2bl w:val="nil"/>
                  </w:tcBorders>
                  <w:noWrap w:val="0"/>
                  <w:vAlign w:val="center"/>
                </w:tcPr>
                <w:p w14:paraId="013DF76C">
                  <w:pPr>
                    <w:pStyle w:val="37"/>
                    <w:spacing w:after="0" w:line="240" w:lineRule="auto"/>
                    <w:ind w:left="0" w:leftChars="0" w:firstLine="0" w:firstLineChars="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BOD</w:t>
                  </w:r>
                  <w:r>
                    <w:rPr>
                      <w:rFonts w:hint="eastAsia" w:ascii="Times New Roman" w:hAnsi="Times New Roman" w:eastAsia="宋体" w:cs="Times New Roman"/>
                      <w:color w:val="auto"/>
                      <w:spacing w:val="0"/>
                      <w:position w:val="0"/>
                      <w:sz w:val="21"/>
                      <w:szCs w:val="21"/>
                      <w:highlight w:val="none"/>
                      <w:vertAlign w:val="subscript"/>
                    </w:rPr>
                    <w:t>5</w:t>
                  </w:r>
                </w:p>
              </w:tc>
              <w:tc>
                <w:tcPr>
                  <w:tcW w:w="973" w:type="dxa"/>
                  <w:tcBorders>
                    <w:tl2br w:val="nil"/>
                    <w:tr2bl w:val="nil"/>
                  </w:tcBorders>
                  <w:noWrap w:val="0"/>
                  <w:vAlign w:val="center"/>
                </w:tcPr>
                <w:p w14:paraId="50B2F14A">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position w:val="0"/>
                      <w:sz w:val="21"/>
                      <w:szCs w:val="21"/>
                      <w:highlight w:val="none"/>
                    </w:rPr>
                  </w:pPr>
                </w:p>
              </w:tc>
              <w:tc>
                <w:tcPr>
                  <w:tcW w:w="825" w:type="dxa"/>
                  <w:tcBorders>
                    <w:tl2br w:val="nil"/>
                    <w:tr2bl w:val="nil"/>
                  </w:tcBorders>
                  <w:noWrap w:val="0"/>
                  <w:vAlign w:val="center"/>
                </w:tcPr>
                <w:p w14:paraId="62319068">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highlight w:val="none"/>
                      <w:lang w:val="en-US" w:eastAsia="zh-CN"/>
                    </w:rPr>
                  </w:pPr>
                </w:p>
              </w:tc>
              <w:tc>
                <w:tcPr>
                  <w:tcW w:w="988" w:type="dxa"/>
                  <w:tcBorders>
                    <w:tl2br w:val="nil"/>
                    <w:tr2bl w:val="nil"/>
                  </w:tcBorders>
                  <w:noWrap w:val="0"/>
                  <w:vAlign w:val="center"/>
                </w:tcPr>
                <w:p w14:paraId="0B5B664E">
                  <w:pPr>
                    <w:keepNext/>
                    <w:keepLines/>
                    <w:pageBreakBefore w:val="0"/>
                    <w:widowControl/>
                    <w:suppressLineNumbers w:val="0"/>
                    <w:kinsoku/>
                    <w:wordWrap w:val="0"/>
                    <w:overflowPunct/>
                    <w:topLinePunct/>
                    <w:autoSpaceDE/>
                    <w:autoSpaceDN/>
                    <w:bidi w:val="0"/>
                    <w:jc w:val="center"/>
                    <w:textAlignment w:val="auto"/>
                    <w:rPr>
                      <w:rFonts w:hint="default" w:ascii="Times New Roman" w:hAnsi="Times New Roman" w:eastAsia="宋体" w:cs="Times New Roman"/>
                      <w:color w:val="auto"/>
                      <w:spacing w:val="0"/>
                      <w:kern w:val="0"/>
                      <w:position w:val="0"/>
                      <w:sz w:val="21"/>
                      <w:szCs w:val="21"/>
                      <w:highlight w:val="none"/>
                      <w:lang w:val="en-US" w:bidi="ar"/>
                    </w:rPr>
                  </w:pPr>
                </w:p>
              </w:tc>
              <w:tc>
                <w:tcPr>
                  <w:tcW w:w="810" w:type="dxa"/>
                  <w:tcBorders>
                    <w:tl2br w:val="nil"/>
                    <w:tr2bl w:val="nil"/>
                  </w:tcBorders>
                  <w:noWrap w:val="0"/>
                  <w:vAlign w:val="center"/>
                </w:tcPr>
                <w:p w14:paraId="14BF95CB">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highlight w:val="none"/>
                      <w:lang w:val="en-US" w:eastAsia="zh-CN" w:bidi="ar"/>
                    </w:rPr>
                  </w:pPr>
                </w:p>
              </w:tc>
              <w:tc>
                <w:tcPr>
                  <w:tcW w:w="898" w:type="dxa"/>
                  <w:tcBorders>
                    <w:tl2br w:val="nil"/>
                    <w:tr2bl w:val="nil"/>
                  </w:tcBorders>
                  <w:noWrap w:val="0"/>
                  <w:vAlign w:val="center"/>
                </w:tcPr>
                <w:p w14:paraId="157A8DF0">
                  <w:pPr>
                    <w:keepNext w:val="0"/>
                    <w:keepLines w:val="0"/>
                    <w:widowControl/>
                    <w:suppressLineNumbers w:val="0"/>
                    <w:jc w:val="center"/>
                    <w:textAlignment w:val="center"/>
                    <w:rPr>
                      <w:rFonts w:hint="default" w:cs="Times New Roman"/>
                      <w:color w:val="auto"/>
                      <w:spacing w:val="0"/>
                      <w:position w:val="0"/>
                      <w:sz w:val="21"/>
                      <w:szCs w:val="21"/>
                      <w:highlight w:val="none"/>
                      <w:lang w:val="en-US" w:eastAsia="zh-CN" w:bidi="ar"/>
                    </w:rPr>
                  </w:pPr>
                </w:p>
              </w:tc>
              <w:tc>
                <w:tcPr>
                  <w:tcW w:w="856" w:type="dxa"/>
                  <w:tcBorders>
                    <w:tl2br w:val="nil"/>
                    <w:tr2bl w:val="nil"/>
                  </w:tcBorders>
                  <w:noWrap w:val="0"/>
                  <w:vAlign w:val="center"/>
                </w:tcPr>
                <w:p w14:paraId="5E1E9BA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57B958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dxa"/>
                  <w:vMerge w:val="continue"/>
                  <w:tcBorders>
                    <w:tl2br w:val="nil"/>
                    <w:tr2bl w:val="nil"/>
                  </w:tcBorders>
                  <w:noWrap w:val="0"/>
                  <w:vAlign w:val="center"/>
                </w:tcPr>
                <w:p w14:paraId="6FC9D935">
                  <w:pPr>
                    <w:pStyle w:val="37"/>
                    <w:spacing w:after="0" w:line="240" w:lineRule="auto"/>
                    <w:ind w:left="0" w:leftChars="0" w:firstLine="0" w:firstLineChars="0"/>
                    <w:jc w:val="center"/>
                    <w:rPr>
                      <w:rFonts w:ascii="Times New Roman" w:hAnsi="Times New Roman" w:eastAsia="宋体" w:cs="Times New Roman"/>
                      <w:color w:val="auto"/>
                      <w:spacing w:val="0"/>
                      <w:position w:val="0"/>
                      <w:sz w:val="21"/>
                      <w:szCs w:val="21"/>
                      <w:highlight w:val="none"/>
                    </w:rPr>
                  </w:pPr>
                </w:p>
              </w:tc>
              <w:tc>
                <w:tcPr>
                  <w:tcW w:w="737" w:type="dxa"/>
                  <w:tcBorders>
                    <w:tl2br w:val="nil"/>
                    <w:tr2bl w:val="nil"/>
                  </w:tcBorders>
                  <w:noWrap w:val="0"/>
                  <w:vAlign w:val="center"/>
                </w:tcPr>
                <w:p w14:paraId="1FC8AACB">
                  <w:pPr>
                    <w:pStyle w:val="37"/>
                    <w:spacing w:after="0" w:line="240" w:lineRule="auto"/>
                    <w:ind w:left="0" w:leftChars="0" w:firstLine="0" w:firstLineChars="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SS</w:t>
                  </w:r>
                </w:p>
              </w:tc>
              <w:tc>
                <w:tcPr>
                  <w:tcW w:w="973" w:type="dxa"/>
                  <w:tcBorders>
                    <w:tl2br w:val="nil"/>
                    <w:tr2bl w:val="nil"/>
                  </w:tcBorders>
                  <w:noWrap w:val="0"/>
                  <w:vAlign w:val="center"/>
                </w:tcPr>
                <w:p w14:paraId="0D86D60C">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position w:val="0"/>
                      <w:sz w:val="21"/>
                      <w:szCs w:val="21"/>
                      <w:highlight w:val="none"/>
                    </w:rPr>
                  </w:pPr>
                </w:p>
              </w:tc>
              <w:tc>
                <w:tcPr>
                  <w:tcW w:w="825" w:type="dxa"/>
                  <w:tcBorders>
                    <w:tl2br w:val="nil"/>
                    <w:tr2bl w:val="nil"/>
                  </w:tcBorders>
                  <w:noWrap w:val="0"/>
                  <w:vAlign w:val="center"/>
                </w:tcPr>
                <w:p w14:paraId="68A326CA">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highlight w:val="none"/>
                      <w:lang w:val="en-US" w:eastAsia="zh-CN"/>
                    </w:rPr>
                  </w:pPr>
                </w:p>
              </w:tc>
              <w:tc>
                <w:tcPr>
                  <w:tcW w:w="988" w:type="dxa"/>
                  <w:tcBorders>
                    <w:tl2br w:val="nil"/>
                    <w:tr2bl w:val="nil"/>
                  </w:tcBorders>
                  <w:noWrap w:val="0"/>
                  <w:vAlign w:val="center"/>
                </w:tcPr>
                <w:p w14:paraId="29390794">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position w:val="0"/>
                      <w:sz w:val="21"/>
                      <w:szCs w:val="21"/>
                      <w:highlight w:val="none"/>
                    </w:rPr>
                  </w:pPr>
                </w:p>
              </w:tc>
              <w:tc>
                <w:tcPr>
                  <w:tcW w:w="810" w:type="dxa"/>
                  <w:tcBorders>
                    <w:tl2br w:val="nil"/>
                    <w:tr2bl w:val="nil"/>
                  </w:tcBorders>
                  <w:noWrap w:val="0"/>
                  <w:vAlign w:val="center"/>
                </w:tcPr>
                <w:p w14:paraId="795F6907">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highlight w:val="none"/>
                      <w:lang w:val="en-US" w:eastAsia="zh-CN"/>
                    </w:rPr>
                  </w:pPr>
                </w:p>
              </w:tc>
              <w:tc>
                <w:tcPr>
                  <w:tcW w:w="898" w:type="dxa"/>
                  <w:tcBorders>
                    <w:tl2br w:val="nil"/>
                    <w:tr2bl w:val="nil"/>
                  </w:tcBorders>
                  <w:noWrap w:val="0"/>
                  <w:vAlign w:val="center"/>
                </w:tcPr>
                <w:p w14:paraId="4B18A95A">
                  <w:pPr>
                    <w:keepNext w:val="0"/>
                    <w:keepLines w:val="0"/>
                    <w:widowControl/>
                    <w:suppressLineNumbers w:val="0"/>
                    <w:jc w:val="center"/>
                    <w:textAlignment w:val="center"/>
                    <w:rPr>
                      <w:rFonts w:hint="default" w:cs="Times New Roman"/>
                      <w:color w:val="auto"/>
                      <w:spacing w:val="0"/>
                      <w:position w:val="0"/>
                      <w:sz w:val="21"/>
                      <w:szCs w:val="21"/>
                      <w:highlight w:val="none"/>
                      <w:lang w:val="en-US" w:eastAsia="zh-CN"/>
                    </w:rPr>
                  </w:pPr>
                </w:p>
              </w:tc>
              <w:tc>
                <w:tcPr>
                  <w:tcW w:w="856" w:type="dxa"/>
                  <w:tcBorders>
                    <w:tl2br w:val="nil"/>
                    <w:tr2bl w:val="nil"/>
                  </w:tcBorders>
                  <w:noWrap w:val="0"/>
                  <w:vAlign w:val="center"/>
                </w:tcPr>
                <w:p w14:paraId="41C4EF0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68FE78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dxa"/>
                  <w:vMerge w:val="continue"/>
                  <w:tcBorders>
                    <w:tl2br w:val="nil"/>
                    <w:tr2bl w:val="nil"/>
                  </w:tcBorders>
                  <w:noWrap w:val="0"/>
                  <w:vAlign w:val="center"/>
                </w:tcPr>
                <w:p w14:paraId="6B914E35">
                  <w:pPr>
                    <w:pStyle w:val="37"/>
                    <w:spacing w:after="0" w:line="240" w:lineRule="auto"/>
                    <w:ind w:left="0" w:leftChars="0" w:firstLine="0" w:firstLineChars="0"/>
                    <w:jc w:val="center"/>
                    <w:rPr>
                      <w:rFonts w:ascii="Times New Roman" w:hAnsi="Times New Roman" w:eastAsia="宋体" w:cs="Times New Roman"/>
                      <w:color w:val="auto"/>
                      <w:spacing w:val="0"/>
                      <w:position w:val="0"/>
                      <w:sz w:val="21"/>
                      <w:szCs w:val="21"/>
                      <w:highlight w:val="none"/>
                    </w:rPr>
                  </w:pPr>
                </w:p>
              </w:tc>
              <w:tc>
                <w:tcPr>
                  <w:tcW w:w="737" w:type="dxa"/>
                  <w:tcBorders>
                    <w:tl2br w:val="nil"/>
                    <w:tr2bl w:val="nil"/>
                  </w:tcBorders>
                  <w:noWrap w:val="0"/>
                  <w:vAlign w:val="center"/>
                </w:tcPr>
                <w:p w14:paraId="31CA513F">
                  <w:pPr>
                    <w:pStyle w:val="37"/>
                    <w:spacing w:after="0" w:line="240" w:lineRule="auto"/>
                    <w:ind w:left="0" w:leftChars="0" w:firstLine="0" w:firstLineChars="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bidi="ar"/>
                    </w:rPr>
                    <w:t>氨氮</w:t>
                  </w:r>
                </w:p>
              </w:tc>
              <w:tc>
                <w:tcPr>
                  <w:tcW w:w="973" w:type="dxa"/>
                  <w:tcBorders>
                    <w:tl2br w:val="nil"/>
                    <w:tr2bl w:val="nil"/>
                  </w:tcBorders>
                  <w:noWrap w:val="0"/>
                  <w:vAlign w:val="center"/>
                </w:tcPr>
                <w:p w14:paraId="40B8632D">
                  <w:pPr>
                    <w:keepNext/>
                    <w:keepLines/>
                    <w:pageBreakBefore w:val="0"/>
                    <w:widowControl/>
                    <w:suppressLineNumbers w:val="0"/>
                    <w:kinsoku/>
                    <w:wordWrap w:val="0"/>
                    <w:overflowPunct/>
                    <w:topLinePunct/>
                    <w:autoSpaceDE/>
                    <w:autoSpaceDN/>
                    <w:bidi w:val="0"/>
                    <w:jc w:val="center"/>
                    <w:textAlignment w:val="auto"/>
                    <w:rPr>
                      <w:rFonts w:hint="default" w:ascii="Times New Roman" w:hAnsi="Times New Roman" w:eastAsia="宋体" w:cs="Times New Roman"/>
                      <w:color w:val="auto"/>
                      <w:spacing w:val="0"/>
                      <w:position w:val="0"/>
                      <w:sz w:val="21"/>
                      <w:szCs w:val="21"/>
                      <w:highlight w:val="none"/>
                      <w:lang w:val="en-US"/>
                    </w:rPr>
                  </w:pPr>
                </w:p>
              </w:tc>
              <w:tc>
                <w:tcPr>
                  <w:tcW w:w="825" w:type="dxa"/>
                  <w:tcBorders>
                    <w:tl2br w:val="nil"/>
                    <w:tr2bl w:val="nil"/>
                  </w:tcBorders>
                  <w:noWrap w:val="0"/>
                  <w:vAlign w:val="center"/>
                </w:tcPr>
                <w:p w14:paraId="21AE10DC">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highlight w:val="none"/>
                      <w:lang w:val="en-US" w:eastAsia="zh-CN"/>
                    </w:rPr>
                  </w:pPr>
                </w:p>
              </w:tc>
              <w:tc>
                <w:tcPr>
                  <w:tcW w:w="988" w:type="dxa"/>
                  <w:tcBorders>
                    <w:tl2br w:val="nil"/>
                    <w:tr2bl w:val="nil"/>
                  </w:tcBorders>
                  <w:noWrap w:val="0"/>
                  <w:vAlign w:val="center"/>
                </w:tcPr>
                <w:p w14:paraId="50A1ED79">
                  <w:pPr>
                    <w:keepNext/>
                    <w:keepLines/>
                    <w:pageBreakBefore w:val="0"/>
                    <w:widowControl/>
                    <w:suppressLineNumbers w:val="0"/>
                    <w:kinsoku/>
                    <w:wordWrap w:val="0"/>
                    <w:overflowPunct/>
                    <w:topLinePunct/>
                    <w:autoSpaceDE/>
                    <w:autoSpaceDN/>
                    <w:bidi w:val="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
                    </w:rPr>
                  </w:pPr>
                </w:p>
              </w:tc>
              <w:tc>
                <w:tcPr>
                  <w:tcW w:w="810" w:type="dxa"/>
                  <w:tcBorders>
                    <w:tl2br w:val="nil"/>
                    <w:tr2bl w:val="nil"/>
                  </w:tcBorders>
                  <w:noWrap w:val="0"/>
                  <w:vAlign w:val="center"/>
                </w:tcPr>
                <w:p w14:paraId="16E3D3B3">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highlight w:val="none"/>
                      <w:lang w:val="en-US" w:eastAsia="zh-CN" w:bidi="ar"/>
                    </w:rPr>
                  </w:pPr>
                </w:p>
              </w:tc>
              <w:tc>
                <w:tcPr>
                  <w:tcW w:w="898" w:type="dxa"/>
                  <w:tcBorders>
                    <w:tl2br w:val="nil"/>
                    <w:tr2bl w:val="nil"/>
                  </w:tcBorders>
                  <w:noWrap w:val="0"/>
                  <w:vAlign w:val="center"/>
                </w:tcPr>
                <w:p w14:paraId="66D44327">
                  <w:pPr>
                    <w:keepNext w:val="0"/>
                    <w:keepLines w:val="0"/>
                    <w:widowControl/>
                    <w:suppressLineNumbers w:val="0"/>
                    <w:jc w:val="center"/>
                    <w:textAlignment w:val="center"/>
                    <w:rPr>
                      <w:rFonts w:hint="default" w:cs="Times New Roman"/>
                      <w:color w:val="auto"/>
                      <w:spacing w:val="0"/>
                      <w:position w:val="0"/>
                      <w:sz w:val="21"/>
                      <w:szCs w:val="21"/>
                      <w:highlight w:val="none"/>
                      <w:lang w:val="en-US" w:eastAsia="zh-CN" w:bidi="ar"/>
                    </w:rPr>
                  </w:pPr>
                </w:p>
              </w:tc>
              <w:tc>
                <w:tcPr>
                  <w:tcW w:w="856" w:type="dxa"/>
                  <w:tcBorders>
                    <w:tl2br w:val="nil"/>
                    <w:tr2bl w:val="nil"/>
                  </w:tcBorders>
                  <w:noWrap w:val="0"/>
                  <w:vAlign w:val="center"/>
                </w:tcPr>
                <w:p w14:paraId="2359BB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44CAA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dxa"/>
                  <w:vMerge w:val="continue"/>
                  <w:tcBorders>
                    <w:tl2br w:val="nil"/>
                    <w:tr2bl w:val="nil"/>
                  </w:tcBorders>
                  <w:noWrap w:val="0"/>
                  <w:vAlign w:val="center"/>
                </w:tcPr>
                <w:p w14:paraId="4E8108FA">
                  <w:pPr>
                    <w:pStyle w:val="37"/>
                    <w:spacing w:after="0" w:line="240" w:lineRule="auto"/>
                    <w:ind w:left="0" w:leftChars="0" w:firstLine="0" w:firstLineChars="0"/>
                    <w:jc w:val="center"/>
                    <w:rPr>
                      <w:rFonts w:ascii="Times New Roman" w:hAnsi="Times New Roman" w:eastAsia="宋体" w:cs="Times New Roman"/>
                      <w:color w:val="auto"/>
                      <w:spacing w:val="0"/>
                      <w:position w:val="0"/>
                      <w:sz w:val="21"/>
                      <w:szCs w:val="21"/>
                      <w:highlight w:val="none"/>
                    </w:rPr>
                  </w:pPr>
                </w:p>
              </w:tc>
              <w:tc>
                <w:tcPr>
                  <w:tcW w:w="737" w:type="dxa"/>
                  <w:tcBorders>
                    <w:tl2br w:val="nil"/>
                    <w:tr2bl w:val="nil"/>
                  </w:tcBorders>
                  <w:noWrap w:val="0"/>
                  <w:vAlign w:val="center"/>
                </w:tcPr>
                <w:p w14:paraId="337F0753">
                  <w:pPr>
                    <w:pStyle w:val="37"/>
                    <w:spacing w:after="0" w:line="240" w:lineRule="auto"/>
                    <w:ind w:left="0" w:leftChars="0" w:firstLine="0" w:firstLineChars="0"/>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总氮</w:t>
                  </w:r>
                </w:p>
              </w:tc>
              <w:tc>
                <w:tcPr>
                  <w:tcW w:w="973" w:type="dxa"/>
                  <w:tcBorders>
                    <w:tl2br w:val="nil"/>
                    <w:tr2bl w:val="nil"/>
                  </w:tcBorders>
                  <w:noWrap w:val="0"/>
                  <w:vAlign w:val="center"/>
                </w:tcPr>
                <w:p w14:paraId="4C589476">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position w:val="0"/>
                      <w:sz w:val="21"/>
                      <w:szCs w:val="21"/>
                      <w:highlight w:val="none"/>
                    </w:rPr>
                  </w:pPr>
                </w:p>
              </w:tc>
              <w:tc>
                <w:tcPr>
                  <w:tcW w:w="825" w:type="dxa"/>
                  <w:tcBorders>
                    <w:tl2br w:val="nil"/>
                    <w:tr2bl w:val="nil"/>
                  </w:tcBorders>
                  <w:noWrap w:val="0"/>
                  <w:vAlign w:val="center"/>
                </w:tcPr>
                <w:p w14:paraId="106581BF">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highlight w:val="none"/>
                      <w:lang w:val="en-US" w:eastAsia="zh-CN"/>
                    </w:rPr>
                  </w:pPr>
                </w:p>
              </w:tc>
              <w:tc>
                <w:tcPr>
                  <w:tcW w:w="988" w:type="dxa"/>
                  <w:tcBorders>
                    <w:tl2br w:val="nil"/>
                    <w:tr2bl w:val="nil"/>
                  </w:tcBorders>
                  <w:noWrap w:val="0"/>
                  <w:vAlign w:val="center"/>
                </w:tcPr>
                <w:p w14:paraId="771AC9BC">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kern w:val="0"/>
                      <w:position w:val="0"/>
                      <w:sz w:val="21"/>
                      <w:szCs w:val="21"/>
                      <w:highlight w:val="none"/>
                      <w:lang w:bidi="ar"/>
                    </w:rPr>
                  </w:pPr>
                </w:p>
              </w:tc>
              <w:tc>
                <w:tcPr>
                  <w:tcW w:w="810" w:type="dxa"/>
                  <w:tcBorders>
                    <w:tl2br w:val="nil"/>
                    <w:tr2bl w:val="nil"/>
                  </w:tcBorders>
                  <w:noWrap w:val="0"/>
                  <w:vAlign w:val="center"/>
                </w:tcPr>
                <w:p w14:paraId="6BC6F57C">
                  <w:pPr>
                    <w:keepNext w:val="0"/>
                    <w:keepLines w:val="0"/>
                    <w:widowControl/>
                    <w:suppressLineNumbers w:val="0"/>
                    <w:jc w:val="center"/>
                    <w:textAlignment w:val="center"/>
                    <w:rPr>
                      <w:rFonts w:ascii="Times New Roman" w:hAnsi="Times New Roman" w:eastAsia="宋体" w:cs="Times New Roman"/>
                      <w:color w:val="auto"/>
                      <w:spacing w:val="0"/>
                      <w:position w:val="0"/>
                      <w:sz w:val="21"/>
                      <w:szCs w:val="21"/>
                      <w:highlight w:val="none"/>
                      <w:lang w:bidi="ar"/>
                    </w:rPr>
                  </w:pPr>
                </w:p>
              </w:tc>
              <w:tc>
                <w:tcPr>
                  <w:tcW w:w="898" w:type="dxa"/>
                  <w:tcBorders>
                    <w:tl2br w:val="nil"/>
                    <w:tr2bl w:val="nil"/>
                  </w:tcBorders>
                  <w:noWrap w:val="0"/>
                  <w:vAlign w:val="center"/>
                </w:tcPr>
                <w:p w14:paraId="38F7E465">
                  <w:pPr>
                    <w:keepNext w:val="0"/>
                    <w:keepLines w:val="0"/>
                    <w:widowControl/>
                    <w:suppressLineNumbers w:val="0"/>
                    <w:jc w:val="center"/>
                    <w:textAlignment w:val="center"/>
                    <w:rPr>
                      <w:rFonts w:hint="default" w:cs="Times New Roman"/>
                      <w:color w:val="auto"/>
                      <w:spacing w:val="0"/>
                      <w:position w:val="0"/>
                      <w:sz w:val="21"/>
                      <w:szCs w:val="21"/>
                      <w:highlight w:val="none"/>
                      <w:lang w:val="en-US" w:eastAsia="zh-CN" w:bidi="ar"/>
                    </w:rPr>
                  </w:pPr>
                </w:p>
              </w:tc>
              <w:tc>
                <w:tcPr>
                  <w:tcW w:w="856" w:type="dxa"/>
                  <w:tcBorders>
                    <w:tl2br w:val="nil"/>
                    <w:tr2bl w:val="nil"/>
                  </w:tcBorders>
                  <w:noWrap w:val="0"/>
                  <w:vAlign w:val="center"/>
                </w:tcPr>
                <w:p w14:paraId="47E5C91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5E8245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dxa"/>
                  <w:vMerge w:val="continue"/>
                  <w:tcBorders>
                    <w:tl2br w:val="nil"/>
                    <w:tr2bl w:val="nil"/>
                  </w:tcBorders>
                  <w:noWrap w:val="0"/>
                  <w:vAlign w:val="center"/>
                </w:tcPr>
                <w:p w14:paraId="567F8C3E">
                  <w:pPr>
                    <w:pStyle w:val="37"/>
                    <w:spacing w:after="0" w:line="240" w:lineRule="auto"/>
                    <w:ind w:left="0" w:leftChars="0" w:firstLine="0" w:firstLineChars="0"/>
                    <w:jc w:val="center"/>
                    <w:rPr>
                      <w:rFonts w:ascii="Times New Roman" w:hAnsi="Times New Roman" w:eastAsia="宋体" w:cs="Times New Roman"/>
                      <w:color w:val="auto"/>
                      <w:spacing w:val="0"/>
                      <w:position w:val="0"/>
                      <w:sz w:val="21"/>
                      <w:szCs w:val="21"/>
                      <w:highlight w:val="none"/>
                    </w:rPr>
                  </w:pPr>
                </w:p>
              </w:tc>
              <w:tc>
                <w:tcPr>
                  <w:tcW w:w="737" w:type="dxa"/>
                  <w:tcBorders>
                    <w:tl2br w:val="nil"/>
                    <w:tr2bl w:val="nil"/>
                  </w:tcBorders>
                  <w:noWrap w:val="0"/>
                  <w:vAlign w:val="center"/>
                </w:tcPr>
                <w:p w14:paraId="4F765F63">
                  <w:pPr>
                    <w:pStyle w:val="37"/>
                    <w:spacing w:after="0" w:line="240" w:lineRule="auto"/>
                    <w:ind w:left="0" w:leftChars="0" w:firstLine="0" w:firstLineChars="0"/>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总磷</w:t>
                  </w:r>
                </w:p>
              </w:tc>
              <w:tc>
                <w:tcPr>
                  <w:tcW w:w="973" w:type="dxa"/>
                  <w:tcBorders>
                    <w:tl2br w:val="nil"/>
                    <w:tr2bl w:val="nil"/>
                  </w:tcBorders>
                  <w:noWrap w:val="0"/>
                  <w:vAlign w:val="center"/>
                </w:tcPr>
                <w:p w14:paraId="51243ABC">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position w:val="0"/>
                      <w:sz w:val="21"/>
                      <w:szCs w:val="21"/>
                      <w:highlight w:val="none"/>
                    </w:rPr>
                  </w:pPr>
                </w:p>
              </w:tc>
              <w:tc>
                <w:tcPr>
                  <w:tcW w:w="825" w:type="dxa"/>
                  <w:tcBorders>
                    <w:tl2br w:val="nil"/>
                    <w:tr2bl w:val="nil"/>
                  </w:tcBorders>
                  <w:noWrap w:val="0"/>
                  <w:vAlign w:val="center"/>
                </w:tcPr>
                <w:p w14:paraId="1A7C8A69">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highlight w:val="none"/>
                      <w:lang w:val="en-US" w:eastAsia="zh-CN" w:bidi="ar"/>
                    </w:rPr>
                  </w:pPr>
                </w:p>
              </w:tc>
              <w:tc>
                <w:tcPr>
                  <w:tcW w:w="988" w:type="dxa"/>
                  <w:tcBorders>
                    <w:tl2br w:val="nil"/>
                    <w:tr2bl w:val="nil"/>
                  </w:tcBorders>
                  <w:noWrap w:val="0"/>
                  <w:vAlign w:val="center"/>
                </w:tcPr>
                <w:p w14:paraId="6EDF0EA2">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kern w:val="0"/>
                      <w:position w:val="0"/>
                      <w:sz w:val="21"/>
                      <w:szCs w:val="21"/>
                      <w:highlight w:val="none"/>
                      <w:lang w:bidi="ar"/>
                    </w:rPr>
                  </w:pPr>
                </w:p>
              </w:tc>
              <w:tc>
                <w:tcPr>
                  <w:tcW w:w="810" w:type="dxa"/>
                  <w:tcBorders>
                    <w:tl2br w:val="nil"/>
                    <w:tr2bl w:val="nil"/>
                  </w:tcBorders>
                  <w:noWrap w:val="0"/>
                  <w:vAlign w:val="center"/>
                </w:tcPr>
                <w:p w14:paraId="38C43748">
                  <w:pPr>
                    <w:keepNext w:val="0"/>
                    <w:keepLines w:val="0"/>
                    <w:widowControl/>
                    <w:suppressLineNumbers w:val="0"/>
                    <w:jc w:val="center"/>
                    <w:textAlignment w:val="center"/>
                    <w:rPr>
                      <w:rFonts w:ascii="Times New Roman" w:hAnsi="Times New Roman" w:eastAsia="宋体" w:cs="Times New Roman"/>
                      <w:color w:val="auto"/>
                      <w:spacing w:val="0"/>
                      <w:position w:val="0"/>
                      <w:sz w:val="21"/>
                      <w:szCs w:val="21"/>
                      <w:highlight w:val="none"/>
                      <w:lang w:bidi="ar"/>
                    </w:rPr>
                  </w:pPr>
                </w:p>
              </w:tc>
              <w:tc>
                <w:tcPr>
                  <w:tcW w:w="898" w:type="dxa"/>
                  <w:tcBorders>
                    <w:tl2br w:val="nil"/>
                    <w:tr2bl w:val="nil"/>
                  </w:tcBorders>
                  <w:noWrap w:val="0"/>
                  <w:vAlign w:val="center"/>
                </w:tcPr>
                <w:p w14:paraId="3F2BF7CA">
                  <w:pPr>
                    <w:keepNext w:val="0"/>
                    <w:keepLines w:val="0"/>
                    <w:widowControl/>
                    <w:suppressLineNumbers w:val="0"/>
                    <w:jc w:val="center"/>
                    <w:textAlignment w:val="center"/>
                    <w:rPr>
                      <w:rFonts w:hint="default" w:cs="Times New Roman"/>
                      <w:color w:val="auto"/>
                      <w:spacing w:val="0"/>
                      <w:position w:val="0"/>
                      <w:sz w:val="21"/>
                      <w:szCs w:val="21"/>
                      <w:highlight w:val="none"/>
                      <w:lang w:val="en-US" w:eastAsia="zh-CN" w:bidi="ar"/>
                    </w:rPr>
                  </w:pPr>
                </w:p>
              </w:tc>
              <w:tc>
                <w:tcPr>
                  <w:tcW w:w="856" w:type="dxa"/>
                  <w:tcBorders>
                    <w:tl2br w:val="nil"/>
                    <w:tr2bl w:val="nil"/>
                  </w:tcBorders>
                  <w:noWrap w:val="0"/>
                  <w:vAlign w:val="center"/>
                </w:tcPr>
                <w:p w14:paraId="3A7E455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bl>
          <w:p w14:paraId="255C29F5">
            <w:pPr>
              <w:pStyle w:val="28"/>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360" w:lineRule="auto"/>
              <w:ind w:left="0" w:leftChars="0" w:firstLine="482" w:firstLineChars="200"/>
              <w:textAlignment w:val="auto"/>
              <w:rPr>
                <w:rFonts w:hint="default" w:ascii="Times New Roman" w:hAnsi="Times New Roman" w:eastAsia="宋体" w:cs="Times New Roman"/>
                <w:color w:val="auto"/>
                <w:spacing w:val="0"/>
                <w:highlight w:val="none"/>
              </w:rPr>
            </w:pPr>
            <w:r>
              <w:rPr>
                <w:rFonts w:hint="default" w:ascii="Times New Roman" w:hAnsi="Times New Roman" w:eastAsia="宋体" w:cs="Times New Roman"/>
                <w:b/>
                <w:bCs/>
                <w:color w:val="auto"/>
                <w:spacing w:val="0"/>
                <w:kern w:val="2"/>
                <w:sz w:val="24"/>
                <w:szCs w:val="24"/>
                <w:highlight w:val="none"/>
                <w:lang w:val="en-US" w:eastAsia="zh-CN" w:bidi="ar-SA"/>
              </w:rPr>
              <w:t>（2）</w:t>
            </w:r>
            <w:r>
              <w:rPr>
                <w:rFonts w:hint="default" w:ascii="Times New Roman" w:hAnsi="Times New Roman" w:eastAsia="宋体" w:cs="Times New Roman"/>
                <w:b/>
                <w:bCs w:val="0"/>
                <w:color w:val="auto"/>
                <w:spacing w:val="0"/>
                <w:sz w:val="24"/>
                <w:szCs w:val="24"/>
                <w:highlight w:val="none"/>
              </w:rPr>
              <w:t>废</w:t>
            </w:r>
            <w:r>
              <w:rPr>
                <w:rFonts w:hint="default" w:ascii="Times New Roman" w:hAnsi="Times New Roman" w:eastAsia="宋体" w:cs="Times New Roman"/>
                <w:b/>
                <w:bCs w:val="0"/>
                <w:color w:val="auto"/>
                <w:spacing w:val="0"/>
                <w:sz w:val="24"/>
                <w:highlight w:val="none"/>
              </w:rPr>
              <w:t>气</w:t>
            </w:r>
          </w:p>
          <w:p w14:paraId="68E9DE61">
            <w:pPr>
              <w:pStyle w:val="24"/>
              <w:pageBreakBefore w:val="0"/>
              <w:widowControl w:val="0"/>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rPr>
                <w:rFonts w:hint="default" w:ascii="Times New Roman" w:hAnsi="Times New Roman" w:eastAsia="宋体" w:cs="Times New Roman"/>
                <w:color w:val="auto"/>
                <w:spacing w:val="0"/>
                <w:sz w:val="24"/>
                <w:szCs w:val="24"/>
                <w:highlight w:val="none"/>
                <w:lang w:val="en-US" w:eastAsia="zh-CN" w:bidi="ar"/>
              </w:rPr>
            </w:pPr>
            <w:r>
              <w:rPr>
                <w:rFonts w:hint="default" w:ascii="Times New Roman" w:hAnsi="Times New Roman" w:eastAsia="宋体" w:cs="Times New Roman"/>
                <w:b/>
                <w:bCs/>
                <w:color w:val="auto"/>
                <w:spacing w:val="0"/>
                <w:sz w:val="24"/>
                <w:szCs w:val="24"/>
                <w:highlight w:val="none"/>
                <w:lang w:bidi="ar"/>
              </w:rPr>
              <w:t>①</w:t>
            </w:r>
            <w:r>
              <w:rPr>
                <w:rFonts w:hint="eastAsia" w:ascii="Times New Roman" w:hAnsi="Times New Roman" w:cs="Times New Roman"/>
                <w:b/>
                <w:bCs/>
                <w:color w:val="auto"/>
                <w:spacing w:val="0"/>
                <w:sz w:val="24"/>
                <w:szCs w:val="24"/>
                <w:highlight w:val="none"/>
                <w:lang w:val="en-US" w:eastAsia="zh-CN" w:bidi="ar"/>
              </w:rPr>
              <w:t>有组织废气</w:t>
            </w:r>
          </w:p>
          <w:p w14:paraId="1D029047">
            <w:pPr>
              <w:pageBreakBefore w:val="0"/>
              <w:kinsoku/>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迁建前，现有工程废气主要来源于</w:t>
            </w:r>
            <w:r>
              <w:rPr>
                <w:rFonts w:hint="eastAsia" w:cs="Times New Roman"/>
                <w:color w:val="auto"/>
                <w:sz w:val="24"/>
                <w:highlight w:val="none"/>
                <w:lang w:val="en-US" w:eastAsia="zh-CN"/>
              </w:rPr>
              <w:t>调漆、喷漆、晾干</w:t>
            </w:r>
            <w:r>
              <w:rPr>
                <w:rFonts w:hint="eastAsia" w:ascii="Times New Roman" w:hAnsi="Times New Roman" w:eastAsia="宋体" w:cs="Times New Roman"/>
                <w:color w:val="auto"/>
                <w:sz w:val="24"/>
                <w:highlight w:val="none"/>
                <w:lang w:val="en-US" w:eastAsia="zh-CN"/>
              </w:rPr>
              <w:t>废气</w:t>
            </w:r>
            <w:r>
              <w:rPr>
                <w:rFonts w:hint="eastAsia" w:cs="Times New Roman"/>
                <w:color w:val="auto"/>
                <w:sz w:val="24"/>
                <w:highlight w:val="none"/>
                <w:lang w:val="en-US" w:eastAsia="zh-CN"/>
              </w:rPr>
              <w:t>及打印废气</w:t>
            </w:r>
            <w:r>
              <w:rPr>
                <w:rFonts w:hint="eastAsia" w:ascii="Times New Roman" w:hAnsi="Times New Roman" w:eastAsia="宋体" w:cs="Times New Roman"/>
                <w:color w:val="auto"/>
                <w:sz w:val="24"/>
                <w:highlight w:val="none"/>
                <w:lang w:val="en-US" w:eastAsia="zh-CN"/>
              </w:rPr>
              <w:t>。</w:t>
            </w:r>
          </w:p>
          <w:p w14:paraId="3AA48547">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现有工程</w:t>
            </w:r>
            <w:r>
              <w:rPr>
                <w:rFonts w:hint="eastAsia" w:ascii="Times New Roman" w:hAnsi="Times New Roman" w:eastAsia="宋体" w:cs="Times New Roman"/>
                <w:color w:val="auto"/>
                <w:sz w:val="24"/>
                <w:highlight w:val="none"/>
              </w:rPr>
              <w:t>生产</w:t>
            </w:r>
            <w:r>
              <w:rPr>
                <w:rFonts w:hint="eastAsia" w:ascii="Times New Roman" w:hAnsi="Times New Roman" w:eastAsia="宋体" w:cs="Times New Roman"/>
                <w:color w:val="auto"/>
                <w:sz w:val="24"/>
                <w:highlight w:val="none"/>
                <w:lang w:val="en-US" w:eastAsia="zh-CN"/>
              </w:rPr>
              <w:t>车间密闭</w:t>
            </w: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调漆、喷漆、晾干</w:t>
            </w:r>
            <w:r>
              <w:rPr>
                <w:rFonts w:hint="eastAsia" w:ascii="Times New Roman" w:hAnsi="Times New Roman" w:eastAsia="宋体" w:cs="Times New Roman"/>
                <w:color w:val="auto"/>
                <w:sz w:val="24"/>
                <w:highlight w:val="none"/>
                <w:lang w:val="en-US" w:eastAsia="zh-CN"/>
              </w:rPr>
              <w:t>废气</w:t>
            </w:r>
            <w:r>
              <w:rPr>
                <w:rFonts w:hint="eastAsia" w:cs="Times New Roman"/>
                <w:color w:val="auto"/>
                <w:sz w:val="24"/>
                <w:highlight w:val="none"/>
                <w:lang w:val="en-US" w:eastAsia="zh-CN"/>
              </w:rPr>
              <w:t>收集后与打印废气一起</w:t>
            </w:r>
            <w:r>
              <w:rPr>
                <w:rFonts w:hint="eastAsia" w:ascii="Times New Roman" w:hAnsi="Times New Roman" w:eastAsia="宋体" w:cs="Times New Roman"/>
                <w:color w:val="auto"/>
                <w:sz w:val="24"/>
                <w:highlight w:val="none"/>
                <w:lang w:val="en-US" w:eastAsia="zh-CN"/>
              </w:rPr>
              <w:t>经一套</w:t>
            </w:r>
            <w:r>
              <w:rPr>
                <w:rFonts w:hint="eastAsia" w:cs="Times New Roman"/>
                <w:color w:val="auto"/>
                <w:sz w:val="24"/>
                <w:highlight w:val="none"/>
                <w:lang w:val="en-US" w:eastAsia="zh-CN"/>
              </w:rPr>
              <w:t>喷淋塔+UV光氧催化+</w:t>
            </w:r>
            <w:r>
              <w:rPr>
                <w:rFonts w:hint="eastAsia" w:ascii="Times New Roman" w:hAnsi="Times New Roman" w:eastAsia="宋体" w:cs="Times New Roman"/>
                <w:color w:val="auto"/>
                <w:sz w:val="24"/>
                <w:highlight w:val="none"/>
                <w:lang w:val="en-US" w:eastAsia="zh-CN"/>
              </w:rPr>
              <w:t>活性炭吸附装置设施处理后通过一根</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m高排气筒（P1）排放</w:t>
            </w:r>
            <w:r>
              <w:rPr>
                <w:rFonts w:hint="eastAsia" w:cs="Times New Roman"/>
                <w:color w:val="auto"/>
                <w:sz w:val="24"/>
                <w:highlight w:val="none"/>
                <w:lang w:val="en-US" w:eastAsia="zh-CN"/>
              </w:rPr>
              <w:t>，工作时间2400h/a</w:t>
            </w:r>
            <w:r>
              <w:rPr>
                <w:rFonts w:hint="eastAsia" w:ascii="Times New Roman" w:hAnsi="Times New Roman" w:eastAsia="宋体" w:cs="Times New Roman"/>
                <w:color w:val="auto"/>
                <w:sz w:val="24"/>
                <w:highlight w:val="none"/>
              </w:rPr>
              <w:t>。</w:t>
            </w:r>
          </w:p>
          <w:p w14:paraId="39898E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lang w:bidi="ar"/>
              </w:rPr>
            </w:pPr>
            <w:r>
              <w:rPr>
                <w:rFonts w:hint="eastAsia" w:ascii="Times New Roman" w:hAnsi="Times New Roman" w:eastAsia="宋体" w:cs="Times New Roman"/>
                <w:color w:val="auto"/>
                <w:sz w:val="24"/>
                <w:highlight w:val="none"/>
                <w:lang w:val="en-US" w:eastAsia="zh-CN"/>
              </w:rPr>
              <w:t>根据验收报告，迁建前</w:t>
            </w:r>
            <w:r>
              <w:rPr>
                <w:rFonts w:hint="eastAsia" w:cs="Times New Roman"/>
                <w:color w:val="auto"/>
                <w:sz w:val="24"/>
                <w:highlight w:val="none"/>
                <w:lang w:val="en-US" w:eastAsia="zh-CN"/>
              </w:rPr>
              <w:t>有组织废气</w:t>
            </w:r>
            <w:r>
              <w:rPr>
                <w:rFonts w:hint="eastAsia" w:ascii="Times New Roman" w:hAnsi="Times New Roman" w:eastAsia="宋体" w:cs="Times New Roman"/>
                <w:color w:val="auto"/>
                <w:sz w:val="24"/>
                <w:highlight w:val="none"/>
                <w:lang w:val="en-US" w:eastAsia="zh-CN"/>
              </w:rPr>
              <w:t>监测结果详见表2.9</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-3</w:t>
            </w:r>
            <w:r>
              <w:rPr>
                <w:rFonts w:hint="eastAsia" w:cs="Times New Roman"/>
                <w:color w:val="auto"/>
                <w:spacing w:val="0"/>
                <w:sz w:val="24"/>
                <w:szCs w:val="24"/>
                <w:highlight w:val="none"/>
                <w:vertAlign w:val="baseline"/>
                <w:lang w:val="en-US" w:eastAsia="zh-CN" w:bidi="ar"/>
              </w:rPr>
              <w:t>。</w:t>
            </w:r>
          </w:p>
          <w:p w14:paraId="0B1188E2">
            <w:pPr>
              <w:pStyle w:val="2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表2.</w:t>
            </w:r>
            <w:r>
              <w:rPr>
                <w:rFonts w:hint="eastAsia" w:ascii="Times New Roman" w:hAnsi="Times New Roman" w:eastAsia="宋体" w:cs="Times New Roman"/>
                <w:b/>
                <w:bCs/>
                <w:color w:val="auto"/>
                <w:spacing w:val="0"/>
                <w:sz w:val="24"/>
                <w:szCs w:val="24"/>
                <w:highlight w:val="none"/>
                <w:lang w:val="en-US" w:eastAsia="zh-CN"/>
              </w:rPr>
              <w:t>9.2-</w:t>
            </w:r>
            <w:r>
              <w:rPr>
                <w:rFonts w:hint="eastAsia" w:cs="Times New Roman"/>
                <w:b/>
                <w:bCs/>
                <w:color w:val="auto"/>
                <w:spacing w:val="0"/>
                <w:sz w:val="24"/>
                <w:szCs w:val="24"/>
                <w:highlight w:val="none"/>
                <w:lang w:val="en-US" w:eastAsia="zh-CN"/>
              </w:rPr>
              <w:t>3</w:t>
            </w:r>
            <w:r>
              <w:rPr>
                <w:rFonts w:hint="default" w:ascii="Times New Roman" w:hAnsi="Times New Roman" w:eastAsia="宋体" w:cs="Times New Roman"/>
                <w:b/>
                <w:bCs/>
                <w:color w:val="auto"/>
                <w:spacing w:val="0"/>
                <w:sz w:val="24"/>
                <w:szCs w:val="24"/>
                <w:highlight w:val="none"/>
                <w:lang w:val="en-US" w:eastAsia="zh-CN"/>
              </w:rPr>
              <w:t xml:space="preserve"> </w:t>
            </w:r>
            <w:r>
              <w:rPr>
                <w:rFonts w:hint="eastAsia" w:ascii="Times New Roman" w:hAnsi="Times New Roman" w:eastAsia="宋体" w:cs="Times New Roman"/>
                <w:b/>
                <w:bCs/>
                <w:color w:val="auto"/>
                <w:spacing w:val="0"/>
                <w:sz w:val="24"/>
                <w:szCs w:val="24"/>
                <w:highlight w:val="none"/>
                <w:lang w:val="en-US" w:eastAsia="zh-CN"/>
              </w:rPr>
              <w:t xml:space="preserve"> </w:t>
            </w:r>
            <w:r>
              <w:rPr>
                <w:rFonts w:hint="eastAsia" w:cs="Times New Roman"/>
                <w:b/>
                <w:bCs/>
                <w:color w:val="auto"/>
                <w:spacing w:val="0"/>
                <w:sz w:val="24"/>
                <w:szCs w:val="24"/>
                <w:highlight w:val="none"/>
                <w:lang w:val="en-US" w:eastAsia="zh-CN"/>
              </w:rPr>
              <w:t>现有工程有组织废气检测结果一览表</w:t>
            </w:r>
          </w:p>
          <w:tbl>
            <w:tblPr>
              <w:tblStyle w:val="3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6"/>
              <w:gridCol w:w="800"/>
              <w:gridCol w:w="653"/>
              <w:gridCol w:w="1796"/>
              <w:gridCol w:w="1225"/>
              <w:gridCol w:w="1192"/>
              <w:gridCol w:w="1192"/>
              <w:gridCol w:w="1160"/>
            </w:tblGrid>
            <w:tr w14:paraId="430AF6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restart"/>
                  <w:tcBorders>
                    <w:tl2br w:val="nil"/>
                    <w:tr2bl w:val="nil"/>
                  </w:tcBorders>
                  <w:noWrap w:val="0"/>
                  <w:vAlign w:val="center"/>
                </w:tcPr>
                <w:p w14:paraId="5BA44B7D">
                  <w:pPr>
                    <w:jc w:val="center"/>
                    <w:rPr>
                      <w:rFonts w:hint="default" w:ascii="Times New Roman" w:hAnsi="Times New Roman" w:eastAsia="宋体" w:cs="Times New Roman"/>
                      <w:b/>
                      <w:bCs/>
                      <w:color w:val="auto"/>
                      <w:spacing w:val="0"/>
                      <w:highlight w:val="none"/>
                      <w:vertAlign w:val="baseline"/>
                      <w:lang w:val="en-US" w:eastAsia="zh-CN"/>
                    </w:rPr>
                  </w:pPr>
                  <w:r>
                    <w:rPr>
                      <w:rFonts w:hint="eastAsia" w:ascii="Times New Roman" w:hAnsi="Times New Roman" w:eastAsia="宋体" w:cs="Times New Roman"/>
                      <w:b/>
                      <w:bCs/>
                      <w:color w:val="auto"/>
                      <w:spacing w:val="0"/>
                      <w:highlight w:val="none"/>
                      <w:vertAlign w:val="baseline"/>
                      <w:lang w:val="en-US" w:eastAsia="zh-CN"/>
                    </w:rPr>
                    <w:t>采样</w:t>
                  </w:r>
                  <w:r>
                    <w:rPr>
                      <w:rFonts w:hint="default" w:ascii="Times New Roman" w:hAnsi="Times New Roman" w:eastAsia="宋体" w:cs="Times New Roman"/>
                      <w:b/>
                      <w:bCs/>
                      <w:color w:val="auto"/>
                      <w:spacing w:val="0"/>
                      <w:highlight w:val="none"/>
                      <w:vertAlign w:val="baseline"/>
                      <w:lang w:val="en-US" w:eastAsia="zh-CN"/>
                    </w:rPr>
                    <w:t>日期</w:t>
                  </w:r>
                </w:p>
              </w:tc>
              <w:tc>
                <w:tcPr>
                  <w:tcW w:w="800" w:type="dxa"/>
                  <w:vMerge w:val="restart"/>
                  <w:tcBorders>
                    <w:tl2br w:val="nil"/>
                    <w:tr2bl w:val="nil"/>
                  </w:tcBorders>
                  <w:noWrap w:val="0"/>
                  <w:vAlign w:val="center"/>
                </w:tcPr>
                <w:p w14:paraId="6890DB30">
                  <w:pPr>
                    <w:jc w:val="center"/>
                    <w:rPr>
                      <w:rFonts w:hint="default" w:ascii="Times New Roman" w:hAnsi="Times New Roman" w:eastAsia="宋体" w:cs="Times New Roman"/>
                      <w:b/>
                      <w:bCs/>
                      <w:color w:val="auto"/>
                      <w:spacing w:val="0"/>
                      <w:highlight w:val="none"/>
                      <w:vertAlign w:val="baseline"/>
                      <w:lang w:val="en-US" w:eastAsia="zh-CN"/>
                    </w:rPr>
                  </w:pPr>
                  <w:r>
                    <w:rPr>
                      <w:rFonts w:hint="default" w:ascii="Times New Roman" w:hAnsi="Times New Roman" w:eastAsia="宋体" w:cs="Times New Roman"/>
                      <w:b/>
                      <w:bCs/>
                      <w:color w:val="auto"/>
                      <w:spacing w:val="0"/>
                      <w:highlight w:val="none"/>
                      <w:vertAlign w:val="baseline"/>
                      <w:lang w:val="en-US" w:eastAsia="zh-CN"/>
                    </w:rPr>
                    <w:t>检测</w:t>
                  </w:r>
                </w:p>
                <w:p w14:paraId="303E77DB">
                  <w:pPr>
                    <w:jc w:val="center"/>
                    <w:rPr>
                      <w:rFonts w:hint="default" w:ascii="Times New Roman" w:hAnsi="Times New Roman" w:eastAsia="宋体" w:cs="Times New Roman"/>
                      <w:b/>
                      <w:bCs/>
                      <w:color w:val="auto"/>
                      <w:spacing w:val="0"/>
                      <w:highlight w:val="none"/>
                      <w:vertAlign w:val="baseline"/>
                      <w:lang w:val="en-US" w:eastAsia="zh-CN"/>
                    </w:rPr>
                  </w:pPr>
                  <w:r>
                    <w:rPr>
                      <w:rFonts w:hint="default" w:ascii="Times New Roman" w:hAnsi="Times New Roman" w:eastAsia="宋体" w:cs="Times New Roman"/>
                      <w:b/>
                      <w:bCs/>
                      <w:color w:val="auto"/>
                      <w:spacing w:val="0"/>
                      <w:highlight w:val="none"/>
                      <w:vertAlign w:val="baseline"/>
                      <w:lang w:val="en-US" w:eastAsia="zh-CN"/>
                    </w:rPr>
                    <w:t>点位</w:t>
                  </w:r>
                </w:p>
              </w:tc>
              <w:tc>
                <w:tcPr>
                  <w:tcW w:w="2449" w:type="dxa"/>
                  <w:gridSpan w:val="2"/>
                  <w:vMerge w:val="restart"/>
                  <w:tcBorders>
                    <w:tl2br w:val="nil"/>
                    <w:tr2bl w:val="nil"/>
                  </w:tcBorders>
                  <w:noWrap w:val="0"/>
                  <w:vAlign w:val="center"/>
                </w:tcPr>
                <w:p w14:paraId="119EB8FC">
                  <w:pPr>
                    <w:jc w:val="center"/>
                    <w:rPr>
                      <w:rFonts w:hint="default" w:ascii="Times New Roman" w:hAnsi="Times New Roman" w:eastAsia="宋体" w:cs="Times New Roman"/>
                      <w:b/>
                      <w:bCs/>
                      <w:color w:val="auto"/>
                      <w:spacing w:val="0"/>
                      <w:highlight w:val="none"/>
                      <w:vertAlign w:val="baseline"/>
                      <w:lang w:val="en-US" w:eastAsia="zh-CN"/>
                    </w:rPr>
                  </w:pPr>
                  <w:r>
                    <w:rPr>
                      <w:rFonts w:hint="eastAsia" w:ascii="Times New Roman" w:hAnsi="Times New Roman" w:eastAsia="宋体" w:cs="Times New Roman"/>
                      <w:b/>
                      <w:bCs/>
                      <w:color w:val="auto"/>
                      <w:spacing w:val="0"/>
                      <w:highlight w:val="none"/>
                      <w:vertAlign w:val="baseline"/>
                      <w:lang w:val="en-US" w:eastAsia="zh-CN"/>
                    </w:rPr>
                    <w:t>检测项目</w:t>
                  </w:r>
                </w:p>
              </w:tc>
              <w:tc>
                <w:tcPr>
                  <w:tcW w:w="4769" w:type="dxa"/>
                  <w:gridSpan w:val="4"/>
                  <w:tcBorders>
                    <w:tl2br w:val="nil"/>
                    <w:tr2bl w:val="nil"/>
                  </w:tcBorders>
                  <w:noWrap w:val="0"/>
                  <w:vAlign w:val="center"/>
                </w:tcPr>
                <w:p w14:paraId="410A897D">
                  <w:pPr>
                    <w:jc w:val="center"/>
                    <w:rPr>
                      <w:rFonts w:hint="default" w:ascii="Times New Roman" w:hAnsi="Times New Roman" w:eastAsia="宋体" w:cs="Times New Roman"/>
                      <w:b/>
                      <w:bCs/>
                      <w:color w:val="auto"/>
                      <w:spacing w:val="0"/>
                      <w:highlight w:val="none"/>
                      <w:vertAlign w:val="baseline"/>
                      <w:lang w:val="en-US" w:eastAsia="zh-CN"/>
                    </w:rPr>
                  </w:pPr>
                  <w:r>
                    <w:rPr>
                      <w:rFonts w:hint="default" w:ascii="Times New Roman" w:hAnsi="Times New Roman" w:eastAsia="宋体" w:cs="Times New Roman"/>
                      <w:b/>
                      <w:bCs/>
                      <w:color w:val="auto"/>
                      <w:spacing w:val="0"/>
                      <w:highlight w:val="none"/>
                      <w:vertAlign w:val="baseline"/>
                      <w:lang w:val="en-US" w:eastAsia="zh-CN"/>
                    </w:rPr>
                    <w:t>检测结果（</w:t>
                  </w:r>
                  <w:r>
                    <w:rPr>
                      <w:rFonts w:hint="default" w:ascii="Times New Roman" w:hAnsi="Times New Roman" w:eastAsia="宋体" w:cs="Times New Roman"/>
                      <w:b/>
                      <w:bCs/>
                      <w:color w:val="auto"/>
                      <w:spacing w:val="0"/>
                      <w:szCs w:val="21"/>
                      <w:highlight w:val="none"/>
                    </w:rPr>
                    <w:t>mg/m</w:t>
                  </w:r>
                  <w:r>
                    <w:rPr>
                      <w:rFonts w:hint="default" w:ascii="Times New Roman" w:hAnsi="Times New Roman" w:eastAsia="宋体" w:cs="Times New Roman"/>
                      <w:b/>
                      <w:bCs/>
                      <w:color w:val="auto"/>
                      <w:spacing w:val="0"/>
                      <w:szCs w:val="21"/>
                      <w:highlight w:val="none"/>
                      <w:vertAlign w:val="superscript"/>
                    </w:rPr>
                    <w:t>3</w:t>
                  </w:r>
                  <w:r>
                    <w:rPr>
                      <w:rFonts w:hint="default" w:ascii="Times New Roman" w:hAnsi="Times New Roman" w:eastAsia="宋体" w:cs="Times New Roman"/>
                      <w:b/>
                      <w:bCs/>
                      <w:color w:val="auto"/>
                      <w:spacing w:val="0"/>
                      <w:highlight w:val="none"/>
                      <w:vertAlign w:val="baseline"/>
                      <w:lang w:val="en-US" w:eastAsia="zh-CN"/>
                    </w:rPr>
                    <w:t>）</w:t>
                  </w:r>
                </w:p>
              </w:tc>
            </w:tr>
            <w:tr w14:paraId="277520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506284A5">
                  <w:pPr>
                    <w:jc w:val="center"/>
                    <w:rPr>
                      <w:rFonts w:hint="default" w:ascii="Times New Roman" w:hAnsi="Times New Roman" w:eastAsia="宋体" w:cs="Times New Roman"/>
                      <w:b/>
                      <w:bCs/>
                      <w:color w:val="auto"/>
                      <w:spacing w:val="0"/>
                      <w:highlight w:val="none"/>
                      <w:vertAlign w:val="baseline"/>
                      <w:lang w:val="en-US" w:eastAsia="zh-CN"/>
                    </w:rPr>
                  </w:pPr>
                </w:p>
              </w:tc>
              <w:tc>
                <w:tcPr>
                  <w:tcW w:w="800" w:type="dxa"/>
                  <w:vMerge w:val="continue"/>
                  <w:tcBorders>
                    <w:tl2br w:val="nil"/>
                    <w:tr2bl w:val="nil"/>
                  </w:tcBorders>
                  <w:noWrap w:val="0"/>
                  <w:vAlign w:val="center"/>
                </w:tcPr>
                <w:p w14:paraId="1BE35FA7">
                  <w:pPr>
                    <w:jc w:val="center"/>
                    <w:rPr>
                      <w:rFonts w:hint="default" w:ascii="Times New Roman" w:hAnsi="Times New Roman" w:eastAsia="宋体" w:cs="Times New Roman"/>
                      <w:b/>
                      <w:bCs/>
                      <w:color w:val="auto"/>
                      <w:spacing w:val="0"/>
                      <w:highlight w:val="none"/>
                      <w:vertAlign w:val="baseline"/>
                      <w:lang w:val="en-US" w:eastAsia="zh-CN"/>
                    </w:rPr>
                  </w:pPr>
                </w:p>
              </w:tc>
              <w:tc>
                <w:tcPr>
                  <w:tcW w:w="2449" w:type="dxa"/>
                  <w:gridSpan w:val="2"/>
                  <w:vMerge w:val="continue"/>
                  <w:tcBorders>
                    <w:tl2br w:val="nil"/>
                    <w:tr2bl w:val="nil"/>
                  </w:tcBorders>
                  <w:noWrap w:val="0"/>
                  <w:vAlign w:val="center"/>
                </w:tcPr>
                <w:p w14:paraId="385B25EA">
                  <w:pPr>
                    <w:jc w:val="center"/>
                    <w:rPr>
                      <w:rFonts w:hint="default" w:ascii="Times New Roman" w:hAnsi="Times New Roman" w:eastAsia="宋体" w:cs="Times New Roman"/>
                      <w:b/>
                      <w:bCs/>
                      <w:color w:val="auto"/>
                      <w:spacing w:val="0"/>
                      <w:highlight w:val="none"/>
                      <w:vertAlign w:val="baseline"/>
                      <w:lang w:val="en-US" w:eastAsia="zh-CN"/>
                    </w:rPr>
                  </w:pPr>
                </w:p>
              </w:tc>
              <w:tc>
                <w:tcPr>
                  <w:tcW w:w="1225" w:type="dxa"/>
                  <w:tcBorders>
                    <w:tl2br w:val="nil"/>
                    <w:tr2bl w:val="nil"/>
                  </w:tcBorders>
                  <w:noWrap w:val="0"/>
                  <w:vAlign w:val="center"/>
                </w:tcPr>
                <w:p w14:paraId="6BC57C3E">
                  <w:pPr>
                    <w:jc w:val="center"/>
                    <w:rPr>
                      <w:rFonts w:hint="default" w:ascii="Times New Roman" w:hAnsi="Times New Roman" w:eastAsia="宋体" w:cs="Times New Roman"/>
                      <w:b/>
                      <w:bCs/>
                      <w:color w:val="auto"/>
                      <w:spacing w:val="0"/>
                      <w:highlight w:val="none"/>
                      <w:vertAlign w:val="baseline"/>
                      <w:lang w:val="en-US" w:eastAsia="zh-CN"/>
                    </w:rPr>
                  </w:pPr>
                  <w:r>
                    <w:rPr>
                      <w:rFonts w:hint="default" w:ascii="Times New Roman" w:hAnsi="Times New Roman" w:eastAsia="宋体" w:cs="Times New Roman"/>
                      <w:b/>
                      <w:bCs/>
                      <w:color w:val="auto"/>
                      <w:spacing w:val="0"/>
                      <w:highlight w:val="none"/>
                      <w:vertAlign w:val="baseline"/>
                      <w:lang w:val="en-US" w:eastAsia="zh-CN"/>
                    </w:rPr>
                    <w:t>第一次</w:t>
                  </w:r>
                </w:p>
              </w:tc>
              <w:tc>
                <w:tcPr>
                  <w:tcW w:w="1192" w:type="dxa"/>
                  <w:tcBorders>
                    <w:tl2br w:val="nil"/>
                    <w:tr2bl w:val="nil"/>
                  </w:tcBorders>
                  <w:noWrap w:val="0"/>
                  <w:vAlign w:val="center"/>
                </w:tcPr>
                <w:p w14:paraId="1E344F3B">
                  <w:pPr>
                    <w:jc w:val="center"/>
                    <w:rPr>
                      <w:rFonts w:hint="default" w:ascii="Times New Roman" w:hAnsi="Times New Roman" w:eastAsia="宋体" w:cs="Times New Roman"/>
                      <w:b/>
                      <w:bCs/>
                      <w:color w:val="auto"/>
                      <w:spacing w:val="0"/>
                      <w:highlight w:val="none"/>
                      <w:vertAlign w:val="baseline"/>
                      <w:lang w:val="en-US" w:eastAsia="zh-CN"/>
                    </w:rPr>
                  </w:pPr>
                  <w:r>
                    <w:rPr>
                      <w:rFonts w:hint="default" w:ascii="Times New Roman" w:hAnsi="Times New Roman" w:eastAsia="宋体" w:cs="Times New Roman"/>
                      <w:b/>
                      <w:bCs/>
                      <w:color w:val="auto"/>
                      <w:spacing w:val="0"/>
                      <w:highlight w:val="none"/>
                      <w:vertAlign w:val="baseline"/>
                      <w:lang w:val="en-US" w:eastAsia="zh-CN"/>
                    </w:rPr>
                    <w:t>第二次</w:t>
                  </w:r>
                </w:p>
              </w:tc>
              <w:tc>
                <w:tcPr>
                  <w:tcW w:w="1192" w:type="dxa"/>
                  <w:tcBorders>
                    <w:tl2br w:val="nil"/>
                    <w:tr2bl w:val="nil"/>
                  </w:tcBorders>
                  <w:noWrap w:val="0"/>
                  <w:vAlign w:val="center"/>
                </w:tcPr>
                <w:p w14:paraId="57FA0D83">
                  <w:pPr>
                    <w:jc w:val="center"/>
                    <w:rPr>
                      <w:rFonts w:hint="default" w:ascii="Times New Roman" w:hAnsi="Times New Roman" w:eastAsia="宋体" w:cs="Times New Roman"/>
                      <w:b/>
                      <w:bCs/>
                      <w:color w:val="auto"/>
                      <w:spacing w:val="0"/>
                      <w:highlight w:val="none"/>
                      <w:vertAlign w:val="baseline"/>
                      <w:lang w:val="en-US" w:eastAsia="zh-CN"/>
                    </w:rPr>
                  </w:pPr>
                  <w:r>
                    <w:rPr>
                      <w:rFonts w:hint="default" w:ascii="Times New Roman" w:hAnsi="Times New Roman" w:eastAsia="宋体" w:cs="Times New Roman"/>
                      <w:b/>
                      <w:bCs/>
                      <w:color w:val="auto"/>
                      <w:spacing w:val="0"/>
                      <w:highlight w:val="none"/>
                      <w:vertAlign w:val="baseline"/>
                      <w:lang w:val="en-US" w:eastAsia="zh-CN"/>
                    </w:rPr>
                    <w:t>第三次</w:t>
                  </w:r>
                </w:p>
              </w:tc>
              <w:tc>
                <w:tcPr>
                  <w:tcW w:w="1160" w:type="dxa"/>
                  <w:tcBorders>
                    <w:tl2br w:val="nil"/>
                    <w:tr2bl w:val="nil"/>
                  </w:tcBorders>
                  <w:noWrap w:val="0"/>
                  <w:vAlign w:val="center"/>
                </w:tcPr>
                <w:p w14:paraId="0BF6BE28">
                  <w:pPr>
                    <w:jc w:val="center"/>
                    <w:rPr>
                      <w:rFonts w:hint="default" w:ascii="Times New Roman" w:hAnsi="Times New Roman" w:eastAsia="宋体" w:cs="Times New Roman"/>
                      <w:b/>
                      <w:bCs/>
                      <w:color w:val="auto"/>
                      <w:spacing w:val="0"/>
                      <w:highlight w:val="none"/>
                      <w:vertAlign w:val="baseline"/>
                      <w:lang w:val="en-US" w:eastAsia="zh-CN"/>
                    </w:rPr>
                  </w:pPr>
                  <w:r>
                    <w:rPr>
                      <w:rFonts w:hint="eastAsia" w:ascii="Times New Roman" w:hAnsi="Times New Roman" w:eastAsia="宋体" w:cs="Times New Roman"/>
                      <w:b/>
                      <w:bCs/>
                      <w:color w:val="auto"/>
                      <w:spacing w:val="0"/>
                      <w:highlight w:val="none"/>
                      <w:vertAlign w:val="baseline"/>
                      <w:lang w:val="en-US" w:eastAsia="zh-CN"/>
                    </w:rPr>
                    <w:t>平均</w:t>
                  </w:r>
                  <w:r>
                    <w:rPr>
                      <w:rFonts w:hint="default" w:ascii="Times New Roman" w:hAnsi="Times New Roman" w:eastAsia="宋体" w:cs="Times New Roman"/>
                      <w:b/>
                      <w:bCs/>
                      <w:color w:val="auto"/>
                      <w:spacing w:val="0"/>
                      <w:highlight w:val="none"/>
                      <w:vertAlign w:val="baseline"/>
                      <w:lang w:val="en-US" w:eastAsia="zh-CN"/>
                    </w:rPr>
                    <w:t>值</w:t>
                  </w:r>
                </w:p>
              </w:tc>
            </w:tr>
            <w:tr w14:paraId="6F9938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restart"/>
                  <w:tcBorders>
                    <w:tl2br w:val="nil"/>
                    <w:tr2bl w:val="nil"/>
                  </w:tcBorders>
                  <w:noWrap w:val="0"/>
                  <w:vAlign w:val="center"/>
                </w:tcPr>
                <w:p w14:paraId="4C6CFFE2">
                  <w:pPr>
                    <w:jc w:val="center"/>
                    <w:rPr>
                      <w:rFonts w:hint="default"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20</w:t>
                  </w:r>
                  <w:r>
                    <w:rPr>
                      <w:rFonts w:hint="eastAsia" w:cs="Times New Roman"/>
                      <w:color w:val="auto"/>
                      <w:spacing w:val="0"/>
                      <w:highlight w:val="none"/>
                      <w:vertAlign w:val="baseline"/>
                      <w:lang w:val="en-US" w:eastAsia="zh-CN"/>
                    </w:rPr>
                    <w:t>21.08.20</w:t>
                  </w:r>
                </w:p>
              </w:tc>
              <w:tc>
                <w:tcPr>
                  <w:tcW w:w="800" w:type="dxa"/>
                  <w:vMerge w:val="restart"/>
                  <w:tcBorders>
                    <w:tl2br w:val="nil"/>
                    <w:tr2bl w:val="nil"/>
                  </w:tcBorders>
                  <w:noWrap w:val="0"/>
                  <w:vAlign w:val="center"/>
                </w:tcPr>
                <w:p w14:paraId="19B082BA">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z w:val="21"/>
                      <w:szCs w:val="21"/>
                      <w:highlight w:val="none"/>
                      <w:lang w:val="en-US" w:eastAsia="zh-CN"/>
                    </w:rPr>
                    <w:t>调漆、喷漆、晾干、打印</w:t>
                  </w:r>
                  <w:r>
                    <w:rPr>
                      <w:rFonts w:hint="eastAsia" w:ascii="Times New Roman" w:hAnsi="Times New Roman" w:eastAsia="宋体" w:cs="Times New Roman"/>
                      <w:color w:val="auto"/>
                      <w:spacing w:val="0"/>
                      <w:highlight w:val="none"/>
                      <w:vertAlign w:val="baseline"/>
                      <w:lang w:val="en-US" w:eastAsia="zh-CN"/>
                    </w:rPr>
                    <w:t>废气排气筒P1</w:t>
                  </w:r>
                  <w:r>
                    <w:rPr>
                      <w:rFonts w:hint="eastAsia" w:cs="Times New Roman"/>
                      <w:color w:val="auto"/>
                      <w:spacing w:val="0"/>
                      <w:highlight w:val="none"/>
                      <w:vertAlign w:val="baseline"/>
                      <w:lang w:val="en-US" w:eastAsia="zh-CN"/>
                    </w:rPr>
                    <w:t>出</w:t>
                  </w:r>
                  <w:r>
                    <w:rPr>
                      <w:rFonts w:hint="eastAsia" w:ascii="Times New Roman" w:hAnsi="Times New Roman" w:eastAsia="宋体" w:cs="Times New Roman"/>
                      <w:color w:val="auto"/>
                      <w:spacing w:val="0"/>
                      <w:highlight w:val="none"/>
                      <w:vertAlign w:val="baseline"/>
                      <w:lang w:val="en-US" w:eastAsia="zh-CN"/>
                    </w:rPr>
                    <w:t>口</w:t>
                  </w:r>
                </w:p>
              </w:tc>
              <w:tc>
                <w:tcPr>
                  <w:tcW w:w="2449" w:type="dxa"/>
                  <w:gridSpan w:val="2"/>
                  <w:tcBorders>
                    <w:tl2br w:val="nil"/>
                    <w:tr2bl w:val="nil"/>
                  </w:tcBorders>
                  <w:noWrap w:val="0"/>
                  <w:vAlign w:val="center"/>
                </w:tcPr>
                <w:p w14:paraId="33DDD77A">
                  <w:pPr>
                    <w:jc w:val="center"/>
                    <w:rPr>
                      <w:rFonts w:hint="default"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标杆流量（m</w:t>
                  </w:r>
                  <w:r>
                    <w:rPr>
                      <w:rFonts w:hint="eastAsia" w:ascii="Times New Roman" w:hAnsi="Times New Roman" w:eastAsia="宋体" w:cs="Times New Roman"/>
                      <w:color w:val="auto"/>
                      <w:spacing w:val="0"/>
                      <w:highlight w:val="none"/>
                      <w:vertAlign w:val="superscript"/>
                      <w:lang w:val="en-US" w:eastAsia="zh-CN"/>
                    </w:rPr>
                    <w:t>3</w:t>
                  </w:r>
                  <w:r>
                    <w:rPr>
                      <w:rFonts w:hint="eastAsia" w:ascii="Times New Roman" w:hAnsi="Times New Roman" w:eastAsia="宋体" w:cs="Times New Roman"/>
                      <w:color w:val="auto"/>
                      <w:spacing w:val="0"/>
                      <w:highlight w:val="none"/>
                      <w:vertAlign w:val="baseline"/>
                      <w:lang w:val="en-US" w:eastAsia="zh-CN"/>
                    </w:rPr>
                    <w:t>/h）</w:t>
                  </w:r>
                </w:p>
              </w:tc>
              <w:tc>
                <w:tcPr>
                  <w:tcW w:w="1225" w:type="dxa"/>
                  <w:tcBorders>
                    <w:tl2br w:val="nil"/>
                    <w:tr2bl w:val="nil"/>
                  </w:tcBorders>
                  <w:noWrap w:val="0"/>
                  <w:vAlign w:val="center"/>
                </w:tcPr>
                <w:p w14:paraId="51AF0A51">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19600</w:t>
                  </w:r>
                </w:p>
              </w:tc>
              <w:tc>
                <w:tcPr>
                  <w:tcW w:w="1192" w:type="dxa"/>
                  <w:tcBorders>
                    <w:tl2br w:val="nil"/>
                    <w:tr2bl w:val="nil"/>
                  </w:tcBorders>
                  <w:noWrap w:val="0"/>
                  <w:vAlign w:val="center"/>
                </w:tcPr>
                <w:p w14:paraId="78B126DB">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22100</w:t>
                  </w:r>
                </w:p>
              </w:tc>
              <w:tc>
                <w:tcPr>
                  <w:tcW w:w="1192" w:type="dxa"/>
                  <w:tcBorders>
                    <w:tl2br w:val="nil"/>
                    <w:tr2bl w:val="nil"/>
                  </w:tcBorders>
                  <w:noWrap w:val="0"/>
                  <w:vAlign w:val="center"/>
                </w:tcPr>
                <w:p w14:paraId="7ABF2D50">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21000</w:t>
                  </w:r>
                </w:p>
              </w:tc>
              <w:tc>
                <w:tcPr>
                  <w:tcW w:w="1160" w:type="dxa"/>
                  <w:tcBorders>
                    <w:tl2br w:val="nil"/>
                    <w:tr2bl w:val="nil"/>
                  </w:tcBorders>
                  <w:noWrap w:val="0"/>
                  <w:vAlign w:val="center"/>
                </w:tcPr>
                <w:p w14:paraId="2D5987FB">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20900</w:t>
                  </w:r>
                </w:p>
              </w:tc>
            </w:tr>
            <w:tr w14:paraId="5F155A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78326016">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37C99AF2">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restart"/>
                  <w:tcBorders>
                    <w:tl2br w:val="nil"/>
                    <w:tr2bl w:val="nil"/>
                  </w:tcBorders>
                  <w:noWrap w:val="0"/>
                  <w:vAlign w:val="center"/>
                </w:tcPr>
                <w:p w14:paraId="0F61CEB3">
                  <w:pPr>
                    <w:jc w:val="center"/>
                    <w:rPr>
                      <w:rFonts w:hint="default"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颗粒物</w:t>
                  </w:r>
                </w:p>
              </w:tc>
              <w:tc>
                <w:tcPr>
                  <w:tcW w:w="1796" w:type="dxa"/>
                  <w:tcBorders>
                    <w:tl2br w:val="nil"/>
                    <w:tr2bl w:val="nil"/>
                  </w:tcBorders>
                  <w:noWrap w:val="0"/>
                  <w:vAlign w:val="center"/>
                </w:tcPr>
                <w:p w14:paraId="72E875C3">
                  <w:pPr>
                    <w:jc w:val="center"/>
                    <w:rPr>
                      <w:rFonts w:hint="default"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排放浓度（mg/m</w:t>
                  </w:r>
                  <w:r>
                    <w:rPr>
                      <w:rFonts w:hint="eastAsia" w:ascii="Times New Roman" w:hAnsi="Times New Roman" w:eastAsia="宋体" w:cs="Times New Roman"/>
                      <w:color w:val="auto"/>
                      <w:spacing w:val="0"/>
                      <w:highlight w:val="none"/>
                      <w:vertAlign w:val="superscript"/>
                      <w:lang w:val="en-US" w:eastAsia="zh-CN"/>
                    </w:rPr>
                    <w:t>3</w:t>
                  </w:r>
                  <w:r>
                    <w:rPr>
                      <w:rFonts w:hint="eastAsia" w:ascii="Times New Roman" w:hAnsi="Times New Roman" w:eastAsia="宋体" w:cs="Times New Roman"/>
                      <w:color w:val="auto"/>
                      <w:spacing w:val="0"/>
                      <w:highlight w:val="none"/>
                      <w:vertAlign w:val="baseline"/>
                      <w:lang w:val="en-US" w:eastAsia="zh-CN"/>
                    </w:rPr>
                    <w:t>）</w:t>
                  </w:r>
                </w:p>
              </w:tc>
              <w:tc>
                <w:tcPr>
                  <w:tcW w:w="1225" w:type="dxa"/>
                  <w:tcBorders>
                    <w:tl2br w:val="nil"/>
                    <w:tr2bl w:val="nil"/>
                  </w:tcBorders>
                  <w:noWrap w:val="0"/>
                  <w:vAlign w:val="center"/>
                </w:tcPr>
                <w:p w14:paraId="248816A0">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22.1</w:t>
                  </w:r>
                </w:p>
              </w:tc>
              <w:tc>
                <w:tcPr>
                  <w:tcW w:w="1192" w:type="dxa"/>
                  <w:tcBorders>
                    <w:tl2br w:val="nil"/>
                    <w:tr2bl w:val="nil"/>
                  </w:tcBorders>
                  <w:noWrap w:val="0"/>
                  <w:vAlign w:val="center"/>
                </w:tcPr>
                <w:p w14:paraId="70BE22F0">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18.1</w:t>
                  </w:r>
                </w:p>
              </w:tc>
              <w:tc>
                <w:tcPr>
                  <w:tcW w:w="1192" w:type="dxa"/>
                  <w:tcBorders>
                    <w:tl2br w:val="nil"/>
                    <w:tr2bl w:val="nil"/>
                  </w:tcBorders>
                  <w:noWrap w:val="0"/>
                  <w:vAlign w:val="center"/>
                </w:tcPr>
                <w:p w14:paraId="0A318C9A">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19.7</w:t>
                  </w:r>
                </w:p>
              </w:tc>
              <w:tc>
                <w:tcPr>
                  <w:tcW w:w="1160" w:type="dxa"/>
                  <w:tcBorders>
                    <w:tl2br w:val="nil"/>
                    <w:tr2bl w:val="nil"/>
                  </w:tcBorders>
                  <w:noWrap w:val="0"/>
                  <w:vAlign w:val="center"/>
                </w:tcPr>
                <w:p w14:paraId="39F638F5">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20</w:t>
                  </w:r>
                </w:p>
              </w:tc>
            </w:tr>
            <w:tr w14:paraId="047436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70ABE198">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7C2D141F">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continue"/>
                  <w:tcBorders>
                    <w:tl2br w:val="nil"/>
                    <w:tr2bl w:val="nil"/>
                  </w:tcBorders>
                  <w:noWrap w:val="0"/>
                  <w:vAlign w:val="center"/>
                </w:tcPr>
                <w:p w14:paraId="26108DAD">
                  <w:pPr>
                    <w:jc w:val="center"/>
                    <w:rPr>
                      <w:rFonts w:hint="default" w:ascii="Times New Roman" w:hAnsi="Times New Roman" w:eastAsia="宋体" w:cs="Times New Roman"/>
                      <w:color w:val="auto"/>
                      <w:spacing w:val="0"/>
                      <w:highlight w:val="none"/>
                      <w:vertAlign w:val="baseline"/>
                      <w:lang w:val="en-US" w:eastAsia="zh-CN"/>
                    </w:rPr>
                  </w:pPr>
                </w:p>
              </w:tc>
              <w:tc>
                <w:tcPr>
                  <w:tcW w:w="1796" w:type="dxa"/>
                  <w:tcBorders>
                    <w:tl2br w:val="nil"/>
                    <w:tr2bl w:val="nil"/>
                  </w:tcBorders>
                  <w:noWrap w:val="0"/>
                  <w:vAlign w:val="center"/>
                </w:tcPr>
                <w:p w14:paraId="79463CD5">
                  <w:pPr>
                    <w:jc w:val="center"/>
                    <w:rPr>
                      <w:rFonts w:hint="default"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排放速率（kg/h）</w:t>
                  </w:r>
                </w:p>
              </w:tc>
              <w:tc>
                <w:tcPr>
                  <w:tcW w:w="1225" w:type="dxa"/>
                  <w:tcBorders>
                    <w:tl2br w:val="nil"/>
                    <w:tr2bl w:val="nil"/>
                  </w:tcBorders>
                  <w:noWrap w:val="0"/>
                  <w:vAlign w:val="center"/>
                </w:tcPr>
                <w:p w14:paraId="77C3879B">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0.433</w:t>
                  </w:r>
                </w:p>
              </w:tc>
              <w:tc>
                <w:tcPr>
                  <w:tcW w:w="1192" w:type="dxa"/>
                  <w:tcBorders>
                    <w:tl2br w:val="nil"/>
                    <w:tr2bl w:val="nil"/>
                  </w:tcBorders>
                  <w:noWrap w:val="0"/>
                  <w:vAlign w:val="center"/>
                </w:tcPr>
                <w:p w14:paraId="44464C5E">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0.4</w:t>
                  </w:r>
                </w:p>
              </w:tc>
              <w:tc>
                <w:tcPr>
                  <w:tcW w:w="1192" w:type="dxa"/>
                  <w:tcBorders>
                    <w:tl2br w:val="nil"/>
                    <w:tr2bl w:val="nil"/>
                  </w:tcBorders>
                  <w:noWrap w:val="0"/>
                  <w:vAlign w:val="center"/>
                </w:tcPr>
                <w:p w14:paraId="227C3703">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0.414</w:t>
                  </w:r>
                </w:p>
              </w:tc>
              <w:tc>
                <w:tcPr>
                  <w:tcW w:w="1160" w:type="dxa"/>
                  <w:tcBorders>
                    <w:tl2br w:val="nil"/>
                    <w:tr2bl w:val="nil"/>
                  </w:tcBorders>
                  <w:noWrap w:val="0"/>
                  <w:vAlign w:val="center"/>
                </w:tcPr>
                <w:p w14:paraId="077E362C">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0.416</w:t>
                  </w:r>
                </w:p>
              </w:tc>
            </w:tr>
            <w:tr w14:paraId="04CF72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0C40D94F">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54851A76">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restart"/>
                  <w:tcBorders>
                    <w:tl2br w:val="nil"/>
                    <w:tr2bl w:val="nil"/>
                  </w:tcBorders>
                  <w:noWrap w:val="0"/>
                  <w:vAlign w:val="center"/>
                </w:tcPr>
                <w:p w14:paraId="7875059C">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甲苯</w:t>
                  </w:r>
                </w:p>
              </w:tc>
              <w:tc>
                <w:tcPr>
                  <w:tcW w:w="1796" w:type="dxa"/>
                  <w:tcBorders>
                    <w:tl2br w:val="nil"/>
                    <w:tr2bl w:val="nil"/>
                  </w:tcBorders>
                  <w:noWrap w:val="0"/>
                  <w:vAlign w:val="center"/>
                </w:tcPr>
                <w:p w14:paraId="76E55178">
                  <w:pPr>
                    <w:jc w:val="center"/>
                    <w:rPr>
                      <w:rFonts w:hint="eastAsia"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排放浓度（mg/m</w:t>
                  </w:r>
                  <w:r>
                    <w:rPr>
                      <w:rFonts w:hint="eastAsia" w:ascii="Times New Roman" w:hAnsi="Times New Roman" w:eastAsia="宋体" w:cs="Times New Roman"/>
                      <w:color w:val="auto"/>
                      <w:spacing w:val="0"/>
                      <w:highlight w:val="none"/>
                      <w:vertAlign w:val="superscript"/>
                      <w:lang w:val="en-US" w:eastAsia="zh-CN"/>
                    </w:rPr>
                    <w:t>3</w:t>
                  </w:r>
                  <w:r>
                    <w:rPr>
                      <w:rFonts w:hint="eastAsia" w:ascii="Times New Roman" w:hAnsi="Times New Roman" w:eastAsia="宋体" w:cs="Times New Roman"/>
                      <w:color w:val="auto"/>
                      <w:spacing w:val="0"/>
                      <w:highlight w:val="none"/>
                      <w:vertAlign w:val="baseline"/>
                      <w:lang w:val="en-US" w:eastAsia="zh-CN"/>
                    </w:rPr>
                    <w:t>）</w:t>
                  </w:r>
                </w:p>
              </w:tc>
              <w:tc>
                <w:tcPr>
                  <w:tcW w:w="1225" w:type="dxa"/>
                  <w:tcBorders>
                    <w:tl2br w:val="nil"/>
                    <w:tr2bl w:val="nil"/>
                  </w:tcBorders>
                  <w:noWrap w:val="0"/>
                  <w:vAlign w:val="center"/>
                </w:tcPr>
                <w:p w14:paraId="2E2F9F94">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0.536</w:t>
                  </w:r>
                </w:p>
              </w:tc>
              <w:tc>
                <w:tcPr>
                  <w:tcW w:w="1192" w:type="dxa"/>
                  <w:tcBorders>
                    <w:tl2br w:val="nil"/>
                    <w:tr2bl w:val="nil"/>
                  </w:tcBorders>
                  <w:noWrap w:val="0"/>
                  <w:vAlign w:val="center"/>
                </w:tcPr>
                <w:p w14:paraId="35ED30D4">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0.535</w:t>
                  </w:r>
                </w:p>
              </w:tc>
              <w:tc>
                <w:tcPr>
                  <w:tcW w:w="1192" w:type="dxa"/>
                  <w:tcBorders>
                    <w:tl2br w:val="nil"/>
                    <w:tr2bl w:val="nil"/>
                  </w:tcBorders>
                  <w:noWrap w:val="0"/>
                  <w:vAlign w:val="center"/>
                </w:tcPr>
                <w:p w14:paraId="66443513">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0.577</w:t>
                  </w:r>
                </w:p>
              </w:tc>
              <w:tc>
                <w:tcPr>
                  <w:tcW w:w="1160" w:type="dxa"/>
                  <w:tcBorders>
                    <w:tl2br w:val="nil"/>
                    <w:tr2bl w:val="nil"/>
                  </w:tcBorders>
                  <w:noWrap w:val="0"/>
                  <w:vAlign w:val="center"/>
                </w:tcPr>
                <w:p w14:paraId="1437685C">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0.549</w:t>
                  </w:r>
                </w:p>
              </w:tc>
            </w:tr>
            <w:tr w14:paraId="640626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57B0B4A6">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7418F1C9">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continue"/>
                  <w:tcBorders>
                    <w:tl2br w:val="nil"/>
                    <w:tr2bl w:val="nil"/>
                  </w:tcBorders>
                  <w:noWrap w:val="0"/>
                  <w:vAlign w:val="center"/>
                </w:tcPr>
                <w:p w14:paraId="2E28D165">
                  <w:pPr>
                    <w:jc w:val="center"/>
                    <w:rPr>
                      <w:rFonts w:hint="default" w:ascii="Times New Roman" w:hAnsi="Times New Roman" w:eastAsia="宋体" w:cs="Times New Roman"/>
                      <w:color w:val="auto"/>
                      <w:spacing w:val="0"/>
                      <w:highlight w:val="none"/>
                      <w:vertAlign w:val="baseline"/>
                      <w:lang w:val="en-US" w:eastAsia="zh-CN"/>
                    </w:rPr>
                  </w:pPr>
                </w:p>
              </w:tc>
              <w:tc>
                <w:tcPr>
                  <w:tcW w:w="1796" w:type="dxa"/>
                  <w:tcBorders>
                    <w:tl2br w:val="nil"/>
                    <w:tr2bl w:val="nil"/>
                  </w:tcBorders>
                  <w:noWrap w:val="0"/>
                  <w:vAlign w:val="center"/>
                </w:tcPr>
                <w:p w14:paraId="243A48C8">
                  <w:pPr>
                    <w:jc w:val="center"/>
                    <w:rPr>
                      <w:rFonts w:hint="eastAsia"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排放速率（kg/h）</w:t>
                  </w:r>
                </w:p>
              </w:tc>
              <w:tc>
                <w:tcPr>
                  <w:tcW w:w="1225" w:type="dxa"/>
                  <w:tcBorders>
                    <w:tl2br w:val="nil"/>
                    <w:tr2bl w:val="nil"/>
                  </w:tcBorders>
                  <w:noWrap w:val="0"/>
                  <w:vAlign w:val="center"/>
                </w:tcPr>
                <w:p w14:paraId="679476F5">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0.011</w:t>
                  </w:r>
                </w:p>
              </w:tc>
              <w:tc>
                <w:tcPr>
                  <w:tcW w:w="1192" w:type="dxa"/>
                  <w:tcBorders>
                    <w:tl2br w:val="nil"/>
                    <w:tr2bl w:val="nil"/>
                  </w:tcBorders>
                  <w:noWrap w:val="0"/>
                  <w:vAlign w:val="center"/>
                </w:tcPr>
                <w:p w14:paraId="525489AB">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0.012</w:t>
                  </w:r>
                </w:p>
              </w:tc>
              <w:tc>
                <w:tcPr>
                  <w:tcW w:w="1192" w:type="dxa"/>
                  <w:tcBorders>
                    <w:tl2br w:val="nil"/>
                    <w:tr2bl w:val="nil"/>
                  </w:tcBorders>
                  <w:noWrap w:val="0"/>
                  <w:vAlign w:val="center"/>
                </w:tcPr>
                <w:p w14:paraId="4384583E">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0.012</w:t>
                  </w:r>
                </w:p>
              </w:tc>
              <w:tc>
                <w:tcPr>
                  <w:tcW w:w="1160" w:type="dxa"/>
                  <w:tcBorders>
                    <w:tl2br w:val="nil"/>
                    <w:tr2bl w:val="nil"/>
                  </w:tcBorders>
                  <w:noWrap w:val="0"/>
                  <w:vAlign w:val="center"/>
                </w:tcPr>
                <w:p w14:paraId="4B7B97BE">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0.011</w:t>
                  </w:r>
                </w:p>
              </w:tc>
            </w:tr>
            <w:tr w14:paraId="5D6A34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4D0A5FE7">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3EE8A26B">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restart"/>
                  <w:tcBorders>
                    <w:tl2br w:val="nil"/>
                    <w:tr2bl w:val="nil"/>
                  </w:tcBorders>
                  <w:noWrap w:val="0"/>
                  <w:vAlign w:val="center"/>
                </w:tcPr>
                <w:p w14:paraId="2ED0A131">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二甲苯</w:t>
                  </w:r>
                </w:p>
              </w:tc>
              <w:tc>
                <w:tcPr>
                  <w:tcW w:w="1796" w:type="dxa"/>
                  <w:tcBorders>
                    <w:tl2br w:val="nil"/>
                    <w:tr2bl w:val="nil"/>
                  </w:tcBorders>
                  <w:noWrap w:val="0"/>
                  <w:vAlign w:val="center"/>
                </w:tcPr>
                <w:p w14:paraId="031BAB96">
                  <w:pPr>
                    <w:jc w:val="center"/>
                    <w:rPr>
                      <w:rFonts w:hint="eastAsia"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排放浓度（mg/m</w:t>
                  </w:r>
                  <w:r>
                    <w:rPr>
                      <w:rFonts w:hint="eastAsia" w:ascii="Times New Roman" w:hAnsi="Times New Roman" w:eastAsia="宋体" w:cs="Times New Roman"/>
                      <w:color w:val="auto"/>
                      <w:spacing w:val="0"/>
                      <w:highlight w:val="none"/>
                      <w:vertAlign w:val="superscript"/>
                      <w:lang w:val="en-US" w:eastAsia="zh-CN"/>
                    </w:rPr>
                    <w:t>3</w:t>
                  </w:r>
                  <w:r>
                    <w:rPr>
                      <w:rFonts w:hint="eastAsia" w:ascii="Times New Roman" w:hAnsi="Times New Roman" w:eastAsia="宋体" w:cs="Times New Roman"/>
                      <w:color w:val="auto"/>
                      <w:spacing w:val="0"/>
                      <w:highlight w:val="none"/>
                      <w:vertAlign w:val="baseline"/>
                      <w:lang w:val="en-US" w:eastAsia="zh-CN"/>
                    </w:rPr>
                    <w:t>）</w:t>
                  </w:r>
                </w:p>
              </w:tc>
              <w:tc>
                <w:tcPr>
                  <w:tcW w:w="1225" w:type="dxa"/>
                  <w:tcBorders>
                    <w:tl2br w:val="nil"/>
                    <w:tr2bl w:val="nil"/>
                  </w:tcBorders>
                  <w:noWrap w:val="0"/>
                  <w:vAlign w:val="center"/>
                </w:tcPr>
                <w:p w14:paraId="052206B4">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1.54</w:t>
                  </w:r>
                </w:p>
              </w:tc>
              <w:tc>
                <w:tcPr>
                  <w:tcW w:w="1192" w:type="dxa"/>
                  <w:tcBorders>
                    <w:tl2br w:val="nil"/>
                    <w:tr2bl w:val="nil"/>
                  </w:tcBorders>
                  <w:noWrap w:val="0"/>
                  <w:vAlign w:val="center"/>
                </w:tcPr>
                <w:p w14:paraId="689C12E7">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1.62</w:t>
                  </w:r>
                </w:p>
              </w:tc>
              <w:tc>
                <w:tcPr>
                  <w:tcW w:w="1192" w:type="dxa"/>
                  <w:tcBorders>
                    <w:tl2br w:val="nil"/>
                    <w:tr2bl w:val="nil"/>
                  </w:tcBorders>
                  <w:noWrap w:val="0"/>
                  <w:vAlign w:val="center"/>
                </w:tcPr>
                <w:p w14:paraId="4042D0CE">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1.64</w:t>
                  </w:r>
                </w:p>
              </w:tc>
              <w:tc>
                <w:tcPr>
                  <w:tcW w:w="1160" w:type="dxa"/>
                  <w:tcBorders>
                    <w:tl2br w:val="nil"/>
                    <w:tr2bl w:val="nil"/>
                  </w:tcBorders>
                  <w:noWrap w:val="0"/>
                  <w:vAlign w:val="center"/>
                </w:tcPr>
                <w:p w14:paraId="21BC86C6">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1.6</w:t>
                  </w:r>
                </w:p>
              </w:tc>
            </w:tr>
            <w:tr w14:paraId="24B7F7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7C33D9F3">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583777B0">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continue"/>
                  <w:tcBorders>
                    <w:tl2br w:val="nil"/>
                    <w:tr2bl w:val="nil"/>
                  </w:tcBorders>
                  <w:noWrap w:val="0"/>
                  <w:vAlign w:val="center"/>
                </w:tcPr>
                <w:p w14:paraId="09358BE4">
                  <w:pPr>
                    <w:jc w:val="center"/>
                    <w:rPr>
                      <w:rFonts w:hint="default" w:ascii="Times New Roman" w:hAnsi="Times New Roman" w:eastAsia="宋体" w:cs="Times New Roman"/>
                      <w:color w:val="auto"/>
                      <w:spacing w:val="0"/>
                      <w:highlight w:val="none"/>
                      <w:vertAlign w:val="baseline"/>
                      <w:lang w:val="en-US" w:eastAsia="zh-CN"/>
                    </w:rPr>
                  </w:pPr>
                </w:p>
              </w:tc>
              <w:tc>
                <w:tcPr>
                  <w:tcW w:w="1796" w:type="dxa"/>
                  <w:tcBorders>
                    <w:tl2br w:val="nil"/>
                    <w:tr2bl w:val="nil"/>
                  </w:tcBorders>
                  <w:noWrap w:val="0"/>
                  <w:vAlign w:val="center"/>
                </w:tcPr>
                <w:p w14:paraId="26D3FEED">
                  <w:pPr>
                    <w:jc w:val="center"/>
                    <w:rPr>
                      <w:rFonts w:hint="eastAsia"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排放速率（kg/h）</w:t>
                  </w:r>
                </w:p>
              </w:tc>
              <w:tc>
                <w:tcPr>
                  <w:tcW w:w="1225" w:type="dxa"/>
                  <w:tcBorders>
                    <w:tl2br w:val="nil"/>
                    <w:tr2bl w:val="nil"/>
                  </w:tcBorders>
                  <w:noWrap w:val="0"/>
                  <w:vAlign w:val="center"/>
                </w:tcPr>
                <w:p w14:paraId="55450B62">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0.030</w:t>
                  </w:r>
                </w:p>
              </w:tc>
              <w:tc>
                <w:tcPr>
                  <w:tcW w:w="1192" w:type="dxa"/>
                  <w:tcBorders>
                    <w:tl2br w:val="nil"/>
                    <w:tr2bl w:val="nil"/>
                  </w:tcBorders>
                  <w:noWrap w:val="0"/>
                  <w:vAlign w:val="center"/>
                </w:tcPr>
                <w:p w14:paraId="79F48DC9">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0.036</w:t>
                  </w:r>
                </w:p>
              </w:tc>
              <w:tc>
                <w:tcPr>
                  <w:tcW w:w="1192" w:type="dxa"/>
                  <w:tcBorders>
                    <w:tl2br w:val="nil"/>
                    <w:tr2bl w:val="nil"/>
                  </w:tcBorders>
                  <w:noWrap w:val="0"/>
                  <w:vAlign w:val="center"/>
                </w:tcPr>
                <w:p w14:paraId="0111432A">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0.034</w:t>
                  </w:r>
                </w:p>
              </w:tc>
              <w:tc>
                <w:tcPr>
                  <w:tcW w:w="1160" w:type="dxa"/>
                  <w:tcBorders>
                    <w:tl2br w:val="nil"/>
                    <w:tr2bl w:val="nil"/>
                  </w:tcBorders>
                  <w:noWrap w:val="0"/>
                  <w:vAlign w:val="center"/>
                </w:tcPr>
                <w:p w14:paraId="79D8AE85">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0.033</w:t>
                  </w:r>
                </w:p>
              </w:tc>
            </w:tr>
            <w:tr w14:paraId="43E623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47F79FE8">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15114892">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restart"/>
                  <w:tcBorders>
                    <w:tl2br w:val="nil"/>
                    <w:tr2bl w:val="nil"/>
                  </w:tcBorders>
                  <w:noWrap w:val="0"/>
                  <w:vAlign w:val="center"/>
                </w:tcPr>
                <w:p w14:paraId="2B7F734F">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非甲烷总烃</w:t>
                  </w:r>
                </w:p>
              </w:tc>
              <w:tc>
                <w:tcPr>
                  <w:tcW w:w="1796" w:type="dxa"/>
                  <w:tcBorders>
                    <w:tl2br w:val="nil"/>
                    <w:tr2bl w:val="nil"/>
                  </w:tcBorders>
                  <w:noWrap w:val="0"/>
                  <w:vAlign w:val="center"/>
                </w:tcPr>
                <w:p w14:paraId="68182726">
                  <w:pPr>
                    <w:jc w:val="center"/>
                    <w:rPr>
                      <w:rFonts w:hint="eastAsia"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排放浓度（mg/m</w:t>
                  </w:r>
                  <w:r>
                    <w:rPr>
                      <w:rFonts w:hint="eastAsia" w:ascii="Times New Roman" w:hAnsi="Times New Roman" w:eastAsia="宋体" w:cs="Times New Roman"/>
                      <w:color w:val="auto"/>
                      <w:spacing w:val="0"/>
                      <w:highlight w:val="none"/>
                      <w:vertAlign w:val="superscript"/>
                      <w:lang w:val="en-US" w:eastAsia="zh-CN"/>
                    </w:rPr>
                    <w:t>3</w:t>
                  </w:r>
                  <w:r>
                    <w:rPr>
                      <w:rFonts w:hint="eastAsia" w:ascii="Times New Roman" w:hAnsi="Times New Roman" w:eastAsia="宋体" w:cs="Times New Roman"/>
                      <w:color w:val="auto"/>
                      <w:spacing w:val="0"/>
                      <w:highlight w:val="none"/>
                      <w:vertAlign w:val="baseline"/>
                      <w:lang w:val="en-US" w:eastAsia="zh-CN"/>
                    </w:rPr>
                    <w:t>）</w:t>
                  </w:r>
                </w:p>
              </w:tc>
              <w:tc>
                <w:tcPr>
                  <w:tcW w:w="1225" w:type="dxa"/>
                  <w:tcBorders>
                    <w:tl2br w:val="nil"/>
                    <w:tr2bl w:val="nil"/>
                  </w:tcBorders>
                  <w:noWrap w:val="0"/>
                  <w:vAlign w:val="center"/>
                </w:tcPr>
                <w:p w14:paraId="5276E996">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14.0</w:t>
                  </w:r>
                </w:p>
              </w:tc>
              <w:tc>
                <w:tcPr>
                  <w:tcW w:w="1192" w:type="dxa"/>
                  <w:tcBorders>
                    <w:tl2br w:val="nil"/>
                    <w:tr2bl w:val="nil"/>
                  </w:tcBorders>
                  <w:noWrap w:val="0"/>
                  <w:vAlign w:val="center"/>
                </w:tcPr>
                <w:p w14:paraId="1E0A6906">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10.2</w:t>
                  </w:r>
                </w:p>
              </w:tc>
              <w:tc>
                <w:tcPr>
                  <w:tcW w:w="1192" w:type="dxa"/>
                  <w:tcBorders>
                    <w:tl2br w:val="nil"/>
                    <w:tr2bl w:val="nil"/>
                  </w:tcBorders>
                  <w:noWrap w:val="0"/>
                  <w:vAlign w:val="center"/>
                </w:tcPr>
                <w:p w14:paraId="38E54AC6">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12.3</w:t>
                  </w:r>
                </w:p>
              </w:tc>
              <w:tc>
                <w:tcPr>
                  <w:tcW w:w="1160" w:type="dxa"/>
                  <w:tcBorders>
                    <w:tl2br w:val="nil"/>
                    <w:tr2bl w:val="nil"/>
                  </w:tcBorders>
                  <w:noWrap w:val="0"/>
                  <w:vAlign w:val="center"/>
                </w:tcPr>
                <w:p w14:paraId="7D33112A">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12.2</w:t>
                  </w:r>
                </w:p>
              </w:tc>
            </w:tr>
            <w:tr w14:paraId="3F4D25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479121CA">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6B7E9BBC">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continue"/>
                  <w:tcBorders>
                    <w:tl2br w:val="nil"/>
                    <w:tr2bl w:val="nil"/>
                  </w:tcBorders>
                  <w:noWrap w:val="0"/>
                  <w:vAlign w:val="center"/>
                </w:tcPr>
                <w:p w14:paraId="76500F3E">
                  <w:pPr>
                    <w:jc w:val="center"/>
                    <w:rPr>
                      <w:rFonts w:hint="default" w:ascii="Times New Roman" w:hAnsi="Times New Roman" w:eastAsia="宋体" w:cs="Times New Roman"/>
                      <w:color w:val="auto"/>
                      <w:spacing w:val="0"/>
                      <w:highlight w:val="none"/>
                      <w:vertAlign w:val="baseline"/>
                      <w:lang w:val="en-US" w:eastAsia="zh-CN"/>
                    </w:rPr>
                  </w:pPr>
                </w:p>
              </w:tc>
              <w:tc>
                <w:tcPr>
                  <w:tcW w:w="1796" w:type="dxa"/>
                  <w:tcBorders>
                    <w:tl2br w:val="nil"/>
                    <w:tr2bl w:val="nil"/>
                  </w:tcBorders>
                  <w:noWrap w:val="0"/>
                  <w:vAlign w:val="center"/>
                </w:tcPr>
                <w:p w14:paraId="230C1FC6">
                  <w:pPr>
                    <w:jc w:val="center"/>
                    <w:rPr>
                      <w:rFonts w:hint="eastAsia"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排放速率（kg/h）</w:t>
                  </w:r>
                </w:p>
              </w:tc>
              <w:tc>
                <w:tcPr>
                  <w:tcW w:w="1225" w:type="dxa"/>
                  <w:tcBorders>
                    <w:tl2br w:val="nil"/>
                    <w:tr2bl w:val="nil"/>
                  </w:tcBorders>
                  <w:noWrap w:val="0"/>
                  <w:vAlign w:val="center"/>
                </w:tcPr>
                <w:p w14:paraId="24F00C2D">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0.247</w:t>
                  </w:r>
                </w:p>
              </w:tc>
              <w:tc>
                <w:tcPr>
                  <w:tcW w:w="1192" w:type="dxa"/>
                  <w:tcBorders>
                    <w:tl2br w:val="nil"/>
                    <w:tr2bl w:val="nil"/>
                  </w:tcBorders>
                  <w:noWrap w:val="0"/>
                  <w:vAlign w:val="center"/>
                </w:tcPr>
                <w:p w14:paraId="79F42F06">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0.225</w:t>
                  </w:r>
                </w:p>
              </w:tc>
              <w:tc>
                <w:tcPr>
                  <w:tcW w:w="1192" w:type="dxa"/>
                  <w:tcBorders>
                    <w:tl2br w:val="nil"/>
                    <w:tr2bl w:val="nil"/>
                  </w:tcBorders>
                  <w:noWrap w:val="0"/>
                  <w:vAlign w:val="center"/>
                </w:tcPr>
                <w:p w14:paraId="19B0E608">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0.258</w:t>
                  </w:r>
                </w:p>
              </w:tc>
              <w:tc>
                <w:tcPr>
                  <w:tcW w:w="1160" w:type="dxa"/>
                  <w:tcBorders>
                    <w:tl2br w:val="nil"/>
                    <w:tr2bl w:val="nil"/>
                  </w:tcBorders>
                  <w:noWrap w:val="0"/>
                  <w:vAlign w:val="center"/>
                </w:tcPr>
                <w:p w14:paraId="4EE6804A">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0.253</w:t>
                  </w:r>
                </w:p>
              </w:tc>
            </w:tr>
            <w:tr w14:paraId="174193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restart"/>
                  <w:tcBorders>
                    <w:tl2br w:val="nil"/>
                    <w:tr2bl w:val="nil"/>
                  </w:tcBorders>
                  <w:noWrap w:val="0"/>
                  <w:vAlign w:val="center"/>
                </w:tcPr>
                <w:p w14:paraId="6213AE4D">
                  <w:pPr>
                    <w:jc w:val="center"/>
                    <w:rPr>
                      <w:rFonts w:hint="default"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20</w:t>
                  </w:r>
                  <w:r>
                    <w:rPr>
                      <w:rFonts w:hint="eastAsia" w:cs="Times New Roman"/>
                      <w:color w:val="auto"/>
                      <w:spacing w:val="0"/>
                      <w:highlight w:val="none"/>
                      <w:vertAlign w:val="baseline"/>
                      <w:lang w:val="en-US" w:eastAsia="zh-CN"/>
                    </w:rPr>
                    <w:t>21.08.21</w:t>
                  </w:r>
                </w:p>
              </w:tc>
              <w:tc>
                <w:tcPr>
                  <w:tcW w:w="800" w:type="dxa"/>
                  <w:vMerge w:val="restart"/>
                  <w:tcBorders>
                    <w:tl2br w:val="nil"/>
                    <w:tr2bl w:val="nil"/>
                  </w:tcBorders>
                  <w:noWrap w:val="0"/>
                  <w:vAlign w:val="center"/>
                </w:tcPr>
                <w:p w14:paraId="303ED178">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z w:val="21"/>
                      <w:szCs w:val="21"/>
                      <w:highlight w:val="none"/>
                      <w:lang w:val="en-US" w:eastAsia="zh-CN"/>
                    </w:rPr>
                    <w:t>调漆、喷漆、晾干、打印</w:t>
                  </w:r>
                  <w:r>
                    <w:rPr>
                      <w:rFonts w:hint="eastAsia" w:ascii="Times New Roman" w:hAnsi="Times New Roman" w:eastAsia="宋体" w:cs="Times New Roman"/>
                      <w:color w:val="auto"/>
                      <w:spacing w:val="0"/>
                      <w:highlight w:val="none"/>
                      <w:vertAlign w:val="baseline"/>
                      <w:lang w:val="en-US" w:eastAsia="zh-CN"/>
                    </w:rPr>
                    <w:t>废气排气筒P1</w:t>
                  </w:r>
                  <w:r>
                    <w:rPr>
                      <w:rFonts w:hint="eastAsia" w:cs="Times New Roman"/>
                      <w:color w:val="auto"/>
                      <w:spacing w:val="0"/>
                      <w:highlight w:val="none"/>
                      <w:vertAlign w:val="baseline"/>
                      <w:lang w:val="en-US" w:eastAsia="zh-CN"/>
                    </w:rPr>
                    <w:t>出</w:t>
                  </w:r>
                  <w:r>
                    <w:rPr>
                      <w:rFonts w:hint="eastAsia" w:ascii="Times New Roman" w:hAnsi="Times New Roman" w:eastAsia="宋体" w:cs="Times New Roman"/>
                      <w:color w:val="auto"/>
                      <w:spacing w:val="0"/>
                      <w:highlight w:val="none"/>
                      <w:vertAlign w:val="baseline"/>
                      <w:lang w:val="en-US" w:eastAsia="zh-CN"/>
                    </w:rPr>
                    <w:t>口</w:t>
                  </w:r>
                </w:p>
              </w:tc>
              <w:tc>
                <w:tcPr>
                  <w:tcW w:w="2449" w:type="dxa"/>
                  <w:gridSpan w:val="2"/>
                  <w:tcBorders>
                    <w:tl2br w:val="nil"/>
                    <w:tr2bl w:val="nil"/>
                  </w:tcBorders>
                  <w:noWrap w:val="0"/>
                  <w:vAlign w:val="center"/>
                </w:tcPr>
                <w:p w14:paraId="3DA92D30">
                  <w:pPr>
                    <w:jc w:val="center"/>
                    <w:rPr>
                      <w:rFonts w:hint="default"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标杆流量（m</w:t>
                  </w:r>
                  <w:r>
                    <w:rPr>
                      <w:rFonts w:hint="eastAsia" w:ascii="Times New Roman" w:hAnsi="Times New Roman" w:eastAsia="宋体" w:cs="Times New Roman"/>
                      <w:color w:val="auto"/>
                      <w:spacing w:val="0"/>
                      <w:highlight w:val="none"/>
                      <w:vertAlign w:val="superscript"/>
                      <w:lang w:val="en-US" w:eastAsia="zh-CN"/>
                    </w:rPr>
                    <w:t>3</w:t>
                  </w:r>
                  <w:r>
                    <w:rPr>
                      <w:rFonts w:hint="eastAsia" w:ascii="Times New Roman" w:hAnsi="Times New Roman" w:eastAsia="宋体" w:cs="Times New Roman"/>
                      <w:color w:val="auto"/>
                      <w:spacing w:val="0"/>
                      <w:highlight w:val="none"/>
                      <w:vertAlign w:val="baseline"/>
                      <w:lang w:val="en-US" w:eastAsia="zh-CN"/>
                    </w:rPr>
                    <w:t>/h）</w:t>
                  </w:r>
                </w:p>
              </w:tc>
              <w:tc>
                <w:tcPr>
                  <w:tcW w:w="1225" w:type="dxa"/>
                  <w:tcBorders>
                    <w:tl2br w:val="nil"/>
                    <w:tr2bl w:val="nil"/>
                  </w:tcBorders>
                  <w:noWrap w:val="0"/>
                  <w:vAlign w:val="center"/>
                </w:tcPr>
                <w:p w14:paraId="348007FA">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20000</w:t>
                  </w:r>
                </w:p>
              </w:tc>
              <w:tc>
                <w:tcPr>
                  <w:tcW w:w="1192" w:type="dxa"/>
                  <w:tcBorders>
                    <w:tl2br w:val="nil"/>
                    <w:tr2bl w:val="nil"/>
                  </w:tcBorders>
                  <w:noWrap w:val="0"/>
                  <w:vAlign w:val="center"/>
                </w:tcPr>
                <w:p w14:paraId="333C64AB">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22200</w:t>
                  </w:r>
                </w:p>
              </w:tc>
              <w:tc>
                <w:tcPr>
                  <w:tcW w:w="1192" w:type="dxa"/>
                  <w:tcBorders>
                    <w:tl2br w:val="nil"/>
                    <w:tr2bl w:val="nil"/>
                  </w:tcBorders>
                  <w:noWrap w:val="0"/>
                  <w:vAlign w:val="center"/>
                </w:tcPr>
                <w:p w14:paraId="064BBA10">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23000</w:t>
                  </w:r>
                </w:p>
              </w:tc>
              <w:tc>
                <w:tcPr>
                  <w:tcW w:w="1160" w:type="dxa"/>
                  <w:tcBorders>
                    <w:tl2br w:val="nil"/>
                    <w:tr2bl w:val="nil"/>
                  </w:tcBorders>
                  <w:noWrap w:val="0"/>
                  <w:vAlign w:val="center"/>
                </w:tcPr>
                <w:p w14:paraId="0F423A95">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21700</w:t>
                  </w:r>
                </w:p>
              </w:tc>
            </w:tr>
            <w:tr w14:paraId="46F887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1FAF7D83">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2BA6A086">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restart"/>
                  <w:tcBorders>
                    <w:tl2br w:val="nil"/>
                    <w:tr2bl w:val="nil"/>
                  </w:tcBorders>
                  <w:noWrap w:val="0"/>
                  <w:vAlign w:val="center"/>
                </w:tcPr>
                <w:p w14:paraId="1BF6ED92">
                  <w:pPr>
                    <w:jc w:val="center"/>
                    <w:rPr>
                      <w:rFonts w:hint="default"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颗粒物</w:t>
                  </w:r>
                </w:p>
              </w:tc>
              <w:tc>
                <w:tcPr>
                  <w:tcW w:w="1796" w:type="dxa"/>
                  <w:tcBorders>
                    <w:tl2br w:val="nil"/>
                    <w:tr2bl w:val="nil"/>
                  </w:tcBorders>
                  <w:noWrap w:val="0"/>
                  <w:vAlign w:val="center"/>
                </w:tcPr>
                <w:p w14:paraId="14A986AB">
                  <w:pPr>
                    <w:jc w:val="center"/>
                    <w:rPr>
                      <w:rFonts w:hint="default"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排放浓度（mg/m</w:t>
                  </w:r>
                  <w:r>
                    <w:rPr>
                      <w:rFonts w:hint="eastAsia" w:ascii="Times New Roman" w:hAnsi="Times New Roman" w:eastAsia="宋体" w:cs="Times New Roman"/>
                      <w:color w:val="auto"/>
                      <w:spacing w:val="0"/>
                      <w:highlight w:val="none"/>
                      <w:vertAlign w:val="superscript"/>
                      <w:lang w:val="en-US" w:eastAsia="zh-CN"/>
                    </w:rPr>
                    <w:t>3</w:t>
                  </w:r>
                  <w:r>
                    <w:rPr>
                      <w:rFonts w:hint="eastAsia" w:ascii="Times New Roman" w:hAnsi="Times New Roman" w:eastAsia="宋体" w:cs="Times New Roman"/>
                      <w:color w:val="auto"/>
                      <w:spacing w:val="0"/>
                      <w:highlight w:val="none"/>
                      <w:vertAlign w:val="baseline"/>
                      <w:lang w:val="en-US" w:eastAsia="zh-CN"/>
                    </w:rPr>
                    <w:t>）</w:t>
                  </w:r>
                </w:p>
              </w:tc>
              <w:tc>
                <w:tcPr>
                  <w:tcW w:w="1225" w:type="dxa"/>
                  <w:tcBorders>
                    <w:tl2br w:val="nil"/>
                    <w:tr2bl w:val="nil"/>
                  </w:tcBorders>
                  <w:noWrap w:val="0"/>
                  <w:vAlign w:val="center"/>
                </w:tcPr>
                <w:p w14:paraId="7E5A82B0">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21.2</w:t>
                  </w:r>
                </w:p>
              </w:tc>
              <w:tc>
                <w:tcPr>
                  <w:tcW w:w="1192" w:type="dxa"/>
                  <w:tcBorders>
                    <w:tl2br w:val="nil"/>
                    <w:tr2bl w:val="nil"/>
                  </w:tcBorders>
                  <w:noWrap w:val="0"/>
                  <w:vAlign w:val="center"/>
                </w:tcPr>
                <w:p w14:paraId="59B48F86">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18.9</w:t>
                  </w:r>
                </w:p>
              </w:tc>
              <w:tc>
                <w:tcPr>
                  <w:tcW w:w="1192" w:type="dxa"/>
                  <w:tcBorders>
                    <w:tl2br w:val="nil"/>
                    <w:tr2bl w:val="nil"/>
                  </w:tcBorders>
                  <w:noWrap w:val="0"/>
                  <w:vAlign w:val="center"/>
                </w:tcPr>
                <w:p w14:paraId="09B4A3E1">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17.7</w:t>
                  </w:r>
                </w:p>
              </w:tc>
              <w:tc>
                <w:tcPr>
                  <w:tcW w:w="1160" w:type="dxa"/>
                  <w:tcBorders>
                    <w:tl2br w:val="nil"/>
                    <w:tr2bl w:val="nil"/>
                  </w:tcBorders>
                  <w:noWrap w:val="0"/>
                  <w:vAlign w:val="center"/>
                </w:tcPr>
                <w:p w14:paraId="507D5856">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19.3</w:t>
                  </w:r>
                </w:p>
              </w:tc>
            </w:tr>
            <w:tr w14:paraId="4ECC8A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7D7ABC60">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21CDDA27">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continue"/>
                  <w:tcBorders>
                    <w:tl2br w:val="nil"/>
                    <w:tr2bl w:val="nil"/>
                  </w:tcBorders>
                  <w:noWrap w:val="0"/>
                  <w:vAlign w:val="center"/>
                </w:tcPr>
                <w:p w14:paraId="78229E89">
                  <w:pPr>
                    <w:jc w:val="center"/>
                    <w:rPr>
                      <w:rFonts w:hint="default" w:ascii="Times New Roman" w:hAnsi="Times New Roman" w:eastAsia="宋体" w:cs="Times New Roman"/>
                      <w:color w:val="auto"/>
                      <w:spacing w:val="0"/>
                      <w:highlight w:val="none"/>
                      <w:vertAlign w:val="baseline"/>
                      <w:lang w:val="en-US" w:eastAsia="zh-CN"/>
                    </w:rPr>
                  </w:pPr>
                </w:p>
              </w:tc>
              <w:tc>
                <w:tcPr>
                  <w:tcW w:w="1796" w:type="dxa"/>
                  <w:tcBorders>
                    <w:tl2br w:val="nil"/>
                    <w:tr2bl w:val="nil"/>
                  </w:tcBorders>
                  <w:noWrap w:val="0"/>
                  <w:vAlign w:val="center"/>
                </w:tcPr>
                <w:p w14:paraId="20E5EB5C">
                  <w:pPr>
                    <w:jc w:val="center"/>
                    <w:rPr>
                      <w:rFonts w:hint="default"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排放速率（kg/h）</w:t>
                  </w:r>
                </w:p>
              </w:tc>
              <w:tc>
                <w:tcPr>
                  <w:tcW w:w="1225" w:type="dxa"/>
                  <w:tcBorders>
                    <w:tl2br w:val="nil"/>
                    <w:tr2bl w:val="nil"/>
                  </w:tcBorders>
                  <w:noWrap w:val="0"/>
                  <w:vAlign w:val="center"/>
                </w:tcPr>
                <w:p w14:paraId="5197BD1A">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0.424</w:t>
                  </w:r>
                </w:p>
              </w:tc>
              <w:tc>
                <w:tcPr>
                  <w:tcW w:w="1192" w:type="dxa"/>
                  <w:tcBorders>
                    <w:tl2br w:val="nil"/>
                    <w:tr2bl w:val="nil"/>
                  </w:tcBorders>
                  <w:noWrap w:val="0"/>
                  <w:vAlign w:val="center"/>
                </w:tcPr>
                <w:p w14:paraId="4B504FF1">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0.42</w:t>
                  </w:r>
                </w:p>
              </w:tc>
              <w:tc>
                <w:tcPr>
                  <w:tcW w:w="1192" w:type="dxa"/>
                  <w:tcBorders>
                    <w:tl2br w:val="nil"/>
                    <w:tr2bl w:val="nil"/>
                  </w:tcBorders>
                  <w:noWrap w:val="0"/>
                  <w:vAlign w:val="center"/>
                </w:tcPr>
                <w:p w14:paraId="4EA6E4F1">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0.407</w:t>
                  </w:r>
                </w:p>
              </w:tc>
              <w:tc>
                <w:tcPr>
                  <w:tcW w:w="1160" w:type="dxa"/>
                  <w:tcBorders>
                    <w:tl2br w:val="nil"/>
                    <w:tr2bl w:val="nil"/>
                  </w:tcBorders>
                  <w:noWrap w:val="0"/>
                  <w:vAlign w:val="center"/>
                </w:tcPr>
                <w:p w14:paraId="40FE1024">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0.417</w:t>
                  </w:r>
                </w:p>
              </w:tc>
            </w:tr>
            <w:tr w14:paraId="51A4AD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0A212776">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6FCC8505">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restart"/>
                  <w:tcBorders>
                    <w:tl2br w:val="nil"/>
                    <w:tr2bl w:val="nil"/>
                  </w:tcBorders>
                  <w:noWrap w:val="0"/>
                  <w:vAlign w:val="center"/>
                </w:tcPr>
                <w:p w14:paraId="2C8B3B98">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甲苯</w:t>
                  </w:r>
                </w:p>
              </w:tc>
              <w:tc>
                <w:tcPr>
                  <w:tcW w:w="1796" w:type="dxa"/>
                  <w:tcBorders>
                    <w:tl2br w:val="nil"/>
                    <w:tr2bl w:val="nil"/>
                  </w:tcBorders>
                  <w:noWrap w:val="0"/>
                  <w:vAlign w:val="center"/>
                </w:tcPr>
                <w:p w14:paraId="588E7176">
                  <w:pPr>
                    <w:jc w:val="center"/>
                    <w:rPr>
                      <w:rFonts w:hint="eastAsia"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排放浓度（mg/m</w:t>
                  </w:r>
                  <w:r>
                    <w:rPr>
                      <w:rFonts w:hint="eastAsia" w:ascii="Times New Roman" w:hAnsi="Times New Roman" w:eastAsia="宋体" w:cs="Times New Roman"/>
                      <w:color w:val="auto"/>
                      <w:spacing w:val="0"/>
                      <w:highlight w:val="none"/>
                      <w:vertAlign w:val="superscript"/>
                      <w:lang w:val="en-US" w:eastAsia="zh-CN"/>
                    </w:rPr>
                    <w:t>3</w:t>
                  </w:r>
                  <w:r>
                    <w:rPr>
                      <w:rFonts w:hint="eastAsia" w:ascii="Times New Roman" w:hAnsi="Times New Roman" w:eastAsia="宋体" w:cs="Times New Roman"/>
                      <w:color w:val="auto"/>
                      <w:spacing w:val="0"/>
                      <w:highlight w:val="none"/>
                      <w:vertAlign w:val="baseline"/>
                      <w:lang w:val="en-US" w:eastAsia="zh-CN"/>
                    </w:rPr>
                    <w:t>）</w:t>
                  </w:r>
                </w:p>
              </w:tc>
              <w:tc>
                <w:tcPr>
                  <w:tcW w:w="1225" w:type="dxa"/>
                  <w:tcBorders>
                    <w:tl2br w:val="nil"/>
                    <w:tr2bl w:val="nil"/>
                  </w:tcBorders>
                  <w:noWrap w:val="0"/>
                  <w:vAlign w:val="center"/>
                </w:tcPr>
                <w:p w14:paraId="38520030">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0.781</w:t>
                  </w:r>
                </w:p>
              </w:tc>
              <w:tc>
                <w:tcPr>
                  <w:tcW w:w="1192" w:type="dxa"/>
                  <w:tcBorders>
                    <w:tl2br w:val="nil"/>
                    <w:tr2bl w:val="nil"/>
                  </w:tcBorders>
                  <w:noWrap w:val="0"/>
                  <w:vAlign w:val="center"/>
                </w:tcPr>
                <w:p w14:paraId="18303678">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0.737</w:t>
                  </w:r>
                </w:p>
              </w:tc>
              <w:tc>
                <w:tcPr>
                  <w:tcW w:w="1192" w:type="dxa"/>
                  <w:tcBorders>
                    <w:tl2br w:val="nil"/>
                    <w:tr2bl w:val="nil"/>
                  </w:tcBorders>
                  <w:noWrap w:val="0"/>
                  <w:vAlign w:val="center"/>
                </w:tcPr>
                <w:p w14:paraId="769CB248">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0.697</w:t>
                  </w:r>
                </w:p>
              </w:tc>
              <w:tc>
                <w:tcPr>
                  <w:tcW w:w="1160" w:type="dxa"/>
                  <w:tcBorders>
                    <w:tl2br w:val="nil"/>
                    <w:tr2bl w:val="nil"/>
                  </w:tcBorders>
                  <w:noWrap w:val="0"/>
                  <w:vAlign w:val="center"/>
                </w:tcPr>
                <w:p w14:paraId="01984EB6">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0.738</w:t>
                  </w:r>
                </w:p>
              </w:tc>
            </w:tr>
            <w:tr w14:paraId="233E20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3DC2CD74">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3569B0A1">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continue"/>
                  <w:tcBorders>
                    <w:tl2br w:val="nil"/>
                    <w:tr2bl w:val="nil"/>
                  </w:tcBorders>
                  <w:noWrap w:val="0"/>
                  <w:vAlign w:val="center"/>
                </w:tcPr>
                <w:p w14:paraId="6D5D6F9B">
                  <w:pPr>
                    <w:jc w:val="center"/>
                    <w:rPr>
                      <w:rFonts w:hint="default" w:ascii="Times New Roman" w:hAnsi="Times New Roman" w:eastAsia="宋体" w:cs="Times New Roman"/>
                      <w:color w:val="auto"/>
                      <w:spacing w:val="0"/>
                      <w:highlight w:val="none"/>
                      <w:vertAlign w:val="baseline"/>
                      <w:lang w:val="en-US" w:eastAsia="zh-CN"/>
                    </w:rPr>
                  </w:pPr>
                </w:p>
              </w:tc>
              <w:tc>
                <w:tcPr>
                  <w:tcW w:w="1796" w:type="dxa"/>
                  <w:tcBorders>
                    <w:tl2br w:val="nil"/>
                    <w:tr2bl w:val="nil"/>
                  </w:tcBorders>
                  <w:noWrap w:val="0"/>
                  <w:vAlign w:val="center"/>
                </w:tcPr>
                <w:p w14:paraId="60BFB983">
                  <w:pPr>
                    <w:jc w:val="center"/>
                    <w:rPr>
                      <w:rFonts w:hint="eastAsia"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排放速率（kg/h）</w:t>
                  </w:r>
                </w:p>
              </w:tc>
              <w:tc>
                <w:tcPr>
                  <w:tcW w:w="1225" w:type="dxa"/>
                  <w:tcBorders>
                    <w:tl2br w:val="nil"/>
                    <w:tr2bl w:val="nil"/>
                  </w:tcBorders>
                  <w:noWrap w:val="0"/>
                  <w:vAlign w:val="center"/>
                </w:tcPr>
                <w:p w14:paraId="34FC2922">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0.016</w:t>
                  </w:r>
                </w:p>
              </w:tc>
              <w:tc>
                <w:tcPr>
                  <w:tcW w:w="1192" w:type="dxa"/>
                  <w:tcBorders>
                    <w:tl2br w:val="nil"/>
                    <w:tr2bl w:val="nil"/>
                  </w:tcBorders>
                  <w:noWrap w:val="0"/>
                  <w:vAlign w:val="center"/>
                </w:tcPr>
                <w:p w14:paraId="47437D93">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0.016</w:t>
                  </w:r>
                </w:p>
              </w:tc>
              <w:tc>
                <w:tcPr>
                  <w:tcW w:w="1192" w:type="dxa"/>
                  <w:tcBorders>
                    <w:tl2br w:val="nil"/>
                    <w:tr2bl w:val="nil"/>
                  </w:tcBorders>
                  <w:noWrap w:val="0"/>
                  <w:vAlign w:val="center"/>
                </w:tcPr>
                <w:p w14:paraId="3C778FDE">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0.016</w:t>
                  </w:r>
                </w:p>
              </w:tc>
              <w:tc>
                <w:tcPr>
                  <w:tcW w:w="1160" w:type="dxa"/>
                  <w:tcBorders>
                    <w:tl2br w:val="nil"/>
                    <w:tr2bl w:val="nil"/>
                  </w:tcBorders>
                  <w:noWrap w:val="0"/>
                  <w:vAlign w:val="center"/>
                </w:tcPr>
                <w:p w14:paraId="40802308">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0.016</w:t>
                  </w:r>
                </w:p>
              </w:tc>
            </w:tr>
            <w:tr w14:paraId="778B3B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0D96013E">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5D37A76A">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restart"/>
                  <w:tcBorders>
                    <w:tl2br w:val="nil"/>
                    <w:tr2bl w:val="nil"/>
                  </w:tcBorders>
                  <w:noWrap w:val="0"/>
                  <w:vAlign w:val="center"/>
                </w:tcPr>
                <w:p w14:paraId="5B723A60">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二甲苯</w:t>
                  </w:r>
                </w:p>
              </w:tc>
              <w:tc>
                <w:tcPr>
                  <w:tcW w:w="1796" w:type="dxa"/>
                  <w:tcBorders>
                    <w:tl2br w:val="nil"/>
                    <w:tr2bl w:val="nil"/>
                  </w:tcBorders>
                  <w:noWrap w:val="0"/>
                  <w:vAlign w:val="center"/>
                </w:tcPr>
                <w:p w14:paraId="147528D8">
                  <w:pPr>
                    <w:jc w:val="center"/>
                    <w:rPr>
                      <w:rFonts w:hint="eastAsia"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排放浓度（mg/m</w:t>
                  </w:r>
                  <w:r>
                    <w:rPr>
                      <w:rFonts w:hint="eastAsia" w:ascii="Times New Roman" w:hAnsi="Times New Roman" w:eastAsia="宋体" w:cs="Times New Roman"/>
                      <w:color w:val="auto"/>
                      <w:spacing w:val="0"/>
                      <w:highlight w:val="none"/>
                      <w:vertAlign w:val="superscript"/>
                      <w:lang w:val="en-US" w:eastAsia="zh-CN"/>
                    </w:rPr>
                    <w:t>3</w:t>
                  </w:r>
                  <w:r>
                    <w:rPr>
                      <w:rFonts w:hint="eastAsia" w:ascii="Times New Roman" w:hAnsi="Times New Roman" w:eastAsia="宋体" w:cs="Times New Roman"/>
                      <w:color w:val="auto"/>
                      <w:spacing w:val="0"/>
                      <w:highlight w:val="none"/>
                      <w:vertAlign w:val="baseline"/>
                      <w:lang w:val="en-US" w:eastAsia="zh-CN"/>
                    </w:rPr>
                    <w:t>）</w:t>
                  </w:r>
                </w:p>
              </w:tc>
              <w:tc>
                <w:tcPr>
                  <w:tcW w:w="1225" w:type="dxa"/>
                  <w:tcBorders>
                    <w:tl2br w:val="nil"/>
                    <w:tr2bl w:val="nil"/>
                  </w:tcBorders>
                  <w:noWrap w:val="0"/>
                  <w:vAlign w:val="center"/>
                </w:tcPr>
                <w:p w14:paraId="1E82220E">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1.81</w:t>
                  </w:r>
                </w:p>
              </w:tc>
              <w:tc>
                <w:tcPr>
                  <w:tcW w:w="1192" w:type="dxa"/>
                  <w:tcBorders>
                    <w:tl2br w:val="nil"/>
                    <w:tr2bl w:val="nil"/>
                  </w:tcBorders>
                  <w:noWrap w:val="0"/>
                  <w:vAlign w:val="center"/>
                </w:tcPr>
                <w:p w14:paraId="792457A2">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1.71</w:t>
                  </w:r>
                </w:p>
              </w:tc>
              <w:tc>
                <w:tcPr>
                  <w:tcW w:w="1192" w:type="dxa"/>
                  <w:tcBorders>
                    <w:tl2br w:val="nil"/>
                    <w:tr2bl w:val="nil"/>
                  </w:tcBorders>
                  <w:noWrap w:val="0"/>
                  <w:vAlign w:val="center"/>
                </w:tcPr>
                <w:p w14:paraId="268634D3">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1.66</w:t>
                  </w:r>
                </w:p>
              </w:tc>
              <w:tc>
                <w:tcPr>
                  <w:tcW w:w="1160" w:type="dxa"/>
                  <w:tcBorders>
                    <w:tl2br w:val="nil"/>
                    <w:tr2bl w:val="nil"/>
                  </w:tcBorders>
                  <w:noWrap w:val="0"/>
                  <w:vAlign w:val="center"/>
                </w:tcPr>
                <w:p w14:paraId="12A7577B">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1.73</w:t>
                  </w:r>
                </w:p>
              </w:tc>
            </w:tr>
            <w:tr w14:paraId="71C092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3C3CA4A1">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5114C68C">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continue"/>
                  <w:tcBorders>
                    <w:tl2br w:val="nil"/>
                    <w:tr2bl w:val="nil"/>
                  </w:tcBorders>
                  <w:noWrap w:val="0"/>
                  <w:vAlign w:val="center"/>
                </w:tcPr>
                <w:p w14:paraId="509869F7">
                  <w:pPr>
                    <w:jc w:val="center"/>
                    <w:rPr>
                      <w:rFonts w:hint="default" w:ascii="Times New Roman" w:hAnsi="Times New Roman" w:eastAsia="宋体" w:cs="Times New Roman"/>
                      <w:color w:val="auto"/>
                      <w:spacing w:val="0"/>
                      <w:highlight w:val="none"/>
                      <w:vertAlign w:val="baseline"/>
                      <w:lang w:val="en-US" w:eastAsia="zh-CN"/>
                    </w:rPr>
                  </w:pPr>
                </w:p>
              </w:tc>
              <w:tc>
                <w:tcPr>
                  <w:tcW w:w="1796" w:type="dxa"/>
                  <w:tcBorders>
                    <w:tl2br w:val="nil"/>
                    <w:tr2bl w:val="nil"/>
                  </w:tcBorders>
                  <w:noWrap w:val="0"/>
                  <w:vAlign w:val="center"/>
                </w:tcPr>
                <w:p w14:paraId="7B609538">
                  <w:pPr>
                    <w:jc w:val="center"/>
                    <w:rPr>
                      <w:rFonts w:hint="eastAsia"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排放速率（kg/h）</w:t>
                  </w:r>
                </w:p>
              </w:tc>
              <w:tc>
                <w:tcPr>
                  <w:tcW w:w="1225" w:type="dxa"/>
                  <w:tcBorders>
                    <w:tl2br w:val="nil"/>
                    <w:tr2bl w:val="nil"/>
                  </w:tcBorders>
                  <w:noWrap w:val="0"/>
                  <w:vAlign w:val="center"/>
                </w:tcPr>
                <w:p w14:paraId="5C7F03CD">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0.036</w:t>
                  </w:r>
                </w:p>
              </w:tc>
              <w:tc>
                <w:tcPr>
                  <w:tcW w:w="1192" w:type="dxa"/>
                  <w:tcBorders>
                    <w:tl2br w:val="nil"/>
                    <w:tr2bl w:val="nil"/>
                  </w:tcBorders>
                  <w:noWrap w:val="0"/>
                  <w:vAlign w:val="center"/>
                </w:tcPr>
                <w:p w14:paraId="7B9D94AD">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0.038</w:t>
                  </w:r>
                </w:p>
              </w:tc>
              <w:tc>
                <w:tcPr>
                  <w:tcW w:w="1192" w:type="dxa"/>
                  <w:tcBorders>
                    <w:tl2br w:val="nil"/>
                    <w:tr2bl w:val="nil"/>
                  </w:tcBorders>
                  <w:noWrap w:val="0"/>
                  <w:vAlign w:val="center"/>
                </w:tcPr>
                <w:p w14:paraId="62F01EA7">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0.038</w:t>
                  </w:r>
                </w:p>
              </w:tc>
              <w:tc>
                <w:tcPr>
                  <w:tcW w:w="1160" w:type="dxa"/>
                  <w:tcBorders>
                    <w:tl2br w:val="nil"/>
                    <w:tr2bl w:val="nil"/>
                  </w:tcBorders>
                  <w:noWrap w:val="0"/>
                  <w:vAlign w:val="center"/>
                </w:tcPr>
                <w:p w14:paraId="2928280D">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0.037</w:t>
                  </w:r>
                </w:p>
              </w:tc>
            </w:tr>
            <w:tr w14:paraId="701BDC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20BEE472">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0EC9517A">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restart"/>
                  <w:tcBorders>
                    <w:tl2br w:val="nil"/>
                    <w:tr2bl w:val="nil"/>
                  </w:tcBorders>
                  <w:noWrap w:val="0"/>
                  <w:vAlign w:val="center"/>
                </w:tcPr>
                <w:p w14:paraId="32185DEE">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非甲烷总烃</w:t>
                  </w:r>
                </w:p>
              </w:tc>
              <w:tc>
                <w:tcPr>
                  <w:tcW w:w="1796" w:type="dxa"/>
                  <w:tcBorders>
                    <w:tl2br w:val="nil"/>
                    <w:tr2bl w:val="nil"/>
                  </w:tcBorders>
                  <w:noWrap w:val="0"/>
                  <w:vAlign w:val="center"/>
                </w:tcPr>
                <w:p w14:paraId="6F622726">
                  <w:pPr>
                    <w:jc w:val="center"/>
                    <w:rPr>
                      <w:rFonts w:hint="eastAsia"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排放浓度（mg/m</w:t>
                  </w:r>
                  <w:r>
                    <w:rPr>
                      <w:rFonts w:hint="eastAsia" w:ascii="Times New Roman" w:hAnsi="Times New Roman" w:eastAsia="宋体" w:cs="Times New Roman"/>
                      <w:color w:val="auto"/>
                      <w:spacing w:val="0"/>
                      <w:highlight w:val="none"/>
                      <w:vertAlign w:val="superscript"/>
                      <w:lang w:val="en-US" w:eastAsia="zh-CN"/>
                    </w:rPr>
                    <w:t>3</w:t>
                  </w:r>
                  <w:r>
                    <w:rPr>
                      <w:rFonts w:hint="eastAsia" w:ascii="Times New Roman" w:hAnsi="Times New Roman" w:eastAsia="宋体" w:cs="Times New Roman"/>
                      <w:color w:val="auto"/>
                      <w:spacing w:val="0"/>
                      <w:highlight w:val="none"/>
                      <w:vertAlign w:val="baseline"/>
                      <w:lang w:val="en-US" w:eastAsia="zh-CN"/>
                    </w:rPr>
                    <w:t>）</w:t>
                  </w:r>
                </w:p>
              </w:tc>
              <w:tc>
                <w:tcPr>
                  <w:tcW w:w="1225" w:type="dxa"/>
                  <w:tcBorders>
                    <w:tl2br w:val="nil"/>
                    <w:tr2bl w:val="nil"/>
                  </w:tcBorders>
                  <w:noWrap w:val="0"/>
                  <w:vAlign w:val="center"/>
                </w:tcPr>
                <w:p w14:paraId="662F1E27">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14.6</w:t>
                  </w:r>
                </w:p>
              </w:tc>
              <w:tc>
                <w:tcPr>
                  <w:tcW w:w="1192" w:type="dxa"/>
                  <w:tcBorders>
                    <w:tl2br w:val="nil"/>
                    <w:tr2bl w:val="nil"/>
                  </w:tcBorders>
                  <w:noWrap w:val="0"/>
                  <w:vAlign w:val="center"/>
                </w:tcPr>
                <w:p w14:paraId="082F136F">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11.9</w:t>
                  </w:r>
                </w:p>
              </w:tc>
              <w:tc>
                <w:tcPr>
                  <w:tcW w:w="1192" w:type="dxa"/>
                  <w:tcBorders>
                    <w:tl2br w:val="nil"/>
                    <w:tr2bl w:val="nil"/>
                  </w:tcBorders>
                  <w:noWrap w:val="0"/>
                  <w:vAlign w:val="center"/>
                </w:tcPr>
                <w:p w14:paraId="1275CB5D">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11.7</w:t>
                  </w:r>
                </w:p>
              </w:tc>
              <w:tc>
                <w:tcPr>
                  <w:tcW w:w="1160" w:type="dxa"/>
                  <w:tcBorders>
                    <w:tl2br w:val="nil"/>
                    <w:tr2bl w:val="nil"/>
                  </w:tcBorders>
                  <w:noWrap w:val="0"/>
                  <w:vAlign w:val="center"/>
                </w:tcPr>
                <w:p w14:paraId="67FD1500">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12.7</w:t>
                  </w:r>
                </w:p>
              </w:tc>
            </w:tr>
            <w:tr w14:paraId="1085D6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Merge w:val="continue"/>
                  <w:tcBorders>
                    <w:tl2br w:val="nil"/>
                    <w:tr2bl w:val="nil"/>
                  </w:tcBorders>
                  <w:noWrap w:val="0"/>
                  <w:vAlign w:val="center"/>
                </w:tcPr>
                <w:p w14:paraId="11CCF031">
                  <w:pPr>
                    <w:jc w:val="center"/>
                    <w:rPr>
                      <w:rFonts w:hint="default" w:ascii="Times New Roman" w:hAnsi="Times New Roman" w:eastAsia="宋体" w:cs="Times New Roman"/>
                      <w:color w:val="auto"/>
                      <w:spacing w:val="0"/>
                      <w:highlight w:val="none"/>
                      <w:vertAlign w:val="baseline"/>
                      <w:lang w:val="en-US" w:eastAsia="zh-CN"/>
                    </w:rPr>
                  </w:pPr>
                </w:p>
              </w:tc>
              <w:tc>
                <w:tcPr>
                  <w:tcW w:w="800" w:type="dxa"/>
                  <w:vMerge w:val="continue"/>
                  <w:tcBorders>
                    <w:tl2br w:val="nil"/>
                    <w:tr2bl w:val="nil"/>
                  </w:tcBorders>
                  <w:noWrap w:val="0"/>
                  <w:vAlign w:val="center"/>
                </w:tcPr>
                <w:p w14:paraId="2DE9B9CB">
                  <w:pPr>
                    <w:jc w:val="center"/>
                    <w:rPr>
                      <w:rFonts w:hint="default" w:ascii="Times New Roman" w:hAnsi="Times New Roman" w:eastAsia="宋体" w:cs="Times New Roman"/>
                      <w:color w:val="auto"/>
                      <w:spacing w:val="0"/>
                      <w:highlight w:val="none"/>
                      <w:vertAlign w:val="baseline"/>
                      <w:lang w:val="en-US" w:eastAsia="zh-CN"/>
                    </w:rPr>
                  </w:pPr>
                </w:p>
              </w:tc>
              <w:tc>
                <w:tcPr>
                  <w:tcW w:w="653" w:type="dxa"/>
                  <w:vMerge w:val="continue"/>
                  <w:tcBorders>
                    <w:tl2br w:val="nil"/>
                    <w:tr2bl w:val="nil"/>
                  </w:tcBorders>
                  <w:noWrap w:val="0"/>
                  <w:vAlign w:val="center"/>
                </w:tcPr>
                <w:p w14:paraId="34D0FC6D">
                  <w:pPr>
                    <w:jc w:val="center"/>
                    <w:rPr>
                      <w:rFonts w:hint="default" w:ascii="Times New Roman" w:hAnsi="Times New Roman" w:eastAsia="宋体" w:cs="Times New Roman"/>
                      <w:color w:val="auto"/>
                      <w:spacing w:val="0"/>
                      <w:highlight w:val="none"/>
                      <w:vertAlign w:val="baseline"/>
                      <w:lang w:val="en-US" w:eastAsia="zh-CN"/>
                    </w:rPr>
                  </w:pPr>
                </w:p>
              </w:tc>
              <w:tc>
                <w:tcPr>
                  <w:tcW w:w="1796" w:type="dxa"/>
                  <w:tcBorders>
                    <w:tl2br w:val="nil"/>
                    <w:tr2bl w:val="nil"/>
                  </w:tcBorders>
                  <w:noWrap w:val="0"/>
                  <w:vAlign w:val="center"/>
                </w:tcPr>
                <w:p w14:paraId="57FE78CF">
                  <w:pPr>
                    <w:jc w:val="center"/>
                    <w:rPr>
                      <w:rFonts w:hint="eastAsia"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vertAlign w:val="baseline"/>
                      <w:lang w:val="en-US" w:eastAsia="zh-CN"/>
                    </w:rPr>
                    <w:t>排放速率（kg/h）</w:t>
                  </w:r>
                </w:p>
              </w:tc>
              <w:tc>
                <w:tcPr>
                  <w:tcW w:w="1225" w:type="dxa"/>
                  <w:tcBorders>
                    <w:tl2br w:val="nil"/>
                    <w:tr2bl w:val="nil"/>
                  </w:tcBorders>
                  <w:noWrap w:val="0"/>
                  <w:vAlign w:val="center"/>
                </w:tcPr>
                <w:p w14:paraId="53B43B4E">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0.292</w:t>
                  </w:r>
                </w:p>
              </w:tc>
              <w:tc>
                <w:tcPr>
                  <w:tcW w:w="1192" w:type="dxa"/>
                  <w:tcBorders>
                    <w:tl2br w:val="nil"/>
                    <w:tr2bl w:val="nil"/>
                  </w:tcBorders>
                  <w:noWrap w:val="0"/>
                  <w:vAlign w:val="center"/>
                </w:tcPr>
                <w:p w14:paraId="3C8F17F7">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0.264</w:t>
                  </w:r>
                </w:p>
              </w:tc>
              <w:tc>
                <w:tcPr>
                  <w:tcW w:w="1192" w:type="dxa"/>
                  <w:tcBorders>
                    <w:tl2br w:val="nil"/>
                    <w:tr2bl w:val="nil"/>
                  </w:tcBorders>
                  <w:noWrap w:val="0"/>
                  <w:vAlign w:val="center"/>
                </w:tcPr>
                <w:p w14:paraId="47EA349E">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0.269</w:t>
                  </w:r>
                </w:p>
              </w:tc>
              <w:tc>
                <w:tcPr>
                  <w:tcW w:w="1160" w:type="dxa"/>
                  <w:tcBorders>
                    <w:tl2br w:val="nil"/>
                    <w:tr2bl w:val="nil"/>
                  </w:tcBorders>
                  <w:noWrap w:val="0"/>
                  <w:vAlign w:val="center"/>
                </w:tcPr>
                <w:p w14:paraId="79A4DD4F">
                  <w:pPr>
                    <w:jc w:val="center"/>
                    <w:rPr>
                      <w:rFonts w:hint="default" w:ascii="Times New Roman" w:hAnsi="Times New Roman" w:eastAsia="宋体" w:cs="Times New Roman"/>
                      <w:color w:val="auto"/>
                      <w:spacing w:val="0"/>
                      <w:highlight w:val="none"/>
                      <w:vertAlign w:val="baseline"/>
                      <w:lang w:val="en-US" w:eastAsia="zh-CN"/>
                    </w:rPr>
                  </w:pPr>
                  <w:r>
                    <w:rPr>
                      <w:rFonts w:hint="eastAsia" w:cs="Times New Roman"/>
                      <w:color w:val="auto"/>
                      <w:spacing w:val="0"/>
                      <w:highlight w:val="none"/>
                      <w:vertAlign w:val="baseline"/>
                      <w:lang w:val="en-US" w:eastAsia="zh-CN"/>
                    </w:rPr>
                    <w:t>0.275</w:t>
                  </w:r>
                </w:p>
              </w:tc>
            </w:tr>
          </w:tbl>
          <w:p w14:paraId="43F9D1C3">
            <w:pPr>
              <w:pStyle w:val="28"/>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480" w:firstLineChars="200"/>
              <w:textAlignment w:val="auto"/>
              <w:rPr>
                <w:rFonts w:hint="default" w:ascii="Times New Roman" w:hAnsi="Times New Roman" w:eastAsia="宋体" w:cs="Times New Roman"/>
                <w:color w:val="auto"/>
                <w:spacing w:val="0"/>
                <w:sz w:val="24"/>
                <w:highlight w:val="none"/>
                <w:lang w:bidi="ar"/>
              </w:rPr>
            </w:pPr>
            <w:r>
              <w:rPr>
                <w:rFonts w:hint="eastAsia" w:ascii="Times New Roman" w:hAnsi="Times New Roman" w:eastAsia="宋体" w:cs="Times New Roman"/>
                <w:bCs/>
                <w:color w:val="auto"/>
                <w:spacing w:val="0"/>
                <w:sz w:val="24"/>
                <w:szCs w:val="24"/>
                <w:highlight w:val="none"/>
                <w:lang w:eastAsia="zh-CN"/>
              </w:rPr>
              <w:t>由上表可知，</w:t>
            </w:r>
            <w:r>
              <w:rPr>
                <w:rFonts w:hint="eastAsia" w:ascii="Times New Roman" w:hAnsi="Times New Roman" w:eastAsia="宋体" w:cs="Times New Roman"/>
                <w:color w:val="auto"/>
                <w:sz w:val="24"/>
                <w:highlight w:val="none"/>
              </w:rPr>
              <w:t>废气处理设施P1出口</w:t>
            </w:r>
            <w:r>
              <w:rPr>
                <w:rFonts w:hint="eastAsia" w:ascii="Times New Roman" w:hAnsi="Times New Roman" w:eastAsia="宋体" w:cs="Times New Roman"/>
                <w:color w:val="auto"/>
                <w:sz w:val="24"/>
                <w:highlight w:val="none"/>
                <w:lang w:val="en-US" w:eastAsia="zh-CN"/>
              </w:rPr>
              <w:t>颗粒物最高排放浓度22.1</w:t>
            </w:r>
            <w:r>
              <w:rPr>
                <w:rFonts w:hint="default" w:ascii="Times New Roman" w:hAnsi="Times New Roman" w:eastAsia="宋体" w:cs="Times New Roman"/>
                <w:color w:val="auto"/>
                <w:spacing w:val="0"/>
                <w:position w:val="0"/>
                <w:sz w:val="24"/>
                <w:szCs w:val="24"/>
                <w:highlight w:val="none"/>
              </w:rPr>
              <w:t>mg/m</w:t>
            </w:r>
            <w:r>
              <w:rPr>
                <w:rFonts w:hint="default" w:ascii="Times New Roman" w:hAnsi="Times New Roman" w:eastAsia="宋体" w:cs="Times New Roman"/>
                <w:color w:val="auto"/>
                <w:spacing w:val="0"/>
                <w:position w:val="0"/>
                <w:sz w:val="24"/>
                <w:szCs w:val="24"/>
                <w:highlight w:val="none"/>
                <w:vertAlign w:val="superscript"/>
              </w:rPr>
              <w:t>3</w:t>
            </w:r>
            <w:r>
              <w:rPr>
                <w:rFonts w:hint="eastAsia" w:ascii="Times New Roman" w:hAnsi="Times New Roman" w:eastAsia="宋体" w:cs="Times New Roman"/>
                <w:color w:val="auto"/>
                <w:spacing w:val="0"/>
                <w:position w:val="0"/>
                <w:sz w:val="24"/>
                <w:szCs w:val="24"/>
                <w:highlight w:val="none"/>
                <w:lang w:val="en-US" w:eastAsia="zh-CN"/>
              </w:rPr>
              <w:t>、最高排放速率0.433</w:t>
            </w:r>
            <w:r>
              <w:rPr>
                <w:rFonts w:hint="default" w:ascii="Times New Roman" w:hAnsi="Times New Roman" w:eastAsia="宋体" w:cs="Times New Roman"/>
                <w:color w:val="auto"/>
                <w:spacing w:val="0"/>
                <w:position w:val="0"/>
                <w:sz w:val="24"/>
                <w:szCs w:val="24"/>
                <w:highlight w:val="none"/>
              </w:rPr>
              <w:t>kg/h</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z w:val="24"/>
                <w:highlight w:val="none"/>
                <w:lang w:val="en-US" w:eastAsia="zh-CN"/>
              </w:rPr>
              <w:t>甲苯最高排放浓度0.781</w:t>
            </w:r>
            <w:r>
              <w:rPr>
                <w:rFonts w:hint="default" w:ascii="Times New Roman" w:hAnsi="Times New Roman" w:eastAsia="宋体" w:cs="Times New Roman"/>
                <w:color w:val="auto"/>
                <w:spacing w:val="0"/>
                <w:position w:val="0"/>
                <w:sz w:val="24"/>
                <w:szCs w:val="24"/>
                <w:highlight w:val="none"/>
              </w:rPr>
              <w:t>mg/m</w:t>
            </w:r>
            <w:r>
              <w:rPr>
                <w:rFonts w:hint="default" w:ascii="Times New Roman" w:hAnsi="Times New Roman" w:eastAsia="宋体" w:cs="Times New Roman"/>
                <w:color w:val="auto"/>
                <w:spacing w:val="0"/>
                <w:position w:val="0"/>
                <w:sz w:val="24"/>
                <w:szCs w:val="24"/>
                <w:highlight w:val="none"/>
                <w:vertAlign w:val="superscript"/>
              </w:rPr>
              <w:t>3</w:t>
            </w:r>
            <w:r>
              <w:rPr>
                <w:rFonts w:hint="eastAsia" w:ascii="Times New Roman" w:hAnsi="Times New Roman" w:eastAsia="宋体" w:cs="Times New Roman"/>
                <w:color w:val="auto"/>
                <w:spacing w:val="0"/>
                <w:position w:val="0"/>
                <w:sz w:val="24"/>
                <w:szCs w:val="24"/>
                <w:highlight w:val="none"/>
                <w:lang w:val="en-US" w:eastAsia="zh-CN"/>
              </w:rPr>
              <w:t>、最高排放速率0.016</w:t>
            </w:r>
            <w:r>
              <w:rPr>
                <w:rFonts w:hint="default" w:ascii="Times New Roman" w:hAnsi="Times New Roman" w:eastAsia="宋体" w:cs="Times New Roman"/>
                <w:color w:val="auto"/>
                <w:spacing w:val="0"/>
                <w:position w:val="0"/>
                <w:sz w:val="24"/>
                <w:szCs w:val="24"/>
                <w:highlight w:val="none"/>
              </w:rPr>
              <w:t>kg/h</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z w:val="24"/>
                <w:highlight w:val="none"/>
                <w:lang w:val="en-US" w:eastAsia="zh-CN"/>
              </w:rPr>
              <w:t>二甲苯最高排放浓度1.81</w:t>
            </w:r>
            <w:r>
              <w:rPr>
                <w:rFonts w:hint="default" w:ascii="Times New Roman" w:hAnsi="Times New Roman" w:eastAsia="宋体" w:cs="Times New Roman"/>
                <w:color w:val="auto"/>
                <w:spacing w:val="0"/>
                <w:position w:val="0"/>
                <w:sz w:val="24"/>
                <w:szCs w:val="24"/>
                <w:highlight w:val="none"/>
              </w:rPr>
              <w:t>mg/m</w:t>
            </w:r>
            <w:r>
              <w:rPr>
                <w:rFonts w:hint="default" w:ascii="Times New Roman" w:hAnsi="Times New Roman" w:eastAsia="宋体" w:cs="Times New Roman"/>
                <w:color w:val="auto"/>
                <w:spacing w:val="0"/>
                <w:position w:val="0"/>
                <w:sz w:val="24"/>
                <w:szCs w:val="24"/>
                <w:highlight w:val="none"/>
                <w:vertAlign w:val="superscript"/>
              </w:rPr>
              <w:t>3</w:t>
            </w:r>
            <w:r>
              <w:rPr>
                <w:rFonts w:hint="eastAsia" w:ascii="Times New Roman" w:hAnsi="Times New Roman" w:eastAsia="宋体" w:cs="Times New Roman"/>
                <w:color w:val="auto"/>
                <w:spacing w:val="0"/>
                <w:position w:val="0"/>
                <w:sz w:val="24"/>
                <w:szCs w:val="24"/>
                <w:highlight w:val="none"/>
                <w:lang w:val="en-US" w:eastAsia="zh-CN"/>
              </w:rPr>
              <w:t>、最高排放速率0.03</w:t>
            </w:r>
            <w:r>
              <w:rPr>
                <w:rFonts w:hint="eastAsia" w:cs="Times New Roman"/>
                <w:color w:val="auto"/>
                <w:spacing w:val="0"/>
                <w:position w:val="0"/>
                <w:sz w:val="24"/>
                <w:szCs w:val="24"/>
                <w:highlight w:val="none"/>
                <w:lang w:val="en-US" w:eastAsia="zh-CN"/>
              </w:rPr>
              <w:t>8</w:t>
            </w:r>
            <w:r>
              <w:rPr>
                <w:rFonts w:hint="default" w:ascii="Times New Roman" w:hAnsi="Times New Roman" w:eastAsia="宋体" w:cs="Times New Roman"/>
                <w:color w:val="auto"/>
                <w:spacing w:val="0"/>
                <w:position w:val="0"/>
                <w:sz w:val="24"/>
                <w:szCs w:val="24"/>
                <w:highlight w:val="none"/>
              </w:rPr>
              <w:t>kg/h</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lang w:val="en-US" w:eastAsia="zh-CN"/>
              </w:rPr>
              <w:t>非甲烷总烃最高排放浓度为14.6</w:t>
            </w:r>
            <w:r>
              <w:rPr>
                <w:rFonts w:hint="default" w:ascii="Times New Roman" w:hAnsi="Times New Roman" w:eastAsia="宋体" w:cs="Times New Roman"/>
                <w:color w:val="auto"/>
                <w:spacing w:val="0"/>
                <w:position w:val="0"/>
                <w:sz w:val="24"/>
                <w:szCs w:val="24"/>
                <w:highlight w:val="none"/>
              </w:rPr>
              <w:t>mg/m</w:t>
            </w:r>
            <w:r>
              <w:rPr>
                <w:rFonts w:hint="default" w:ascii="Times New Roman" w:hAnsi="Times New Roman" w:eastAsia="宋体" w:cs="Times New Roman"/>
                <w:color w:val="auto"/>
                <w:spacing w:val="0"/>
                <w:position w:val="0"/>
                <w:sz w:val="24"/>
                <w:szCs w:val="24"/>
                <w:highlight w:val="none"/>
                <w:vertAlign w:val="superscript"/>
              </w:rPr>
              <w:t>3</w:t>
            </w:r>
            <w:r>
              <w:rPr>
                <w:rFonts w:hint="eastAsia" w:ascii="Times New Roman" w:hAnsi="Times New Roman" w:eastAsia="宋体" w:cs="Times New Roman"/>
                <w:color w:val="auto"/>
                <w:spacing w:val="0"/>
                <w:position w:val="0"/>
                <w:sz w:val="24"/>
                <w:szCs w:val="24"/>
                <w:highlight w:val="none"/>
                <w:lang w:val="en-US" w:eastAsia="zh-CN"/>
              </w:rPr>
              <w:t>、最高排放速率0.292</w:t>
            </w:r>
            <w:r>
              <w:rPr>
                <w:rFonts w:hint="default" w:ascii="Times New Roman" w:hAnsi="Times New Roman" w:eastAsia="宋体" w:cs="Times New Roman"/>
                <w:color w:val="auto"/>
                <w:spacing w:val="0"/>
                <w:position w:val="0"/>
                <w:sz w:val="24"/>
                <w:szCs w:val="24"/>
                <w:highlight w:val="none"/>
              </w:rPr>
              <w:t>kg/h</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lang w:val="en-US" w:eastAsia="zh-CN"/>
              </w:rPr>
              <w:t>颗粒物符合</w:t>
            </w:r>
            <w:r>
              <w:rPr>
                <w:rFonts w:hint="eastAsia"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position w:val="0"/>
                <w:sz w:val="24"/>
                <w:szCs w:val="24"/>
                <w:highlight w:val="none"/>
                <w:lang w:val="en-US" w:eastAsia="zh-CN"/>
              </w:rPr>
              <w:t>大气污染物综合</w:t>
            </w:r>
            <w:r>
              <w:rPr>
                <w:rFonts w:ascii="Times New Roman" w:hAnsi="Times New Roman" w:eastAsia="宋体" w:cs="Times New Roman"/>
                <w:color w:val="auto"/>
                <w:spacing w:val="0"/>
                <w:position w:val="0"/>
                <w:sz w:val="24"/>
                <w:szCs w:val="24"/>
                <w:highlight w:val="none"/>
              </w:rPr>
              <w:t>排放标准》</w:t>
            </w:r>
            <w:r>
              <w:rPr>
                <w:rFonts w:hint="eastAsia" w:ascii="Times New Roman" w:hAnsi="Times New Roman" w:eastAsia="宋体" w:cs="Times New Roman"/>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GB</w:t>
            </w:r>
            <w:r>
              <w:rPr>
                <w:rFonts w:hint="eastAsia" w:ascii="Times New Roman" w:hAnsi="Times New Roman" w:eastAsia="宋体" w:cs="Times New Roman"/>
                <w:color w:val="auto"/>
                <w:spacing w:val="0"/>
                <w:position w:val="0"/>
                <w:sz w:val="24"/>
                <w:szCs w:val="24"/>
                <w:highlight w:val="none"/>
                <w:lang w:val="en-US" w:eastAsia="zh-CN"/>
              </w:rPr>
              <w:t>16297-1996）表2二级标准限值；甲苯、二甲苯、非甲烷总烃符合</w:t>
            </w:r>
            <w:r>
              <w:rPr>
                <w:rFonts w:hint="eastAsia"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position w:val="0"/>
                <w:sz w:val="24"/>
                <w:szCs w:val="24"/>
                <w:highlight w:val="none"/>
                <w:lang w:val="en-US" w:eastAsia="zh-CN"/>
              </w:rPr>
              <w:t>印刷行业挥发性有机物</w:t>
            </w:r>
            <w:r>
              <w:rPr>
                <w:rFonts w:ascii="Times New Roman" w:hAnsi="Times New Roman" w:eastAsia="宋体" w:cs="Times New Roman"/>
                <w:color w:val="auto"/>
                <w:spacing w:val="0"/>
                <w:position w:val="0"/>
                <w:sz w:val="24"/>
                <w:szCs w:val="24"/>
                <w:highlight w:val="none"/>
              </w:rPr>
              <w:t>排放标准》</w:t>
            </w:r>
            <w:r>
              <w:rPr>
                <w:rFonts w:hint="eastAsia" w:ascii="Times New Roman" w:hAnsi="Times New Roman" w:eastAsia="宋体" w:cs="Times New Roman"/>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GB</w:t>
            </w:r>
            <w:r>
              <w:rPr>
                <w:rFonts w:hint="eastAsia" w:ascii="Times New Roman" w:hAnsi="Times New Roman" w:eastAsia="宋体" w:cs="Times New Roman"/>
                <w:color w:val="auto"/>
                <w:spacing w:val="0"/>
                <w:position w:val="0"/>
                <w:sz w:val="24"/>
                <w:szCs w:val="24"/>
                <w:highlight w:val="none"/>
                <w:lang w:val="en-US" w:eastAsia="zh-CN"/>
              </w:rPr>
              <w:t>35/1784-2018）表1排气筒挥发性有机物排放限值。</w:t>
            </w:r>
          </w:p>
          <w:p w14:paraId="19AB94D1">
            <w:pPr>
              <w:pStyle w:val="2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pacing w:val="0"/>
                <w:sz w:val="24"/>
                <w:highlight w:val="none"/>
                <w:lang w:val="en-US"/>
              </w:rPr>
            </w:pPr>
            <w:r>
              <w:rPr>
                <w:rFonts w:hint="default" w:ascii="Times New Roman" w:hAnsi="Times New Roman" w:eastAsia="宋体" w:cs="Times New Roman"/>
                <w:color w:val="auto"/>
                <w:spacing w:val="0"/>
                <w:sz w:val="24"/>
                <w:highlight w:val="none"/>
                <w:lang w:bidi="ar"/>
              </w:rPr>
              <w:t>②</w:t>
            </w:r>
            <w:r>
              <w:rPr>
                <w:rFonts w:hint="eastAsia" w:cs="Times New Roman"/>
                <w:color w:val="auto"/>
                <w:spacing w:val="0"/>
                <w:sz w:val="24"/>
                <w:highlight w:val="none"/>
                <w:lang w:val="en-US" w:eastAsia="zh-CN" w:bidi="ar"/>
              </w:rPr>
              <w:t>无组织排放</w:t>
            </w:r>
          </w:p>
          <w:p w14:paraId="457F90A8">
            <w:pPr>
              <w:pStyle w:val="37"/>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right="0" w:rightChars="0" w:firstLine="480" w:firstLineChars="200"/>
              <w:jc w:val="left"/>
              <w:textAlignment w:val="auto"/>
              <w:rPr>
                <w:rFonts w:hint="eastAsia" w:ascii="Times New Roman" w:hAnsi="Times New Roman" w:eastAsia="宋体" w:cs="Times New Roman"/>
                <w:b w:val="0"/>
                <w:bCs w:val="0"/>
                <w:color w:val="auto"/>
                <w:spacing w:val="0"/>
                <w:position w:val="0"/>
                <w:highlight w:val="none"/>
                <w:lang w:eastAsia="zh-CN"/>
              </w:rPr>
            </w:pPr>
            <w:r>
              <w:rPr>
                <w:rFonts w:hint="eastAsia" w:ascii="Times New Roman" w:hAnsi="Times New Roman" w:eastAsia="宋体" w:cs="Times New Roman"/>
                <w:color w:val="auto"/>
                <w:sz w:val="24"/>
                <w:highlight w:val="none"/>
                <w:lang w:val="en-US" w:eastAsia="zh-CN"/>
              </w:rPr>
              <w:t>项目调漆、喷漆、晾干、打印无组织排放</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pacing w:val="0"/>
                <w:position w:val="0"/>
                <w:highlight w:val="none"/>
                <w:lang w:val="en-US" w:eastAsia="zh-CN"/>
              </w:rPr>
              <w:t>根据验收报告，现有工程</w:t>
            </w:r>
            <w:r>
              <w:rPr>
                <w:rFonts w:hint="eastAsia" w:ascii="Times New Roman" w:hAnsi="Times New Roman" w:eastAsia="宋体" w:cs="Times New Roman"/>
                <w:b w:val="0"/>
                <w:bCs w:val="0"/>
                <w:color w:val="auto"/>
                <w:spacing w:val="0"/>
                <w:position w:val="0"/>
                <w:highlight w:val="none"/>
                <w:lang w:eastAsia="zh-CN"/>
              </w:rPr>
              <w:t>厂内</w:t>
            </w:r>
            <w:r>
              <w:rPr>
                <w:rFonts w:hint="eastAsia" w:ascii="Times New Roman" w:hAnsi="Times New Roman" w:eastAsia="宋体" w:cs="Times New Roman"/>
                <w:b w:val="0"/>
                <w:bCs w:val="0"/>
                <w:color w:val="auto"/>
                <w:spacing w:val="0"/>
                <w:position w:val="0"/>
                <w:highlight w:val="none"/>
              </w:rPr>
              <w:t>无组织废气检测</w:t>
            </w:r>
            <w:r>
              <w:rPr>
                <w:rFonts w:ascii="Times New Roman" w:hAnsi="Times New Roman" w:eastAsia="宋体" w:cs="Times New Roman"/>
                <w:b w:val="0"/>
                <w:bCs w:val="0"/>
                <w:color w:val="auto"/>
                <w:spacing w:val="0"/>
                <w:position w:val="0"/>
                <w:highlight w:val="none"/>
              </w:rPr>
              <w:t>结果</w:t>
            </w:r>
            <w:r>
              <w:rPr>
                <w:rFonts w:hint="eastAsia" w:ascii="Times New Roman" w:hAnsi="Times New Roman" w:eastAsia="宋体" w:cs="Times New Roman"/>
                <w:b w:val="0"/>
                <w:bCs w:val="0"/>
                <w:color w:val="auto"/>
                <w:spacing w:val="0"/>
                <w:position w:val="0"/>
                <w:highlight w:val="none"/>
                <w:lang w:eastAsia="zh-CN"/>
              </w:rPr>
              <w:t>，</w:t>
            </w:r>
            <w:r>
              <w:rPr>
                <w:rFonts w:hint="eastAsia" w:ascii="Times New Roman" w:hAnsi="Times New Roman" w:eastAsia="宋体" w:cs="Times New Roman"/>
                <w:b w:val="0"/>
                <w:bCs w:val="0"/>
                <w:color w:val="auto"/>
                <w:spacing w:val="0"/>
                <w:position w:val="0"/>
                <w:highlight w:val="none"/>
                <w:lang w:val="en-US" w:eastAsia="zh-CN"/>
              </w:rPr>
              <w:t>详见</w:t>
            </w:r>
            <w:r>
              <w:rPr>
                <w:rFonts w:hint="eastAsia" w:ascii="Times New Roman" w:hAnsi="Times New Roman" w:eastAsia="宋体" w:cs="Times New Roman"/>
                <w:b w:val="0"/>
                <w:bCs w:val="0"/>
                <w:color w:val="auto"/>
                <w:spacing w:val="0"/>
                <w:position w:val="0"/>
                <w:highlight w:val="none"/>
                <w:lang w:eastAsia="zh-CN"/>
              </w:rPr>
              <w:t>表</w:t>
            </w:r>
            <w:r>
              <w:rPr>
                <w:rFonts w:hint="eastAsia" w:ascii="Times New Roman" w:hAnsi="Times New Roman" w:eastAsia="宋体" w:cs="Times New Roman"/>
                <w:b w:val="0"/>
                <w:bCs w:val="0"/>
                <w:color w:val="auto"/>
                <w:spacing w:val="0"/>
                <w:position w:val="0"/>
                <w:highlight w:val="none"/>
                <w:lang w:val="en-US" w:eastAsia="zh-CN"/>
              </w:rPr>
              <w:t>2.9.2-4</w:t>
            </w:r>
            <w:r>
              <w:rPr>
                <w:rFonts w:hint="eastAsia" w:ascii="Times New Roman" w:hAnsi="Times New Roman" w:eastAsia="宋体" w:cs="Times New Roman"/>
                <w:b w:val="0"/>
                <w:bCs w:val="0"/>
                <w:color w:val="auto"/>
                <w:spacing w:val="0"/>
                <w:position w:val="0"/>
                <w:highlight w:val="none"/>
                <w:lang w:eastAsia="zh-CN"/>
              </w:rPr>
              <w:t>、厂界</w:t>
            </w:r>
            <w:r>
              <w:rPr>
                <w:rFonts w:hint="eastAsia" w:ascii="Times New Roman" w:hAnsi="Times New Roman" w:eastAsia="宋体" w:cs="Times New Roman"/>
                <w:b w:val="0"/>
                <w:bCs w:val="0"/>
                <w:color w:val="auto"/>
                <w:spacing w:val="0"/>
                <w:position w:val="0"/>
                <w:highlight w:val="none"/>
              </w:rPr>
              <w:t>无组织废气检测</w:t>
            </w:r>
            <w:r>
              <w:rPr>
                <w:rFonts w:ascii="Times New Roman" w:hAnsi="Times New Roman" w:eastAsia="宋体" w:cs="Times New Roman"/>
                <w:b w:val="0"/>
                <w:bCs w:val="0"/>
                <w:color w:val="auto"/>
                <w:spacing w:val="0"/>
                <w:position w:val="0"/>
                <w:highlight w:val="none"/>
              </w:rPr>
              <w:t>结果</w:t>
            </w:r>
            <w:r>
              <w:rPr>
                <w:rFonts w:hint="eastAsia" w:ascii="Times New Roman" w:hAnsi="Times New Roman" w:eastAsia="宋体" w:cs="Times New Roman"/>
                <w:b w:val="0"/>
                <w:bCs w:val="0"/>
                <w:color w:val="auto"/>
                <w:spacing w:val="0"/>
                <w:position w:val="0"/>
                <w:highlight w:val="none"/>
                <w:lang w:eastAsia="zh-CN"/>
              </w:rPr>
              <w:t>，详见表</w:t>
            </w:r>
            <w:r>
              <w:rPr>
                <w:rFonts w:hint="eastAsia" w:ascii="Times New Roman" w:hAnsi="Times New Roman" w:eastAsia="宋体" w:cs="Times New Roman"/>
                <w:b w:val="0"/>
                <w:bCs w:val="0"/>
                <w:color w:val="auto"/>
                <w:spacing w:val="0"/>
                <w:position w:val="0"/>
                <w:highlight w:val="none"/>
                <w:lang w:val="en-US" w:eastAsia="zh-CN"/>
              </w:rPr>
              <w:t>2.9.2-5</w:t>
            </w:r>
            <w:r>
              <w:rPr>
                <w:rFonts w:hint="eastAsia" w:ascii="Times New Roman" w:hAnsi="Times New Roman" w:eastAsia="宋体" w:cs="Times New Roman"/>
                <w:b w:val="0"/>
                <w:bCs w:val="0"/>
                <w:color w:val="auto"/>
                <w:spacing w:val="0"/>
                <w:position w:val="0"/>
                <w:highlight w:val="none"/>
                <w:lang w:eastAsia="zh-CN"/>
              </w:rPr>
              <w:t>。</w:t>
            </w:r>
          </w:p>
          <w:p w14:paraId="4EF0F78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highlight w:val="none"/>
              </w:rPr>
            </w:pPr>
            <w:r>
              <w:rPr>
                <w:rFonts w:hint="eastAsia" w:ascii="Times New Roman" w:hAnsi="Times New Roman" w:eastAsia="宋体" w:cs="Times New Roman"/>
                <w:b/>
                <w:bCs/>
                <w:color w:val="auto"/>
                <w:spacing w:val="0"/>
                <w:position w:val="0"/>
                <w:sz w:val="24"/>
                <w:szCs w:val="24"/>
                <w:highlight w:val="none"/>
                <w:lang w:eastAsia="zh-CN"/>
              </w:rPr>
              <w:t>表</w:t>
            </w:r>
            <w:r>
              <w:rPr>
                <w:rFonts w:hint="eastAsia" w:ascii="Times New Roman" w:hAnsi="Times New Roman" w:eastAsia="宋体" w:cs="Times New Roman"/>
                <w:b/>
                <w:bCs/>
                <w:color w:val="auto"/>
                <w:spacing w:val="0"/>
                <w:position w:val="0"/>
                <w:sz w:val="24"/>
                <w:szCs w:val="24"/>
                <w:highlight w:val="none"/>
                <w:lang w:val="en-US" w:eastAsia="zh-CN"/>
              </w:rPr>
              <w:t xml:space="preserve">2.9.2-4  </w:t>
            </w:r>
            <w:r>
              <w:rPr>
                <w:rFonts w:hint="eastAsia" w:ascii="Times New Roman" w:hAnsi="Times New Roman" w:eastAsia="宋体" w:cs="Times New Roman"/>
                <w:b/>
                <w:bCs/>
                <w:color w:val="auto"/>
                <w:spacing w:val="0"/>
                <w:position w:val="0"/>
                <w:sz w:val="24"/>
                <w:szCs w:val="24"/>
                <w:highlight w:val="none"/>
                <w:lang w:eastAsia="zh-CN"/>
              </w:rPr>
              <w:t>厂内</w:t>
            </w:r>
            <w:r>
              <w:rPr>
                <w:rFonts w:hint="eastAsia" w:ascii="Times New Roman" w:hAnsi="Times New Roman" w:eastAsia="宋体" w:cs="Times New Roman"/>
                <w:b/>
                <w:bCs/>
                <w:color w:val="auto"/>
                <w:spacing w:val="0"/>
                <w:position w:val="0"/>
                <w:sz w:val="24"/>
                <w:szCs w:val="24"/>
                <w:highlight w:val="none"/>
              </w:rPr>
              <w:t>无组织废气检测</w:t>
            </w:r>
            <w:r>
              <w:rPr>
                <w:rFonts w:ascii="Times New Roman" w:hAnsi="Times New Roman" w:eastAsia="宋体" w:cs="Times New Roman"/>
                <w:b/>
                <w:bCs/>
                <w:color w:val="auto"/>
                <w:spacing w:val="0"/>
                <w:position w:val="0"/>
                <w:sz w:val="24"/>
                <w:szCs w:val="24"/>
                <w:highlight w:val="none"/>
              </w:rPr>
              <w:t>结果</w:t>
            </w:r>
            <w:r>
              <w:rPr>
                <w:rFonts w:hint="eastAsia" w:ascii="Times New Roman" w:hAnsi="Times New Roman" w:eastAsia="宋体" w:cs="Times New Roman"/>
                <w:b/>
                <w:bCs/>
                <w:color w:val="auto"/>
                <w:spacing w:val="0"/>
                <w:position w:val="0"/>
                <w:sz w:val="24"/>
                <w:szCs w:val="24"/>
                <w:highlight w:val="none"/>
              </w:rPr>
              <w:t>一览表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00"/>
              <w:gridCol w:w="1780"/>
              <w:gridCol w:w="1266"/>
              <w:gridCol w:w="873"/>
              <w:gridCol w:w="873"/>
              <w:gridCol w:w="719"/>
              <w:gridCol w:w="788"/>
              <w:gridCol w:w="1235"/>
            </w:tblGrid>
            <w:tr w14:paraId="60CC5E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9" w:type="dxa"/>
                  <w:vMerge w:val="restart"/>
                  <w:tcBorders>
                    <w:tl2br w:val="nil"/>
                    <w:tr2bl w:val="nil"/>
                  </w:tcBorders>
                  <w:noWrap w:val="0"/>
                  <w:vAlign w:val="center"/>
                </w:tcPr>
                <w:p w14:paraId="04D1462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b/>
                      <w:bCs w:val="0"/>
                      <w:color w:val="auto"/>
                      <w:spacing w:val="0"/>
                      <w:position w:val="0"/>
                      <w:sz w:val="21"/>
                      <w:szCs w:val="21"/>
                      <w:highlight w:val="none"/>
                    </w:rPr>
                  </w:pPr>
                  <w:r>
                    <w:rPr>
                      <w:rFonts w:ascii="Times New Roman" w:hAnsi="Times New Roman" w:eastAsia="宋体" w:cs="Times New Roman"/>
                      <w:b/>
                      <w:bCs w:val="0"/>
                      <w:color w:val="auto"/>
                      <w:spacing w:val="0"/>
                      <w:position w:val="0"/>
                      <w:sz w:val="21"/>
                      <w:szCs w:val="21"/>
                      <w:highlight w:val="none"/>
                    </w:rPr>
                    <w:t>采样日期</w:t>
                  </w:r>
                </w:p>
              </w:tc>
              <w:tc>
                <w:tcPr>
                  <w:tcW w:w="1733" w:type="dxa"/>
                  <w:vMerge w:val="restart"/>
                  <w:tcBorders>
                    <w:tl2br w:val="nil"/>
                    <w:tr2bl w:val="nil"/>
                  </w:tcBorders>
                  <w:noWrap w:val="0"/>
                  <w:vAlign w:val="center"/>
                </w:tcPr>
                <w:p w14:paraId="10D045A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b/>
                      <w:bCs w:val="0"/>
                      <w:color w:val="auto"/>
                      <w:spacing w:val="0"/>
                      <w:position w:val="0"/>
                      <w:sz w:val="21"/>
                      <w:szCs w:val="21"/>
                      <w:highlight w:val="none"/>
                    </w:rPr>
                  </w:pPr>
                  <w:r>
                    <w:rPr>
                      <w:rFonts w:ascii="Times New Roman" w:hAnsi="Times New Roman" w:eastAsia="宋体" w:cs="Times New Roman"/>
                      <w:b/>
                      <w:bCs w:val="0"/>
                      <w:color w:val="auto"/>
                      <w:spacing w:val="0"/>
                      <w:position w:val="0"/>
                      <w:sz w:val="21"/>
                      <w:szCs w:val="21"/>
                      <w:highlight w:val="none"/>
                    </w:rPr>
                    <w:t>检测点位</w:t>
                  </w:r>
                </w:p>
              </w:tc>
              <w:tc>
                <w:tcPr>
                  <w:tcW w:w="1233" w:type="dxa"/>
                  <w:vMerge w:val="restart"/>
                  <w:tcBorders>
                    <w:tl2br w:val="nil"/>
                    <w:tr2bl w:val="nil"/>
                  </w:tcBorders>
                  <w:noWrap w:val="0"/>
                  <w:vAlign w:val="center"/>
                </w:tcPr>
                <w:p w14:paraId="1CEE648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b/>
                      <w:bCs w:val="0"/>
                      <w:color w:val="auto"/>
                      <w:spacing w:val="0"/>
                      <w:position w:val="0"/>
                      <w:sz w:val="21"/>
                      <w:szCs w:val="21"/>
                      <w:highlight w:val="none"/>
                    </w:rPr>
                  </w:pPr>
                  <w:r>
                    <w:rPr>
                      <w:rFonts w:ascii="Times New Roman" w:hAnsi="Times New Roman" w:eastAsia="宋体" w:cs="Times New Roman"/>
                      <w:b/>
                      <w:bCs w:val="0"/>
                      <w:color w:val="auto"/>
                      <w:spacing w:val="0"/>
                      <w:position w:val="0"/>
                      <w:sz w:val="21"/>
                      <w:szCs w:val="21"/>
                      <w:highlight w:val="none"/>
                    </w:rPr>
                    <w:t>检测项目</w:t>
                  </w:r>
                </w:p>
              </w:tc>
              <w:tc>
                <w:tcPr>
                  <w:tcW w:w="4369" w:type="dxa"/>
                  <w:gridSpan w:val="5"/>
                  <w:tcBorders>
                    <w:tl2br w:val="nil"/>
                    <w:tr2bl w:val="nil"/>
                  </w:tcBorders>
                  <w:noWrap w:val="0"/>
                  <w:vAlign w:val="center"/>
                </w:tcPr>
                <w:p w14:paraId="63FB96A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bCs w:val="0"/>
                      <w:color w:val="auto"/>
                      <w:spacing w:val="0"/>
                      <w:position w:val="0"/>
                      <w:sz w:val="21"/>
                      <w:szCs w:val="21"/>
                      <w:highlight w:val="none"/>
                      <w:lang w:eastAsia="zh-CN"/>
                    </w:rPr>
                  </w:pPr>
                  <w:r>
                    <w:rPr>
                      <w:rFonts w:ascii="Times New Roman" w:hAnsi="Times New Roman" w:eastAsia="宋体" w:cs="Times New Roman"/>
                      <w:b/>
                      <w:bCs w:val="0"/>
                      <w:color w:val="auto"/>
                      <w:spacing w:val="0"/>
                      <w:position w:val="0"/>
                      <w:sz w:val="21"/>
                      <w:szCs w:val="21"/>
                      <w:highlight w:val="none"/>
                    </w:rPr>
                    <w:t>检测结果</w:t>
                  </w:r>
                  <w:r>
                    <w:rPr>
                      <w:rFonts w:hint="eastAsia" w:ascii="Times New Roman" w:hAnsi="Times New Roman" w:eastAsia="宋体" w:cs="Times New Roman"/>
                      <w:b/>
                      <w:bCs w:val="0"/>
                      <w:color w:val="auto"/>
                      <w:spacing w:val="0"/>
                      <w:position w:val="0"/>
                      <w:sz w:val="21"/>
                      <w:szCs w:val="21"/>
                      <w:highlight w:val="none"/>
                      <w:lang w:eastAsia="zh-CN"/>
                    </w:rPr>
                    <w:t>（</w:t>
                  </w:r>
                  <w:r>
                    <w:rPr>
                      <w:rFonts w:ascii="Times New Roman" w:hAnsi="Times New Roman" w:eastAsia="宋体" w:cs="Times New Roman"/>
                      <w:b/>
                      <w:bCs w:val="0"/>
                      <w:color w:val="auto"/>
                      <w:spacing w:val="0"/>
                      <w:position w:val="0"/>
                      <w:sz w:val="21"/>
                      <w:szCs w:val="21"/>
                      <w:highlight w:val="none"/>
                    </w:rPr>
                    <w:t>mg/m</w:t>
                  </w:r>
                  <w:r>
                    <w:rPr>
                      <w:rFonts w:ascii="Times New Roman" w:hAnsi="Times New Roman" w:eastAsia="宋体" w:cs="Times New Roman"/>
                      <w:b/>
                      <w:bCs w:val="0"/>
                      <w:color w:val="auto"/>
                      <w:spacing w:val="0"/>
                      <w:position w:val="0"/>
                      <w:sz w:val="21"/>
                      <w:szCs w:val="21"/>
                      <w:highlight w:val="none"/>
                      <w:vertAlign w:val="superscript"/>
                    </w:rPr>
                    <w:t>3</w:t>
                  </w:r>
                  <w:r>
                    <w:rPr>
                      <w:rFonts w:hint="eastAsia" w:ascii="Times New Roman" w:hAnsi="Times New Roman" w:eastAsia="宋体" w:cs="Times New Roman"/>
                      <w:b/>
                      <w:bCs w:val="0"/>
                      <w:color w:val="auto"/>
                      <w:spacing w:val="0"/>
                      <w:position w:val="0"/>
                      <w:sz w:val="21"/>
                      <w:szCs w:val="21"/>
                      <w:highlight w:val="none"/>
                      <w:lang w:eastAsia="zh-CN"/>
                    </w:rPr>
                    <w:t>）</w:t>
                  </w:r>
                </w:p>
              </w:tc>
            </w:tr>
            <w:tr w14:paraId="521DBC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9" w:type="dxa"/>
                  <w:vMerge w:val="continue"/>
                  <w:tcBorders>
                    <w:tl2br w:val="nil"/>
                    <w:tr2bl w:val="nil"/>
                  </w:tcBorders>
                  <w:noWrap w:val="0"/>
                  <w:vAlign w:val="center"/>
                </w:tcPr>
                <w:p w14:paraId="27414F8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b/>
                      <w:color w:val="auto"/>
                      <w:spacing w:val="0"/>
                      <w:position w:val="0"/>
                      <w:sz w:val="21"/>
                      <w:szCs w:val="21"/>
                      <w:highlight w:val="none"/>
                    </w:rPr>
                  </w:pPr>
                </w:p>
              </w:tc>
              <w:tc>
                <w:tcPr>
                  <w:tcW w:w="1733" w:type="dxa"/>
                  <w:vMerge w:val="continue"/>
                  <w:tcBorders>
                    <w:tl2br w:val="nil"/>
                    <w:tr2bl w:val="nil"/>
                  </w:tcBorders>
                  <w:noWrap w:val="0"/>
                  <w:vAlign w:val="center"/>
                </w:tcPr>
                <w:p w14:paraId="664F37A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b/>
                      <w:color w:val="auto"/>
                      <w:spacing w:val="0"/>
                      <w:position w:val="0"/>
                      <w:sz w:val="21"/>
                      <w:szCs w:val="21"/>
                      <w:highlight w:val="none"/>
                    </w:rPr>
                  </w:pPr>
                </w:p>
              </w:tc>
              <w:tc>
                <w:tcPr>
                  <w:tcW w:w="1233" w:type="dxa"/>
                  <w:vMerge w:val="continue"/>
                  <w:tcBorders>
                    <w:tl2br w:val="nil"/>
                    <w:tr2bl w:val="nil"/>
                  </w:tcBorders>
                  <w:noWrap w:val="0"/>
                  <w:vAlign w:val="center"/>
                </w:tcPr>
                <w:p w14:paraId="0BCAD65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b/>
                      <w:color w:val="auto"/>
                      <w:spacing w:val="0"/>
                      <w:position w:val="0"/>
                      <w:sz w:val="21"/>
                      <w:szCs w:val="21"/>
                      <w:highlight w:val="none"/>
                    </w:rPr>
                  </w:pPr>
                </w:p>
              </w:tc>
              <w:tc>
                <w:tcPr>
                  <w:tcW w:w="850" w:type="dxa"/>
                  <w:tcBorders>
                    <w:tl2br w:val="nil"/>
                    <w:tr2bl w:val="nil"/>
                  </w:tcBorders>
                  <w:noWrap w:val="0"/>
                  <w:vAlign w:val="center"/>
                </w:tcPr>
                <w:p w14:paraId="7A233ED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lang w:val="en-US" w:eastAsia="zh-CN" w:bidi="ar-SA"/>
                    </w:rPr>
                    <w:t>第一次</w:t>
                  </w:r>
                </w:p>
              </w:tc>
              <w:tc>
                <w:tcPr>
                  <w:tcW w:w="850" w:type="dxa"/>
                  <w:tcBorders>
                    <w:tl2br w:val="nil"/>
                    <w:tr2bl w:val="nil"/>
                  </w:tcBorders>
                  <w:noWrap w:val="0"/>
                  <w:vAlign w:val="center"/>
                </w:tcPr>
                <w:p w14:paraId="6DF0844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lang w:val="en-US" w:eastAsia="zh-CN" w:bidi="ar-SA"/>
                    </w:rPr>
                    <w:t>第二次</w:t>
                  </w:r>
                </w:p>
              </w:tc>
              <w:tc>
                <w:tcPr>
                  <w:tcW w:w="700" w:type="dxa"/>
                  <w:tcBorders>
                    <w:tl2br w:val="nil"/>
                    <w:tr2bl w:val="nil"/>
                  </w:tcBorders>
                  <w:noWrap w:val="0"/>
                  <w:vAlign w:val="center"/>
                </w:tcPr>
                <w:p w14:paraId="4350DA8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lang w:val="en-US" w:eastAsia="zh-CN" w:bidi="ar-SA"/>
                    </w:rPr>
                    <w:t>第三次</w:t>
                  </w:r>
                </w:p>
              </w:tc>
              <w:tc>
                <w:tcPr>
                  <w:tcW w:w="767" w:type="dxa"/>
                  <w:tcBorders>
                    <w:tl2br w:val="nil"/>
                    <w:tr2bl w:val="nil"/>
                  </w:tcBorders>
                  <w:noWrap w:val="0"/>
                  <w:vAlign w:val="center"/>
                </w:tcPr>
                <w:p w14:paraId="4DFEB0D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ascii="Times New Roman" w:hAnsi="Times New Roman" w:eastAsia="宋体" w:cs="Times New Roman"/>
                      <w:b/>
                      <w:bCs/>
                      <w:color w:val="auto"/>
                      <w:spacing w:val="0"/>
                      <w:kern w:val="2"/>
                      <w:position w:val="0"/>
                      <w:sz w:val="21"/>
                      <w:szCs w:val="21"/>
                      <w:highlight w:val="none"/>
                      <w:lang w:val="en-US" w:eastAsia="zh-CN" w:bidi="ar-SA"/>
                    </w:rPr>
                  </w:pPr>
                  <w:r>
                    <w:rPr>
                      <w:rFonts w:hint="eastAsia" w:ascii="Times New Roman" w:hAnsi="Times New Roman" w:eastAsia="宋体" w:cs="Times New Roman"/>
                      <w:b/>
                      <w:bCs/>
                      <w:color w:val="auto"/>
                      <w:spacing w:val="0"/>
                      <w:position w:val="0"/>
                      <w:sz w:val="21"/>
                      <w:szCs w:val="21"/>
                      <w:highlight w:val="none"/>
                      <w:lang w:val="en-US" w:eastAsia="zh-CN" w:bidi="ar-SA"/>
                    </w:rPr>
                    <w:t>最大值</w:t>
                  </w:r>
                </w:p>
              </w:tc>
              <w:tc>
                <w:tcPr>
                  <w:tcW w:w="1202" w:type="dxa"/>
                  <w:tcBorders>
                    <w:tl2br w:val="nil"/>
                    <w:tr2bl w:val="nil"/>
                  </w:tcBorders>
                  <w:noWrap w:val="0"/>
                  <w:vAlign w:val="center"/>
                </w:tcPr>
                <w:p w14:paraId="6FC0B21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pacing w:val="0"/>
                      <w:position w:val="0"/>
                      <w:sz w:val="21"/>
                      <w:szCs w:val="21"/>
                      <w:highlight w:val="none"/>
                      <w:lang w:val="en-US" w:eastAsia="zh-CN"/>
                    </w:rPr>
                  </w:pPr>
                  <w:r>
                    <w:rPr>
                      <w:rFonts w:hint="eastAsia" w:ascii="Times New Roman" w:hAnsi="Times New Roman" w:eastAsia="宋体" w:cs="Times New Roman"/>
                      <w:b/>
                      <w:color w:val="auto"/>
                      <w:spacing w:val="0"/>
                      <w:position w:val="0"/>
                      <w:sz w:val="21"/>
                      <w:szCs w:val="21"/>
                      <w:highlight w:val="none"/>
                      <w:lang w:val="en-US" w:eastAsia="zh-CN"/>
                    </w:rPr>
                    <w:t>1h平均值</w:t>
                  </w:r>
                </w:p>
              </w:tc>
            </w:tr>
            <w:tr w14:paraId="685BE7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9" w:type="dxa"/>
                  <w:vMerge w:val="restart"/>
                  <w:tcBorders>
                    <w:tl2br w:val="nil"/>
                    <w:tr2bl w:val="nil"/>
                  </w:tcBorders>
                  <w:noWrap w:val="0"/>
                  <w:vAlign w:val="center"/>
                </w:tcPr>
                <w:p w14:paraId="3FBDBDD4">
                  <w:pPr>
                    <w:keepNext w:val="0"/>
                    <w:keepLines w:val="0"/>
                    <w:pageBreakBefore w:val="0"/>
                    <w:kinsoku/>
                    <w:wordWrap/>
                    <w:overflowPunct/>
                    <w:topLinePunct w:val="0"/>
                    <w:autoSpaceDE w:val="0"/>
                    <w:autoSpaceDN w:val="0"/>
                    <w:bidi w:val="0"/>
                    <w:adjustRightInd/>
                    <w:spacing w:line="240" w:lineRule="auto"/>
                    <w:ind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2021.08.20</w:t>
                  </w:r>
                </w:p>
              </w:tc>
              <w:tc>
                <w:tcPr>
                  <w:tcW w:w="1733" w:type="dxa"/>
                  <w:tcBorders>
                    <w:tl2br w:val="nil"/>
                    <w:tr2bl w:val="nil"/>
                  </w:tcBorders>
                  <w:noWrap w:val="0"/>
                  <w:vAlign w:val="center"/>
                </w:tcPr>
                <w:p w14:paraId="3CA955D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厂内监控点G5</w:t>
                  </w:r>
                </w:p>
              </w:tc>
              <w:tc>
                <w:tcPr>
                  <w:tcW w:w="1233" w:type="dxa"/>
                  <w:vMerge w:val="restart"/>
                  <w:tcBorders>
                    <w:tl2br w:val="nil"/>
                    <w:tr2bl w:val="nil"/>
                  </w:tcBorders>
                  <w:noWrap w:val="0"/>
                  <w:vAlign w:val="center"/>
                </w:tcPr>
                <w:p w14:paraId="48AF1BC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非甲烷总烃</w:t>
                  </w:r>
                </w:p>
              </w:tc>
              <w:tc>
                <w:tcPr>
                  <w:tcW w:w="850" w:type="dxa"/>
                  <w:tcBorders>
                    <w:tl2br w:val="nil"/>
                    <w:tr2bl w:val="nil"/>
                  </w:tcBorders>
                  <w:noWrap w:val="0"/>
                  <w:vAlign w:val="center"/>
                </w:tcPr>
                <w:p w14:paraId="6D693B9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2.84</w:t>
                  </w:r>
                </w:p>
              </w:tc>
              <w:tc>
                <w:tcPr>
                  <w:tcW w:w="850" w:type="dxa"/>
                  <w:tcBorders>
                    <w:tl2br w:val="nil"/>
                    <w:tr2bl w:val="nil"/>
                  </w:tcBorders>
                  <w:noWrap w:val="0"/>
                  <w:vAlign w:val="center"/>
                </w:tcPr>
                <w:p w14:paraId="309F08E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3.29</w:t>
                  </w:r>
                </w:p>
              </w:tc>
              <w:tc>
                <w:tcPr>
                  <w:tcW w:w="700" w:type="dxa"/>
                  <w:tcBorders>
                    <w:tl2br w:val="nil"/>
                    <w:tr2bl w:val="nil"/>
                  </w:tcBorders>
                  <w:noWrap w:val="0"/>
                  <w:vAlign w:val="center"/>
                </w:tcPr>
                <w:p w14:paraId="0C39642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3.02</w:t>
                  </w:r>
                </w:p>
              </w:tc>
              <w:tc>
                <w:tcPr>
                  <w:tcW w:w="767" w:type="dxa"/>
                  <w:vMerge w:val="restart"/>
                  <w:tcBorders>
                    <w:tl2br w:val="nil"/>
                    <w:tr2bl w:val="nil"/>
                  </w:tcBorders>
                  <w:noWrap w:val="0"/>
                  <w:vAlign w:val="center"/>
                </w:tcPr>
                <w:p w14:paraId="32F0187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3.42</w:t>
                  </w:r>
                </w:p>
              </w:tc>
              <w:tc>
                <w:tcPr>
                  <w:tcW w:w="1202" w:type="dxa"/>
                  <w:tcBorders>
                    <w:tl2br w:val="nil"/>
                    <w:tr2bl w:val="nil"/>
                  </w:tcBorders>
                  <w:noWrap w:val="0"/>
                  <w:vAlign w:val="center"/>
                </w:tcPr>
                <w:p w14:paraId="4E19E35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3.05</w:t>
                  </w:r>
                </w:p>
              </w:tc>
            </w:tr>
            <w:tr w14:paraId="4A07FC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9" w:type="dxa"/>
                  <w:vMerge w:val="continue"/>
                  <w:tcBorders>
                    <w:tl2br w:val="nil"/>
                    <w:tr2bl w:val="nil"/>
                  </w:tcBorders>
                  <w:noWrap w:val="0"/>
                  <w:vAlign w:val="center"/>
                </w:tcPr>
                <w:p w14:paraId="03A6C77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733" w:type="dxa"/>
                  <w:tcBorders>
                    <w:tl2br w:val="nil"/>
                    <w:tr2bl w:val="nil"/>
                  </w:tcBorders>
                  <w:noWrap w:val="0"/>
                  <w:vAlign w:val="center"/>
                </w:tcPr>
                <w:p w14:paraId="6243B07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厂内监控点G6</w:t>
                  </w:r>
                </w:p>
              </w:tc>
              <w:tc>
                <w:tcPr>
                  <w:tcW w:w="1233" w:type="dxa"/>
                  <w:vMerge w:val="continue"/>
                  <w:tcBorders>
                    <w:tl2br w:val="nil"/>
                    <w:tr2bl w:val="nil"/>
                  </w:tcBorders>
                  <w:noWrap w:val="0"/>
                  <w:vAlign w:val="center"/>
                </w:tcPr>
                <w:p w14:paraId="55709A0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850" w:type="dxa"/>
                  <w:tcBorders>
                    <w:tl2br w:val="nil"/>
                    <w:tr2bl w:val="nil"/>
                  </w:tcBorders>
                  <w:noWrap w:val="0"/>
                  <w:vAlign w:val="center"/>
                </w:tcPr>
                <w:p w14:paraId="4C902FA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3.08</w:t>
                  </w:r>
                </w:p>
              </w:tc>
              <w:tc>
                <w:tcPr>
                  <w:tcW w:w="850" w:type="dxa"/>
                  <w:tcBorders>
                    <w:tl2br w:val="nil"/>
                    <w:tr2bl w:val="nil"/>
                  </w:tcBorders>
                  <w:noWrap w:val="0"/>
                  <w:vAlign w:val="center"/>
                </w:tcPr>
                <w:p w14:paraId="2193B58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3.20</w:t>
                  </w:r>
                </w:p>
              </w:tc>
              <w:tc>
                <w:tcPr>
                  <w:tcW w:w="700" w:type="dxa"/>
                  <w:tcBorders>
                    <w:tl2br w:val="nil"/>
                    <w:tr2bl w:val="nil"/>
                  </w:tcBorders>
                  <w:noWrap w:val="0"/>
                  <w:vAlign w:val="center"/>
                </w:tcPr>
                <w:p w14:paraId="0F11E90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3.14</w:t>
                  </w:r>
                </w:p>
              </w:tc>
              <w:tc>
                <w:tcPr>
                  <w:tcW w:w="767" w:type="dxa"/>
                  <w:vMerge w:val="continue"/>
                  <w:tcBorders>
                    <w:tl2br w:val="nil"/>
                    <w:tr2bl w:val="nil"/>
                  </w:tcBorders>
                  <w:noWrap w:val="0"/>
                  <w:vAlign w:val="center"/>
                </w:tcPr>
                <w:p w14:paraId="0C7D739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p>
              </w:tc>
              <w:tc>
                <w:tcPr>
                  <w:tcW w:w="1202" w:type="dxa"/>
                  <w:tcBorders>
                    <w:tl2br w:val="nil"/>
                    <w:tr2bl w:val="nil"/>
                  </w:tcBorders>
                  <w:noWrap w:val="0"/>
                  <w:vAlign w:val="center"/>
                </w:tcPr>
                <w:p w14:paraId="62F759A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3.14</w:t>
                  </w:r>
                </w:p>
              </w:tc>
            </w:tr>
            <w:tr w14:paraId="2B30C9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9" w:type="dxa"/>
                  <w:vMerge w:val="continue"/>
                  <w:tcBorders>
                    <w:tl2br w:val="nil"/>
                    <w:tr2bl w:val="nil"/>
                  </w:tcBorders>
                  <w:noWrap w:val="0"/>
                  <w:vAlign w:val="center"/>
                </w:tcPr>
                <w:p w14:paraId="6D7F5A6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733" w:type="dxa"/>
                  <w:tcBorders>
                    <w:tl2br w:val="nil"/>
                    <w:tr2bl w:val="nil"/>
                  </w:tcBorders>
                  <w:noWrap w:val="0"/>
                  <w:vAlign w:val="center"/>
                </w:tcPr>
                <w:p w14:paraId="10E6A3C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厂内监控点G7</w:t>
                  </w:r>
                </w:p>
              </w:tc>
              <w:tc>
                <w:tcPr>
                  <w:tcW w:w="1233" w:type="dxa"/>
                  <w:vMerge w:val="continue"/>
                  <w:tcBorders>
                    <w:tl2br w:val="nil"/>
                    <w:tr2bl w:val="nil"/>
                  </w:tcBorders>
                  <w:noWrap w:val="0"/>
                  <w:vAlign w:val="center"/>
                </w:tcPr>
                <w:p w14:paraId="3BFAF59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850" w:type="dxa"/>
                  <w:tcBorders>
                    <w:tl2br w:val="nil"/>
                    <w:tr2bl w:val="nil"/>
                  </w:tcBorders>
                  <w:noWrap w:val="0"/>
                  <w:vAlign w:val="center"/>
                </w:tcPr>
                <w:p w14:paraId="441958A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3.33</w:t>
                  </w:r>
                </w:p>
              </w:tc>
              <w:tc>
                <w:tcPr>
                  <w:tcW w:w="850" w:type="dxa"/>
                  <w:tcBorders>
                    <w:tl2br w:val="nil"/>
                    <w:tr2bl w:val="nil"/>
                  </w:tcBorders>
                  <w:noWrap w:val="0"/>
                  <w:vAlign w:val="center"/>
                </w:tcPr>
                <w:p w14:paraId="74543D1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3.42</w:t>
                  </w:r>
                </w:p>
              </w:tc>
              <w:tc>
                <w:tcPr>
                  <w:tcW w:w="700" w:type="dxa"/>
                  <w:tcBorders>
                    <w:tl2br w:val="nil"/>
                    <w:tr2bl w:val="nil"/>
                  </w:tcBorders>
                  <w:noWrap w:val="0"/>
                  <w:vAlign w:val="center"/>
                </w:tcPr>
                <w:p w14:paraId="682DDF9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3.35</w:t>
                  </w:r>
                </w:p>
              </w:tc>
              <w:tc>
                <w:tcPr>
                  <w:tcW w:w="767" w:type="dxa"/>
                  <w:vMerge w:val="continue"/>
                  <w:tcBorders>
                    <w:tl2br w:val="nil"/>
                    <w:tr2bl w:val="nil"/>
                  </w:tcBorders>
                  <w:noWrap w:val="0"/>
                  <w:vAlign w:val="center"/>
                </w:tcPr>
                <w:p w14:paraId="6E0EC78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p>
              </w:tc>
              <w:tc>
                <w:tcPr>
                  <w:tcW w:w="1202" w:type="dxa"/>
                  <w:tcBorders>
                    <w:tl2br w:val="nil"/>
                    <w:tr2bl w:val="nil"/>
                  </w:tcBorders>
                  <w:noWrap w:val="0"/>
                  <w:vAlign w:val="center"/>
                </w:tcPr>
                <w:p w14:paraId="77269D0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3.37</w:t>
                  </w:r>
                </w:p>
              </w:tc>
            </w:tr>
            <w:tr w14:paraId="6FE5DB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9" w:type="dxa"/>
                  <w:vMerge w:val="restart"/>
                  <w:tcBorders>
                    <w:tl2br w:val="nil"/>
                    <w:tr2bl w:val="nil"/>
                  </w:tcBorders>
                  <w:noWrap w:val="0"/>
                  <w:vAlign w:val="center"/>
                </w:tcPr>
                <w:p w14:paraId="63FF7633">
                  <w:pPr>
                    <w:keepNext w:val="0"/>
                    <w:keepLines w:val="0"/>
                    <w:pageBreakBefore w:val="0"/>
                    <w:kinsoku/>
                    <w:wordWrap/>
                    <w:overflowPunct/>
                    <w:topLinePunct w:val="0"/>
                    <w:autoSpaceDE w:val="0"/>
                    <w:autoSpaceDN w:val="0"/>
                    <w:bidi w:val="0"/>
                    <w:adjustRightInd/>
                    <w:spacing w:line="240" w:lineRule="auto"/>
                    <w:ind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2021.08.21</w:t>
                  </w:r>
                </w:p>
              </w:tc>
              <w:tc>
                <w:tcPr>
                  <w:tcW w:w="1733" w:type="dxa"/>
                  <w:tcBorders>
                    <w:tl2br w:val="nil"/>
                    <w:tr2bl w:val="nil"/>
                  </w:tcBorders>
                  <w:noWrap w:val="0"/>
                  <w:vAlign w:val="center"/>
                </w:tcPr>
                <w:p w14:paraId="5B02B02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厂内监控点G5</w:t>
                  </w:r>
                </w:p>
              </w:tc>
              <w:tc>
                <w:tcPr>
                  <w:tcW w:w="1233" w:type="dxa"/>
                  <w:vMerge w:val="restart"/>
                  <w:tcBorders>
                    <w:tl2br w:val="nil"/>
                    <w:tr2bl w:val="nil"/>
                  </w:tcBorders>
                  <w:noWrap w:val="0"/>
                  <w:vAlign w:val="center"/>
                </w:tcPr>
                <w:p w14:paraId="66E7B17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非甲烷总烃</w:t>
                  </w:r>
                </w:p>
              </w:tc>
              <w:tc>
                <w:tcPr>
                  <w:tcW w:w="850" w:type="dxa"/>
                  <w:tcBorders>
                    <w:tl2br w:val="nil"/>
                    <w:tr2bl w:val="nil"/>
                  </w:tcBorders>
                  <w:noWrap w:val="0"/>
                  <w:vAlign w:val="center"/>
                </w:tcPr>
                <w:p w14:paraId="69939C6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2.87</w:t>
                  </w:r>
                </w:p>
              </w:tc>
              <w:tc>
                <w:tcPr>
                  <w:tcW w:w="850" w:type="dxa"/>
                  <w:tcBorders>
                    <w:tl2br w:val="nil"/>
                    <w:tr2bl w:val="nil"/>
                  </w:tcBorders>
                  <w:noWrap w:val="0"/>
                  <w:vAlign w:val="center"/>
                </w:tcPr>
                <w:p w14:paraId="7D29A55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3.17</w:t>
                  </w:r>
                </w:p>
              </w:tc>
              <w:tc>
                <w:tcPr>
                  <w:tcW w:w="700" w:type="dxa"/>
                  <w:tcBorders>
                    <w:tl2br w:val="nil"/>
                    <w:tr2bl w:val="nil"/>
                  </w:tcBorders>
                  <w:noWrap w:val="0"/>
                  <w:vAlign w:val="center"/>
                </w:tcPr>
                <w:p w14:paraId="7D9EA47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3.00</w:t>
                  </w:r>
                </w:p>
              </w:tc>
              <w:tc>
                <w:tcPr>
                  <w:tcW w:w="767" w:type="dxa"/>
                  <w:vMerge w:val="restart"/>
                  <w:tcBorders>
                    <w:tl2br w:val="nil"/>
                    <w:tr2bl w:val="nil"/>
                  </w:tcBorders>
                  <w:noWrap w:val="0"/>
                  <w:vAlign w:val="center"/>
                </w:tcPr>
                <w:p w14:paraId="38C443B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3.47</w:t>
                  </w:r>
                </w:p>
              </w:tc>
              <w:tc>
                <w:tcPr>
                  <w:tcW w:w="1202" w:type="dxa"/>
                  <w:tcBorders>
                    <w:tl2br w:val="nil"/>
                    <w:tr2bl w:val="nil"/>
                  </w:tcBorders>
                  <w:noWrap w:val="0"/>
                  <w:vAlign w:val="center"/>
                </w:tcPr>
                <w:p w14:paraId="1B5DD29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3.01</w:t>
                  </w:r>
                </w:p>
              </w:tc>
            </w:tr>
            <w:tr w14:paraId="31C005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9" w:type="dxa"/>
                  <w:vMerge w:val="continue"/>
                  <w:tcBorders>
                    <w:tl2br w:val="nil"/>
                    <w:tr2bl w:val="nil"/>
                  </w:tcBorders>
                  <w:noWrap w:val="0"/>
                  <w:vAlign w:val="center"/>
                </w:tcPr>
                <w:p w14:paraId="52E17A8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733" w:type="dxa"/>
                  <w:tcBorders>
                    <w:tl2br w:val="nil"/>
                    <w:tr2bl w:val="nil"/>
                  </w:tcBorders>
                  <w:noWrap w:val="0"/>
                  <w:vAlign w:val="center"/>
                </w:tcPr>
                <w:p w14:paraId="57C0CD7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厂内监控点G6</w:t>
                  </w:r>
                </w:p>
              </w:tc>
              <w:tc>
                <w:tcPr>
                  <w:tcW w:w="1233" w:type="dxa"/>
                  <w:vMerge w:val="continue"/>
                  <w:tcBorders>
                    <w:tl2br w:val="nil"/>
                    <w:tr2bl w:val="nil"/>
                  </w:tcBorders>
                  <w:noWrap w:val="0"/>
                  <w:vAlign w:val="center"/>
                </w:tcPr>
                <w:p w14:paraId="23E44A2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850" w:type="dxa"/>
                  <w:tcBorders>
                    <w:tl2br w:val="nil"/>
                    <w:tr2bl w:val="nil"/>
                  </w:tcBorders>
                  <w:noWrap w:val="0"/>
                  <w:vAlign w:val="center"/>
                </w:tcPr>
                <w:p w14:paraId="320EF03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2.99</w:t>
                  </w:r>
                </w:p>
              </w:tc>
              <w:tc>
                <w:tcPr>
                  <w:tcW w:w="850" w:type="dxa"/>
                  <w:tcBorders>
                    <w:tl2br w:val="nil"/>
                    <w:tr2bl w:val="nil"/>
                  </w:tcBorders>
                  <w:noWrap w:val="0"/>
                  <w:vAlign w:val="center"/>
                </w:tcPr>
                <w:p w14:paraId="0AB9B5F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3.13</w:t>
                  </w:r>
                </w:p>
              </w:tc>
              <w:tc>
                <w:tcPr>
                  <w:tcW w:w="700" w:type="dxa"/>
                  <w:tcBorders>
                    <w:tl2br w:val="nil"/>
                    <w:tr2bl w:val="nil"/>
                  </w:tcBorders>
                  <w:noWrap w:val="0"/>
                  <w:vAlign w:val="center"/>
                </w:tcPr>
                <w:p w14:paraId="652EBCF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3.12</w:t>
                  </w:r>
                </w:p>
              </w:tc>
              <w:tc>
                <w:tcPr>
                  <w:tcW w:w="767" w:type="dxa"/>
                  <w:vMerge w:val="continue"/>
                  <w:tcBorders>
                    <w:tl2br w:val="nil"/>
                    <w:tr2bl w:val="nil"/>
                  </w:tcBorders>
                  <w:noWrap w:val="0"/>
                  <w:vAlign w:val="center"/>
                </w:tcPr>
                <w:p w14:paraId="0994D06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p>
              </w:tc>
              <w:tc>
                <w:tcPr>
                  <w:tcW w:w="1202" w:type="dxa"/>
                  <w:tcBorders>
                    <w:tl2br w:val="nil"/>
                    <w:tr2bl w:val="nil"/>
                  </w:tcBorders>
                  <w:noWrap w:val="0"/>
                  <w:vAlign w:val="center"/>
                </w:tcPr>
                <w:p w14:paraId="55171AE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3.08</w:t>
                  </w:r>
                </w:p>
              </w:tc>
            </w:tr>
            <w:tr w14:paraId="1D2C0D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9" w:type="dxa"/>
                  <w:vMerge w:val="continue"/>
                  <w:tcBorders>
                    <w:tl2br w:val="nil"/>
                    <w:tr2bl w:val="nil"/>
                  </w:tcBorders>
                  <w:noWrap w:val="0"/>
                  <w:vAlign w:val="center"/>
                </w:tcPr>
                <w:p w14:paraId="7F178F0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733" w:type="dxa"/>
                  <w:tcBorders>
                    <w:tl2br w:val="nil"/>
                    <w:tr2bl w:val="nil"/>
                  </w:tcBorders>
                  <w:noWrap w:val="0"/>
                  <w:vAlign w:val="center"/>
                </w:tcPr>
                <w:p w14:paraId="2382026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厂内监控点G7</w:t>
                  </w:r>
                </w:p>
              </w:tc>
              <w:tc>
                <w:tcPr>
                  <w:tcW w:w="1233" w:type="dxa"/>
                  <w:vMerge w:val="continue"/>
                  <w:tcBorders>
                    <w:tl2br w:val="nil"/>
                    <w:tr2bl w:val="nil"/>
                  </w:tcBorders>
                  <w:noWrap w:val="0"/>
                  <w:vAlign w:val="center"/>
                </w:tcPr>
                <w:p w14:paraId="2AD29A7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850" w:type="dxa"/>
                  <w:tcBorders>
                    <w:tl2br w:val="nil"/>
                    <w:tr2bl w:val="nil"/>
                  </w:tcBorders>
                  <w:noWrap w:val="0"/>
                  <w:vAlign w:val="center"/>
                </w:tcPr>
                <w:p w14:paraId="673597F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3.24</w:t>
                  </w:r>
                </w:p>
              </w:tc>
              <w:tc>
                <w:tcPr>
                  <w:tcW w:w="850" w:type="dxa"/>
                  <w:tcBorders>
                    <w:tl2br w:val="nil"/>
                    <w:tr2bl w:val="nil"/>
                  </w:tcBorders>
                  <w:noWrap w:val="0"/>
                  <w:vAlign w:val="center"/>
                </w:tcPr>
                <w:p w14:paraId="72C0FF5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3.47</w:t>
                  </w:r>
                </w:p>
              </w:tc>
              <w:tc>
                <w:tcPr>
                  <w:tcW w:w="700" w:type="dxa"/>
                  <w:tcBorders>
                    <w:tl2br w:val="nil"/>
                    <w:tr2bl w:val="nil"/>
                  </w:tcBorders>
                  <w:noWrap w:val="0"/>
                  <w:vAlign w:val="center"/>
                </w:tcPr>
                <w:p w14:paraId="62F7153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3.31</w:t>
                  </w:r>
                </w:p>
              </w:tc>
              <w:tc>
                <w:tcPr>
                  <w:tcW w:w="767" w:type="dxa"/>
                  <w:vMerge w:val="continue"/>
                  <w:tcBorders>
                    <w:tl2br w:val="nil"/>
                    <w:tr2bl w:val="nil"/>
                  </w:tcBorders>
                  <w:noWrap w:val="0"/>
                  <w:vAlign w:val="center"/>
                </w:tcPr>
                <w:p w14:paraId="4FD9432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p>
              </w:tc>
              <w:tc>
                <w:tcPr>
                  <w:tcW w:w="1202" w:type="dxa"/>
                  <w:tcBorders>
                    <w:tl2br w:val="nil"/>
                    <w:tr2bl w:val="nil"/>
                  </w:tcBorders>
                  <w:noWrap w:val="0"/>
                  <w:vAlign w:val="center"/>
                </w:tcPr>
                <w:p w14:paraId="2F75155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3.34</w:t>
                  </w:r>
                </w:p>
              </w:tc>
            </w:tr>
          </w:tbl>
          <w:p w14:paraId="042CA824">
            <w:pPr>
              <w:keepNext w:val="0"/>
              <w:keepLines w:val="0"/>
              <w:pageBreakBefore w:val="0"/>
              <w:widowControl/>
              <w:kinsoku/>
              <w:wordWrap/>
              <w:overflowPunct/>
              <w:topLinePunct w:val="0"/>
              <w:autoSpaceDE/>
              <w:autoSpaceDN/>
              <w:bidi w:val="0"/>
              <w:adjustRightInd w:val="0"/>
              <w:snapToGrid w:val="0"/>
              <w:spacing w:before="157" w:beforeLines="50" w:beforeAutospacing="0" w:afterAutospacing="0" w:line="360" w:lineRule="auto"/>
              <w:ind w:left="0" w:leftChars="0" w:right="0" w:rightChars="0" w:firstLine="480" w:firstLineChars="200"/>
              <w:jc w:val="both"/>
              <w:textAlignment w:val="auto"/>
              <w:rPr>
                <w:rFonts w:hint="eastAsia" w:ascii="Times New Roman" w:hAnsi="Times New Roman" w:eastAsia="宋体" w:cs="Times New Roman"/>
                <w:b/>
                <w:bCs/>
                <w:color w:val="auto"/>
                <w:spacing w:val="0"/>
                <w:position w:val="0"/>
                <w:sz w:val="24"/>
                <w:szCs w:val="24"/>
                <w:highlight w:val="none"/>
                <w:lang w:eastAsia="zh-CN"/>
              </w:rPr>
            </w:pPr>
            <w:r>
              <w:rPr>
                <w:rFonts w:hint="eastAsia" w:ascii="Times New Roman" w:hAnsi="Times New Roman" w:eastAsia="宋体" w:cs="Times New Roman"/>
                <w:bCs/>
                <w:color w:val="auto"/>
                <w:spacing w:val="0"/>
                <w:sz w:val="24"/>
                <w:szCs w:val="24"/>
                <w:highlight w:val="none"/>
                <w:lang w:eastAsia="zh-CN"/>
              </w:rPr>
              <w:t>由上表可知，</w:t>
            </w:r>
            <w:r>
              <w:rPr>
                <w:rFonts w:hint="eastAsia" w:ascii="Times New Roman" w:hAnsi="Times New Roman" w:eastAsia="宋体" w:cs="Times New Roman"/>
                <w:color w:val="auto"/>
                <w:sz w:val="24"/>
                <w:szCs w:val="24"/>
                <w:highlight w:val="none"/>
                <w:lang w:eastAsia="zh-CN"/>
              </w:rPr>
              <w:t>迁建前</w:t>
            </w:r>
            <w:r>
              <w:rPr>
                <w:rFonts w:hint="eastAsia" w:ascii="Times New Roman" w:hAnsi="Times New Roman" w:eastAsia="宋体" w:cs="Times New Roman"/>
                <w:color w:val="auto"/>
                <w:sz w:val="24"/>
                <w:szCs w:val="24"/>
                <w:highlight w:val="none"/>
              </w:rPr>
              <w:t>厂内无组织排放废气非甲烷总烃浓度两日最大值为</w:t>
            </w:r>
            <w:r>
              <w:rPr>
                <w:rFonts w:hint="eastAsia" w:ascii="Times New Roman" w:hAnsi="Times New Roman" w:eastAsia="宋体" w:cs="Times New Roman"/>
                <w:color w:val="auto"/>
                <w:sz w:val="24"/>
                <w:szCs w:val="24"/>
                <w:highlight w:val="none"/>
                <w:lang w:val="en-US" w:eastAsia="zh-CN"/>
              </w:rPr>
              <w:t>3.47</w:t>
            </w:r>
            <w:r>
              <w:rPr>
                <w:rFonts w:hint="eastAsia" w:ascii="Times New Roman" w:hAnsi="Times New Roman" w:eastAsia="宋体" w:cs="Times New Roman"/>
                <w:color w:val="auto"/>
                <w:sz w:val="24"/>
                <w:szCs w:val="24"/>
                <w:highlight w:val="none"/>
              </w:rPr>
              <w:t>mg/m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符合</w:t>
            </w:r>
            <w:r>
              <w:rPr>
                <w:rFonts w:hint="eastAsia"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position w:val="0"/>
                <w:sz w:val="24"/>
                <w:szCs w:val="24"/>
                <w:highlight w:val="none"/>
                <w:lang w:val="en-US" w:eastAsia="zh-CN"/>
              </w:rPr>
              <w:t>印刷行业挥发性有机物</w:t>
            </w:r>
            <w:r>
              <w:rPr>
                <w:rFonts w:ascii="Times New Roman" w:hAnsi="Times New Roman" w:eastAsia="宋体" w:cs="Times New Roman"/>
                <w:color w:val="auto"/>
                <w:spacing w:val="0"/>
                <w:position w:val="0"/>
                <w:sz w:val="24"/>
                <w:szCs w:val="24"/>
                <w:highlight w:val="none"/>
              </w:rPr>
              <w:t>排放标准》</w:t>
            </w:r>
            <w:r>
              <w:rPr>
                <w:rFonts w:hint="eastAsia" w:ascii="Times New Roman" w:hAnsi="Times New Roman" w:eastAsia="宋体" w:cs="Times New Roman"/>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GB</w:t>
            </w:r>
            <w:r>
              <w:rPr>
                <w:rFonts w:hint="eastAsia" w:ascii="Times New Roman" w:hAnsi="Times New Roman" w:eastAsia="宋体" w:cs="Times New Roman"/>
                <w:color w:val="auto"/>
                <w:spacing w:val="0"/>
                <w:position w:val="0"/>
                <w:sz w:val="24"/>
                <w:szCs w:val="24"/>
                <w:highlight w:val="none"/>
                <w:lang w:val="en-US" w:eastAsia="zh-CN"/>
              </w:rPr>
              <w:t>35/1784-2018）</w:t>
            </w:r>
            <w:r>
              <w:rPr>
                <w:rFonts w:hint="eastAsia" w:ascii="Times New Roman" w:hAnsi="Times New Roman" w:eastAsia="宋体" w:cs="Times New Roman"/>
                <w:color w:val="auto"/>
                <w:sz w:val="24"/>
                <w:szCs w:val="24"/>
                <w:highlight w:val="none"/>
                <w:lang w:val="en-US" w:eastAsia="zh-CN"/>
              </w:rPr>
              <w:t>表2厂区内监控点浓度限值</w:t>
            </w:r>
            <w:r>
              <w:rPr>
                <w:rFonts w:hint="eastAsia" w:ascii="Times New Roman" w:hAnsi="Times New Roman" w:eastAsia="宋体" w:cs="Times New Roman"/>
                <w:color w:val="auto"/>
                <w:sz w:val="24"/>
                <w:szCs w:val="24"/>
                <w:highlight w:val="none"/>
                <w:lang w:eastAsia="zh-CN"/>
              </w:rPr>
              <w:t>；1h平均浓度值</w:t>
            </w:r>
            <w:r>
              <w:rPr>
                <w:rFonts w:hint="eastAsia" w:ascii="Times New Roman" w:hAnsi="Times New Roman" w:eastAsia="宋体" w:cs="Times New Roman"/>
                <w:color w:val="auto"/>
                <w:sz w:val="24"/>
                <w:szCs w:val="24"/>
                <w:highlight w:val="none"/>
                <w:lang w:val="en-US" w:eastAsia="zh-CN"/>
              </w:rPr>
              <w:t>最大值为：</w:t>
            </w:r>
            <w:r>
              <w:rPr>
                <w:rFonts w:hint="eastAsia" w:ascii="Times New Roman" w:cs="Times New Roman"/>
                <w:color w:val="auto"/>
                <w:sz w:val="24"/>
                <w:szCs w:val="24"/>
                <w:highlight w:val="none"/>
                <w:lang w:val="en-US" w:eastAsia="zh-CN"/>
              </w:rPr>
              <w:t>3.37</w:t>
            </w:r>
            <w:r>
              <w:rPr>
                <w:rFonts w:hint="eastAsia" w:ascii="Times New Roman" w:hAnsi="Times New Roman" w:eastAsia="宋体" w:cs="Times New Roman"/>
                <w:color w:val="auto"/>
                <w:sz w:val="24"/>
                <w:szCs w:val="24"/>
                <w:highlight w:val="none"/>
                <w:lang w:val="en-US" w:eastAsia="zh-CN"/>
              </w:rPr>
              <w:t>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，符合《挥发性有机物无组织排放控制标准》（GB37822-2019）附录A表A.1厂区内VOCs无组织排放限值要求</w:t>
            </w:r>
            <w:r>
              <w:rPr>
                <w:rFonts w:hint="default" w:ascii="Times New Roman" w:hAnsi="Times New Roman" w:eastAsia="宋体" w:cs="Times New Roman"/>
                <w:b w:val="0"/>
                <w:bCs/>
                <w:color w:val="auto"/>
                <w:spacing w:val="0"/>
                <w:position w:val="0"/>
                <w:sz w:val="24"/>
                <w:szCs w:val="24"/>
                <w:highlight w:val="none"/>
                <w:vertAlign w:val="baseline"/>
                <w:lang w:eastAsia="zh-CN"/>
              </w:rPr>
              <w:t>。</w:t>
            </w:r>
          </w:p>
          <w:p w14:paraId="312EBF8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pacing w:val="0"/>
                <w:position w:val="0"/>
                <w:sz w:val="24"/>
                <w:szCs w:val="24"/>
                <w:highlight w:val="none"/>
                <w:vertAlign w:val="baseline"/>
                <w:lang w:eastAsia="zh-CN"/>
              </w:rPr>
            </w:pPr>
            <w:r>
              <w:rPr>
                <w:rFonts w:hint="eastAsia" w:ascii="Times New Roman" w:hAnsi="Times New Roman" w:eastAsia="宋体" w:cs="Times New Roman"/>
                <w:b/>
                <w:bCs/>
                <w:color w:val="auto"/>
                <w:spacing w:val="0"/>
                <w:position w:val="0"/>
                <w:sz w:val="24"/>
                <w:szCs w:val="24"/>
                <w:highlight w:val="none"/>
                <w:lang w:eastAsia="zh-CN"/>
              </w:rPr>
              <w:t>表</w:t>
            </w:r>
            <w:r>
              <w:rPr>
                <w:rFonts w:hint="eastAsia" w:ascii="Times New Roman" w:hAnsi="Times New Roman" w:eastAsia="宋体" w:cs="Times New Roman"/>
                <w:b/>
                <w:bCs/>
                <w:color w:val="auto"/>
                <w:spacing w:val="0"/>
                <w:position w:val="0"/>
                <w:sz w:val="24"/>
                <w:szCs w:val="24"/>
                <w:highlight w:val="none"/>
                <w:lang w:val="en-US" w:eastAsia="zh-CN"/>
              </w:rPr>
              <w:t>2.9.2-5</w:t>
            </w:r>
            <w:r>
              <w:rPr>
                <w:rFonts w:hint="eastAsia" w:ascii="Times New Roman" w:hAnsi="Times New Roman" w:eastAsia="宋体" w:cs="Times New Roman"/>
                <w:b/>
                <w:bCs/>
                <w:color w:val="auto"/>
                <w:spacing w:val="0"/>
                <w:position w:val="0"/>
                <w:sz w:val="24"/>
                <w:szCs w:val="24"/>
                <w:highlight w:val="none"/>
                <w:lang w:eastAsia="zh-CN"/>
              </w:rPr>
              <w:t>厂界</w:t>
            </w:r>
            <w:r>
              <w:rPr>
                <w:rFonts w:hint="eastAsia" w:ascii="Times New Roman" w:hAnsi="Times New Roman" w:eastAsia="宋体" w:cs="Times New Roman"/>
                <w:b/>
                <w:bCs/>
                <w:color w:val="auto"/>
                <w:spacing w:val="0"/>
                <w:position w:val="0"/>
                <w:sz w:val="24"/>
                <w:szCs w:val="24"/>
                <w:highlight w:val="none"/>
              </w:rPr>
              <w:t>无组织废气检测</w:t>
            </w:r>
            <w:r>
              <w:rPr>
                <w:rFonts w:ascii="Times New Roman" w:hAnsi="Times New Roman" w:eastAsia="宋体" w:cs="Times New Roman"/>
                <w:b/>
                <w:bCs/>
                <w:color w:val="auto"/>
                <w:spacing w:val="0"/>
                <w:position w:val="0"/>
                <w:sz w:val="24"/>
                <w:szCs w:val="24"/>
                <w:highlight w:val="none"/>
              </w:rPr>
              <w:t>结果</w:t>
            </w:r>
            <w:r>
              <w:rPr>
                <w:rFonts w:hint="eastAsia" w:ascii="Times New Roman" w:hAnsi="Times New Roman" w:eastAsia="宋体" w:cs="Times New Roman"/>
                <w:b/>
                <w:bCs/>
                <w:color w:val="auto"/>
                <w:spacing w:val="0"/>
                <w:position w:val="0"/>
                <w:sz w:val="24"/>
                <w:szCs w:val="24"/>
                <w:highlight w:val="none"/>
              </w:rPr>
              <w:t>一览表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0"/>
              <w:gridCol w:w="1818"/>
              <w:gridCol w:w="986"/>
              <w:gridCol w:w="1001"/>
              <w:gridCol w:w="1001"/>
              <w:gridCol w:w="1048"/>
              <w:gridCol w:w="1217"/>
              <w:gridCol w:w="1033"/>
            </w:tblGrid>
            <w:tr w14:paraId="53C99C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restart"/>
                  <w:tcBorders>
                    <w:tl2br w:val="nil"/>
                    <w:tr2bl w:val="nil"/>
                  </w:tcBorders>
                  <w:noWrap w:val="0"/>
                  <w:vAlign w:val="center"/>
                </w:tcPr>
                <w:p w14:paraId="74C80F1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bCs w:val="0"/>
                      <w:color w:val="auto"/>
                      <w:spacing w:val="0"/>
                      <w:position w:val="0"/>
                      <w:sz w:val="21"/>
                      <w:szCs w:val="21"/>
                      <w:highlight w:val="none"/>
                    </w:rPr>
                  </w:pPr>
                  <w:r>
                    <w:rPr>
                      <w:rFonts w:ascii="Times New Roman" w:hAnsi="Times New Roman" w:eastAsia="宋体" w:cs="Times New Roman"/>
                      <w:b/>
                      <w:bCs w:val="0"/>
                      <w:color w:val="auto"/>
                      <w:spacing w:val="0"/>
                      <w:position w:val="0"/>
                      <w:sz w:val="21"/>
                      <w:szCs w:val="21"/>
                      <w:highlight w:val="none"/>
                    </w:rPr>
                    <w:t>采样</w:t>
                  </w:r>
                </w:p>
                <w:p w14:paraId="34F5C40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b/>
                      <w:bCs w:val="0"/>
                      <w:color w:val="auto"/>
                      <w:spacing w:val="0"/>
                      <w:position w:val="0"/>
                      <w:sz w:val="21"/>
                      <w:szCs w:val="21"/>
                      <w:highlight w:val="none"/>
                    </w:rPr>
                  </w:pPr>
                  <w:r>
                    <w:rPr>
                      <w:rFonts w:ascii="Times New Roman" w:hAnsi="Times New Roman" w:eastAsia="宋体" w:cs="Times New Roman"/>
                      <w:b/>
                      <w:bCs w:val="0"/>
                      <w:color w:val="auto"/>
                      <w:spacing w:val="0"/>
                      <w:position w:val="0"/>
                      <w:sz w:val="21"/>
                      <w:szCs w:val="21"/>
                      <w:highlight w:val="none"/>
                    </w:rPr>
                    <w:t>日期</w:t>
                  </w:r>
                </w:p>
              </w:tc>
              <w:tc>
                <w:tcPr>
                  <w:tcW w:w="1818" w:type="dxa"/>
                  <w:vMerge w:val="restart"/>
                  <w:tcBorders>
                    <w:tl2br w:val="nil"/>
                    <w:tr2bl w:val="nil"/>
                  </w:tcBorders>
                  <w:noWrap w:val="0"/>
                  <w:vAlign w:val="center"/>
                </w:tcPr>
                <w:p w14:paraId="1519CEC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b/>
                      <w:bCs w:val="0"/>
                      <w:color w:val="auto"/>
                      <w:spacing w:val="0"/>
                      <w:position w:val="0"/>
                      <w:sz w:val="21"/>
                      <w:szCs w:val="21"/>
                      <w:highlight w:val="none"/>
                    </w:rPr>
                  </w:pPr>
                  <w:r>
                    <w:rPr>
                      <w:rFonts w:ascii="Times New Roman" w:hAnsi="Times New Roman" w:eastAsia="宋体" w:cs="Times New Roman"/>
                      <w:b/>
                      <w:bCs w:val="0"/>
                      <w:color w:val="auto"/>
                      <w:spacing w:val="0"/>
                      <w:position w:val="0"/>
                      <w:sz w:val="21"/>
                      <w:szCs w:val="21"/>
                      <w:highlight w:val="none"/>
                    </w:rPr>
                    <w:t>检测点位</w:t>
                  </w:r>
                </w:p>
              </w:tc>
              <w:tc>
                <w:tcPr>
                  <w:tcW w:w="986" w:type="dxa"/>
                  <w:vMerge w:val="restart"/>
                  <w:tcBorders>
                    <w:tl2br w:val="nil"/>
                    <w:tr2bl w:val="nil"/>
                  </w:tcBorders>
                  <w:noWrap w:val="0"/>
                  <w:vAlign w:val="center"/>
                </w:tcPr>
                <w:p w14:paraId="418C794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b/>
                      <w:bCs w:val="0"/>
                      <w:color w:val="auto"/>
                      <w:spacing w:val="0"/>
                      <w:position w:val="0"/>
                      <w:sz w:val="21"/>
                      <w:szCs w:val="21"/>
                      <w:highlight w:val="none"/>
                    </w:rPr>
                  </w:pPr>
                  <w:r>
                    <w:rPr>
                      <w:rFonts w:ascii="Times New Roman" w:hAnsi="Times New Roman" w:eastAsia="宋体" w:cs="Times New Roman"/>
                      <w:b/>
                      <w:bCs w:val="0"/>
                      <w:color w:val="auto"/>
                      <w:spacing w:val="0"/>
                      <w:position w:val="0"/>
                      <w:sz w:val="21"/>
                      <w:szCs w:val="21"/>
                      <w:highlight w:val="none"/>
                    </w:rPr>
                    <w:t>检测</w:t>
                  </w:r>
                </w:p>
                <w:p w14:paraId="2ADD59C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b/>
                      <w:bCs w:val="0"/>
                      <w:color w:val="auto"/>
                      <w:spacing w:val="0"/>
                      <w:position w:val="0"/>
                      <w:sz w:val="21"/>
                      <w:szCs w:val="21"/>
                      <w:highlight w:val="none"/>
                    </w:rPr>
                  </w:pPr>
                  <w:r>
                    <w:rPr>
                      <w:rFonts w:ascii="Times New Roman" w:hAnsi="Times New Roman" w:eastAsia="宋体" w:cs="Times New Roman"/>
                      <w:b/>
                      <w:bCs w:val="0"/>
                      <w:color w:val="auto"/>
                      <w:spacing w:val="0"/>
                      <w:position w:val="0"/>
                      <w:sz w:val="21"/>
                      <w:szCs w:val="21"/>
                      <w:highlight w:val="none"/>
                    </w:rPr>
                    <w:t>项目</w:t>
                  </w:r>
                </w:p>
              </w:tc>
              <w:tc>
                <w:tcPr>
                  <w:tcW w:w="5300" w:type="dxa"/>
                  <w:gridSpan w:val="5"/>
                  <w:tcBorders>
                    <w:tl2br w:val="nil"/>
                    <w:tr2bl w:val="nil"/>
                  </w:tcBorders>
                  <w:noWrap w:val="0"/>
                  <w:vAlign w:val="center"/>
                </w:tcPr>
                <w:p w14:paraId="334C415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bCs w:val="0"/>
                      <w:color w:val="auto"/>
                      <w:spacing w:val="0"/>
                      <w:position w:val="0"/>
                      <w:sz w:val="21"/>
                      <w:szCs w:val="21"/>
                      <w:highlight w:val="none"/>
                    </w:rPr>
                  </w:pPr>
                  <w:r>
                    <w:rPr>
                      <w:rFonts w:hint="eastAsia" w:ascii="Times New Roman" w:hAnsi="Times New Roman" w:eastAsia="宋体" w:cs="Times New Roman"/>
                      <w:b/>
                      <w:bCs w:val="0"/>
                      <w:color w:val="auto"/>
                      <w:spacing w:val="0"/>
                      <w:position w:val="0"/>
                      <w:sz w:val="21"/>
                      <w:szCs w:val="21"/>
                      <w:highlight w:val="none"/>
                    </w:rPr>
                    <w:t>检测</w:t>
                  </w:r>
                  <w:r>
                    <w:rPr>
                      <w:rFonts w:ascii="Times New Roman" w:hAnsi="Times New Roman" w:eastAsia="宋体" w:cs="Times New Roman"/>
                      <w:b/>
                      <w:bCs w:val="0"/>
                      <w:color w:val="auto"/>
                      <w:spacing w:val="0"/>
                      <w:position w:val="0"/>
                      <w:sz w:val="21"/>
                      <w:szCs w:val="21"/>
                      <w:highlight w:val="none"/>
                    </w:rPr>
                    <w:t>结果</w:t>
                  </w:r>
                  <w:r>
                    <w:rPr>
                      <w:rFonts w:hint="eastAsia" w:ascii="Times New Roman" w:hAnsi="Times New Roman" w:eastAsia="宋体" w:cs="Times New Roman"/>
                      <w:b/>
                      <w:bCs w:val="0"/>
                      <w:color w:val="auto"/>
                      <w:spacing w:val="0"/>
                      <w:position w:val="0"/>
                      <w:sz w:val="21"/>
                      <w:szCs w:val="21"/>
                      <w:highlight w:val="none"/>
                      <w:lang w:eastAsia="zh-CN"/>
                    </w:rPr>
                    <w:t>（</w:t>
                  </w:r>
                  <w:r>
                    <w:rPr>
                      <w:rFonts w:hint="eastAsia" w:ascii="Times New Roman" w:hAnsi="Times New Roman" w:eastAsia="宋体" w:cs="Times New Roman"/>
                      <w:b/>
                      <w:bCs w:val="0"/>
                      <w:color w:val="auto"/>
                      <w:spacing w:val="0"/>
                      <w:position w:val="0"/>
                      <w:sz w:val="21"/>
                      <w:szCs w:val="21"/>
                      <w:highlight w:val="none"/>
                    </w:rPr>
                    <w:t>mg</w:t>
                  </w:r>
                  <w:r>
                    <w:rPr>
                      <w:rFonts w:ascii="Times New Roman" w:hAnsi="Times New Roman" w:eastAsia="宋体" w:cs="Times New Roman"/>
                      <w:b/>
                      <w:bCs w:val="0"/>
                      <w:color w:val="auto"/>
                      <w:spacing w:val="0"/>
                      <w:position w:val="0"/>
                      <w:sz w:val="21"/>
                      <w:szCs w:val="21"/>
                      <w:highlight w:val="none"/>
                    </w:rPr>
                    <w:t>/m</w:t>
                  </w:r>
                  <w:r>
                    <w:rPr>
                      <w:rFonts w:ascii="Times New Roman" w:hAnsi="Times New Roman" w:eastAsia="宋体" w:cs="Times New Roman"/>
                      <w:b/>
                      <w:bCs w:val="0"/>
                      <w:color w:val="auto"/>
                      <w:spacing w:val="0"/>
                      <w:position w:val="0"/>
                      <w:sz w:val="21"/>
                      <w:szCs w:val="21"/>
                      <w:highlight w:val="none"/>
                      <w:vertAlign w:val="superscript"/>
                    </w:rPr>
                    <w:t>3</w:t>
                  </w:r>
                  <w:r>
                    <w:rPr>
                      <w:rFonts w:hint="eastAsia" w:ascii="Times New Roman" w:hAnsi="Times New Roman" w:eastAsia="宋体" w:cs="Times New Roman"/>
                      <w:b/>
                      <w:bCs w:val="0"/>
                      <w:color w:val="auto"/>
                      <w:spacing w:val="0"/>
                      <w:position w:val="0"/>
                      <w:sz w:val="21"/>
                      <w:szCs w:val="21"/>
                      <w:highlight w:val="none"/>
                      <w:lang w:eastAsia="zh-CN"/>
                    </w:rPr>
                    <w:t>）</w:t>
                  </w:r>
                </w:p>
              </w:tc>
            </w:tr>
            <w:tr w14:paraId="6E82B0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055D68B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b/>
                      <w:bCs w:val="0"/>
                      <w:color w:val="auto"/>
                      <w:spacing w:val="0"/>
                      <w:position w:val="0"/>
                      <w:sz w:val="21"/>
                      <w:szCs w:val="21"/>
                      <w:highlight w:val="none"/>
                    </w:rPr>
                  </w:pPr>
                </w:p>
              </w:tc>
              <w:tc>
                <w:tcPr>
                  <w:tcW w:w="1818" w:type="dxa"/>
                  <w:vMerge w:val="continue"/>
                  <w:tcBorders>
                    <w:tl2br w:val="nil"/>
                    <w:tr2bl w:val="nil"/>
                  </w:tcBorders>
                  <w:noWrap w:val="0"/>
                  <w:vAlign w:val="center"/>
                </w:tcPr>
                <w:p w14:paraId="4EE7DA5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b/>
                      <w:bCs w:val="0"/>
                      <w:color w:val="auto"/>
                      <w:spacing w:val="0"/>
                      <w:position w:val="0"/>
                      <w:sz w:val="21"/>
                      <w:szCs w:val="21"/>
                      <w:highlight w:val="none"/>
                    </w:rPr>
                  </w:pPr>
                </w:p>
              </w:tc>
              <w:tc>
                <w:tcPr>
                  <w:tcW w:w="986" w:type="dxa"/>
                  <w:vMerge w:val="continue"/>
                  <w:tcBorders>
                    <w:tl2br w:val="nil"/>
                    <w:tr2bl w:val="nil"/>
                  </w:tcBorders>
                  <w:noWrap w:val="0"/>
                  <w:vAlign w:val="center"/>
                </w:tcPr>
                <w:p w14:paraId="63F28CE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b/>
                      <w:bCs w:val="0"/>
                      <w:color w:val="auto"/>
                      <w:spacing w:val="0"/>
                      <w:position w:val="0"/>
                      <w:sz w:val="21"/>
                      <w:szCs w:val="21"/>
                      <w:highlight w:val="none"/>
                    </w:rPr>
                  </w:pPr>
                </w:p>
              </w:tc>
              <w:tc>
                <w:tcPr>
                  <w:tcW w:w="1001" w:type="dxa"/>
                  <w:tcBorders>
                    <w:tl2br w:val="nil"/>
                    <w:tr2bl w:val="nil"/>
                  </w:tcBorders>
                  <w:noWrap w:val="0"/>
                  <w:vAlign w:val="center"/>
                </w:tcPr>
                <w:p w14:paraId="39D58E0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ascii="Times New Roman" w:hAnsi="Times New Roman" w:eastAsia="宋体" w:cs="Times New Roman"/>
                      <w:b/>
                      <w:bCs w:val="0"/>
                      <w:color w:val="auto"/>
                      <w:spacing w:val="0"/>
                      <w:position w:val="0"/>
                      <w:sz w:val="21"/>
                      <w:szCs w:val="21"/>
                      <w:highlight w:val="none"/>
                    </w:rPr>
                  </w:pPr>
                  <w:r>
                    <w:rPr>
                      <w:rFonts w:hint="eastAsia" w:ascii="Times New Roman" w:hAnsi="Times New Roman" w:eastAsia="宋体" w:cs="Times New Roman"/>
                      <w:b/>
                      <w:bCs w:val="0"/>
                      <w:color w:val="auto"/>
                      <w:spacing w:val="0"/>
                      <w:position w:val="0"/>
                      <w:sz w:val="21"/>
                      <w:szCs w:val="21"/>
                      <w:highlight w:val="none"/>
                      <w:lang w:val="en-US" w:eastAsia="zh-CN" w:bidi="ar-SA"/>
                    </w:rPr>
                    <w:t>第一次</w:t>
                  </w:r>
                </w:p>
              </w:tc>
              <w:tc>
                <w:tcPr>
                  <w:tcW w:w="1001" w:type="dxa"/>
                  <w:tcBorders>
                    <w:tl2br w:val="nil"/>
                    <w:tr2bl w:val="nil"/>
                  </w:tcBorders>
                  <w:noWrap w:val="0"/>
                  <w:vAlign w:val="center"/>
                </w:tcPr>
                <w:p w14:paraId="4089979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ascii="Times New Roman" w:hAnsi="Times New Roman" w:eastAsia="宋体" w:cs="Times New Roman"/>
                      <w:b/>
                      <w:bCs w:val="0"/>
                      <w:color w:val="auto"/>
                      <w:spacing w:val="0"/>
                      <w:position w:val="0"/>
                      <w:sz w:val="21"/>
                      <w:szCs w:val="21"/>
                      <w:highlight w:val="none"/>
                    </w:rPr>
                  </w:pPr>
                  <w:r>
                    <w:rPr>
                      <w:rFonts w:hint="eastAsia" w:ascii="Times New Roman" w:hAnsi="Times New Roman" w:eastAsia="宋体" w:cs="Times New Roman"/>
                      <w:b/>
                      <w:bCs w:val="0"/>
                      <w:color w:val="auto"/>
                      <w:spacing w:val="0"/>
                      <w:position w:val="0"/>
                      <w:sz w:val="21"/>
                      <w:szCs w:val="21"/>
                      <w:highlight w:val="none"/>
                      <w:lang w:val="en-US" w:eastAsia="zh-CN" w:bidi="ar-SA"/>
                    </w:rPr>
                    <w:t>第二次</w:t>
                  </w:r>
                </w:p>
              </w:tc>
              <w:tc>
                <w:tcPr>
                  <w:tcW w:w="1048" w:type="dxa"/>
                  <w:tcBorders>
                    <w:tl2br w:val="nil"/>
                    <w:tr2bl w:val="nil"/>
                  </w:tcBorders>
                  <w:noWrap w:val="0"/>
                  <w:vAlign w:val="center"/>
                </w:tcPr>
                <w:p w14:paraId="629A1D9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pacing w:val="0"/>
                      <w:position w:val="0"/>
                      <w:sz w:val="21"/>
                      <w:szCs w:val="21"/>
                      <w:highlight w:val="none"/>
                      <w:lang w:val="en-US" w:eastAsia="zh-CN"/>
                    </w:rPr>
                  </w:pPr>
                  <w:r>
                    <w:rPr>
                      <w:rFonts w:hint="eastAsia" w:ascii="Times New Roman" w:hAnsi="Times New Roman" w:eastAsia="宋体" w:cs="Times New Roman"/>
                      <w:b/>
                      <w:bCs w:val="0"/>
                      <w:color w:val="auto"/>
                      <w:spacing w:val="0"/>
                      <w:position w:val="0"/>
                      <w:sz w:val="21"/>
                      <w:szCs w:val="21"/>
                      <w:highlight w:val="none"/>
                      <w:lang w:val="en-US" w:eastAsia="zh-CN" w:bidi="ar-SA"/>
                    </w:rPr>
                    <w:t>第三次</w:t>
                  </w:r>
                </w:p>
              </w:tc>
              <w:tc>
                <w:tcPr>
                  <w:tcW w:w="1217" w:type="dxa"/>
                  <w:tcBorders>
                    <w:tl2br w:val="nil"/>
                    <w:tr2bl w:val="nil"/>
                  </w:tcBorders>
                  <w:noWrap w:val="0"/>
                  <w:vAlign w:val="center"/>
                </w:tcPr>
                <w:p w14:paraId="42375F8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pacing w:val="0"/>
                      <w:position w:val="0"/>
                      <w:sz w:val="21"/>
                      <w:szCs w:val="21"/>
                      <w:highlight w:val="none"/>
                      <w:lang w:val="en-US" w:eastAsia="zh-CN"/>
                    </w:rPr>
                  </w:pPr>
                  <w:r>
                    <w:rPr>
                      <w:rFonts w:hint="eastAsia" w:ascii="Times New Roman" w:hAnsi="Times New Roman" w:eastAsia="宋体" w:cs="Times New Roman"/>
                      <w:b/>
                      <w:bCs w:val="0"/>
                      <w:color w:val="auto"/>
                      <w:spacing w:val="0"/>
                      <w:position w:val="0"/>
                      <w:sz w:val="21"/>
                      <w:szCs w:val="21"/>
                      <w:highlight w:val="none"/>
                      <w:lang w:val="en-US" w:eastAsia="zh-CN"/>
                    </w:rPr>
                    <w:t>最大值</w:t>
                  </w:r>
                </w:p>
              </w:tc>
              <w:tc>
                <w:tcPr>
                  <w:tcW w:w="1033" w:type="dxa"/>
                  <w:tcBorders>
                    <w:tl2br w:val="nil"/>
                    <w:tr2bl w:val="nil"/>
                  </w:tcBorders>
                  <w:noWrap w:val="0"/>
                  <w:vAlign w:val="center"/>
                </w:tcPr>
                <w:p w14:paraId="2D7339C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bCs w:val="0"/>
                      <w:color w:val="auto"/>
                      <w:spacing w:val="0"/>
                      <w:position w:val="0"/>
                      <w:sz w:val="21"/>
                      <w:szCs w:val="21"/>
                      <w:highlight w:val="none"/>
                      <w:lang w:eastAsia="zh-CN"/>
                    </w:rPr>
                  </w:pPr>
                  <w:r>
                    <w:rPr>
                      <w:rFonts w:hint="eastAsia" w:ascii="Times New Roman" w:hAnsi="Times New Roman" w:eastAsia="宋体" w:cs="Times New Roman"/>
                      <w:b/>
                      <w:bCs w:val="0"/>
                      <w:color w:val="auto"/>
                      <w:spacing w:val="0"/>
                      <w:position w:val="0"/>
                      <w:sz w:val="21"/>
                      <w:szCs w:val="21"/>
                      <w:highlight w:val="none"/>
                      <w:lang w:val="en-US" w:eastAsia="zh-CN"/>
                    </w:rPr>
                    <w:t>标准限值</w:t>
                  </w:r>
                </w:p>
              </w:tc>
            </w:tr>
            <w:tr w14:paraId="1EB90F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restart"/>
                  <w:tcBorders>
                    <w:tl2br w:val="nil"/>
                    <w:tr2bl w:val="nil"/>
                  </w:tcBorders>
                  <w:noWrap w:val="0"/>
                  <w:vAlign w:val="center"/>
                </w:tcPr>
                <w:p w14:paraId="60089A98">
                  <w:pPr>
                    <w:keepNext w:val="0"/>
                    <w:keepLines w:val="0"/>
                    <w:pageBreakBefore w:val="0"/>
                    <w:kinsoku/>
                    <w:wordWrap/>
                    <w:overflowPunct/>
                    <w:topLinePunct w:val="0"/>
                    <w:autoSpaceDE w:val="0"/>
                    <w:autoSpaceDN w:val="0"/>
                    <w:bidi w:val="0"/>
                    <w:adjustRightInd/>
                    <w:spacing w:line="240" w:lineRule="auto"/>
                    <w:ind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2021.08.20</w:t>
                  </w:r>
                </w:p>
              </w:tc>
              <w:tc>
                <w:tcPr>
                  <w:tcW w:w="1818" w:type="dxa"/>
                  <w:tcBorders>
                    <w:tl2br w:val="nil"/>
                    <w:tr2bl w:val="nil"/>
                  </w:tcBorders>
                  <w:noWrap w:val="0"/>
                  <w:vAlign w:val="center"/>
                </w:tcPr>
                <w:p w14:paraId="51A37F0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eastAsia="zh-CN"/>
                    </w:rPr>
                    <w:t>厂界</w:t>
                  </w:r>
                  <w:r>
                    <w:rPr>
                      <w:rFonts w:hint="eastAsia" w:ascii="Times New Roman" w:hAnsi="Times New Roman" w:eastAsia="宋体" w:cs="Times New Roman"/>
                      <w:color w:val="auto"/>
                      <w:spacing w:val="0"/>
                      <w:position w:val="0"/>
                      <w:sz w:val="21"/>
                      <w:szCs w:val="21"/>
                      <w:highlight w:val="none"/>
                    </w:rPr>
                    <w:t>上风向</w:t>
                  </w:r>
                  <w:r>
                    <w:rPr>
                      <w:rFonts w:hint="eastAsia" w:ascii="Times New Roman" w:hAnsi="Times New Roman" w:eastAsia="宋体" w:cs="Times New Roman"/>
                      <w:color w:val="auto"/>
                      <w:spacing w:val="0"/>
                      <w:position w:val="0"/>
                      <w:sz w:val="21"/>
                      <w:szCs w:val="21"/>
                      <w:highlight w:val="none"/>
                      <w:lang w:val="en-US" w:eastAsia="zh-CN"/>
                    </w:rPr>
                    <w:t>G1</w:t>
                  </w:r>
                </w:p>
              </w:tc>
              <w:tc>
                <w:tcPr>
                  <w:tcW w:w="986" w:type="dxa"/>
                  <w:vMerge w:val="restart"/>
                  <w:tcBorders>
                    <w:tl2br w:val="nil"/>
                    <w:tr2bl w:val="nil"/>
                  </w:tcBorders>
                  <w:noWrap w:val="0"/>
                  <w:vAlign w:val="center"/>
                </w:tcPr>
                <w:p w14:paraId="0D17CD0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颗粒物</w:t>
                  </w:r>
                </w:p>
              </w:tc>
              <w:tc>
                <w:tcPr>
                  <w:tcW w:w="1001" w:type="dxa"/>
                  <w:tcBorders>
                    <w:tl2br w:val="nil"/>
                    <w:tr2bl w:val="nil"/>
                  </w:tcBorders>
                  <w:noWrap w:val="0"/>
                  <w:vAlign w:val="center"/>
                </w:tcPr>
                <w:p w14:paraId="3191958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0.183</w:t>
                  </w:r>
                </w:p>
              </w:tc>
              <w:tc>
                <w:tcPr>
                  <w:tcW w:w="1001" w:type="dxa"/>
                  <w:tcBorders>
                    <w:tl2br w:val="nil"/>
                    <w:tr2bl w:val="nil"/>
                  </w:tcBorders>
                  <w:noWrap w:val="0"/>
                  <w:vAlign w:val="center"/>
                </w:tcPr>
                <w:p w14:paraId="7198388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0.233</w:t>
                  </w:r>
                </w:p>
              </w:tc>
              <w:tc>
                <w:tcPr>
                  <w:tcW w:w="1048" w:type="dxa"/>
                  <w:tcBorders>
                    <w:tl2br w:val="nil"/>
                    <w:tr2bl w:val="nil"/>
                  </w:tcBorders>
                  <w:noWrap w:val="0"/>
                  <w:vAlign w:val="center"/>
                </w:tcPr>
                <w:p w14:paraId="01A24B7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0.217</w:t>
                  </w:r>
                </w:p>
              </w:tc>
              <w:tc>
                <w:tcPr>
                  <w:tcW w:w="1217" w:type="dxa"/>
                  <w:vMerge w:val="restart"/>
                  <w:tcBorders>
                    <w:tl2br w:val="nil"/>
                    <w:tr2bl w:val="nil"/>
                  </w:tcBorders>
                  <w:noWrap w:val="0"/>
                  <w:vAlign w:val="center"/>
                </w:tcPr>
                <w:p w14:paraId="4B88616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0.484</w:t>
                  </w:r>
                </w:p>
              </w:tc>
              <w:tc>
                <w:tcPr>
                  <w:tcW w:w="1033" w:type="dxa"/>
                  <w:vMerge w:val="restart"/>
                  <w:tcBorders>
                    <w:tl2br w:val="nil"/>
                    <w:tr2bl w:val="nil"/>
                  </w:tcBorders>
                  <w:noWrap w:val="0"/>
                  <w:vAlign w:val="center"/>
                </w:tcPr>
                <w:p w14:paraId="6B1CC28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1.0</w:t>
                  </w:r>
                </w:p>
              </w:tc>
            </w:tr>
            <w:tr w14:paraId="3F62F6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4BE24DA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00E9CCE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G2</w:t>
                  </w:r>
                </w:p>
              </w:tc>
              <w:tc>
                <w:tcPr>
                  <w:tcW w:w="986" w:type="dxa"/>
                  <w:vMerge w:val="continue"/>
                  <w:tcBorders>
                    <w:tl2br w:val="nil"/>
                    <w:tr2bl w:val="nil"/>
                  </w:tcBorders>
                  <w:noWrap w:val="0"/>
                  <w:vAlign w:val="center"/>
                </w:tcPr>
                <w:p w14:paraId="43EE8C0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05DA9DC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0.35</w:t>
                  </w:r>
                </w:p>
              </w:tc>
              <w:tc>
                <w:tcPr>
                  <w:tcW w:w="1001" w:type="dxa"/>
                  <w:tcBorders>
                    <w:tl2br w:val="nil"/>
                    <w:tr2bl w:val="nil"/>
                  </w:tcBorders>
                  <w:noWrap w:val="0"/>
                  <w:vAlign w:val="center"/>
                </w:tcPr>
                <w:p w14:paraId="714B08E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0.384</w:t>
                  </w:r>
                </w:p>
              </w:tc>
              <w:tc>
                <w:tcPr>
                  <w:tcW w:w="1048" w:type="dxa"/>
                  <w:tcBorders>
                    <w:tl2br w:val="nil"/>
                    <w:tr2bl w:val="nil"/>
                  </w:tcBorders>
                  <w:noWrap w:val="0"/>
                  <w:vAlign w:val="center"/>
                </w:tcPr>
                <w:p w14:paraId="23099ED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0.367</w:t>
                  </w:r>
                </w:p>
              </w:tc>
              <w:tc>
                <w:tcPr>
                  <w:tcW w:w="1217" w:type="dxa"/>
                  <w:vMerge w:val="continue"/>
                  <w:tcBorders>
                    <w:tl2br w:val="nil"/>
                    <w:tr2bl w:val="nil"/>
                  </w:tcBorders>
                  <w:noWrap w:val="0"/>
                  <w:vAlign w:val="center"/>
                </w:tcPr>
                <w:p w14:paraId="5D60F86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0C1B760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p>
              </w:tc>
            </w:tr>
            <w:tr w14:paraId="627F09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48EBED7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6DA8F1F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G3</w:t>
                  </w:r>
                </w:p>
              </w:tc>
              <w:tc>
                <w:tcPr>
                  <w:tcW w:w="986" w:type="dxa"/>
                  <w:vMerge w:val="continue"/>
                  <w:tcBorders>
                    <w:tl2br w:val="nil"/>
                    <w:tr2bl w:val="nil"/>
                  </w:tcBorders>
                  <w:noWrap w:val="0"/>
                  <w:vAlign w:val="center"/>
                </w:tcPr>
                <w:p w14:paraId="03E0B3D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50F2BCB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0.433</w:t>
                  </w:r>
                </w:p>
              </w:tc>
              <w:tc>
                <w:tcPr>
                  <w:tcW w:w="1001" w:type="dxa"/>
                  <w:tcBorders>
                    <w:tl2br w:val="nil"/>
                    <w:tr2bl w:val="nil"/>
                  </w:tcBorders>
                  <w:noWrap w:val="0"/>
                  <w:vAlign w:val="center"/>
                </w:tcPr>
                <w:p w14:paraId="46561C6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0.484</w:t>
                  </w:r>
                </w:p>
              </w:tc>
              <w:tc>
                <w:tcPr>
                  <w:tcW w:w="1048" w:type="dxa"/>
                  <w:tcBorders>
                    <w:tl2br w:val="nil"/>
                    <w:tr2bl w:val="nil"/>
                  </w:tcBorders>
                  <w:noWrap w:val="0"/>
                  <w:vAlign w:val="center"/>
                </w:tcPr>
                <w:p w14:paraId="0A2DCDE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0.466</w:t>
                  </w:r>
                </w:p>
              </w:tc>
              <w:tc>
                <w:tcPr>
                  <w:tcW w:w="1217" w:type="dxa"/>
                  <w:vMerge w:val="continue"/>
                  <w:tcBorders>
                    <w:tl2br w:val="nil"/>
                    <w:tr2bl w:val="nil"/>
                  </w:tcBorders>
                  <w:noWrap w:val="0"/>
                  <w:vAlign w:val="center"/>
                </w:tcPr>
                <w:p w14:paraId="2524E93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6D55131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p>
              </w:tc>
            </w:tr>
            <w:tr w14:paraId="4BFF9C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7AA065B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68ED4D4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G4</w:t>
                  </w:r>
                </w:p>
              </w:tc>
              <w:tc>
                <w:tcPr>
                  <w:tcW w:w="986" w:type="dxa"/>
                  <w:vMerge w:val="continue"/>
                  <w:tcBorders>
                    <w:tl2br w:val="nil"/>
                    <w:tr2bl w:val="nil"/>
                  </w:tcBorders>
                  <w:noWrap w:val="0"/>
                  <w:vAlign w:val="center"/>
                </w:tcPr>
                <w:p w14:paraId="39F04B4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0091A68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0.401</w:t>
                  </w:r>
                </w:p>
              </w:tc>
              <w:tc>
                <w:tcPr>
                  <w:tcW w:w="1001" w:type="dxa"/>
                  <w:tcBorders>
                    <w:tl2br w:val="nil"/>
                    <w:tr2bl w:val="nil"/>
                  </w:tcBorders>
                  <w:noWrap w:val="0"/>
                  <w:vAlign w:val="center"/>
                </w:tcPr>
                <w:p w14:paraId="0BCC8E7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0.45</w:t>
                  </w:r>
                </w:p>
              </w:tc>
              <w:tc>
                <w:tcPr>
                  <w:tcW w:w="1048" w:type="dxa"/>
                  <w:tcBorders>
                    <w:tl2br w:val="nil"/>
                    <w:tr2bl w:val="nil"/>
                  </w:tcBorders>
                  <w:noWrap w:val="0"/>
                  <w:vAlign w:val="center"/>
                </w:tcPr>
                <w:p w14:paraId="664A2D0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0.417</w:t>
                  </w:r>
                </w:p>
              </w:tc>
              <w:tc>
                <w:tcPr>
                  <w:tcW w:w="1217" w:type="dxa"/>
                  <w:vMerge w:val="continue"/>
                  <w:tcBorders>
                    <w:tl2br w:val="nil"/>
                    <w:tr2bl w:val="nil"/>
                  </w:tcBorders>
                  <w:noWrap w:val="0"/>
                  <w:vAlign w:val="center"/>
                </w:tcPr>
                <w:p w14:paraId="4B738AE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59E8812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p>
              </w:tc>
            </w:tr>
            <w:tr w14:paraId="0E4518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67C3FA9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22B7EDD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w:t>
                  </w:r>
                  <w:r>
                    <w:rPr>
                      <w:rFonts w:hint="eastAsia" w:ascii="Times New Roman" w:hAnsi="Times New Roman" w:eastAsia="宋体" w:cs="Times New Roman"/>
                      <w:color w:val="auto"/>
                      <w:spacing w:val="0"/>
                      <w:position w:val="0"/>
                      <w:sz w:val="21"/>
                      <w:szCs w:val="21"/>
                      <w:highlight w:val="none"/>
                    </w:rPr>
                    <w:t>上风向</w:t>
                  </w:r>
                  <w:r>
                    <w:rPr>
                      <w:rFonts w:hint="eastAsia" w:ascii="Times New Roman" w:hAnsi="Times New Roman" w:eastAsia="宋体" w:cs="Times New Roman"/>
                      <w:color w:val="auto"/>
                      <w:spacing w:val="0"/>
                      <w:position w:val="0"/>
                      <w:sz w:val="21"/>
                      <w:szCs w:val="21"/>
                      <w:highlight w:val="none"/>
                      <w:lang w:val="en-US" w:eastAsia="zh-CN"/>
                    </w:rPr>
                    <w:t>G1</w:t>
                  </w:r>
                </w:p>
              </w:tc>
              <w:tc>
                <w:tcPr>
                  <w:tcW w:w="986" w:type="dxa"/>
                  <w:vMerge w:val="restart"/>
                  <w:tcBorders>
                    <w:tl2br w:val="nil"/>
                    <w:tr2bl w:val="nil"/>
                  </w:tcBorders>
                  <w:noWrap w:val="0"/>
                  <w:vAlign w:val="center"/>
                </w:tcPr>
                <w:p w14:paraId="761271D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甲苯</w:t>
                  </w:r>
                </w:p>
              </w:tc>
              <w:tc>
                <w:tcPr>
                  <w:tcW w:w="1001" w:type="dxa"/>
                  <w:tcBorders>
                    <w:tl2br w:val="nil"/>
                    <w:tr2bl w:val="nil"/>
                  </w:tcBorders>
                  <w:noWrap w:val="0"/>
                  <w:vAlign w:val="center"/>
                </w:tcPr>
                <w:p w14:paraId="60BE48D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&lt;</w:t>
                  </w:r>
                  <w:r>
                    <w:rPr>
                      <w:rFonts w:hint="eastAsia" w:ascii="Times New Roman" w:hAnsi="Times New Roman" w:eastAsia="宋体" w:cs="Times New Roman"/>
                      <w:color w:val="auto"/>
                      <w:spacing w:val="0"/>
                      <w:position w:val="0"/>
                      <w:sz w:val="21"/>
                      <w:szCs w:val="21"/>
                      <w:highlight w:val="none"/>
                      <w:lang w:val="en-US" w:eastAsia="zh-CN"/>
                    </w:rPr>
                    <w:t>0.01</w:t>
                  </w:r>
                </w:p>
              </w:tc>
              <w:tc>
                <w:tcPr>
                  <w:tcW w:w="1001" w:type="dxa"/>
                  <w:tcBorders>
                    <w:tl2br w:val="nil"/>
                    <w:tr2bl w:val="nil"/>
                  </w:tcBorders>
                  <w:noWrap w:val="0"/>
                  <w:vAlign w:val="center"/>
                </w:tcPr>
                <w:p w14:paraId="261B5E2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&lt;</w:t>
                  </w:r>
                  <w:r>
                    <w:rPr>
                      <w:rFonts w:hint="eastAsia" w:ascii="Times New Roman" w:hAnsi="Times New Roman" w:eastAsia="宋体" w:cs="Times New Roman"/>
                      <w:color w:val="auto"/>
                      <w:spacing w:val="0"/>
                      <w:position w:val="0"/>
                      <w:sz w:val="21"/>
                      <w:szCs w:val="21"/>
                      <w:highlight w:val="none"/>
                      <w:lang w:val="en-US" w:eastAsia="zh-CN"/>
                    </w:rPr>
                    <w:t>0.01</w:t>
                  </w:r>
                </w:p>
              </w:tc>
              <w:tc>
                <w:tcPr>
                  <w:tcW w:w="1048" w:type="dxa"/>
                  <w:tcBorders>
                    <w:tl2br w:val="nil"/>
                    <w:tr2bl w:val="nil"/>
                  </w:tcBorders>
                  <w:noWrap w:val="0"/>
                  <w:vAlign w:val="center"/>
                </w:tcPr>
                <w:p w14:paraId="3CA2019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&lt;</w:t>
                  </w:r>
                  <w:r>
                    <w:rPr>
                      <w:rFonts w:hint="eastAsia" w:ascii="Times New Roman" w:hAnsi="Times New Roman" w:eastAsia="宋体" w:cs="Times New Roman"/>
                      <w:color w:val="auto"/>
                      <w:spacing w:val="0"/>
                      <w:position w:val="0"/>
                      <w:sz w:val="21"/>
                      <w:szCs w:val="21"/>
                      <w:highlight w:val="none"/>
                      <w:lang w:val="en-US" w:eastAsia="zh-CN"/>
                    </w:rPr>
                    <w:t>0.01</w:t>
                  </w:r>
                </w:p>
              </w:tc>
              <w:tc>
                <w:tcPr>
                  <w:tcW w:w="1217" w:type="dxa"/>
                  <w:vMerge w:val="restart"/>
                  <w:tcBorders>
                    <w:tl2br w:val="nil"/>
                    <w:tr2bl w:val="nil"/>
                  </w:tcBorders>
                  <w:noWrap w:val="0"/>
                  <w:vAlign w:val="center"/>
                </w:tcPr>
                <w:p w14:paraId="3BB0B44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0.068</w:t>
                  </w:r>
                </w:p>
              </w:tc>
              <w:tc>
                <w:tcPr>
                  <w:tcW w:w="1033" w:type="dxa"/>
                  <w:vMerge w:val="restart"/>
                  <w:tcBorders>
                    <w:tl2br w:val="nil"/>
                    <w:tr2bl w:val="nil"/>
                  </w:tcBorders>
                  <w:noWrap w:val="0"/>
                  <w:vAlign w:val="center"/>
                </w:tcPr>
                <w:p w14:paraId="02673DC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0.6</w:t>
                  </w:r>
                </w:p>
              </w:tc>
            </w:tr>
            <w:tr w14:paraId="2EF5C1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37D6782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2E5A101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G2</w:t>
                  </w:r>
                </w:p>
              </w:tc>
              <w:tc>
                <w:tcPr>
                  <w:tcW w:w="986" w:type="dxa"/>
                  <w:vMerge w:val="continue"/>
                  <w:tcBorders>
                    <w:tl2br w:val="nil"/>
                    <w:tr2bl w:val="nil"/>
                  </w:tcBorders>
                  <w:noWrap w:val="0"/>
                  <w:vAlign w:val="center"/>
                </w:tcPr>
                <w:p w14:paraId="1DAD814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78E136F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0.046</w:t>
                  </w:r>
                </w:p>
              </w:tc>
              <w:tc>
                <w:tcPr>
                  <w:tcW w:w="1001" w:type="dxa"/>
                  <w:tcBorders>
                    <w:tl2br w:val="nil"/>
                    <w:tr2bl w:val="nil"/>
                  </w:tcBorders>
                  <w:noWrap w:val="0"/>
                  <w:vAlign w:val="center"/>
                </w:tcPr>
                <w:p w14:paraId="7AED6FD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0.043</w:t>
                  </w:r>
                </w:p>
              </w:tc>
              <w:tc>
                <w:tcPr>
                  <w:tcW w:w="1048" w:type="dxa"/>
                  <w:tcBorders>
                    <w:tl2br w:val="nil"/>
                    <w:tr2bl w:val="nil"/>
                  </w:tcBorders>
                  <w:noWrap w:val="0"/>
                  <w:vAlign w:val="center"/>
                </w:tcPr>
                <w:p w14:paraId="106D326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0.054</w:t>
                  </w:r>
                </w:p>
              </w:tc>
              <w:tc>
                <w:tcPr>
                  <w:tcW w:w="1217" w:type="dxa"/>
                  <w:vMerge w:val="continue"/>
                  <w:tcBorders>
                    <w:tl2br w:val="nil"/>
                    <w:tr2bl w:val="nil"/>
                  </w:tcBorders>
                  <w:noWrap w:val="0"/>
                  <w:vAlign w:val="center"/>
                </w:tcPr>
                <w:p w14:paraId="2A1CD5B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2BF6EF3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p>
              </w:tc>
            </w:tr>
            <w:tr w14:paraId="213E86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4BF03EB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5BC8BCF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G3</w:t>
                  </w:r>
                </w:p>
              </w:tc>
              <w:tc>
                <w:tcPr>
                  <w:tcW w:w="986" w:type="dxa"/>
                  <w:vMerge w:val="continue"/>
                  <w:tcBorders>
                    <w:tl2br w:val="nil"/>
                    <w:tr2bl w:val="nil"/>
                  </w:tcBorders>
                  <w:noWrap w:val="0"/>
                  <w:vAlign w:val="center"/>
                </w:tcPr>
                <w:p w14:paraId="62E4238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543A50D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0.048</w:t>
                  </w:r>
                </w:p>
              </w:tc>
              <w:tc>
                <w:tcPr>
                  <w:tcW w:w="1001" w:type="dxa"/>
                  <w:tcBorders>
                    <w:tl2br w:val="nil"/>
                    <w:tr2bl w:val="nil"/>
                  </w:tcBorders>
                  <w:noWrap w:val="0"/>
                  <w:vAlign w:val="center"/>
                </w:tcPr>
                <w:p w14:paraId="2DCFAE9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0.068</w:t>
                  </w:r>
                </w:p>
              </w:tc>
              <w:tc>
                <w:tcPr>
                  <w:tcW w:w="1048" w:type="dxa"/>
                  <w:tcBorders>
                    <w:tl2br w:val="nil"/>
                    <w:tr2bl w:val="nil"/>
                  </w:tcBorders>
                  <w:noWrap w:val="0"/>
                  <w:vAlign w:val="center"/>
                </w:tcPr>
                <w:p w14:paraId="0D43F9B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0.053</w:t>
                  </w:r>
                </w:p>
              </w:tc>
              <w:tc>
                <w:tcPr>
                  <w:tcW w:w="1217" w:type="dxa"/>
                  <w:vMerge w:val="continue"/>
                  <w:tcBorders>
                    <w:tl2br w:val="nil"/>
                    <w:tr2bl w:val="nil"/>
                  </w:tcBorders>
                  <w:noWrap w:val="0"/>
                  <w:vAlign w:val="center"/>
                </w:tcPr>
                <w:p w14:paraId="65C9918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78E8847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p>
              </w:tc>
            </w:tr>
            <w:tr w14:paraId="588D1D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5798B80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015C34F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G4</w:t>
                  </w:r>
                </w:p>
              </w:tc>
              <w:tc>
                <w:tcPr>
                  <w:tcW w:w="986" w:type="dxa"/>
                  <w:vMerge w:val="continue"/>
                  <w:tcBorders>
                    <w:tl2br w:val="nil"/>
                    <w:tr2bl w:val="nil"/>
                  </w:tcBorders>
                  <w:noWrap w:val="0"/>
                  <w:vAlign w:val="center"/>
                </w:tcPr>
                <w:p w14:paraId="11C506B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12AB306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0.052</w:t>
                  </w:r>
                </w:p>
              </w:tc>
              <w:tc>
                <w:tcPr>
                  <w:tcW w:w="1001" w:type="dxa"/>
                  <w:tcBorders>
                    <w:tl2br w:val="nil"/>
                    <w:tr2bl w:val="nil"/>
                  </w:tcBorders>
                  <w:noWrap w:val="0"/>
                  <w:vAlign w:val="center"/>
                </w:tcPr>
                <w:p w14:paraId="288B32A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0.061</w:t>
                  </w:r>
                </w:p>
              </w:tc>
              <w:tc>
                <w:tcPr>
                  <w:tcW w:w="1048" w:type="dxa"/>
                  <w:tcBorders>
                    <w:tl2br w:val="nil"/>
                    <w:tr2bl w:val="nil"/>
                  </w:tcBorders>
                  <w:noWrap w:val="0"/>
                  <w:vAlign w:val="center"/>
                </w:tcPr>
                <w:p w14:paraId="5958AC4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0.056</w:t>
                  </w:r>
                </w:p>
              </w:tc>
              <w:tc>
                <w:tcPr>
                  <w:tcW w:w="1217" w:type="dxa"/>
                  <w:vMerge w:val="continue"/>
                  <w:tcBorders>
                    <w:tl2br w:val="nil"/>
                    <w:tr2bl w:val="nil"/>
                  </w:tcBorders>
                  <w:noWrap w:val="0"/>
                  <w:vAlign w:val="center"/>
                </w:tcPr>
                <w:p w14:paraId="4896067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2679BD6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p>
              </w:tc>
            </w:tr>
            <w:tr w14:paraId="3FED7C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2729835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62A979B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w:t>
                  </w:r>
                  <w:r>
                    <w:rPr>
                      <w:rFonts w:hint="eastAsia" w:ascii="Times New Roman" w:hAnsi="Times New Roman" w:eastAsia="宋体" w:cs="Times New Roman"/>
                      <w:color w:val="auto"/>
                      <w:spacing w:val="0"/>
                      <w:position w:val="0"/>
                      <w:sz w:val="21"/>
                      <w:szCs w:val="21"/>
                      <w:highlight w:val="none"/>
                    </w:rPr>
                    <w:t>上风向</w:t>
                  </w:r>
                  <w:r>
                    <w:rPr>
                      <w:rFonts w:hint="eastAsia" w:ascii="Times New Roman" w:hAnsi="Times New Roman" w:eastAsia="宋体" w:cs="Times New Roman"/>
                      <w:color w:val="auto"/>
                      <w:spacing w:val="0"/>
                      <w:position w:val="0"/>
                      <w:sz w:val="21"/>
                      <w:szCs w:val="21"/>
                      <w:highlight w:val="none"/>
                      <w:lang w:val="en-US" w:eastAsia="zh-CN"/>
                    </w:rPr>
                    <w:t>G1</w:t>
                  </w:r>
                </w:p>
              </w:tc>
              <w:tc>
                <w:tcPr>
                  <w:tcW w:w="986" w:type="dxa"/>
                  <w:vMerge w:val="restart"/>
                  <w:tcBorders>
                    <w:tl2br w:val="nil"/>
                    <w:tr2bl w:val="nil"/>
                  </w:tcBorders>
                  <w:noWrap w:val="0"/>
                  <w:vAlign w:val="center"/>
                </w:tcPr>
                <w:p w14:paraId="1A4FAE5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二甲苯</w:t>
                  </w:r>
                </w:p>
              </w:tc>
              <w:tc>
                <w:tcPr>
                  <w:tcW w:w="1001" w:type="dxa"/>
                  <w:tcBorders>
                    <w:tl2br w:val="nil"/>
                    <w:tr2bl w:val="nil"/>
                  </w:tcBorders>
                  <w:noWrap w:val="0"/>
                  <w:vAlign w:val="center"/>
                </w:tcPr>
                <w:p w14:paraId="096743C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&lt;</w:t>
                  </w:r>
                  <w:r>
                    <w:rPr>
                      <w:rFonts w:hint="eastAsia" w:ascii="Times New Roman" w:hAnsi="Times New Roman" w:eastAsia="宋体" w:cs="Times New Roman"/>
                      <w:color w:val="auto"/>
                      <w:spacing w:val="0"/>
                      <w:position w:val="0"/>
                      <w:sz w:val="21"/>
                      <w:szCs w:val="21"/>
                      <w:highlight w:val="none"/>
                      <w:lang w:val="en-US" w:eastAsia="zh-CN"/>
                    </w:rPr>
                    <w:t>0.01</w:t>
                  </w:r>
                </w:p>
              </w:tc>
              <w:tc>
                <w:tcPr>
                  <w:tcW w:w="1001" w:type="dxa"/>
                  <w:tcBorders>
                    <w:tl2br w:val="nil"/>
                    <w:tr2bl w:val="nil"/>
                  </w:tcBorders>
                  <w:noWrap w:val="0"/>
                  <w:vAlign w:val="center"/>
                </w:tcPr>
                <w:p w14:paraId="6AFCB68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&lt;</w:t>
                  </w:r>
                  <w:r>
                    <w:rPr>
                      <w:rFonts w:hint="eastAsia" w:ascii="Times New Roman" w:hAnsi="Times New Roman" w:eastAsia="宋体" w:cs="Times New Roman"/>
                      <w:color w:val="auto"/>
                      <w:spacing w:val="0"/>
                      <w:position w:val="0"/>
                      <w:sz w:val="21"/>
                      <w:szCs w:val="21"/>
                      <w:highlight w:val="none"/>
                      <w:lang w:val="en-US" w:eastAsia="zh-CN"/>
                    </w:rPr>
                    <w:t>0.01</w:t>
                  </w:r>
                </w:p>
              </w:tc>
              <w:tc>
                <w:tcPr>
                  <w:tcW w:w="1048" w:type="dxa"/>
                  <w:tcBorders>
                    <w:tl2br w:val="nil"/>
                    <w:tr2bl w:val="nil"/>
                  </w:tcBorders>
                  <w:noWrap w:val="0"/>
                  <w:vAlign w:val="center"/>
                </w:tcPr>
                <w:p w14:paraId="6412AFE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&lt;</w:t>
                  </w:r>
                  <w:r>
                    <w:rPr>
                      <w:rFonts w:hint="eastAsia" w:ascii="Times New Roman" w:hAnsi="Times New Roman" w:eastAsia="宋体" w:cs="Times New Roman"/>
                      <w:color w:val="auto"/>
                      <w:spacing w:val="0"/>
                      <w:position w:val="0"/>
                      <w:sz w:val="21"/>
                      <w:szCs w:val="21"/>
                      <w:highlight w:val="none"/>
                      <w:lang w:val="en-US" w:eastAsia="zh-CN"/>
                    </w:rPr>
                    <w:t>0.01</w:t>
                  </w:r>
                </w:p>
              </w:tc>
              <w:tc>
                <w:tcPr>
                  <w:tcW w:w="1217" w:type="dxa"/>
                  <w:vMerge w:val="restart"/>
                  <w:tcBorders>
                    <w:tl2br w:val="nil"/>
                    <w:tr2bl w:val="nil"/>
                  </w:tcBorders>
                  <w:noWrap w:val="0"/>
                  <w:vAlign w:val="center"/>
                </w:tcPr>
                <w:p w14:paraId="042C31D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0.108</w:t>
                  </w:r>
                </w:p>
              </w:tc>
              <w:tc>
                <w:tcPr>
                  <w:tcW w:w="1033" w:type="dxa"/>
                  <w:vMerge w:val="restart"/>
                  <w:tcBorders>
                    <w:tl2br w:val="nil"/>
                    <w:tr2bl w:val="nil"/>
                  </w:tcBorders>
                  <w:noWrap w:val="0"/>
                  <w:vAlign w:val="center"/>
                </w:tcPr>
                <w:p w14:paraId="58EECBA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0.2</w:t>
                  </w:r>
                </w:p>
              </w:tc>
            </w:tr>
            <w:tr w14:paraId="6DAE60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0A5935E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3CCEB80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G2</w:t>
                  </w:r>
                </w:p>
              </w:tc>
              <w:tc>
                <w:tcPr>
                  <w:tcW w:w="986" w:type="dxa"/>
                  <w:vMerge w:val="continue"/>
                  <w:tcBorders>
                    <w:tl2br w:val="nil"/>
                    <w:tr2bl w:val="nil"/>
                  </w:tcBorders>
                  <w:noWrap w:val="0"/>
                  <w:vAlign w:val="center"/>
                </w:tcPr>
                <w:p w14:paraId="1C05A74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58762B3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0.066</w:t>
                  </w:r>
                </w:p>
              </w:tc>
              <w:tc>
                <w:tcPr>
                  <w:tcW w:w="1001" w:type="dxa"/>
                  <w:tcBorders>
                    <w:tl2br w:val="nil"/>
                    <w:tr2bl w:val="nil"/>
                  </w:tcBorders>
                  <w:noWrap w:val="0"/>
                  <w:vAlign w:val="center"/>
                </w:tcPr>
                <w:p w14:paraId="4D2A0B1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0.068</w:t>
                  </w:r>
                </w:p>
              </w:tc>
              <w:tc>
                <w:tcPr>
                  <w:tcW w:w="1048" w:type="dxa"/>
                  <w:tcBorders>
                    <w:tl2br w:val="nil"/>
                    <w:tr2bl w:val="nil"/>
                  </w:tcBorders>
                  <w:noWrap w:val="0"/>
                  <w:vAlign w:val="center"/>
                </w:tcPr>
                <w:p w14:paraId="750BE25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0.09</w:t>
                  </w:r>
                </w:p>
              </w:tc>
              <w:tc>
                <w:tcPr>
                  <w:tcW w:w="1217" w:type="dxa"/>
                  <w:vMerge w:val="continue"/>
                  <w:tcBorders>
                    <w:tl2br w:val="nil"/>
                    <w:tr2bl w:val="nil"/>
                  </w:tcBorders>
                  <w:noWrap w:val="0"/>
                  <w:vAlign w:val="center"/>
                </w:tcPr>
                <w:p w14:paraId="223B095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18B6894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p>
              </w:tc>
            </w:tr>
            <w:tr w14:paraId="4CF215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4C2E3C6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27009D3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G3</w:t>
                  </w:r>
                </w:p>
              </w:tc>
              <w:tc>
                <w:tcPr>
                  <w:tcW w:w="986" w:type="dxa"/>
                  <w:vMerge w:val="continue"/>
                  <w:tcBorders>
                    <w:tl2br w:val="nil"/>
                    <w:tr2bl w:val="nil"/>
                  </w:tcBorders>
                  <w:noWrap w:val="0"/>
                  <w:vAlign w:val="center"/>
                </w:tcPr>
                <w:p w14:paraId="0C9CFEC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32D7C20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0.098</w:t>
                  </w:r>
                </w:p>
              </w:tc>
              <w:tc>
                <w:tcPr>
                  <w:tcW w:w="1001" w:type="dxa"/>
                  <w:tcBorders>
                    <w:tl2br w:val="nil"/>
                    <w:tr2bl w:val="nil"/>
                  </w:tcBorders>
                  <w:noWrap w:val="0"/>
                  <w:vAlign w:val="center"/>
                </w:tcPr>
                <w:p w14:paraId="7F68080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0.107</w:t>
                  </w:r>
                </w:p>
              </w:tc>
              <w:tc>
                <w:tcPr>
                  <w:tcW w:w="1048" w:type="dxa"/>
                  <w:tcBorders>
                    <w:tl2br w:val="nil"/>
                    <w:tr2bl w:val="nil"/>
                  </w:tcBorders>
                  <w:noWrap w:val="0"/>
                  <w:vAlign w:val="center"/>
                </w:tcPr>
                <w:p w14:paraId="32C6B7C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0.105</w:t>
                  </w:r>
                </w:p>
              </w:tc>
              <w:tc>
                <w:tcPr>
                  <w:tcW w:w="1217" w:type="dxa"/>
                  <w:vMerge w:val="continue"/>
                  <w:tcBorders>
                    <w:tl2br w:val="nil"/>
                    <w:tr2bl w:val="nil"/>
                  </w:tcBorders>
                  <w:noWrap w:val="0"/>
                  <w:vAlign w:val="center"/>
                </w:tcPr>
                <w:p w14:paraId="0842804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03FABAC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p>
              </w:tc>
            </w:tr>
            <w:tr w14:paraId="4F89D6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1088405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2CBA87F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G4</w:t>
                  </w:r>
                </w:p>
              </w:tc>
              <w:tc>
                <w:tcPr>
                  <w:tcW w:w="986" w:type="dxa"/>
                  <w:vMerge w:val="continue"/>
                  <w:tcBorders>
                    <w:tl2br w:val="nil"/>
                    <w:tr2bl w:val="nil"/>
                  </w:tcBorders>
                  <w:noWrap w:val="0"/>
                  <w:vAlign w:val="center"/>
                </w:tcPr>
                <w:p w14:paraId="1D659FE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1D7D963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0.071</w:t>
                  </w:r>
                </w:p>
              </w:tc>
              <w:tc>
                <w:tcPr>
                  <w:tcW w:w="1001" w:type="dxa"/>
                  <w:tcBorders>
                    <w:tl2br w:val="nil"/>
                    <w:tr2bl w:val="nil"/>
                  </w:tcBorders>
                  <w:noWrap w:val="0"/>
                  <w:vAlign w:val="center"/>
                </w:tcPr>
                <w:p w14:paraId="3246E3E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0.104</w:t>
                  </w:r>
                </w:p>
              </w:tc>
              <w:tc>
                <w:tcPr>
                  <w:tcW w:w="1048" w:type="dxa"/>
                  <w:tcBorders>
                    <w:tl2br w:val="nil"/>
                    <w:tr2bl w:val="nil"/>
                  </w:tcBorders>
                  <w:noWrap w:val="0"/>
                  <w:vAlign w:val="center"/>
                </w:tcPr>
                <w:p w14:paraId="3EB603C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0.108</w:t>
                  </w:r>
                </w:p>
              </w:tc>
              <w:tc>
                <w:tcPr>
                  <w:tcW w:w="1217" w:type="dxa"/>
                  <w:vMerge w:val="continue"/>
                  <w:tcBorders>
                    <w:tl2br w:val="nil"/>
                    <w:tr2bl w:val="nil"/>
                  </w:tcBorders>
                  <w:noWrap w:val="0"/>
                  <w:vAlign w:val="center"/>
                </w:tcPr>
                <w:p w14:paraId="0DAE04E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6EBB91F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p>
              </w:tc>
            </w:tr>
            <w:tr w14:paraId="2C2C90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76376AB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19B5EDD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w:t>
                  </w:r>
                  <w:r>
                    <w:rPr>
                      <w:rFonts w:hint="eastAsia" w:ascii="Times New Roman" w:hAnsi="Times New Roman" w:eastAsia="宋体" w:cs="Times New Roman"/>
                      <w:color w:val="auto"/>
                      <w:spacing w:val="0"/>
                      <w:position w:val="0"/>
                      <w:sz w:val="21"/>
                      <w:szCs w:val="21"/>
                      <w:highlight w:val="none"/>
                    </w:rPr>
                    <w:t>上风向</w:t>
                  </w:r>
                  <w:r>
                    <w:rPr>
                      <w:rFonts w:hint="eastAsia" w:ascii="Times New Roman" w:hAnsi="Times New Roman" w:eastAsia="宋体" w:cs="Times New Roman"/>
                      <w:color w:val="auto"/>
                      <w:spacing w:val="0"/>
                      <w:position w:val="0"/>
                      <w:sz w:val="21"/>
                      <w:szCs w:val="21"/>
                      <w:highlight w:val="none"/>
                      <w:lang w:val="en-US" w:eastAsia="zh-CN"/>
                    </w:rPr>
                    <w:t>G1</w:t>
                  </w:r>
                </w:p>
              </w:tc>
              <w:tc>
                <w:tcPr>
                  <w:tcW w:w="986" w:type="dxa"/>
                  <w:vMerge w:val="restart"/>
                  <w:tcBorders>
                    <w:tl2br w:val="nil"/>
                    <w:tr2bl w:val="nil"/>
                  </w:tcBorders>
                  <w:noWrap w:val="0"/>
                  <w:vAlign w:val="center"/>
                </w:tcPr>
                <w:p w14:paraId="0756B67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非甲烷</w:t>
                  </w:r>
                </w:p>
                <w:p w14:paraId="3864BDD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总烃</w:t>
                  </w:r>
                </w:p>
              </w:tc>
              <w:tc>
                <w:tcPr>
                  <w:tcW w:w="1001" w:type="dxa"/>
                  <w:tcBorders>
                    <w:tl2br w:val="nil"/>
                    <w:tr2bl w:val="nil"/>
                  </w:tcBorders>
                  <w:noWrap w:val="0"/>
                  <w:vAlign w:val="center"/>
                </w:tcPr>
                <w:p w14:paraId="6AC704D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0.53</w:t>
                  </w:r>
                </w:p>
              </w:tc>
              <w:tc>
                <w:tcPr>
                  <w:tcW w:w="1001" w:type="dxa"/>
                  <w:tcBorders>
                    <w:tl2br w:val="nil"/>
                    <w:tr2bl w:val="nil"/>
                  </w:tcBorders>
                  <w:noWrap w:val="0"/>
                  <w:vAlign w:val="center"/>
                </w:tcPr>
                <w:p w14:paraId="4A7B07B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0.7</w:t>
                  </w:r>
                </w:p>
              </w:tc>
              <w:tc>
                <w:tcPr>
                  <w:tcW w:w="1048" w:type="dxa"/>
                  <w:tcBorders>
                    <w:tl2br w:val="nil"/>
                    <w:tr2bl w:val="nil"/>
                  </w:tcBorders>
                  <w:noWrap w:val="0"/>
                  <w:vAlign w:val="center"/>
                </w:tcPr>
                <w:p w14:paraId="65BDF89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0.64</w:t>
                  </w:r>
                </w:p>
              </w:tc>
              <w:tc>
                <w:tcPr>
                  <w:tcW w:w="1217" w:type="dxa"/>
                  <w:vMerge w:val="restart"/>
                  <w:tcBorders>
                    <w:tl2br w:val="nil"/>
                    <w:tr2bl w:val="nil"/>
                  </w:tcBorders>
                  <w:shd w:val="clear" w:color="auto" w:fill="auto"/>
                  <w:noWrap w:val="0"/>
                  <w:vAlign w:val="center"/>
                </w:tcPr>
                <w:p w14:paraId="50AEAE5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1.34</w:t>
                  </w:r>
                </w:p>
              </w:tc>
              <w:tc>
                <w:tcPr>
                  <w:tcW w:w="1033" w:type="dxa"/>
                  <w:vMerge w:val="restart"/>
                  <w:tcBorders>
                    <w:tl2br w:val="nil"/>
                    <w:tr2bl w:val="nil"/>
                  </w:tcBorders>
                  <w:shd w:val="clear" w:color="auto" w:fill="auto"/>
                  <w:noWrap w:val="0"/>
                  <w:vAlign w:val="center"/>
                </w:tcPr>
                <w:p w14:paraId="2938370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2.0</w:t>
                  </w:r>
                </w:p>
              </w:tc>
            </w:tr>
            <w:tr w14:paraId="486F0D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7B804E2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2729321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G2</w:t>
                  </w:r>
                </w:p>
              </w:tc>
              <w:tc>
                <w:tcPr>
                  <w:tcW w:w="986" w:type="dxa"/>
                  <w:vMerge w:val="continue"/>
                  <w:tcBorders>
                    <w:tl2br w:val="nil"/>
                    <w:tr2bl w:val="nil"/>
                  </w:tcBorders>
                  <w:noWrap w:val="0"/>
                  <w:vAlign w:val="center"/>
                </w:tcPr>
                <w:p w14:paraId="7E93264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5B7B4EA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0.89</w:t>
                  </w:r>
                </w:p>
              </w:tc>
              <w:tc>
                <w:tcPr>
                  <w:tcW w:w="1001" w:type="dxa"/>
                  <w:tcBorders>
                    <w:tl2br w:val="nil"/>
                    <w:tr2bl w:val="nil"/>
                  </w:tcBorders>
                  <w:noWrap w:val="0"/>
                  <w:vAlign w:val="center"/>
                </w:tcPr>
                <w:p w14:paraId="2F3D808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0.99</w:t>
                  </w:r>
                </w:p>
              </w:tc>
              <w:tc>
                <w:tcPr>
                  <w:tcW w:w="1048" w:type="dxa"/>
                  <w:tcBorders>
                    <w:tl2br w:val="nil"/>
                    <w:tr2bl w:val="nil"/>
                  </w:tcBorders>
                  <w:noWrap w:val="0"/>
                  <w:vAlign w:val="center"/>
                </w:tcPr>
                <w:p w14:paraId="2981EAD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0.91</w:t>
                  </w:r>
                </w:p>
              </w:tc>
              <w:tc>
                <w:tcPr>
                  <w:tcW w:w="1217" w:type="dxa"/>
                  <w:vMerge w:val="continue"/>
                  <w:tcBorders>
                    <w:tl2br w:val="nil"/>
                    <w:tr2bl w:val="nil"/>
                  </w:tcBorders>
                  <w:noWrap w:val="0"/>
                  <w:vAlign w:val="center"/>
                </w:tcPr>
                <w:p w14:paraId="60CE86C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60E1783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p>
              </w:tc>
            </w:tr>
            <w:tr w14:paraId="6F3475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5C1E316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4DF0E74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G3</w:t>
                  </w:r>
                </w:p>
              </w:tc>
              <w:tc>
                <w:tcPr>
                  <w:tcW w:w="986" w:type="dxa"/>
                  <w:vMerge w:val="continue"/>
                  <w:tcBorders>
                    <w:tl2br w:val="nil"/>
                    <w:tr2bl w:val="nil"/>
                  </w:tcBorders>
                  <w:noWrap w:val="0"/>
                  <w:vAlign w:val="center"/>
                </w:tcPr>
                <w:p w14:paraId="33C1C1D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76F91E9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1.2</w:t>
                  </w:r>
                </w:p>
              </w:tc>
              <w:tc>
                <w:tcPr>
                  <w:tcW w:w="1001" w:type="dxa"/>
                  <w:tcBorders>
                    <w:tl2br w:val="nil"/>
                    <w:tr2bl w:val="nil"/>
                  </w:tcBorders>
                  <w:noWrap w:val="0"/>
                  <w:vAlign w:val="center"/>
                </w:tcPr>
                <w:p w14:paraId="5CD511D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1.34</w:t>
                  </w:r>
                </w:p>
              </w:tc>
              <w:tc>
                <w:tcPr>
                  <w:tcW w:w="1048" w:type="dxa"/>
                  <w:tcBorders>
                    <w:tl2br w:val="nil"/>
                    <w:tr2bl w:val="nil"/>
                  </w:tcBorders>
                  <w:noWrap w:val="0"/>
                  <w:vAlign w:val="center"/>
                </w:tcPr>
                <w:p w14:paraId="1A2155E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1.28</w:t>
                  </w:r>
                </w:p>
              </w:tc>
              <w:tc>
                <w:tcPr>
                  <w:tcW w:w="1217" w:type="dxa"/>
                  <w:vMerge w:val="continue"/>
                  <w:tcBorders>
                    <w:tl2br w:val="nil"/>
                    <w:tr2bl w:val="nil"/>
                  </w:tcBorders>
                  <w:noWrap w:val="0"/>
                  <w:vAlign w:val="center"/>
                </w:tcPr>
                <w:p w14:paraId="227CC9C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0AE08C0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p>
              </w:tc>
            </w:tr>
            <w:tr w14:paraId="2AC63D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59F8441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7A875EF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G4</w:t>
                  </w:r>
                </w:p>
              </w:tc>
              <w:tc>
                <w:tcPr>
                  <w:tcW w:w="986" w:type="dxa"/>
                  <w:vMerge w:val="continue"/>
                  <w:tcBorders>
                    <w:tl2br w:val="nil"/>
                    <w:tr2bl w:val="nil"/>
                  </w:tcBorders>
                  <w:noWrap w:val="0"/>
                  <w:vAlign w:val="center"/>
                </w:tcPr>
                <w:p w14:paraId="625800F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2A86DC0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0.94</w:t>
                  </w:r>
                </w:p>
              </w:tc>
              <w:tc>
                <w:tcPr>
                  <w:tcW w:w="1001" w:type="dxa"/>
                  <w:tcBorders>
                    <w:tl2br w:val="nil"/>
                    <w:tr2bl w:val="nil"/>
                  </w:tcBorders>
                  <w:noWrap w:val="0"/>
                  <w:vAlign w:val="center"/>
                </w:tcPr>
                <w:p w14:paraId="05BA7A8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1.12</w:t>
                  </w:r>
                </w:p>
              </w:tc>
              <w:tc>
                <w:tcPr>
                  <w:tcW w:w="1048" w:type="dxa"/>
                  <w:tcBorders>
                    <w:tl2br w:val="nil"/>
                    <w:tr2bl w:val="nil"/>
                  </w:tcBorders>
                  <w:noWrap w:val="0"/>
                  <w:vAlign w:val="center"/>
                </w:tcPr>
                <w:p w14:paraId="094F584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1.07</w:t>
                  </w:r>
                </w:p>
              </w:tc>
              <w:tc>
                <w:tcPr>
                  <w:tcW w:w="1217" w:type="dxa"/>
                  <w:vMerge w:val="continue"/>
                  <w:tcBorders>
                    <w:tl2br w:val="nil"/>
                    <w:tr2bl w:val="nil"/>
                  </w:tcBorders>
                  <w:noWrap w:val="0"/>
                  <w:vAlign w:val="center"/>
                </w:tcPr>
                <w:p w14:paraId="1BE3D80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2227BB8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p>
              </w:tc>
            </w:tr>
            <w:tr w14:paraId="213BE7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restart"/>
                  <w:tcBorders>
                    <w:tl2br w:val="nil"/>
                    <w:tr2bl w:val="nil"/>
                  </w:tcBorders>
                  <w:noWrap w:val="0"/>
                  <w:vAlign w:val="center"/>
                </w:tcPr>
                <w:p w14:paraId="4E0B567F">
                  <w:pPr>
                    <w:keepNext w:val="0"/>
                    <w:keepLines w:val="0"/>
                    <w:pageBreakBefore w:val="0"/>
                    <w:kinsoku/>
                    <w:wordWrap/>
                    <w:overflowPunct/>
                    <w:topLinePunct w:val="0"/>
                    <w:autoSpaceDE w:val="0"/>
                    <w:autoSpaceDN w:val="0"/>
                    <w:bidi w:val="0"/>
                    <w:adjustRightInd/>
                    <w:spacing w:line="240" w:lineRule="auto"/>
                    <w:ind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2021.08.21</w:t>
                  </w:r>
                </w:p>
              </w:tc>
              <w:tc>
                <w:tcPr>
                  <w:tcW w:w="1818" w:type="dxa"/>
                  <w:tcBorders>
                    <w:tl2br w:val="nil"/>
                    <w:tr2bl w:val="nil"/>
                  </w:tcBorders>
                  <w:noWrap w:val="0"/>
                  <w:vAlign w:val="center"/>
                </w:tcPr>
                <w:p w14:paraId="66AA964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w:t>
                  </w:r>
                  <w:r>
                    <w:rPr>
                      <w:rFonts w:hint="eastAsia" w:ascii="Times New Roman" w:hAnsi="Times New Roman" w:eastAsia="宋体" w:cs="Times New Roman"/>
                      <w:color w:val="auto"/>
                      <w:spacing w:val="0"/>
                      <w:position w:val="0"/>
                      <w:sz w:val="21"/>
                      <w:szCs w:val="21"/>
                      <w:highlight w:val="none"/>
                    </w:rPr>
                    <w:t>上风向</w:t>
                  </w:r>
                  <w:r>
                    <w:rPr>
                      <w:rFonts w:hint="eastAsia" w:ascii="Times New Roman" w:hAnsi="Times New Roman" w:eastAsia="宋体" w:cs="Times New Roman"/>
                      <w:color w:val="auto"/>
                      <w:spacing w:val="0"/>
                      <w:position w:val="0"/>
                      <w:sz w:val="21"/>
                      <w:szCs w:val="21"/>
                      <w:highlight w:val="none"/>
                      <w:lang w:val="en-US" w:eastAsia="zh-CN"/>
                    </w:rPr>
                    <w:t>G1</w:t>
                  </w:r>
                </w:p>
              </w:tc>
              <w:tc>
                <w:tcPr>
                  <w:tcW w:w="986" w:type="dxa"/>
                  <w:vMerge w:val="restart"/>
                  <w:tcBorders>
                    <w:tl2br w:val="nil"/>
                    <w:tr2bl w:val="nil"/>
                  </w:tcBorders>
                  <w:noWrap w:val="0"/>
                  <w:vAlign w:val="center"/>
                </w:tcPr>
                <w:p w14:paraId="0DAE4D9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颗粒物</w:t>
                  </w:r>
                </w:p>
              </w:tc>
              <w:tc>
                <w:tcPr>
                  <w:tcW w:w="1001" w:type="dxa"/>
                  <w:tcBorders>
                    <w:tl2br w:val="nil"/>
                    <w:tr2bl w:val="nil"/>
                  </w:tcBorders>
                  <w:noWrap w:val="0"/>
                  <w:vAlign w:val="center"/>
                </w:tcPr>
                <w:p w14:paraId="44B73D1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0.166</w:t>
                  </w:r>
                </w:p>
              </w:tc>
              <w:tc>
                <w:tcPr>
                  <w:tcW w:w="1001" w:type="dxa"/>
                  <w:tcBorders>
                    <w:tl2br w:val="nil"/>
                    <w:tr2bl w:val="nil"/>
                  </w:tcBorders>
                  <w:noWrap w:val="0"/>
                  <w:vAlign w:val="center"/>
                </w:tcPr>
                <w:p w14:paraId="7F547BA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0.25</w:t>
                  </w:r>
                </w:p>
              </w:tc>
              <w:tc>
                <w:tcPr>
                  <w:tcW w:w="1048" w:type="dxa"/>
                  <w:tcBorders>
                    <w:tl2br w:val="nil"/>
                    <w:tr2bl w:val="nil"/>
                  </w:tcBorders>
                  <w:noWrap w:val="0"/>
                  <w:vAlign w:val="center"/>
                </w:tcPr>
                <w:p w14:paraId="6F23DE7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0.2</w:t>
                  </w:r>
                </w:p>
              </w:tc>
              <w:tc>
                <w:tcPr>
                  <w:tcW w:w="1217" w:type="dxa"/>
                  <w:vMerge w:val="restart"/>
                  <w:tcBorders>
                    <w:tl2br w:val="nil"/>
                    <w:tr2bl w:val="nil"/>
                  </w:tcBorders>
                  <w:noWrap w:val="0"/>
                  <w:vAlign w:val="center"/>
                </w:tcPr>
                <w:p w14:paraId="1120CA4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0.499</w:t>
                  </w:r>
                </w:p>
              </w:tc>
              <w:tc>
                <w:tcPr>
                  <w:tcW w:w="1033" w:type="dxa"/>
                  <w:vMerge w:val="restart"/>
                  <w:tcBorders>
                    <w:tl2br w:val="nil"/>
                    <w:tr2bl w:val="nil"/>
                  </w:tcBorders>
                  <w:noWrap w:val="0"/>
                  <w:vAlign w:val="center"/>
                </w:tcPr>
                <w:p w14:paraId="76A301F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1.0</w:t>
                  </w:r>
                </w:p>
              </w:tc>
            </w:tr>
            <w:tr w14:paraId="0E0E5C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56273FE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003943C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G2</w:t>
                  </w:r>
                </w:p>
              </w:tc>
              <w:tc>
                <w:tcPr>
                  <w:tcW w:w="986" w:type="dxa"/>
                  <w:vMerge w:val="continue"/>
                  <w:tcBorders>
                    <w:tl2br w:val="nil"/>
                    <w:tr2bl w:val="nil"/>
                  </w:tcBorders>
                  <w:noWrap w:val="0"/>
                  <w:vAlign w:val="center"/>
                </w:tcPr>
                <w:p w14:paraId="09482C9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0ABE437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0.334</w:t>
                  </w:r>
                </w:p>
              </w:tc>
              <w:tc>
                <w:tcPr>
                  <w:tcW w:w="1001" w:type="dxa"/>
                  <w:tcBorders>
                    <w:tl2br w:val="nil"/>
                    <w:tr2bl w:val="nil"/>
                  </w:tcBorders>
                  <w:noWrap w:val="0"/>
                  <w:vAlign w:val="center"/>
                </w:tcPr>
                <w:p w14:paraId="13D4106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0.383</w:t>
                  </w:r>
                </w:p>
              </w:tc>
              <w:tc>
                <w:tcPr>
                  <w:tcW w:w="1048" w:type="dxa"/>
                  <w:tcBorders>
                    <w:tl2br w:val="nil"/>
                    <w:tr2bl w:val="nil"/>
                  </w:tcBorders>
                  <w:noWrap w:val="0"/>
                  <w:vAlign w:val="center"/>
                </w:tcPr>
                <w:p w14:paraId="56BD562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0.351</w:t>
                  </w:r>
                </w:p>
              </w:tc>
              <w:tc>
                <w:tcPr>
                  <w:tcW w:w="1217" w:type="dxa"/>
                  <w:vMerge w:val="continue"/>
                  <w:tcBorders>
                    <w:tl2br w:val="nil"/>
                    <w:tr2bl w:val="nil"/>
                  </w:tcBorders>
                  <w:noWrap w:val="0"/>
                  <w:vAlign w:val="center"/>
                </w:tcPr>
                <w:p w14:paraId="68D93AA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581D62E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3A473F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630" w:type="dxa"/>
                  <w:vMerge w:val="continue"/>
                  <w:tcBorders>
                    <w:tl2br w:val="nil"/>
                    <w:tr2bl w:val="nil"/>
                  </w:tcBorders>
                  <w:noWrap w:val="0"/>
                  <w:vAlign w:val="center"/>
                </w:tcPr>
                <w:p w14:paraId="4C0564E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0FAA68C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G3</w:t>
                  </w:r>
                </w:p>
              </w:tc>
              <w:tc>
                <w:tcPr>
                  <w:tcW w:w="986" w:type="dxa"/>
                  <w:vMerge w:val="continue"/>
                  <w:tcBorders>
                    <w:tl2br w:val="nil"/>
                    <w:tr2bl w:val="nil"/>
                  </w:tcBorders>
                  <w:noWrap w:val="0"/>
                  <w:vAlign w:val="center"/>
                </w:tcPr>
                <w:p w14:paraId="4E03A9C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0D39C3A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0.451</w:t>
                  </w:r>
                </w:p>
              </w:tc>
              <w:tc>
                <w:tcPr>
                  <w:tcW w:w="1001" w:type="dxa"/>
                  <w:tcBorders>
                    <w:tl2br w:val="nil"/>
                    <w:tr2bl w:val="nil"/>
                  </w:tcBorders>
                  <w:noWrap w:val="0"/>
                  <w:vAlign w:val="center"/>
                </w:tcPr>
                <w:p w14:paraId="6A58EA1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0.499</w:t>
                  </w:r>
                </w:p>
              </w:tc>
              <w:tc>
                <w:tcPr>
                  <w:tcW w:w="1048" w:type="dxa"/>
                  <w:tcBorders>
                    <w:tl2br w:val="nil"/>
                    <w:tr2bl w:val="nil"/>
                  </w:tcBorders>
                  <w:noWrap w:val="0"/>
                  <w:vAlign w:val="center"/>
                </w:tcPr>
                <w:p w14:paraId="375AEED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0.483</w:t>
                  </w:r>
                </w:p>
              </w:tc>
              <w:tc>
                <w:tcPr>
                  <w:tcW w:w="1217" w:type="dxa"/>
                  <w:vMerge w:val="continue"/>
                  <w:tcBorders>
                    <w:tl2br w:val="nil"/>
                    <w:tr2bl w:val="nil"/>
                  </w:tcBorders>
                  <w:noWrap w:val="0"/>
                  <w:vAlign w:val="center"/>
                </w:tcPr>
                <w:p w14:paraId="5D2AECC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12D6159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126451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5E71E96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6C6DAA8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G4</w:t>
                  </w:r>
                </w:p>
              </w:tc>
              <w:tc>
                <w:tcPr>
                  <w:tcW w:w="986" w:type="dxa"/>
                  <w:vMerge w:val="continue"/>
                  <w:tcBorders>
                    <w:tl2br w:val="nil"/>
                    <w:tr2bl w:val="nil"/>
                  </w:tcBorders>
                  <w:noWrap w:val="0"/>
                  <w:vAlign w:val="center"/>
                </w:tcPr>
                <w:p w14:paraId="4560926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72CB424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0.385</w:t>
                  </w:r>
                </w:p>
              </w:tc>
              <w:tc>
                <w:tcPr>
                  <w:tcW w:w="1001" w:type="dxa"/>
                  <w:tcBorders>
                    <w:tl2br w:val="nil"/>
                    <w:tr2bl w:val="nil"/>
                  </w:tcBorders>
                  <w:noWrap w:val="0"/>
                  <w:vAlign w:val="center"/>
                </w:tcPr>
                <w:p w14:paraId="404AB2F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0.434</w:t>
                  </w:r>
                </w:p>
              </w:tc>
              <w:tc>
                <w:tcPr>
                  <w:tcW w:w="1048" w:type="dxa"/>
                  <w:tcBorders>
                    <w:tl2br w:val="nil"/>
                    <w:tr2bl w:val="nil"/>
                  </w:tcBorders>
                  <w:noWrap w:val="0"/>
                  <w:vAlign w:val="center"/>
                </w:tcPr>
                <w:p w14:paraId="721BD25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0.418</w:t>
                  </w:r>
                </w:p>
              </w:tc>
              <w:tc>
                <w:tcPr>
                  <w:tcW w:w="1217" w:type="dxa"/>
                  <w:vMerge w:val="continue"/>
                  <w:tcBorders>
                    <w:tl2br w:val="nil"/>
                    <w:tr2bl w:val="nil"/>
                  </w:tcBorders>
                  <w:noWrap w:val="0"/>
                  <w:vAlign w:val="center"/>
                </w:tcPr>
                <w:p w14:paraId="1175260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21E2F1C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6E082B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2450270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7BFB45C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w:t>
                  </w:r>
                  <w:r>
                    <w:rPr>
                      <w:rFonts w:hint="eastAsia" w:ascii="Times New Roman" w:hAnsi="Times New Roman" w:eastAsia="宋体" w:cs="Times New Roman"/>
                      <w:color w:val="auto"/>
                      <w:spacing w:val="0"/>
                      <w:position w:val="0"/>
                      <w:sz w:val="21"/>
                      <w:szCs w:val="21"/>
                      <w:highlight w:val="none"/>
                    </w:rPr>
                    <w:t>上风向</w:t>
                  </w:r>
                  <w:r>
                    <w:rPr>
                      <w:rFonts w:hint="eastAsia" w:ascii="Times New Roman" w:hAnsi="Times New Roman" w:eastAsia="宋体" w:cs="Times New Roman"/>
                      <w:color w:val="auto"/>
                      <w:spacing w:val="0"/>
                      <w:position w:val="0"/>
                      <w:sz w:val="21"/>
                      <w:szCs w:val="21"/>
                      <w:highlight w:val="none"/>
                      <w:lang w:val="en-US" w:eastAsia="zh-CN"/>
                    </w:rPr>
                    <w:t>G1</w:t>
                  </w:r>
                </w:p>
              </w:tc>
              <w:tc>
                <w:tcPr>
                  <w:tcW w:w="986" w:type="dxa"/>
                  <w:vMerge w:val="restart"/>
                  <w:tcBorders>
                    <w:tl2br w:val="nil"/>
                    <w:tr2bl w:val="nil"/>
                  </w:tcBorders>
                  <w:noWrap w:val="0"/>
                  <w:vAlign w:val="center"/>
                </w:tcPr>
                <w:p w14:paraId="3AE7FC6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甲苯</w:t>
                  </w:r>
                </w:p>
              </w:tc>
              <w:tc>
                <w:tcPr>
                  <w:tcW w:w="1001" w:type="dxa"/>
                  <w:tcBorders>
                    <w:tl2br w:val="nil"/>
                    <w:tr2bl w:val="nil"/>
                  </w:tcBorders>
                  <w:noWrap w:val="0"/>
                  <w:vAlign w:val="center"/>
                </w:tcPr>
                <w:p w14:paraId="6DB4F09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&lt;</w:t>
                  </w:r>
                  <w:r>
                    <w:rPr>
                      <w:rFonts w:hint="eastAsia" w:ascii="Times New Roman" w:hAnsi="Times New Roman" w:eastAsia="宋体" w:cs="Times New Roman"/>
                      <w:color w:val="auto"/>
                      <w:spacing w:val="0"/>
                      <w:position w:val="0"/>
                      <w:sz w:val="21"/>
                      <w:szCs w:val="21"/>
                      <w:highlight w:val="none"/>
                      <w:lang w:val="en-US" w:eastAsia="zh-CN"/>
                    </w:rPr>
                    <w:t>0.01</w:t>
                  </w:r>
                </w:p>
              </w:tc>
              <w:tc>
                <w:tcPr>
                  <w:tcW w:w="1001" w:type="dxa"/>
                  <w:tcBorders>
                    <w:tl2br w:val="nil"/>
                    <w:tr2bl w:val="nil"/>
                  </w:tcBorders>
                  <w:noWrap w:val="0"/>
                  <w:vAlign w:val="center"/>
                </w:tcPr>
                <w:p w14:paraId="300D024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&lt;</w:t>
                  </w:r>
                  <w:r>
                    <w:rPr>
                      <w:rFonts w:hint="eastAsia" w:ascii="Times New Roman" w:hAnsi="Times New Roman" w:eastAsia="宋体" w:cs="Times New Roman"/>
                      <w:color w:val="auto"/>
                      <w:spacing w:val="0"/>
                      <w:position w:val="0"/>
                      <w:sz w:val="21"/>
                      <w:szCs w:val="21"/>
                      <w:highlight w:val="none"/>
                      <w:lang w:val="en-US" w:eastAsia="zh-CN"/>
                    </w:rPr>
                    <w:t>0.01</w:t>
                  </w:r>
                </w:p>
              </w:tc>
              <w:tc>
                <w:tcPr>
                  <w:tcW w:w="1048" w:type="dxa"/>
                  <w:tcBorders>
                    <w:tl2br w:val="nil"/>
                    <w:tr2bl w:val="nil"/>
                  </w:tcBorders>
                  <w:noWrap w:val="0"/>
                  <w:vAlign w:val="center"/>
                </w:tcPr>
                <w:p w14:paraId="1575135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&lt;</w:t>
                  </w:r>
                  <w:r>
                    <w:rPr>
                      <w:rFonts w:hint="eastAsia" w:ascii="Times New Roman" w:hAnsi="Times New Roman" w:eastAsia="宋体" w:cs="Times New Roman"/>
                      <w:color w:val="auto"/>
                      <w:spacing w:val="0"/>
                      <w:position w:val="0"/>
                      <w:sz w:val="21"/>
                      <w:szCs w:val="21"/>
                      <w:highlight w:val="none"/>
                      <w:lang w:val="en-US" w:eastAsia="zh-CN"/>
                    </w:rPr>
                    <w:t>0.01</w:t>
                  </w:r>
                </w:p>
              </w:tc>
              <w:tc>
                <w:tcPr>
                  <w:tcW w:w="1217" w:type="dxa"/>
                  <w:vMerge w:val="restart"/>
                  <w:tcBorders>
                    <w:tl2br w:val="nil"/>
                    <w:tr2bl w:val="nil"/>
                  </w:tcBorders>
                  <w:noWrap w:val="0"/>
                  <w:vAlign w:val="center"/>
                </w:tcPr>
                <w:p w14:paraId="69AB219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0.067</w:t>
                  </w:r>
                </w:p>
              </w:tc>
              <w:tc>
                <w:tcPr>
                  <w:tcW w:w="1033" w:type="dxa"/>
                  <w:vMerge w:val="restart"/>
                  <w:tcBorders>
                    <w:tl2br w:val="nil"/>
                    <w:tr2bl w:val="nil"/>
                  </w:tcBorders>
                  <w:noWrap w:val="0"/>
                  <w:vAlign w:val="center"/>
                </w:tcPr>
                <w:p w14:paraId="70E7A66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0.6</w:t>
                  </w:r>
                </w:p>
              </w:tc>
            </w:tr>
            <w:tr w14:paraId="6491B4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616A4B0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44408FC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G2</w:t>
                  </w:r>
                </w:p>
              </w:tc>
              <w:tc>
                <w:tcPr>
                  <w:tcW w:w="986" w:type="dxa"/>
                  <w:vMerge w:val="continue"/>
                  <w:tcBorders>
                    <w:tl2br w:val="nil"/>
                    <w:tr2bl w:val="nil"/>
                  </w:tcBorders>
                  <w:noWrap w:val="0"/>
                  <w:vAlign w:val="center"/>
                </w:tcPr>
                <w:p w14:paraId="587CEAA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338EFDD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0.019</w:t>
                  </w:r>
                </w:p>
              </w:tc>
              <w:tc>
                <w:tcPr>
                  <w:tcW w:w="1001" w:type="dxa"/>
                  <w:tcBorders>
                    <w:tl2br w:val="nil"/>
                    <w:tr2bl w:val="nil"/>
                  </w:tcBorders>
                  <w:noWrap w:val="0"/>
                  <w:vAlign w:val="center"/>
                </w:tcPr>
                <w:p w14:paraId="449C1EF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0.03</w:t>
                  </w:r>
                </w:p>
              </w:tc>
              <w:tc>
                <w:tcPr>
                  <w:tcW w:w="1048" w:type="dxa"/>
                  <w:tcBorders>
                    <w:tl2br w:val="nil"/>
                    <w:tr2bl w:val="nil"/>
                  </w:tcBorders>
                  <w:noWrap w:val="0"/>
                  <w:vAlign w:val="center"/>
                </w:tcPr>
                <w:p w14:paraId="6BFF647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0.036</w:t>
                  </w:r>
                </w:p>
              </w:tc>
              <w:tc>
                <w:tcPr>
                  <w:tcW w:w="1217" w:type="dxa"/>
                  <w:vMerge w:val="continue"/>
                  <w:tcBorders>
                    <w:tl2br w:val="nil"/>
                    <w:tr2bl w:val="nil"/>
                  </w:tcBorders>
                  <w:noWrap w:val="0"/>
                  <w:vAlign w:val="center"/>
                </w:tcPr>
                <w:p w14:paraId="029644F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067F655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42F115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6874221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2CD244E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G3</w:t>
                  </w:r>
                </w:p>
              </w:tc>
              <w:tc>
                <w:tcPr>
                  <w:tcW w:w="986" w:type="dxa"/>
                  <w:vMerge w:val="continue"/>
                  <w:tcBorders>
                    <w:tl2br w:val="nil"/>
                    <w:tr2bl w:val="nil"/>
                  </w:tcBorders>
                  <w:noWrap w:val="0"/>
                  <w:vAlign w:val="center"/>
                </w:tcPr>
                <w:p w14:paraId="2627B27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6F78785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0.029</w:t>
                  </w:r>
                </w:p>
              </w:tc>
              <w:tc>
                <w:tcPr>
                  <w:tcW w:w="1001" w:type="dxa"/>
                  <w:tcBorders>
                    <w:tl2br w:val="nil"/>
                    <w:tr2bl w:val="nil"/>
                  </w:tcBorders>
                  <w:noWrap w:val="0"/>
                  <w:vAlign w:val="center"/>
                </w:tcPr>
                <w:p w14:paraId="4145B2E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0.056</w:t>
                  </w:r>
                </w:p>
              </w:tc>
              <w:tc>
                <w:tcPr>
                  <w:tcW w:w="1048" w:type="dxa"/>
                  <w:tcBorders>
                    <w:tl2br w:val="nil"/>
                    <w:tr2bl w:val="nil"/>
                  </w:tcBorders>
                  <w:noWrap w:val="0"/>
                  <w:vAlign w:val="center"/>
                </w:tcPr>
                <w:p w14:paraId="662F4C3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0.067</w:t>
                  </w:r>
                </w:p>
              </w:tc>
              <w:tc>
                <w:tcPr>
                  <w:tcW w:w="1217" w:type="dxa"/>
                  <w:vMerge w:val="continue"/>
                  <w:tcBorders>
                    <w:tl2br w:val="nil"/>
                    <w:tr2bl w:val="nil"/>
                  </w:tcBorders>
                  <w:noWrap w:val="0"/>
                  <w:vAlign w:val="center"/>
                </w:tcPr>
                <w:p w14:paraId="6173CB1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701B0FA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7FB926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3D53264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4CF5BB9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G4</w:t>
                  </w:r>
                </w:p>
              </w:tc>
              <w:tc>
                <w:tcPr>
                  <w:tcW w:w="986" w:type="dxa"/>
                  <w:vMerge w:val="continue"/>
                  <w:tcBorders>
                    <w:tl2br w:val="nil"/>
                    <w:tr2bl w:val="nil"/>
                  </w:tcBorders>
                  <w:noWrap w:val="0"/>
                  <w:vAlign w:val="center"/>
                </w:tcPr>
                <w:p w14:paraId="77D3E3D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7B457E1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0.065</w:t>
                  </w:r>
                </w:p>
              </w:tc>
              <w:tc>
                <w:tcPr>
                  <w:tcW w:w="1001" w:type="dxa"/>
                  <w:tcBorders>
                    <w:tl2br w:val="nil"/>
                    <w:tr2bl w:val="nil"/>
                  </w:tcBorders>
                  <w:noWrap w:val="0"/>
                  <w:vAlign w:val="center"/>
                </w:tcPr>
                <w:p w14:paraId="2F6567A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0.038</w:t>
                  </w:r>
                </w:p>
              </w:tc>
              <w:tc>
                <w:tcPr>
                  <w:tcW w:w="1048" w:type="dxa"/>
                  <w:tcBorders>
                    <w:tl2br w:val="nil"/>
                    <w:tr2bl w:val="nil"/>
                  </w:tcBorders>
                  <w:noWrap w:val="0"/>
                  <w:vAlign w:val="center"/>
                </w:tcPr>
                <w:p w14:paraId="4231924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0.046</w:t>
                  </w:r>
                </w:p>
              </w:tc>
              <w:tc>
                <w:tcPr>
                  <w:tcW w:w="1217" w:type="dxa"/>
                  <w:vMerge w:val="continue"/>
                  <w:tcBorders>
                    <w:tl2br w:val="nil"/>
                    <w:tr2bl w:val="nil"/>
                  </w:tcBorders>
                  <w:noWrap w:val="0"/>
                  <w:vAlign w:val="center"/>
                </w:tcPr>
                <w:p w14:paraId="3831463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2A8C15C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40AC39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1BD23BE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0F04EF4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w:t>
                  </w:r>
                  <w:r>
                    <w:rPr>
                      <w:rFonts w:hint="eastAsia" w:ascii="Times New Roman" w:hAnsi="Times New Roman" w:eastAsia="宋体" w:cs="Times New Roman"/>
                      <w:color w:val="auto"/>
                      <w:spacing w:val="0"/>
                      <w:position w:val="0"/>
                      <w:sz w:val="21"/>
                      <w:szCs w:val="21"/>
                      <w:highlight w:val="none"/>
                    </w:rPr>
                    <w:t>上风向</w:t>
                  </w:r>
                  <w:r>
                    <w:rPr>
                      <w:rFonts w:hint="eastAsia" w:ascii="Times New Roman" w:hAnsi="Times New Roman" w:eastAsia="宋体" w:cs="Times New Roman"/>
                      <w:color w:val="auto"/>
                      <w:spacing w:val="0"/>
                      <w:position w:val="0"/>
                      <w:sz w:val="21"/>
                      <w:szCs w:val="21"/>
                      <w:highlight w:val="none"/>
                      <w:lang w:val="en-US" w:eastAsia="zh-CN"/>
                    </w:rPr>
                    <w:t>G1</w:t>
                  </w:r>
                </w:p>
              </w:tc>
              <w:tc>
                <w:tcPr>
                  <w:tcW w:w="986" w:type="dxa"/>
                  <w:vMerge w:val="restart"/>
                  <w:tcBorders>
                    <w:tl2br w:val="nil"/>
                    <w:tr2bl w:val="nil"/>
                  </w:tcBorders>
                  <w:noWrap w:val="0"/>
                  <w:vAlign w:val="center"/>
                </w:tcPr>
                <w:p w14:paraId="23A54E0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二甲苯</w:t>
                  </w:r>
                </w:p>
              </w:tc>
              <w:tc>
                <w:tcPr>
                  <w:tcW w:w="1001" w:type="dxa"/>
                  <w:tcBorders>
                    <w:tl2br w:val="nil"/>
                    <w:tr2bl w:val="nil"/>
                  </w:tcBorders>
                  <w:noWrap w:val="0"/>
                  <w:vAlign w:val="center"/>
                </w:tcPr>
                <w:p w14:paraId="54254E1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&lt;</w:t>
                  </w:r>
                  <w:r>
                    <w:rPr>
                      <w:rFonts w:hint="eastAsia" w:ascii="Times New Roman" w:hAnsi="Times New Roman" w:eastAsia="宋体" w:cs="Times New Roman"/>
                      <w:color w:val="auto"/>
                      <w:spacing w:val="0"/>
                      <w:position w:val="0"/>
                      <w:sz w:val="21"/>
                      <w:szCs w:val="21"/>
                      <w:highlight w:val="none"/>
                      <w:lang w:val="en-US" w:eastAsia="zh-CN"/>
                    </w:rPr>
                    <w:t>0.01</w:t>
                  </w:r>
                </w:p>
              </w:tc>
              <w:tc>
                <w:tcPr>
                  <w:tcW w:w="1001" w:type="dxa"/>
                  <w:tcBorders>
                    <w:tl2br w:val="nil"/>
                    <w:tr2bl w:val="nil"/>
                  </w:tcBorders>
                  <w:noWrap w:val="0"/>
                  <w:vAlign w:val="center"/>
                </w:tcPr>
                <w:p w14:paraId="092C892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&lt;</w:t>
                  </w:r>
                  <w:r>
                    <w:rPr>
                      <w:rFonts w:hint="eastAsia" w:ascii="Times New Roman" w:hAnsi="Times New Roman" w:eastAsia="宋体" w:cs="Times New Roman"/>
                      <w:color w:val="auto"/>
                      <w:spacing w:val="0"/>
                      <w:position w:val="0"/>
                      <w:sz w:val="21"/>
                      <w:szCs w:val="21"/>
                      <w:highlight w:val="none"/>
                      <w:lang w:val="en-US" w:eastAsia="zh-CN"/>
                    </w:rPr>
                    <w:t>0.01</w:t>
                  </w:r>
                </w:p>
              </w:tc>
              <w:tc>
                <w:tcPr>
                  <w:tcW w:w="1048" w:type="dxa"/>
                  <w:tcBorders>
                    <w:tl2br w:val="nil"/>
                    <w:tr2bl w:val="nil"/>
                  </w:tcBorders>
                  <w:noWrap w:val="0"/>
                  <w:vAlign w:val="center"/>
                </w:tcPr>
                <w:p w14:paraId="2E86B11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&lt;</w:t>
                  </w:r>
                  <w:r>
                    <w:rPr>
                      <w:rFonts w:hint="eastAsia" w:ascii="Times New Roman" w:hAnsi="Times New Roman" w:eastAsia="宋体" w:cs="Times New Roman"/>
                      <w:color w:val="auto"/>
                      <w:spacing w:val="0"/>
                      <w:position w:val="0"/>
                      <w:sz w:val="21"/>
                      <w:szCs w:val="21"/>
                      <w:highlight w:val="none"/>
                      <w:lang w:val="en-US" w:eastAsia="zh-CN"/>
                    </w:rPr>
                    <w:t>0.01</w:t>
                  </w:r>
                </w:p>
              </w:tc>
              <w:tc>
                <w:tcPr>
                  <w:tcW w:w="1217" w:type="dxa"/>
                  <w:vMerge w:val="restart"/>
                  <w:tcBorders>
                    <w:tl2br w:val="nil"/>
                    <w:tr2bl w:val="nil"/>
                  </w:tcBorders>
                  <w:noWrap w:val="0"/>
                  <w:vAlign w:val="center"/>
                </w:tcPr>
                <w:p w14:paraId="3A0F3C4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0.113</w:t>
                  </w:r>
                </w:p>
              </w:tc>
              <w:tc>
                <w:tcPr>
                  <w:tcW w:w="1033" w:type="dxa"/>
                  <w:vMerge w:val="restart"/>
                  <w:tcBorders>
                    <w:tl2br w:val="nil"/>
                    <w:tr2bl w:val="nil"/>
                  </w:tcBorders>
                  <w:noWrap w:val="0"/>
                  <w:vAlign w:val="center"/>
                </w:tcPr>
                <w:p w14:paraId="12D6509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0.2</w:t>
                  </w:r>
                </w:p>
              </w:tc>
            </w:tr>
            <w:tr w14:paraId="5A2472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63C6E56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372CE43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G2</w:t>
                  </w:r>
                </w:p>
              </w:tc>
              <w:tc>
                <w:tcPr>
                  <w:tcW w:w="986" w:type="dxa"/>
                  <w:vMerge w:val="continue"/>
                  <w:tcBorders>
                    <w:tl2br w:val="nil"/>
                    <w:tr2bl w:val="nil"/>
                  </w:tcBorders>
                  <w:noWrap w:val="0"/>
                  <w:vAlign w:val="center"/>
                </w:tcPr>
                <w:p w14:paraId="29C046E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6795612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0.068</w:t>
                  </w:r>
                </w:p>
              </w:tc>
              <w:tc>
                <w:tcPr>
                  <w:tcW w:w="1001" w:type="dxa"/>
                  <w:tcBorders>
                    <w:tl2br w:val="nil"/>
                    <w:tr2bl w:val="nil"/>
                  </w:tcBorders>
                  <w:noWrap w:val="0"/>
                  <w:vAlign w:val="center"/>
                </w:tcPr>
                <w:p w14:paraId="4B56628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0.081</w:t>
                  </w:r>
                </w:p>
              </w:tc>
              <w:tc>
                <w:tcPr>
                  <w:tcW w:w="1048" w:type="dxa"/>
                  <w:tcBorders>
                    <w:tl2br w:val="nil"/>
                    <w:tr2bl w:val="nil"/>
                  </w:tcBorders>
                  <w:noWrap w:val="0"/>
                  <w:vAlign w:val="center"/>
                </w:tcPr>
                <w:p w14:paraId="1E17F5A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0.054</w:t>
                  </w:r>
                </w:p>
              </w:tc>
              <w:tc>
                <w:tcPr>
                  <w:tcW w:w="1217" w:type="dxa"/>
                  <w:vMerge w:val="continue"/>
                  <w:tcBorders>
                    <w:tl2br w:val="nil"/>
                    <w:tr2bl w:val="nil"/>
                  </w:tcBorders>
                  <w:noWrap w:val="0"/>
                  <w:vAlign w:val="center"/>
                </w:tcPr>
                <w:p w14:paraId="78CB0DC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4DC7278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7A7333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51DA010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688D935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G3</w:t>
                  </w:r>
                </w:p>
              </w:tc>
              <w:tc>
                <w:tcPr>
                  <w:tcW w:w="986" w:type="dxa"/>
                  <w:vMerge w:val="continue"/>
                  <w:tcBorders>
                    <w:tl2br w:val="nil"/>
                    <w:tr2bl w:val="nil"/>
                  </w:tcBorders>
                  <w:noWrap w:val="0"/>
                  <w:vAlign w:val="center"/>
                </w:tcPr>
                <w:p w14:paraId="56C1751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73B1A3C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0.08</w:t>
                  </w:r>
                </w:p>
              </w:tc>
              <w:tc>
                <w:tcPr>
                  <w:tcW w:w="1001" w:type="dxa"/>
                  <w:tcBorders>
                    <w:tl2br w:val="nil"/>
                    <w:tr2bl w:val="nil"/>
                  </w:tcBorders>
                  <w:noWrap w:val="0"/>
                  <w:vAlign w:val="center"/>
                </w:tcPr>
                <w:p w14:paraId="0B4E0CB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0.113</w:t>
                  </w:r>
                </w:p>
              </w:tc>
              <w:tc>
                <w:tcPr>
                  <w:tcW w:w="1048" w:type="dxa"/>
                  <w:tcBorders>
                    <w:tl2br w:val="nil"/>
                    <w:tr2bl w:val="nil"/>
                  </w:tcBorders>
                  <w:noWrap w:val="0"/>
                  <w:vAlign w:val="center"/>
                </w:tcPr>
                <w:p w14:paraId="6C6F6DE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0.094</w:t>
                  </w:r>
                </w:p>
              </w:tc>
              <w:tc>
                <w:tcPr>
                  <w:tcW w:w="1217" w:type="dxa"/>
                  <w:vMerge w:val="continue"/>
                  <w:tcBorders>
                    <w:tl2br w:val="nil"/>
                    <w:tr2bl w:val="nil"/>
                  </w:tcBorders>
                  <w:noWrap w:val="0"/>
                  <w:vAlign w:val="center"/>
                </w:tcPr>
                <w:p w14:paraId="0E5C3F1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229BD3D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0B0A54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65EE238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7D624B3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G4</w:t>
                  </w:r>
                </w:p>
              </w:tc>
              <w:tc>
                <w:tcPr>
                  <w:tcW w:w="986" w:type="dxa"/>
                  <w:vMerge w:val="continue"/>
                  <w:tcBorders>
                    <w:tl2br w:val="nil"/>
                    <w:tr2bl w:val="nil"/>
                  </w:tcBorders>
                  <w:noWrap w:val="0"/>
                  <w:vAlign w:val="center"/>
                </w:tcPr>
                <w:p w14:paraId="3D01412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0136D1E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0.085</w:t>
                  </w:r>
                </w:p>
              </w:tc>
              <w:tc>
                <w:tcPr>
                  <w:tcW w:w="1001" w:type="dxa"/>
                  <w:tcBorders>
                    <w:tl2br w:val="nil"/>
                    <w:tr2bl w:val="nil"/>
                  </w:tcBorders>
                  <w:noWrap w:val="0"/>
                  <w:vAlign w:val="center"/>
                </w:tcPr>
                <w:p w14:paraId="43D45FC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0.097</w:t>
                  </w:r>
                </w:p>
              </w:tc>
              <w:tc>
                <w:tcPr>
                  <w:tcW w:w="1048" w:type="dxa"/>
                  <w:tcBorders>
                    <w:tl2br w:val="nil"/>
                    <w:tr2bl w:val="nil"/>
                  </w:tcBorders>
                  <w:noWrap w:val="0"/>
                  <w:vAlign w:val="center"/>
                </w:tcPr>
                <w:p w14:paraId="48B8B66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0.102</w:t>
                  </w:r>
                </w:p>
              </w:tc>
              <w:tc>
                <w:tcPr>
                  <w:tcW w:w="1217" w:type="dxa"/>
                  <w:vMerge w:val="continue"/>
                  <w:tcBorders>
                    <w:tl2br w:val="nil"/>
                    <w:tr2bl w:val="nil"/>
                  </w:tcBorders>
                  <w:noWrap w:val="0"/>
                  <w:vAlign w:val="center"/>
                </w:tcPr>
                <w:p w14:paraId="75208C9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53FFC86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0EF3FF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38763C8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1DA1C1D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w:t>
                  </w:r>
                  <w:r>
                    <w:rPr>
                      <w:rFonts w:hint="eastAsia" w:ascii="Times New Roman" w:hAnsi="Times New Roman" w:eastAsia="宋体" w:cs="Times New Roman"/>
                      <w:color w:val="auto"/>
                      <w:spacing w:val="0"/>
                      <w:position w:val="0"/>
                      <w:sz w:val="21"/>
                      <w:szCs w:val="21"/>
                      <w:highlight w:val="none"/>
                    </w:rPr>
                    <w:t>上风向</w:t>
                  </w:r>
                  <w:r>
                    <w:rPr>
                      <w:rFonts w:hint="eastAsia" w:ascii="Times New Roman" w:hAnsi="Times New Roman" w:eastAsia="宋体" w:cs="Times New Roman"/>
                      <w:color w:val="auto"/>
                      <w:spacing w:val="0"/>
                      <w:position w:val="0"/>
                      <w:sz w:val="21"/>
                      <w:szCs w:val="21"/>
                      <w:highlight w:val="none"/>
                      <w:lang w:val="en-US" w:eastAsia="zh-CN"/>
                    </w:rPr>
                    <w:t>G1</w:t>
                  </w:r>
                </w:p>
              </w:tc>
              <w:tc>
                <w:tcPr>
                  <w:tcW w:w="986" w:type="dxa"/>
                  <w:vMerge w:val="restart"/>
                  <w:tcBorders>
                    <w:tl2br w:val="nil"/>
                    <w:tr2bl w:val="nil"/>
                  </w:tcBorders>
                  <w:noWrap w:val="0"/>
                  <w:vAlign w:val="center"/>
                </w:tcPr>
                <w:p w14:paraId="0866A63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非甲烷</w:t>
                  </w:r>
                </w:p>
                <w:p w14:paraId="46308B9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总烃</w:t>
                  </w:r>
                </w:p>
              </w:tc>
              <w:tc>
                <w:tcPr>
                  <w:tcW w:w="1001" w:type="dxa"/>
                  <w:tcBorders>
                    <w:tl2br w:val="nil"/>
                    <w:tr2bl w:val="nil"/>
                  </w:tcBorders>
                  <w:noWrap w:val="0"/>
                  <w:vAlign w:val="center"/>
                </w:tcPr>
                <w:p w14:paraId="0B04517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0.64</w:t>
                  </w:r>
                </w:p>
              </w:tc>
              <w:tc>
                <w:tcPr>
                  <w:tcW w:w="1001" w:type="dxa"/>
                  <w:tcBorders>
                    <w:tl2br w:val="nil"/>
                    <w:tr2bl w:val="nil"/>
                  </w:tcBorders>
                  <w:noWrap w:val="0"/>
                  <w:vAlign w:val="center"/>
                </w:tcPr>
                <w:p w14:paraId="073B555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0.76</w:t>
                  </w:r>
                </w:p>
              </w:tc>
              <w:tc>
                <w:tcPr>
                  <w:tcW w:w="1048" w:type="dxa"/>
                  <w:tcBorders>
                    <w:tl2br w:val="nil"/>
                    <w:tr2bl w:val="nil"/>
                  </w:tcBorders>
                  <w:noWrap w:val="0"/>
                  <w:vAlign w:val="center"/>
                </w:tcPr>
                <w:p w14:paraId="065A356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0.71</w:t>
                  </w:r>
                </w:p>
              </w:tc>
              <w:tc>
                <w:tcPr>
                  <w:tcW w:w="1217" w:type="dxa"/>
                  <w:vMerge w:val="restart"/>
                  <w:tcBorders>
                    <w:tl2br w:val="nil"/>
                    <w:tr2bl w:val="nil"/>
                  </w:tcBorders>
                  <w:noWrap w:val="0"/>
                  <w:vAlign w:val="center"/>
                </w:tcPr>
                <w:p w14:paraId="160EA9D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1.38</w:t>
                  </w:r>
                </w:p>
              </w:tc>
              <w:tc>
                <w:tcPr>
                  <w:tcW w:w="1033" w:type="dxa"/>
                  <w:vMerge w:val="restart"/>
                  <w:tcBorders>
                    <w:tl2br w:val="nil"/>
                    <w:tr2bl w:val="nil"/>
                  </w:tcBorders>
                  <w:noWrap w:val="0"/>
                  <w:vAlign w:val="center"/>
                </w:tcPr>
                <w:p w14:paraId="7956349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2.0</w:t>
                  </w:r>
                </w:p>
              </w:tc>
            </w:tr>
            <w:tr w14:paraId="13CF98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0FCD4F54">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6AAAC36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G2</w:t>
                  </w:r>
                </w:p>
              </w:tc>
              <w:tc>
                <w:tcPr>
                  <w:tcW w:w="986" w:type="dxa"/>
                  <w:vMerge w:val="continue"/>
                  <w:tcBorders>
                    <w:tl2br w:val="nil"/>
                    <w:tr2bl w:val="nil"/>
                  </w:tcBorders>
                  <w:noWrap w:val="0"/>
                  <w:vAlign w:val="center"/>
                </w:tcPr>
                <w:p w14:paraId="2D0A596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59A9ECFF">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0.93</w:t>
                  </w:r>
                </w:p>
              </w:tc>
              <w:tc>
                <w:tcPr>
                  <w:tcW w:w="1001" w:type="dxa"/>
                  <w:tcBorders>
                    <w:tl2br w:val="nil"/>
                    <w:tr2bl w:val="nil"/>
                  </w:tcBorders>
                  <w:noWrap w:val="0"/>
                  <w:vAlign w:val="center"/>
                </w:tcPr>
                <w:p w14:paraId="42429D0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1.07</w:t>
                  </w:r>
                </w:p>
              </w:tc>
              <w:tc>
                <w:tcPr>
                  <w:tcW w:w="1048" w:type="dxa"/>
                  <w:tcBorders>
                    <w:tl2br w:val="nil"/>
                    <w:tr2bl w:val="nil"/>
                  </w:tcBorders>
                  <w:noWrap w:val="0"/>
                  <w:vAlign w:val="center"/>
                </w:tcPr>
                <w:p w14:paraId="547BE4D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1.02</w:t>
                  </w:r>
                </w:p>
              </w:tc>
              <w:tc>
                <w:tcPr>
                  <w:tcW w:w="1217" w:type="dxa"/>
                  <w:vMerge w:val="continue"/>
                  <w:tcBorders>
                    <w:tl2br w:val="nil"/>
                    <w:tr2bl w:val="nil"/>
                  </w:tcBorders>
                  <w:noWrap w:val="0"/>
                  <w:vAlign w:val="center"/>
                </w:tcPr>
                <w:p w14:paraId="7A2A3BD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5FF3604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6050DA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4BD73FD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258DD52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G3</w:t>
                  </w:r>
                </w:p>
              </w:tc>
              <w:tc>
                <w:tcPr>
                  <w:tcW w:w="986" w:type="dxa"/>
                  <w:vMerge w:val="continue"/>
                  <w:tcBorders>
                    <w:tl2br w:val="nil"/>
                    <w:tr2bl w:val="nil"/>
                  </w:tcBorders>
                  <w:noWrap w:val="0"/>
                  <w:vAlign w:val="center"/>
                </w:tcPr>
                <w:p w14:paraId="35A40B0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109A6C3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1.35</w:t>
                  </w:r>
                </w:p>
              </w:tc>
              <w:tc>
                <w:tcPr>
                  <w:tcW w:w="1001" w:type="dxa"/>
                  <w:tcBorders>
                    <w:tl2br w:val="nil"/>
                    <w:tr2bl w:val="nil"/>
                  </w:tcBorders>
                  <w:noWrap w:val="0"/>
                  <w:vAlign w:val="center"/>
                </w:tcPr>
                <w:p w14:paraId="3813E05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1.38</w:t>
                  </w:r>
                </w:p>
              </w:tc>
              <w:tc>
                <w:tcPr>
                  <w:tcW w:w="1048" w:type="dxa"/>
                  <w:tcBorders>
                    <w:tl2br w:val="nil"/>
                    <w:tr2bl w:val="nil"/>
                  </w:tcBorders>
                  <w:noWrap w:val="0"/>
                  <w:vAlign w:val="center"/>
                </w:tcPr>
                <w:p w14:paraId="20DD85A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1.35</w:t>
                  </w:r>
                </w:p>
              </w:tc>
              <w:tc>
                <w:tcPr>
                  <w:tcW w:w="1217" w:type="dxa"/>
                  <w:vMerge w:val="continue"/>
                  <w:tcBorders>
                    <w:tl2br w:val="nil"/>
                    <w:tr2bl w:val="nil"/>
                  </w:tcBorders>
                  <w:noWrap w:val="0"/>
                  <w:vAlign w:val="center"/>
                </w:tcPr>
                <w:p w14:paraId="38FFE80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66C9F3F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4545C1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0" w:type="dxa"/>
                  <w:vMerge w:val="continue"/>
                  <w:tcBorders>
                    <w:tl2br w:val="nil"/>
                    <w:tr2bl w:val="nil"/>
                  </w:tcBorders>
                  <w:noWrap w:val="0"/>
                  <w:vAlign w:val="center"/>
                </w:tcPr>
                <w:p w14:paraId="188C6CC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818" w:type="dxa"/>
                  <w:tcBorders>
                    <w:tl2br w:val="nil"/>
                    <w:tr2bl w:val="nil"/>
                  </w:tcBorders>
                  <w:noWrap w:val="0"/>
                  <w:vAlign w:val="center"/>
                </w:tcPr>
                <w:p w14:paraId="400F930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厂界下</w:t>
                  </w:r>
                  <w:r>
                    <w:rPr>
                      <w:rFonts w:hint="eastAsia" w:ascii="Times New Roman" w:hAnsi="Times New Roman" w:eastAsia="宋体" w:cs="Times New Roman"/>
                      <w:color w:val="auto"/>
                      <w:spacing w:val="0"/>
                      <w:position w:val="0"/>
                      <w:sz w:val="21"/>
                      <w:szCs w:val="21"/>
                      <w:highlight w:val="none"/>
                    </w:rPr>
                    <w:t>风向</w:t>
                  </w:r>
                  <w:r>
                    <w:rPr>
                      <w:rFonts w:hint="eastAsia" w:ascii="Times New Roman" w:hAnsi="Times New Roman" w:eastAsia="宋体" w:cs="Times New Roman"/>
                      <w:color w:val="auto"/>
                      <w:spacing w:val="0"/>
                      <w:position w:val="0"/>
                      <w:sz w:val="21"/>
                      <w:szCs w:val="21"/>
                      <w:highlight w:val="none"/>
                      <w:lang w:val="en-US" w:eastAsia="zh-CN"/>
                    </w:rPr>
                    <w:t>G4</w:t>
                  </w:r>
                </w:p>
              </w:tc>
              <w:tc>
                <w:tcPr>
                  <w:tcW w:w="986" w:type="dxa"/>
                  <w:vMerge w:val="continue"/>
                  <w:tcBorders>
                    <w:tl2br w:val="nil"/>
                    <w:tr2bl w:val="nil"/>
                  </w:tcBorders>
                  <w:noWrap w:val="0"/>
                  <w:vAlign w:val="center"/>
                </w:tcPr>
                <w:p w14:paraId="1889826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001" w:type="dxa"/>
                  <w:tcBorders>
                    <w:tl2br w:val="nil"/>
                    <w:tr2bl w:val="nil"/>
                  </w:tcBorders>
                  <w:noWrap w:val="0"/>
                  <w:vAlign w:val="center"/>
                </w:tcPr>
                <w:p w14:paraId="0EC4CB1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1.02</w:t>
                  </w:r>
                </w:p>
              </w:tc>
              <w:tc>
                <w:tcPr>
                  <w:tcW w:w="1001" w:type="dxa"/>
                  <w:tcBorders>
                    <w:tl2br w:val="nil"/>
                    <w:tr2bl w:val="nil"/>
                  </w:tcBorders>
                  <w:noWrap w:val="0"/>
                  <w:vAlign w:val="center"/>
                </w:tcPr>
                <w:p w14:paraId="40AE22F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1.25</w:t>
                  </w:r>
                </w:p>
              </w:tc>
              <w:tc>
                <w:tcPr>
                  <w:tcW w:w="1048" w:type="dxa"/>
                  <w:tcBorders>
                    <w:tl2br w:val="nil"/>
                    <w:tr2bl w:val="nil"/>
                  </w:tcBorders>
                  <w:noWrap w:val="0"/>
                  <w:vAlign w:val="center"/>
                </w:tcPr>
                <w:p w14:paraId="145E70B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1.14</w:t>
                  </w:r>
                </w:p>
              </w:tc>
              <w:tc>
                <w:tcPr>
                  <w:tcW w:w="1217" w:type="dxa"/>
                  <w:vMerge w:val="continue"/>
                  <w:tcBorders>
                    <w:tl2br w:val="nil"/>
                    <w:tr2bl w:val="nil"/>
                  </w:tcBorders>
                  <w:noWrap w:val="0"/>
                  <w:vAlign w:val="center"/>
                </w:tcPr>
                <w:p w14:paraId="646F3CD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1033" w:type="dxa"/>
                  <w:vMerge w:val="continue"/>
                  <w:tcBorders>
                    <w:tl2br w:val="nil"/>
                    <w:tr2bl w:val="nil"/>
                  </w:tcBorders>
                  <w:noWrap w:val="0"/>
                  <w:vAlign w:val="center"/>
                </w:tcPr>
                <w:p w14:paraId="26A30D8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p>
              </w:tc>
            </w:tr>
          </w:tbl>
          <w:p w14:paraId="715BEA09">
            <w:pPr>
              <w:pStyle w:val="27"/>
              <w:keepNext w:val="0"/>
              <w:keepLines w:val="0"/>
              <w:pageBreakBefore w:val="0"/>
              <w:widowControl/>
              <w:kinsoku/>
              <w:wordWrap/>
              <w:overflowPunct/>
              <w:topLinePunct w:val="0"/>
              <w:autoSpaceDE/>
              <w:autoSpaceDN/>
              <w:bidi w:val="0"/>
              <w:adjustRightInd/>
              <w:snapToGrid w:val="0"/>
              <w:spacing w:before="157" w:beforeLines="50" w:after="0" w:line="360" w:lineRule="auto"/>
              <w:ind w:right="0" w:firstLine="480" w:firstLineChars="200"/>
              <w:jc w:val="both"/>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eastAsia="zh-CN"/>
              </w:rPr>
              <w:t>由上表可知，</w:t>
            </w:r>
            <w:r>
              <w:rPr>
                <w:rFonts w:hint="eastAsia" w:ascii="Times New Roman" w:hAnsi="Times New Roman" w:eastAsia="宋体" w:cs="Times New Roman"/>
                <w:color w:val="auto"/>
                <w:spacing w:val="0"/>
                <w:position w:val="0"/>
                <w:sz w:val="24"/>
                <w:szCs w:val="24"/>
                <w:highlight w:val="none"/>
                <w:lang w:val="en-US" w:eastAsia="zh-CN"/>
              </w:rPr>
              <w:t>项目在厂界设置了4个监测点位，厂界无组织颗粒物最大浓度为0.499</w:t>
            </w:r>
            <w:r>
              <w:rPr>
                <w:rFonts w:hint="eastAsia" w:ascii="Times New Roman" w:hAnsi="Times New Roman" w:eastAsia="宋体" w:cs="Times New Roman"/>
                <w:b w:val="0"/>
                <w:bCs/>
                <w:color w:val="auto"/>
                <w:spacing w:val="0"/>
                <w:position w:val="0"/>
                <w:sz w:val="24"/>
                <w:szCs w:val="24"/>
                <w:highlight w:val="none"/>
              </w:rPr>
              <w:t>mg</w:t>
            </w:r>
            <w:r>
              <w:rPr>
                <w:rFonts w:ascii="Times New Roman" w:hAnsi="Times New Roman" w:eastAsia="宋体" w:cs="Times New Roman"/>
                <w:b w:val="0"/>
                <w:bCs/>
                <w:color w:val="auto"/>
                <w:spacing w:val="0"/>
                <w:position w:val="0"/>
                <w:sz w:val="24"/>
                <w:szCs w:val="24"/>
                <w:highlight w:val="none"/>
              </w:rPr>
              <w:t>/m</w:t>
            </w:r>
            <w:r>
              <w:rPr>
                <w:rFonts w:ascii="Times New Roman" w:hAnsi="Times New Roman" w:eastAsia="宋体" w:cs="Times New Roman"/>
                <w:b w:val="0"/>
                <w:bCs/>
                <w:color w:val="auto"/>
                <w:spacing w:val="0"/>
                <w:position w:val="0"/>
                <w:sz w:val="24"/>
                <w:szCs w:val="24"/>
                <w:highlight w:val="none"/>
                <w:vertAlign w:val="superscript"/>
              </w:rPr>
              <w:t>3</w:t>
            </w:r>
            <w:r>
              <w:rPr>
                <w:rFonts w:hint="eastAsia" w:ascii="Times New Roman" w:hAnsi="Times New Roman" w:eastAsia="宋体" w:cs="Times New Roman"/>
                <w:color w:val="auto"/>
                <w:spacing w:val="0"/>
                <w:position w:val="0"/>
                <w:sz w:val="24"/>
                <w:szCs w:val="24"/>
                <w:highlight w:val="none"/>
                <w:lang w:val="en-US" w:eastAsia="zh-CN"/>
              </w:rPr>
              <w:t>，甲苯最大浓度为0.068mg/m</w:t>
            </w:r>
            <w:r>
              <w:rPr>
                <w:rFonts w:hint="eastAsia" w:ascii="Times New Roman" w:hAnsi="Times New Roman" w:eastAsia="宋体" w:cs="Times New Roman"/>
                <w:color w:val="auto"/>
                <w:spacing w:val="0"/>
                <w:position w:val="0"/>
                <w:sz w:val="24"/>
                <w:szCs w:val="24"/>
                <w:highlight w:val="none"/>
                <w:vertAlign w:val="superscript"/>
                <w:lang w:val="en-US" w:eastAsia="zh-CN"/>
              </w:rPr>
              <w:t>3</w:t>
            </w:r>
            <w:r>
              <w:rPr>
                <w:rFonts w:hint="eastAsia" w:ascii="Times New Roman" w:hAnsi="Times New Roman" w:eastAsia="宋体" w:cs="Times New Roman"/>
                <w:color w:val="auto"/>
                <w:spacing w:val="0"/>
                <w:position w:val="0"/>
                <w:sz w:val="24"/>
                <w:szCs w:val="24"/>
                <w:highlight w:val="none"/>
                <w:lang w:val="en-US" w:eastAsia="zh-CN"/>
              </w:rPr>
              <w:t>，二甲苯最大浓度为0.113mg/m</w:t>
            </w:r>
            <w:r>
              <w:rPr>
                <w:rFonts w:hint="eastAsia" w:ascii="Times New Roman" w:hAnsi="Times New Roman" w:eastAsia="宋体" w:cs="Times New Roman"/>
                <w:color w:val="auto"/>
                <w:spacing w:val="0"/>
                <w:position w:val="0"/>
                <w:sz w:val="24"/>
                <w:szCs w:val="24"/>
                <w:highlight w:val="none"/>
                <w:vertAlign w:val="superscript"/>
                <w:lang w:val="en-US" w:eastAsia="zh-CN"/>
              </w:rPr>
              <w:t>3</w:t>
            </w:r>
            <w:r>
              <w:rPr>
                <w:rFonts w:hint="eastAsia" w:ascii="Times New Roman" w:hAnsi="Times New Roman" w:eastAsia="宋体" w:cs="Times New Roman"/>
                <w:color w:val="auto"/>
                <w:spacing w:val="0"/>
                <w:position w:val="0"/>
                <w:sz w:val="24"/>
                <w:szCs w:val="24"/>
                <w:highlight w:val="none"/>
                <w:lang w:val="en-US" w:eastAsia="zh-CN"/>
              </w:rPr>
              <w:t>，非甲烷总烃最大浓度为1.38mg/m</w:t>
            </w:r>
            <w:r>
              <w:rPr>
                <w:rFonts w:hint="eastAsia" w:ascii="Times New Roman" w:hAnsi="Times New Roman" w:eastAsia="宋体" w:cs="Times New Roman"/>
                <w:color w:val="auto"/>
                <w:spacing w:val="0"/>
                <w:position w:val="0"/>
                <w:sz w:val="24"/>
                <w:szCs w:val="24"/>
                <w:highlight w:val="none"/>
                <w:vertAlign w:val="superscript"/>
                <w:lang w:val="en-US" w:eastAsia="zh-CN"/>
              </w:rPr>
              <w:t>3</w:t>
            </w:r>
            <w:r>
              <w:rPr>
                <w:rFonts w:hint="eastAsia" w:ascii="Times New Roman" w:hAnsi="Times New Roman" w:eastAsia="宋体" w:cs="Times New Roman"/>
                <w:color w:val="auto"/>
                <w:spacing w:val="0"/>
                <w:position w:val="0"/>
                <w:sz w:val="24"/>
                <w:szCs w:val="24"/>
                <w:highlight w:val="none"/>
                <w:lang w:val="en-US" w:eastAsia="zh-CN"/>
              </w:rPr>
              <w:t>。颗粒物符合</w:t>
            </w:r>
            <w:r>
              <w:rPr>
                <w:rFonts w:hint="eastAsia"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position w:val="0"/>
                <w:sz w:val="24"/>
                <w:szCs w:val="24"/>
                <w:highlight w:val="none"/>
                <w:lang w:val="en-US" w:eastAsia="zh-CN"/>
              </w:rPr>
              <w:t>大气污染物综合</w:t>
            </w:r>
            <w:r>
              <w:rPr>
                <w:rFonts w:ascii="Times New Roman" w:hAnsi="Times New Roman" w:eastAsia="宋体" w:cs="Times New Roman"/>
                <w:color w:val="auto"/>
                <w:spacing w:val="0"/>
                <w:position w:val="0"/>
                <w:sz w:val="24"/>
                <w:szCs w:val="24"/>
                <w:highlight w:val="none"/>
              </w:rPr>
              <w:t>排放标准》</w:t>
            </w:r>
            <w:r>
              <w:rPr>
                <w:rFonts w:hint="eastAsia" w:ascii="Times New Roman" w:hAnsi="Times New Roman" w:eastAsia="宋体" w:cs="Times New Roman"/>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GB</w:t>
            </w:r>
            <w:r>
              <w:rPr>
                <w:rFonts w:hint="eastAsia" w:ascii="Times New Roman" w:hAnsi="Times New Roman" w:eastAsia="宋体" w:cs="Times New Roman"/>
                <w:color w:val="auto"/>
                <w:spacing w:val="0"/>
                <w:position w:val="0"/>
                <w:sz w:val="24"/>
                <w:szCs w:val="24"/>
                <w:highlight w:val="none"/>
                <w:lang w:val="en-US" w:eastAsia="zh-CN"/>
              </w:rPr>
              <w:t>16297-1996）表2二级标准限值要求；甲苯、二甲苯、非甲烷总烃符合</w:t>
            </w:r>
            <w:r>
              <w:rPr>
                <w:rFonts w:hint="eastAsia"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position w:val="0"/>
                <w:sz w:val="24"/>
                <w:szCs w:val="24"/>
                <w:highlight w:val="none"/>
                <w:lang w:val="en-US" w:eastAsia="zh-CN"/>
              </w:rPr>
              <w:t>印刷行业挥发性有机物</w:t>
            </w:r>
            <w:r>
              <w:rPr>
                <w:rFonts w:ascii="Times New Roman" w:hAnsi="Times New Roman" w:eastAsia="宋体" w:cs="Times New Roman"/>
                <w:color w:val="auto"/>
                <w:spacing w:val="0"/>
                <w:position w:val="0"/>
                <w:sz w:val="24"/>
                <w:szCs w:val="24"/>
                <w:highlight w:val="none"/>
              </w:rPr>
              <w:t>排放标准》</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lang w:val="en-US" w:eastAsia="zh-CN"/>
              </w:rPr>
              <w:t>DB35/1784-2018</w:t>
            </w:r>
            <w:r>
              <w:rPr>
                <w:rFonts w:hint="eastAsia"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b w:val="0"/>
                <w:bCs/>
                <w:color w:val="auto"/>
                <w:spacing w:val="0"/>
                <w:position w:val="0"/>
                <w:sz w:val="24"/>
                <w:szCs w:val="24"/>
                <w:highlight w:val="none"/>
              </w:rPr>
              <w:t>中表</w:t>
            </w:r>
            <w:r>
              <w:rPr>
                <w:rFonts w:hint="eastAsia" w:ascii="Times New Roman" w:hAnsi="Times New Roman" w:eastAsia="宋体" w:cs="Times New Roman"/>
                <w:b w:val="0"/>
                <w:bCs/>
                <w:color w:val="auto"/>
                <w:spacing w:val="0"/>
                <w:position w:val="0"/>
                <w:sz w:val="24"/>
                <w:szCs w:val="24"/>
                <w:highlight w:val="none"/>
                <w:lang w:val="en-US" w:eastAsia="zh-CN"/>
              </w:rPr>
              <w:t>3</w:t>
            </w:r>
            <w:r>
              <w:rPr>
                <w:rFonts w:hint="eastAsia" w:ascii="Times New Roman" w:hAnsi="Times New Roman" w:eastAsia="宋体" w:cs="Times New Roman"/>
                <w:b w:val="0"/>
                <w:bCs/>
                <w:color w:val="auto"/>
                <w:spacing w:val="0"/>
                <w:position w:val="0"/>
                <w:sz w:val="24"/>
                <w:szCs w:val="24"/>
                <w:highlight w:val="none"/>
              </w:rPr>
              <w:t>企业边界监控点浓度限值</w:t>
            </w:r>
            <w:r>
              <w:rPr>
                <w:rFonts w:hint="eastAsia" w:ascii="Times New Roman" w:hAnsi="Times New Roman" w:eastAsia="宋体" w:cs="Times New Roman"/>
                <w:b w:val="0"/>
                <w:bCs/>
                <w:color w:val="auto"/>
                <w:spacing w:val="0"/>
                <w:position w:val="0"/>
                <w:sz w:val="24"/>
                <w:szCs w:val="24"/>
                <w:highlight w:val="none"/>
                <w:lang w:val="en-US" w:eastAsia="zh-CN"/>
              </w:rPr>
              <w:t>要求</w:t>
            </w:r>
            <w:r>
              <w:rPr>
                <w:rFonts w:hint="eastAsia" w:ascii="Times New Roman" w:hAnsi="Times New Roman" w:eastAsia="宋体" w:cs="Times New Roman"/>
                <w:color w:val="auto"/>
                <w:spacing w:val="0"/>
                <w:position w:val="0"/>
                <w:sz w:val="24"/>
                <w:szCs w:val="24"/>
                <w:highlight w:val="none"/>
                <w:lang w:val="en-US" w:eastAsia="zh-CN"/>
              </w:rPr>
              <w:t>。</w:t>
            </w:r>
          </w:p>
          <w:p w14:paraId="2BF020BE">
            <w:pPr>
              <w:pStyle w:val="28"/>
              <w:keepNext w:val="0"/>
              <w:keepLines w:val="0"/>
              <w:pageBreakBefore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b/>
                <w:bCs/>
                <w:color w:val="auto"/>
                <w:spacing w:val="0"/>
                <w:sz w:val="24"/>
                <w:highlight w:val="none"/>
              </w:rPr>
            </w:pPr>
            <w:r>
              <w:rPr>
                <w:rFonts w:hint="default" w:ascii="Times New Roman" w:hAnsi="Times New Roman" w:eastAsia="宋体" w:cs="Times New Roman"/>
                <w:b/>
                <w:bCs/>
                <w:color w:val="auto"/>
                <w:spacing w:val="0"/>
                <w:sz w:val="24"/>
                <w:highlight w:val="none"/>
              </w:rPr>
              <w:t>（3）噪声</w:t>
            </w:r>
          </w:p>
          <w:p w14:paraId="0130DE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highlight w:val="none"/>
              </w:rPr>
            </w:pPr>
            <w:r>
              <w:rPr>
                <w:rFonts w:hint="eastAsia" w:ascii="Times New Roman" w:hAnsi="Times New Roman" w:eastAsia="宋体"/>
                <w:color w:val="auto"/>
                <w:sz w:val="24"/>
                <w:szCs w:val="24"/>
                <w:highlight w:val="none"/>
                <w:lang w:eastAsia="zh-CN"/>
              </w:rPr>
              <w:t>迁建前</w:t>
            </w:r>
            <w:r>
              <w:rPr>
                <w:rFonts w:ascii="Times New Roman" w:hAnsi="Times New Roman" w:eastAsia="宋体"/>
                <w:color w:val="auto"/>
                <w:sz w:val="24"/>
                <w:szCs w:val="24"/>
                <w:highlight w:val="none"/>
              </w:rPr>
              <w:t>运营期噪声主要</w:t>
            </w:r>
            <w:r>
              <w:rPr>
                <w:rFonts w:hint="eastAsia" w:ascii="Times New Roman" w:hAnsi="Times New Roman" w:eastAsia="宋体"/>
                <w:color w:val="auto"/>
                <w:sz w:val="24"/>
                <w:szCs w:val="24"/>
                <w:highlight w:val="none"/>
              </w:rPr>
              <w:t>来源于生产设备运行时产生的噪声</w:t>
            </w:r>
            <w:r>
              <w:rPr>
                <w:rFonts w:ascii="Times New Roman" w:hAnsi="Times New Roman" w:eastAsia="宋体"/>
                <w:color w:val="auto"/>
                <w:sz w:val="24"/>
                <w:szCs w:val="24"/>
                <w:highlight w:val="none"/>
              </w:rPr>
              <w:t>，噪声污染源强为</w:t>
            </w:r>
            <w:r>
              <w:rPr>
                <w:rFonts w:hint="eastAsia"/>
                <w:color w:val="auto"/>
                <w:sz w:val="24"/>
                <w:szCs w:val="24"/>
                <w:highlight w:val="none"/>
                <w:lang w:val="en-US" w:eastAsia="zh-CN"/>
              </w:rPr>
              <w:t>80~90</w:t>
            </w:r>
            <w:r>
              <w:rPr>
                <w:rFonts w:ascii="Times New Roman" w:hAnsi="Times New Roman" w:eastAsia="宋体"/>
                <w:color w:val="auto"/>
                <w:sz w:val="24"/>
                <w:szCs w:val="24"/>
                <w:highlight w:val="none"/>
              </w:rPr>
              <w:t>dB（A）。项目</w:t>
            </w:r>
            <w:r>
              <w:rPr>
                <w:rFonts w:hint="eastAsia" w:ascii="Times New Roman" w:hAnsi="Times New Roman" w:eastAsia="宋体"/>
                <w:color w:val="auto"/>
                <w:sz w:val="24"/>
                <w:szCs w:val="24"/>
                <w:highlight w:val="none"/>
              </w:rPr>
              <w:t>通过加强设备日常维护，维持设备处于良好的运转状态，利用距离衰减和围墙隔声减振等措施以减少噪声污染源对周围环境的影响。根据</w:t>
            </w:r>
            <w:r>
              <w:rPr>
                <w:rFonts w:hint="eastAsia" w:ascii="Times New Roman" w:hAnsi="Times New Roman" w:eastAsia="宋体"/>
                <w:color w:val="auto"/>
                <w:sz w:val="24"/>
                <w:szCs w:val="24"/>
                <w:highlight w:val="none"/>
                <w:lang w:eastAsia="zh-CN"/>
              </w:rPr>
              <w:t>迁建前</w:t>
            </w:r>
            <w:r>
              <w:rPr>
                <w:rFonts w:hint="eastAsia" w:ascii="Times New Roman" w:hAnsi="Times New Roman" w:eastAsia="宋体"/>
                <w:color w:val="auto"/>
                <w:sz w:val="24"/>
                <w:szCs w:val="24"/>
                <w:highlight w:val="none"/>
              </w:rPr>
              <w:t>验收报告，</w:t>
            </w:r>
            <w:r>
              <w:rPr>
                <w:rFonts w:hint="eastAsia"/>
                <w:color w:val="auto"/>
                <w:sz w:val="24"/>
                <w:szCs w:val="24"/>
                <w:highlight w:val="none"/>
                <w:lang w:val="en-US" w:eastAsia="zh-CN"/>
              </w:rPr>
              <w:t>项目</w:t>
            </w:r>
            <w:r>
              <w:rPr>
                <w:rFonts w:hint="eastAsia" w:ascii="Times New Roman" w:hAnsi="Times New Roman" w:eastAsia="宋体"/>
                <w:color w:val="auto"/>
                <w:sz w:val="24"/>
                <w:szCs w:val="24"/>
                <w:highlight w:val="none"/>
                <w:lang w:eastAsia="zh-CN"/>
              </w:rPr>
              <w:t>迁建前</w:t>
            </w:r>
            <w:r>
              <w:rPr>
                <w:rFonts w:hint="eastAsia" w:ascii="Times New Roman" w:hAnsi="Times New Roman" w:eastAsia="宋体"/>
                <w:color w:val="auto"/>
                <w:sz w:val="24"/>
                <w:szCs w:val="24"/>
                <w:highlight w:val="none"/>
              </w:rPr>
              <w:t>厂界</w:t>
            </w:r>
            <w:r>
              <w:rPr>
                <w:rFonts w:ascii="Times New Roman" w:hAnsi="Times New Roman" w:eastAsia="宋体"/>
                <w:color w:val="auto"/>
                <w:sz w:val="24"/>
                <w:szCs w:val="24"/>
                <w:highlight w:val="none"/>
              </w:rPr>
              <w:t>噪声</w:t>
            </w:r>
            <w:r>
              <w:rPr>
                <w:rFonts w:hint="eastAsia" w:ascii="Times New Roman" w:hAnsi="Times New Roman" w:eastAsia="宋体"/>
                <w:color w:val="auto"/>
                <w:sz w:val="24"/>
                <w:szCs w:val="24"/>
                <w:highlight w:val="none"/>
              </w:rPr>
              <w:t>验收监测结果，</w:t>
            </w:r>
            <w:r>
              <w:rPr>
                <w:rFonts w:hint="eastAsia" w:ascii="Times New Roman" w:hAnsi="Times New Roman" w:eastAsia="宋体"/>
                <w:color w:val="auto"/>
                <w:kern w:val="0"/>
                <w:sz w:val="24"/>
                <w:szCs w:val="24"/>
                <w:highlight w:val="none"/>
              </w:rPr>
              <w:t>详见表</w:t>
            </w:r>
            <w:r>
              <w:rPr>
                <w:rFonts w:ascii="Times New Roman" w:hAnsi="Times New Roman" w:eastAsia="宋体"/>
                <w:color w:val="auto"/>
                <w:sz w:val="24"/>
                <w:szCs w:val="24"/>
                <w:highlight w:val="none"/>
              </w:rPr>
              <w:t>2</w:t>
            </w:r>
            <w:r>
              <w:rPr>
                <w:rFonts w:hint="eastAsia" w:ascii="Times New Roman" w:hAnsi="Times New Roman" w:eastAsia="宋体"/>
                <w:color w:val="auto"/>
                <w:sz w:val="24"/>
                <w:szCs w:val="24"/>
                <w:highlight w:val="none"/>
                <w:lang w:val="en-US" w:eastAsia="zh-CN"/>
              </w:rPr>
              <w:t>.9.2-6</w:t>
            </w:r>
            <w:r>
              <w:rPr>
                <w:rFonts w:ascii="Times New Roman" w:hAnsi="Times New Roman" w:eastAsia="宋体"/>
                <w:color w:val="auto"/>
                <w:highlight w:val="none"/>
              </w:rPr>
              <w:t>。</w:t>
            </w:r>
          </w:p>
          <w:p w14:paraId="48F627EF">
            <w:pPr>
              <w:keepNext/>
              <w:keepLines/>
              <w:spacing w:line="240" w:lineRule="auto"/>
              <w:ind w:firstLine="482"/>
              <w:jc w:val="center"/>
              <w:rPr>
                <w:rFonts w:ascii="Times New Roman" w:hAnsi="Times New Roman" w:eastAsia="宋体"/>
                <w:b/>
                <w:color w:val="auto"/>
                <w:highlight w:val="none"/>
              </w:rPr>
            </w:pPr>
            <w:r>
              <w:rPr>
                <w:rFonts w:ascii="Times New Roman" w:hAnsi="Times New Roman" w:eastAsia="宋体"/>
                <w:b/>
                <w:color w:val="auto"/>
                <w:sz w:val="24"/>
                <w:szCs w:val="24"/>
                <w:highlight w:val="none"/>
              </w:rPr>
              <w:t>表2</w:t>
            </w:r>
            <w:r>
              <w:rPr>
                <w:rFonts w:hint="eastAsia" w:ascii="Times New Roman" w:hAnsi="Times New Roman" w:eastAsia="宋体"/>
                <w:b/>
                <w:color w:val="auto"/>
                <w:sz w:val="24"/>
                <w:szCs w:val="24"/>
                <w:highlight w:val="none"/>
                <w:lang w:val="en-US" w:eastAsia="zh-CN"/>
              </w:rPr>
              <w:t>.9.2-6</w:t>
            </w:r>
            <w:r>
              <w:rPr>
                <w:rFonts w:ascii="Times New Roman" w:hAnsi="Times New Roman" w:eastAsia="宋体"/>
                <w:b/>
                <w:color w:val="auto"/>
                <w:sz w:val="24"/>
                <w:szCs w:val="24"/>
                <w:highlight w:val="none"/>
              </w:rPr>
              <w:t xml:space="preserve">  </w:t>
            </w:r>
            <w:r>
              <w:rPr>
                <w:rFonts w:hint="eastAsia" w:ascii="Times New Roman" w:hAnsi="Times New Roman" w:eastAsia="宋体"/>
                <w:b/>
                <w:color w:val="auto"/>
                <w:sz w:val="24"/>
                <w:szCs w:val="24"/>
                <w:highlight w:val="none"/>
                <w:lang w:eastAsia="zh-CN"/>
              </w:rPr>
              <w:t>迁建前</w:t>
            </w:r>
            <w:r>
              <w:rPr>
                <w:rFonts w:ascii="Times New Roman" w:hAnsi="Times New Roman" w:eastAsia="宋体"/>
                <w:b/>
                <w:color w:val="auto"/>
                <w:sz w:val="24"/>
                <w:szCs w:val="24"/>
                <w:highlight w:val="none"/>
              </w:rPr>
              <w:t>噪声来源及措施一览表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354"/>
              <w:gridCol w:w="696"/>
              <w:gridCol w:w="809"/>
              <w:gridCol w:w="776"/>
              <w:gridCol w:w="760"/>
              <w:gridCol w:w="745"/>
              <w:gridCol w:w="1225"/>
              <w:gridCol w:w="843"/>
              <w:gridCol w:w="757"/>
            </w:tblGrid>
            <w:tr w14:paraId="65BC65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Merge w:val="restart"/>
                  <w:tcBorders>
                    <w:tl2br w:val="nil"/>
                    <w:tr2bl w:val="nil"/>
                  </w:tcBorders>
                  <w:noWrap w:val="0"/>
                  <w:vAlign w:val="center"/>
                </w:tcPr>
                <w:p w14:paraId="6C9409F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
                      <w:color w:val="auto"/>
                      <w:kern w:val="0"/>
                      <w:sz w:val="21"/>
                      <w:szCs w:val="21"/>
                      <w:highlight w:val="none"/>
                      <w:lang w:bidi="ar"/>
                    </w:rPr>
                  </w:pPr>
                  <w:r>
                    <w:rPr>
                      <w:rFonts w:hint="eastAsia" w:ascii="Times New Roman" w:hAnsi="Times New Roman" w:eastAsia="宋体"/>
                      <w:b/>
                      <w:color w:val="auto"/>
                      <w:kern w:val="0"/>
                      <w:sz w:val="21"/>
                      <w:szCs w:val="21"/>
                      <w:highlight w:val="none"/>
                      <w:lang w:bidi="ar"/>
                    </w:rPr>
                    <w:t>检测日期</w:t>
                  </w:r>
                </w:p>
              </w:tc>
              <w:tc>
                <w:tcPr>
                  <w:tcW w:w="1318" w:type="dxa"/>
                  <w:vMerge w:val="restart"/>
                  <w:tcBorders>
                    <w:tl2br w:val="nil"/>
                    <w:tr2bl w:val="nil"/>
                  </w:tcBorders>
                  <w:noWrap w:val="0"/>
                  <w:vAlign w:val="center"/>
                </w:tcPr>
                <w:p w14:paraId="1B7A730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
                      <w:color w:val="auto"/>
                      <w:kern w:val="0"/>
                      <w:sz w:val="21"/>
                      <w:szCs w:val="21"/>
                      <w:highlight w:val="none"/>
                      <w:lang w:bidi="ar"/>
                    </w:rPr>
                  </w:pPr>
                  <w:r>
                    <w:rPr>
                      <w:rFonts w:hint="eastAsia" w:ascii="Times New Roman" w:hAnsi="Times New Roman" w:eastAsia="宋体"/>
                      <w:b/>
                      <w:color w:val="auto"/>
                      <w:kern w:val="0"/>
                      <w:sz w:val="21"/>
                      <w:szCs w:val="21"/>
                      <w:highlight w:val="none"/>
                      <w:lang w:bidi="ar"/>
                    </w:rPr>
                    <w:t>检测点位</w:t>
                  </w:r>
                </w:p>
              </w:tc>
              <w:tc>
                <w:tcPr>
                  <w:tcW w:w="678" w:type="dxa"/>
                  <w:vMerge w:val="restart"/>
                  <w:tcBorders>
                    <w:tl2br w:val="nil"/>
                    <w:tr2bl w:val="nil"/>
                  </w:tcBorders>
                  <w:noWrap w:val="0"/>
                  <w:vAlign w:val="center"/>
                </w:tcPr>
                <w:p w14:paraId="71B73E9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
                      <w:color w:val="auto"/>
                      <w:kern w:val="0"/>
                      <w:sz w:val="21"/>
                      <w:szCs w:val="21"/>
                      <w:highlight w:val="none"/>
                      <w:lang w:bidi="ar"/>
                    </w:rPr>
                  </w:pPr>
                  <w:r>
                    <w:rPr>
                      <w:rFonts w:hint="eastAsia" w:ascii="Times New Roman" w:hAnsi="Times New Roman" w:eastAsia="宋体"/>
                      <w:b/>
                      <w:color w:val="auto"/>
                      <w:kern w:val="0"/>
                      <w:sz w:val="21"/>
                      <w:szCs w:val="21"/>
                      <w:highlight w:val="none"/>
                      <w:lang w:bidi="ar"/>
                    </w:rPr>
                    <w:t>检测时间</w:t>
                  </w:r>
                </w:p>
              </w:tc>
              <w:tc>
                <w:tcPr>
                  <w:tcW w:w="3009" w:type="dxa"/>
                  <w:gridSpan w:val="4"/>
                  <w:tcBorders>
                    <w:tl2br w:val="nil"/>
                    <w:tr2bl w:val="nil"/>
                  </w:tcBorders>
                  <w:noWrap w:val="0"/>
                  <w:vAlign w:val="center"/>
                </w:tcPr>
                <w:p w14:paraId="48EA319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
                      <w:color w:val="auto"/>
                      <w:kern w:val="0"/>
                      <w:sz w:val="21"/>
                      <w:szCs w:val="21"/>
                      <w:highlight w:val="none"/>
                      <w:lang w:bidi="ar"/>
                    </w:rPr>
                  </w:pPr>
                  <w:r>
                    <w:rPr>
                      <w:rFonts w:hint="eastAsia" w:ascii="Times New Roman" w:hAnsi="Times New Roman" w:eastAsia="宋体"/>
                      <w:b/>
                      <w:color w:val="auto"/>
                      <w:kern w:val="0"/>
                      <w:sz w:val="21"/>
                      <w:szCs w:val="21"/>
                      <w:highlight w:val="none"/>
                      <w:lang w:bidi="ar"/>
                    </w:rPr>
                    <w:t>检测结果dB（A）</w:t>
                  </w:r>
                </w:p>
              </w:tc>
              <w:tc>
                <w:tcPr>
                  <w:tcW w:w="1193" w:type="dxa"/>
                  <w:vMerge w:val="restart"/>
                  <w:tcBorders>
                    <w:tl2br w:val="nil"/>
                    <w:tr2bl w:val="nil"/>
                  </w:tcBorders>
                  <w:noWrap w:val="0"/>
                  <w:vAlign w:val="center"/>
                </w:tcPr>
                <w:p w14:paraId="63BD5C6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
                      <w:color w:val="auto"/>
                      <w:kern w:val="0"/>
                      <w:sz w:val="21"/>
                      <w:szCs w:val="21"/>
                      <w:highlight w:val="none"/>
                      <w:lang w:bidi="ar"/>
                    </w:rPr>
                  </w:pPr>
                  <w:r>
                    <w:rPr>
                      <w:rFonts w:hint="eastAsia" w:ascii="Times New Roman" w:hAnsi="Times New Roman" w:eastAsia="宋体"/>
                      <w:b/>
                      <w:color w:val="auto"/>
                      <w:kern w:val="0"/>
                      <w:sz w:val="21"/>
                      <w:szCs w:val="21"/>
                      <w:highlight w:val="none"/>
                      <w:lang w:bidi="ar"/>
                    </w:rPr>
                    <w:t>标准限值LeqdB（A）</w:t>
                  </w:r>
                </w:p>
              </w:tc>
              <w:tc>
                <w:tcPr>
                  <w:tcW w:w="821" w:type="dxa"/>
                  <w:vMerge w:val="restart"/>
                  <w:tcBorders>
                    <w:tl2br w:val="nil"/>
                    <w:tr2bl w:val="nil"/>
                  </w:tcBorders>
                  <w:noWrap w:val="0"/>
                  <w:vAlign w:val="center"/>
                </w:tcPr>
                <w:p w14:paraId="7ED1562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
                      <w:color w:val="auto"/>
                      <w:kern w:val="0"/>
                      <w:sz w:val="21"/>
                      <w:szCs w:val="21"/>
                      <w:highlight w:val="none"/>
                      <w:lang w:bidi="ar"/>
                    </w:rPr>
                  </w:pPr>
                  <w:r>
                    <w:rPr>
                      <w:rFonts w:hint="eastAsia" w:ascii="Times New Roman" w:hAnsi="Times New Roman" w:eastAsia="宋体"/>
                      <w:b/>
                      <w:color w:val="auto"/>
                      <w:kern w:val="0"/>
                      <w:sz w:val="21"/>
                      <w:szCs w:val="21"/>
                      <w:highlight w:val="none"/>
                      <w:lang w:bidi="ar"/>
                    </w:rPr>
                    <w:t>达标情况</w:t>
                  </w:r>
                </w:p>
              </w:tc>
              <w:tc>
                <w:tcPr>
                  <w:tcW w:w="736" w:type="dxa"/>
                  <w:vMerge w:val="restart"/>
                  <w:tcBorders>
                    <w:tl2br w:val="nil"/>
                    <w:tr2bl w:val="nil"/>
                  </w:tcBorders>
                  <w:noWrap w:val="0"/>
                  <w:vAlign w:val="center"/>
                </w:tcPr>
                <w:p w14:paraId="41BED28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
                      <w:color w:val="auto"/>
                      <w:kern w:val="0"/>
                      <w:sz w:val="21"/>
                      <w:szCs w:val="21"/>
                      <w:highlight w:val="none"/>
                      <w:lang w:bidi="ar"/>
                    </w:rPr>
                  </w:pPr>
                  <w:r>
                    <w:rPr>
                      <w:rFonts w:hint="eastAsia" w:ascii="Times New Roman" w:hAnsi="Times New Roman" w:eastAsia="宋体"/>
                      <w:b/>
                      <w:color w:val="auto"/>
                      <w:kern w:val="0"/>
                      <w:sz w:val="21"/>
                      <w:szCs w:val="21"/>
                      <w:highlight w:val="none"/>
                      <w:lang w:bidi="ar"/>
                    </w:rPr>
                    <w:t>主要声源</w:t>
                  </w:r>
                </w:p>
              </w:tc>
            </w:tr>
            <w:tr w14:paraId="233EB8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Merge w:val="continue"/>
                  <w:tcBorders>
                    <w:tl2br w:val="nil"/>
                    <w:tr2bl w:val="nil"/>
                  </w:tcBorders>
                  <w:noWrap w:val="0"/>
                  <w:vAlign w:val="center"/>
                </w:tcPr>
                <w:p w14:paraId="1C2E4DE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1318" w:type="dxa"/>
                  <w:vMerge w:val="continue"/>
                  <w:tcBorders>
                    <w:tl2br w:val="nil"/>
                    <w:tr2bl w:val="nil"/>
                  </w:tcBorders>
                  <w:noWrap w:val="0"/>
                  <w:vAlign w:val="center"/>
                </w:tcPr>
                <w:p w14:paraId="125D14A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678" w:type="dxa"/>
                  <w:vMerge w:val="continue"/>
                  <w:tcBorders>
                    <w:tl2br w:val="nil"/>
                    <w:tr2bl w:val="nil"/>
                  </w:tcBorders>
                  <w:noWrap w:val="0"/>
                  <w:vAlign w:val="center"/>
                </w:tcPr>
                <w:p w14:paraId="7DBA5B9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788" w:type="dxa"/>
                  <w:tcBorders>
                    <w:tl2br w:val="nil"/>
                    <w:tr2bl w:val="nil"/>
                  </w:tcBorders>
                  <w:noWrap w:val="0"/>
                  <w:vAlign w:val="center"/>
                </w:tcPr>
                <w:p w14:paraId="557BFF5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
                      <w:color w:val="auto"/>
                      <w:kern w:val="0"/>
                      <w:sz w:val="21"/>
                      <w:szCs w:val="21"/>
                      <w:highlight w:val="none"/>
                      <w:lang w:bidi="ar"/>
                    </w:rPr>
                  </w:pPr>
                  <w:r>
                    <w:rPr>
                      <w:rFonts w:hint="eastAsia" w:ascii="Times New Roman" w:hAnsi="Times New Roman" w:eastAsia="宋体"/>
                      <w:b/>
                      <w:color w:val="auto"/>
                      <w:kern w:val="0"/>
                      <w:sz w:val="21"/>
                      <w:szCs w:val="21"/>
                      <w:highlight w:val="none"/>
                      <w:lang w:bidi="ar"/>
                    </w:rPr>
                    <w:t>测量值</w:t>
                  </w:r>
                </w:p>
              </w:tc>
              <w:tc>
                <w:tcPr>
                  <w:tcW w:w="756" w:type="dxa"/>
                  <w:tcBorders>
                    <w:tl2br w:val="nil"/>
                    <w:tr2bl w:val="nil"/>
                  </w:tcBorders>
                  <w:noWrap w:val="0"/>
                  <w:vAlign w:val="center"/>
                </w:tcPr>
                <w:p w14:paraId="2FFFA80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
                      <w:color w:val="auto"/>
                      <w:kern w:val="0"/>
                      <w:sz w:val="21"/>
                      <w:szCs w:val="21"/>
                      <w:highlight w:val="none"/>
                      <w:lang w:bidi="ar"/>
                    </w:rPr>
                  </w:pPr>
                  <w:r>
                    <w:rPr>
                      <w:rFonts w:hint="eastAsia" w:ascii="Times New Roman" w:hAnsi="Times New Roman" w:eastAsia="宋体"/>
                      <w:b/>
                      <w:color w:val="auto"/>
                      <w:kern w:val="0"/>
                      <w:sz w:val="21"/>
                      <w:szCs w:val="21"/>
                      <w:highlight w:val="none"/>
                      <w:lang w:bidi="ar"/>
                    </w:rPr>
                    <w:t>背景值</w:t>
                  </w:r>
                </w:p>
              </w:tc>
              <w:tc>
                <w:tcPr>
                  <w:tcW w:w="740" w:type="dxa"/>
                  <w:tcBorders>
                    <w:tl2br w:val="nil"/>
                    <w:tr2bl w:val="nil"/>
                  </w:tcBorders>
                  <w:noWrap w:val="0"/>
                  <w:vAlign w:val="center"/>
                </w:tcPr>
                <w:p w14:paraId="742CDEC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
                      <w:color w:val="auto"/>
                      <w:kern w:val="0"/>
                      <w:sz w:val="21"/>
                      <w:szCs w:val="21"/>
                      <w:highlight w:val="none"/>
                      <w:lang w:bidi="ar"/>
                    </w:rPr>
                  </w:pPr>
                  <w:r>
                    <w:rPr>
                      <w:rFonts w:hint="eastAsia" w:ascii="Times New Roman" w:hAnsi="Times New Roman" w:eastAsia="宋体"/>
                      <w:b/>
                      <w:color w:val="auto"/>
                      <w:kern w:val="0"/>
                      <w:sz w:val="21"/>
                      <w:szCs w:val="21"/>
                      <w:highlight w:val="none"/>
                      <w:lang w:val="en-US" w:eastAsia="zh-CN" w:bidi="ar"/>
                    </w:rPr>
                    <w:t>修约值</w:t>
                  </w:r>
                </w:p>
              </w:tc>
              <w:tc>
                <w:tcPr>
                  <w:tcW w:w="725" w:type="dxa"/>
                  <w:tcBorders>
                    <w:tl2br w:val="nil"/>
                    <w:tr2bl w:val="nil"/>
                  </w:tcBorders>
                  <w:noWrap w:val="0"/>
                  <w:vAlign w:val="center"/>
                </w:tcPr>
                <w:p w14:paraId="7A04690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
                      <w:color w:val="auto"/>
                      <w:kern w:val="0"/>
                      <w:sz w:val="21"/>
                      <w:szCs w:val="21"/>
                      <w:highlight w:val="none"/>
                      <w:lang w:val="en-US" w:eastAsia="zh-CN" w:bidi="ar"/>
                    </w:rPr>
                  </w:pPr>
                  <w:r>
                    <w:rPr>
                      <w:rFonts w:hint="eastAsia" w:ascii="Times New Roman" w:hAnsi="Times New Roman" w:eastAsia="宋体"/>
                      <w:b/>
                      <w:color w:val="auto"/>
                      <w:kern w:val="0"/>
                      <w:sz w:val="21"/>
                      <w:szCs w:val="21"/>
                      <w:highlight w:val="none"/>
                      <w:lang w:val="en-US" w:eastAsia="zh-CN" w:bidi="ar"/>
                    </w:rPr>
                    <w:t>结果</w:t>
                  </w:r>
                </w:p>
              </w:tc>
              <w:tc>
                <w:tcPr>
                  <w:tcW w:w="1193" w:type="dxa"/>
                  <w:vMerge w:val="continue"/>
                  <w:tcBorders>
                    <w:tl2br w:val="nil"/>
                    <w:tr2bl w:val="nil"/>
                  </w:tcBorders>
                  <w:noWrap w:val="0"/>
                  <w:vAlign w:val="center"/>
                </w:tcPr>
                <w:p w14:paraId="78D7A83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821" w:type="dxa"/>
                  <w:vMerge w:val="continue"/>
                  <w:tcBorders>
                    <w:tl2br w:val="nil"/>
                    <w:tr2bl w:val="nil"/>
                  </w:tcBorders>
                  <w:noWrap w:val="0"/>
                  <w:vAlign w:val="center"/>
                </w:tcPr>
                <w:p w14:paraId="27E9312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736" w:type="dxa"/>
                  <w:vMerge w:val="continue"/>
                  <w:tcBorders>
                    <w:tl2br w:val="nil"/>
                    <w:tr2bl w:val="nil"/>
                  </w:tcBorders>
                  <w:noWrap w:val="0"/>
                  <w:vAlign w:val="center"/>
                </w:tcPr>
                <w:p w14:paraId="0AC254F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r>
            <w:tr w14:paraId="0363D9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Merge w:val="restart"/>
                  <w:tcBorders>
                    <w:tl2br w:val="nil"/>
                    <w:tr2bl w:val="nil"/>
                  </w:tcBorders>
                  <w:noWrap w:val="0"/>
                  <w:vAlign w:val="center"/>
                </w:tcPr>
                <w:p w14:paraId="20860C04">
                  <w:pPr>
                    <w:keepNext w:val="0"/>
                    <w:keepLines w:val="0"/>
                    <w:pageBreakBefore w:val="0"/>
                    <w:kinsoku/>
                    <w:wordWrap/>
                    <w:overflowPunct/>
                    <w:topLinePunct w:val="0"/>
                    <w:autoSpaceDE w:val="0"/>
                    <w:autoSpaceDN w:val="0"/>
                    <w:bidi w:val="0"/>
                    <w:adjustRightInd/>
                    <w:spacing w:line="240" w:lineRule="auto"/>
                    <w:ind w:right="0" w:rightChars="0" w:firstLine="0" w:firstLineChars="0"/>
                    <w:jc w:val="center"/>
                    <w:textAlignment w:val="auto"/>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cs="Times New Roman"/>
                      <w:color w:val="auto"/>
                      <w:kern w:val="2"/>
                      <w:sz w:val="21"/>
                      <w:szCs w:val="21"/>
                      <w:highlight w:val="none"/>
                      <w:u w:val="none"/>
                      <w:lang w:val="en-US" w:eastAsia="zh-CN" w:bidi="ar-SA"/>
                    </w:rPr>
                    <w:t>2021.08.20</w:t>
                  </w:r>
                </w:p>
              </w:tc>
              <w:tc>
                <w:tcPr>
                  <w:tcW w:w="1318" w:type="dxa"/>
                  <w:tcBorders>
                    <w:tl2br w:val="nil"/>
                    <w:tr2bl w:val="nil"/>
                  </w:tcBorders>
                  <w:noWrap w:val="0"/>
                  <w:vAlign w:val="center"/>
                </w:tcPr>
                <w:p w14:paraId="70C0BAE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厂界</w:t>
                  </w:r>
                  <w:r>
                    <w:rPr>
                      <w:rFonts w:hint="eastAsia" w:ascii="Times New Roman" w:hAnsi="Times New Roman" w:eastAsia="宋体"/>
                      <w:bCs/>
                      <w:color w:val="auto"/>
                      <w:kern w:val="0"/>
                      <w:sz w:val="21"/>
                      <w:szCs w:val="21"/>
                      <w:highlight w:val="none"/>
                      <w:lang w:val="en-US" w:eastAsia="zh-CN" w:bidi="ar"/>
                    </w:rPr>
                    <w:t>东</w:t>
                  </w:r>
                  <w:r>
                    <w:rPr>
                      <w:rFonts w:hint="eastAsia" w:ascii="Times New Roman" w:hAnsi="Times New Roman" w:eastAsia="宋体"/>
                      <w:bCs/>
                      <w:color w:val="auto"/>
                      <w:kern w:val="0"/>
                      <w:sz w:val="21"/>
                      <w:szCs w:val="21"/>
                      <w:highlight w:val="none"/>
                      <w:lang w:bidi="ar"/>
                    </w:rPr>
                    <w:t>侧N1</w:t>
                  </w:r>
                </w:p>
              </w:tc>
              <w:tc>
                <w:tcPr>
                  <w:tcW w:w="678" w:type="dxa"/>
                  <w:tcBorders>
                    <w:tl2br w:val="nil"/>
                    <w:tr2bl w:val="nil"/>
                  </w:tcBorders>
                  <w:noWrap w:val="0"/>
                  <w:vAlign w:val="center"/>
                </w:tcPr>
                <w:p w14:paraId="5823BF2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昼间</w:t>
                  </w:r>
                </w:p>
              </w:tc>
              <w:tc>
                <w:tcPr>
                  <w:tcW w:w="788" w:type="dxa"/>
                  <w:tcBorders>
                    <w:tl2br w:val="nil"/>
                    <w:tr2bl w:val="nil"/>
                  </w:tcBorders>
                  <w:noWrap w:val="0"/>
                  <w:vAlign w:val="center"/>
                </w:tcPr>
                <w:p w14:paraId="725D335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57.7</w:t>
                  </w:r>
                </w:p>
              </w:tc>
              <w:tc>
                <w:tcPr>
                  <w:tcW w:w="756" w:type="dxa"/>
                  <w:tcBorders>
                    <w:tl2br w:val="nil"/>
                    <w:tr2bl w:val="nil"/>
                  </w:tcBorders>
                  <w:noWrap w:val="0"/>
                  <w:vAlign w:val="center"/>
                </w:tcPr>
                <w:p w14:paraId="7DC6689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40" w:type="dxa"/>
                  <w:tcBorders>
                    <w:tl2br w:val="nil"/>
                    <w:tr2bl w:val="nil"/>
                  </w:tcBorders>
                  <w:noWrap w:val="0"/>
                  <w:vAlign w:val="center"/>
                </w:tcPr>
                <w:p w14:paraId="17CF614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25" w:type="dxa"/>
                  <w:tcBorders>
                    <w:tl2br w:val="nil"/>
                    <w:tr2bl w:val="nil"/>
                  </w:tcBorders>
                  <w:noWrap w:val="0"/>
                  <w:vAlign w:val="center"/>
                </w:tcPr>
                <w:p w14:paraId="6F37881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57.7</w:t>
                  </w:r>
                </w:p>
              </w:tc>
              <w:tc>
                <w:tcPr>
                  <w:tcW w:w="1193" w:type="dxa"/>
                  <w:vMerge w:val="restart"/>
                  <w:tcBorders>
                    <w:tl2br w:val="nil"/>
                    <w:tr2bl w:val="nil"/>
                  </w:tcBorders>
                  <w:noWrap w:val="0"/>
                  <w:vAlign w:val="center"/>
                </w:tcPr>
                <w:p w14:paraId="0F7FFF54">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eastAsia="zh-CN" w:bidi="ar"/>
                    </w:rPr>
                  </w:pPr>
                  <w:r>
                    <w:rPr>
                      <w:rFonts w:hint="eastAsia" w:ascii="Times New Roman" w:hAnsi="Times New Roman" w:eastAsia="宋体"/>
                      <w:bCs/>
                      <w:color w:val="auto"/>
                      <w:kern w:val="0"/>
                      <w:sz w:val="21"/>
                      <w:szCs w:val="21"/>
                      <w:highlight w:val="none"/>
                      <w:lang w:bidi="ar"/>
                    </w:rPr>
                    <w:t>昼间≤6</w:t>
                  </w:r>
                  <w:r>
                    <w:rPr>
                      <w:rFonts w:hint="eastAsia" w:ascii="Times New Roman" w:hAnsi="Times New Roman" w:eastAsia="宋体"/>
                      <w:bCs/>
                      <w:color w:val="auto"/>
                      <w:kern w:val="0"/>
                      <w:sz w:val="21"/>
                      <w:szCs w:val="21"/>
                      <w:highlight w:val="none"/>
                      <w:lang w:val="en-US" w:eastAsia="zh-CN" w:bidi="ar"/>
                    </w:rPr>
                    <w:t>5</w:t>
                  </w:r>
                </w:p>
              </w:tc>
              <w:tc>
                <w:tcPr>
                  <w:tcW w:w="821" w:type="dxa"/>
                  <w:tcBorders>
                    <w:tl2br w:val="nil"/>
                    <w:tr2bl w:val="nil"/>
                  </w:tcBorders>
                  <w:noWrap w:val="0"/>
                  <w:vAlign w:val="center"/>
                </w:tcPr>
                <w:p w14:paraId="06A155A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达标</w:t>
                  </w:r>
                </w:p>
              </w:tc>
              <w:tc>
                <w:tcPr>
                  <w:tcW w:w="736" w:type="dxa"/>
                  <w:tcBorders>
                    <w:tl2br w:val="nil"/>
                    <w:tr2bl w:val="nil"/>
                  </w:tcBorders>
                  <w:noWrap w:val="0"/>
                  <w:vAlign w:val="center"/>
                </w:tcPr>
                <w:p w14:paraId="4345866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工业噪声</w:t>
                  </w:r>
                </w:p>
              </w:tc>
            </w:tr>
            <w:tr w14:paraId="239DD7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Merge w:val="continue"/>
                  <w:tcBorders>
                    <w:tl2br w:val="nil"/>
                    <w:tr2bl w:val="nil"/>
                  </w:tcBorders>
                  <w:noWrap w:val="0"/>
                  <w:vAlign w:val="center"/>
                </w:tcPr>
                <w:p w14:paraId="75BB8D9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1318" w:type="dxa"/>
                  <w:tcBorders>
                    <w:tl2br w:val="nil"/>
                    <w:tr2bl w:val="nil"/>
                  </w:tcBorders>
                  <w:noWrap w:val="0"/>
                  <w:vAlign w:val="center"/>
                </w:tcPr>
                <w:p w14:paraId="196A27E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厂界</w:t>
                  </w:r>
                  <w:r>
                    <w:rPr>
                      <w:rFonts w:hint="eastAsia" w:ascii="Times New Roman" w:hAnsi="Times New Roman" w:eastAsia="宋体"/>
                      <w:bCs/>
                      <w:color w:val="auto"/>
                      <w:kern w:val="0"/>
                      <w:sz w:val="21"/>
                      <w:szCs w:val="21"/>
                      <w:highlight w:val="none"/>
                      <w:lang w:val="en-US" w:eastAsia="zh-CN" w:bidi="ar"/>
                    </w:rPr>
                    <w:t>南</w:t>
                  </w:r>
                  <w:r>
                    <w:rPr>
                      <w:rFonts w:hint="eastAsia" w:ascii="Times New Roman" w:hAnsi="Times New Roman" w:eastAsia="宋体"/>
                      <w:bCs/>
                      <w:color w:val="auto"/>
                      <w:kern w:val="0"/>
                      <w:sz w:val="21"/>
                      <w:szCs w:val="21"/>
                      <w:highlight w:val="none"/>
                      <w:lang w:bidi="ar"/>
                    </w:rPr>
                    <w:t>侧N2</w:t>
                  </w:r>
                </w:p>
              </w:tc>
              <w:tc>
                <w:tcPr>
                  <w:tcW w:w="678" w:type="dxa"/>
                  <w:tcBorders>
                    <w:tl2br w:val="nil"/>
                    <w:tr2bl w:val="nil"/>
                  </w:tcBorders>
                  <w:noWrap w:val="0"/>
                  <w:vAlign w:val="center"/>
                </w:tcPr>
                <w:p w14:paraId="1E91285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昼间</w:t>
                  </w:r>
                </w:p>
              </w:tc>
              <w:tc>
                <w:tcPr>
                  <w:tcW w:w="788" w:type="dxa"/>
                  <w:tcBorders>
                    <w:tl2br w:val="nil"/>
                    <w:tr2bl w:val="nil"/>
                  </w:tcBorders>
                  <w:noWrap w:val="0"/>
                  <w:vAlign w:val="center"/>
                </w:tcPr>
                <w:p w14:paraId="6525BD1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58.6</w:t>
                  </w:r>
                </w:p>
              </w:tc>
              <w:tc>
                <w:tcPr>
                  <w:tcW w:w="756" w:type="dxa"/>
                  <w:tcBorders>
                    <w:tl2br w:val="nil"/>
                    <w:tr2bl w:val="nil"/>
                  </w:tcBorders>
                  <w:noWrap w:val="0"/>
                  <w:vAlign w:val="center"/>
                </w:tcPr>
                <w:p w14:paraId="4F92C5A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40" w:type="dxa"/>
                  <w:tcBorders>
                    <w:tl2br w:val="nil"/>
                    <w:tr2bl w:val="nil"/>
                  </w:tcBorders>
                  <w:noWrap w:val="0"/>
                  <w:vAlign w:val="center"/>
                </w:tcPr>
                <w:p w14:paraId="1FA0EC8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25" w:type="dxa"/>
                  <w:tcBorders>
                    <w:tl2br w:val="nil"/>
                    <w:tr2bl w:val="nil"/>
                  </w:tcBorders>
                  <w:noWrap w:val="0"/>
                  <w:vAlign w:val="center"/>
                </w:tcPr>
                <w:p w14:paraId="240A11C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58.6</w:t>
                  </w:r>
                </w:p>
              </w:tc>
              <w:tc>
                <w:tcPr>
                  <w:tcW w:w="1193" w:type="dxa"/>
                  <w:vMerge w:val="continue"/>
                  <w:tcBorders>
                    <w:tl2br w:val="nil"/>
                    <w:tr2bl w:val="nil"/>
                  </w:tcBorders>
                  <w:noWrap w:val="0"/>
                  <w:vAlign w:val="center"/>
                </w:tcPr>
                <w:p w14:paraId="5D0FC7C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ascii="Times New Roman" w:hAnsi="Times New Roman" w:eastAsia="宋体"/>
                      <w:bCs/>
                      <w:color w:val="auto"/>
                      <w:kern w:val="0"/>
                      <w:sz w:val="21"/>
                      <w:szCs w:val="21"/>
                      <w:highlight w:val="none"/>
                      <w:lang w:bidi="ar"/>
                    </w:rPr>
                  </w:pPr>
                </w:p>
              </w:tc>
              <w:tc>
                <w:tcPr>
                  <w:tcW w:w="821" w:type="dxa"/>
                  <w:tcBorders>
                    <w:tl2br w:val="nil"/>
                    <w:tr2bl w:val="nil"/>
                  </w:tcBorders>
                  <w:noWrap w:val="0"/>
                  <w:vAlign w:val="center"/>
                </w:tcPr>
                <w:p w14:paraId="323E3E7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达标</w:t>
                  </w:r>
                </w:p>
              </w:tc>
              <w:tc>
                <w:tcPr>
                  <w:tcW w:w="736" w:type="dxa"/>
                  <w:tcBorders>
                    <w:tl2br w:val="nil"/>
                    <w:tr2bl w:val="nil"/>
                  </w:tcBorders>
                  <w:noWrap w:val="0"/>
                  <w:vAlign w:val="center"/>
                </w:tcPr>
                <w:p w14:paraId="1C98BF9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工业噪声</w:t>
                  </w:r>
                </w:p>
              </w:tc>
            </w:tr>
            <w:tr w14:paraId="778E18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Merge w:val="continue"/>
                  <w:tcBorders>
                    <w:tl2br w:val="nil"/>
                    <w:tr2bl w:val="nil"/>
                  </w:tcBorders>
                  <w:noWrap w:val="0"/>
                  <w:vAlign w:val="center"/>
                </w:tcPr>
                <w:p w14:paraId="29E8AB8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1318" w:type="dxa"/>
                  <w:tcBorders>
                    <w:tl2br w:val="nil"/>
                    <w:tr2bl w:val="nil"/>
                  </w:tcBorders>
                  <w:noWrap w:val="0"/>
                  <w:vAlign w:val="center"/>
                </w:tcPr>
                <w:p w14:paraId="415B2C6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厂界</w:t>
                  </w:r>
                  <w:r>
                    <w:rPr>
                      <w:rFonts w:hint="eastAsia" w:ascii="Times New Roman" w:hAnsi="Times New Roman" w:eastAsia="宋体"/>
                      <w:bCs/>
                      <w:color w:val="auto"/>
                      <w:kern w:val="0"/>
                      <w:sz w:val="21"/>
                      <w:szCs w:val="21"/>
                      <w:highlight w:val="none"/>
                      <w:lang w:val="en-US" w:eastAsia="zh-CN" w:bidi="ar"/>
                    </w:rPr>
                    <w:t>西</w:t>
                  </w:r>
                  <w:r>
                    <w:rPr>
                      <w:rFonts w:hint="eastAsia" w:ascii="Times New Roman" w:hAnsi="Times New Roman" w:eastAsia="宋体"/>
                      <w:bCs/>
                      <w:color w:val="auto"/>
                      <w:kern w:val="0"/>
                      <w:sz w:val="21"/>
                      <w:szCs w:val="21"/>
                      <w:highlight w:val="none"/>
                      <w:lang w:bidi="ar"/>
                    </w:rPr>
                    <w:t>侧N3</w:t>
                  </w:r>
                </w:p>
              </w:tc>
              <w:tc>
                <w:tcPr>
                  <w:tcW w:w="678" w:type="dxa"/>
                  <w:tcBorders>
                    <w:tl2br w:val="nil"/>
                    <w:tr2bl w:val="nil"/>
                  </w:tcBorders>
                  <w:noWrap w:val="0"/>
                  <w:vAlign w:val="center"/>
                </w:tcPr>
                <w:p w14:paraId="5BECCDD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昼间</w:t>
                  </w:r>
                </w:p>
              </w:tc>
              <w:tc>
                <w:tcPr>
                  <w:tcW w:w="788" w:type="dxa"/>
                  <w:tcBorders>
                    <w:tl2br w:val="nil"/>
                    <w:tr2bl w:val="nil"/>
                  </w:tcBorders>
                  <w:noWrap w:val="0"/>
                  <w:vAlign w:val="center"/>
                </w:tcPr>
                <w:p w14:paraId="600CFA9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62.3</w:t>
                  </w:r>
                </w:p>
              </w:tc>
              <w:tc>
                <w:tcPr>
                  <w:tcW w:w="756" w:type="dxa"/>
                  <w:tcBorders>
                    <w:tl2br w:val="nil"/>
                    <w:tr2bl w:val="nil"/>
                  </w:tcBorders>
                  <w:noWrap w:val="0"/>
                  <w:vAlign w:val="center"/>
                </w:tcPr>
                <w:p w14:paraId="7A49452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40" w:type="dxa"/>
                  <w:tcBorders>
                    <w:tl2br w:val="nil"/>
                    <w:tr2bl w:val="nil"/>
                  </w:tcBorders>
                  <w:noWrap w:val="0"/>
                  <w:vAlign w:val="center"/>
                </w:tcPr>
                <w:p w14:paraId="3582677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25" w:type="dxa"/>
                  <w:tcBorders>
                    <w:tl2br w:val="nil"/>
                    <w:tr2bl w:val="nil"/>
                  </w:tcBorders>
                  <w:noWrap w:val="0"/>
                  <w:vAlign w:val="center"/>
                </w:tcPr>
                <w:p w14:paraId="5A0913B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62.3</w:t>
                  </w:r>
                </w:p>
              </w:tc>
              <w:tc>
                <w:tcPr>
                  <w:tcW w:w="1193" w:type="dxa"/>
                  <w:vMerge w:val="continue"/>
                  <w:tcBorders>
                    <w:tl2br w:val="nil"/>
                    <w:tr2bl w:val="nil"/>
                  </w:tcBorders>
                  <w:noWrap w:val="0"/>
                  <w:vAlign w:val="center"/>
                </w:tcPr>
                <w:p w14:paraId="5CF5D31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821" w:type="dxa"/>
                  <w:tcBorders>
                    <w:tl2br w:val="nil"/>
                    <w:tr2bl w:val="nil"/>
                  </w:tcBorders>
                  <w:noWrap w:val="0"/>
                  <w:vAlign w:val="center"/>
                </w:tcPr>
                <w:p w14:paraId="5697C65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达标</w:t>
                  </w:r>
                </w:p>
              </w:tc>
              <w:tc>
                <w:tcPr>
                  <w:tcW w:w="736" w:type="dxa"/>
                  <w:tcBorders>
                    <w:tl2br w:val="nil"/>
                    <w:tr2bl w:val="nil"/>
                  </w:tcBorders>
                  <w:noWrap w:val="0"/>
                  <w:vAlign w:val="center"/>
                </w:tcPr>
                <w:p w14:paraId="57D2C0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工业噪声</w:t>
                  </w:r>
                </w:p>
              </w:tc>
            </w:tr>
            <w:tr w14:paraId="218769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Merge w:val="continue"/>
                  <w:tcBorders>
                    <w:tl2br w:val="nil"/>
                    <w:tr2bl w:val="nil"/>
                  </w:tcBorders>
                  <w:noWrap w:val="0"/>
                  <w:vAlign w:val="center"/>
                </w:tcPr>
                <w:p w14:paraId="490E745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1318" w:type="dxa"/>
                  <w:tcBorders>
                    <w:tl2br w:val="nil"/>
                    <w:tr2bl w:val="nil"/>
                  </w:tcBorders>
                  <w:noWrap w:val="0"/>
                  <w:vAlign w:val="center"/>
                </w:tcPr>
                <w:p w14:paraId="75EAF74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厂界</w:t>
                  </w:r>
                  <w:r>
                    <w:rPr>
                      <w:rFonts w:hint="eastAsia" w:ascii="Times New Roman" w:hAnsi="Times New Roman" w:eastAsia="宋体"/>
                      <w:bCs/>
                      <w:color w:val="auto"/>
                      <w:kern w:val="0"/>
                      <w:sz w:val="21"/>
                      <w:szCs w:val="21"/>
                      <w:highlight w:val="none"/>
                      <w:lang w:val="en-US" w:eastAsia="zh-CN" w:bidi="ar"/>
                    </w:rPr>
                    <w:t>北</w:t>
                  </w:r>
                  <w:r>
                    <w:rPr>
                      <w:rFonts w:hint="eastAsia" w:ascii="Times New Roman" w:hAnsi="Times New Roman" w:eastAsia="宋体"/>
                      <w:bCs/>
                      <w:color w:val="auto"/>
                      <w:kern w:val="0"/>
                      <w:sz w:val="21"/>
                      <w:szCs w:val="21"/>
                      <w:highlight w:val="none"/>
                      <w:lang w:bidi="ar"/>
                    </w:rPr>
                    <w:t>侧N4</w:t>
                  </w:r>
                </w:p>
              </w:tc>
              <w:tc>
                <w:tcPr>
                  <w:tcW w:w="678" w:type="dxa"/>
                  <w:tcBorders>
                    <w:tl2br w:val="nil"/>
                    <w:tr2bl w:val="nil"/>
                  </w:tcBorders>
                  <w:noWrap w:val="0"/>
                  <w:vAlign w:val="center"/>
                </w:tcPr>
                <w:p w14:paraId="3D81708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昼间</w:t>
                  </w:r>
                </w:p>
              </w:tc>
              <w:tc>
                <w:tcPr>
                  <w:tcW w:w="788" w:type="dxa"/>
                  <w:tcBorders>
                    <w:tl2br w:val="nil"/>
                    <w:tr2bl w:val="nil"/>
                  </w:tcBorders>
                  <w:noWrap w:val="0"/>
                  <w:vAlign w:val="center"/>
                </w:tcPr>
                <w:p w14:paraId="3848D81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63.2</w:t>
                  </w:r>
                </w:p>
              </w:tc>
              <w:tc>
                <w:tcPr>
                  <w:tcW w:w="756" w:type="dxa"/>
                  <w:tcBorders>
                    <w:tl2br w:val="nil"/>
                    <w:tr2bl w:val="nil"/>
                  </w:tcBorders>
                  <w:noWrap w:val="0"/>
                  <w:vAlign w:val="center"/>
                </w:tcPr>
                <w:p w14:paraId="3CBA336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40" w:type="dxa"/>
                  <w:tcBorders>
                    <w:tl2br w:val="nil"/>
                    <w:tr2bl w:val="nil"/>
                  </w:tcBorders>
                  <w:noWrap w:val="0"/>
                  <w:vAlign w:val="center"/>
                </w:tcPr>
                <w:p w14:paraId="519D1BC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25" w:type="dxa"/>
                  <w:tcBorders>
                    <w:tl2br w:val="nil"/>
                    <w:tr2bl w:val="nil"/>
                  </w:tcBorders>
                  <w:noWrap w:val="0"/>
                  <w:vAlign w:val="center"/>
                </w:tcPr>
                <w:p w14:paraId="2E0F53E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63.2</w:t>
                  </w:r>
                </w:p>
              </w:tc>
              <w:tc>
                <w:tcPr>
                  <w:tcW w:w="1193" w:type="dxa"/>
                  <w:vMerge w:val="continue"/>
                  <w:tcBorders>
                    <w:tl2br w:val="nil"/>
                    <w:tr2bl w:val="nil"/>
                  </w:tcBorders>
                  <w:noWrap w:val="0"/>
                  <w:vAlign w:val="center"/>
                </w:tcPr>
                <w:p w14:paraId="712DFFA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821" w:type="dxa"/>
                  <w:tcBorders>
                    <w:tl2br w:val="nil"/>
                    <w:tr2bl w:val="nil"/>
                  </w:tcBorders>
                  <w:noWrap w:val="0"/>
                  <w:vAlign w:val="center"/>
                </w:tcPr>
                <w:p w14:paraId="423A0D4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达标</w:t>
                  </w:r>
                </w:p>
              </w:tc>
              <w:tc>
                <w:tcPr>
                  <w:tcW w:w="736" w:type="dxa"/>
                  <w:tcBorders>
                    <w:tl2br w:val="nil"/>
                    <w:tr2bl w:val="nil"/>
                  </w:tcBorders>
                  <w:noWrap w:val="0"/>
                  <w:vAlign w:val="center"/>
                </w:tcPr>
                <w:p w14:paraId="768E7D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工业噪声</w:t>
                  </w:r>
                </w:p>
              </w:tc>
            </w:tr>
            <w:tr w14:paraId="1C7F0B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Merge w:val="restart"/>
                  <w:tcBorders>
                    <w:tl2br w:val="nil"/>
                    <w:tr2bl w:val="nil"/>
                  </w:tcBorders>
                  <w:noWrap w:val="0"/>
                  <w:vAlign w:val="center"/>
                </w:tcPr>
                <w:p w14:paraId="203A325D">
                  <w:pPr>
                    <w:keepNext w:val="0"/>
                    <w:keepLines w:val="0"/>
                    <w:pageBreakBefore w:val="0"/>
                    <w:kinsoku/>
                    <w:wordWrap/>
                    <w:overflowPunct/>
                    <w:topLinePunct w:val="0"/>
                    <w:autoSpaceDE w:val="0"/>
                    <w:autoSpaceDN w:val="0"/>
                    <w:bidi w:val="0"/>
                    <w:adjustRightInd/>
                    <w:spacing w:line="240" w:lineRule="auto"/>
                    <w:ind w:right="0" w:rightChars="0" w:firstLine="0" w:firstLineChars="0"/>
                    <w:jc w:val="center"/>
                    <w:textAlignment w:val="auto"/>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cs="Times New Roman"/>
                      <w:color w:val="auto"/>
                      <w:kern w:val="2"/>
                      <w:sz w:val="21"/>
                      <w:szCs w:val="21"/>
                      <w:highlight w:val="none"/>
                      <w:u w:val="none"/>
                      <w:lang w:val="en-US" w:eastAsia="zh-CN" w:bidi="ar-SA"/>
                    </w:rPr>
                    <w:t>2021.08.21</w:t>
                  </w:r>
                </w:p>
              </w:tc>
              <w:tc>
                <w:tcPr>
                  <w:tcW w:w="1318" w:type="dxa"/>
                  <w:tcBorders>
                    <w:tl2br w:val="nil"/>
                    <w:tr2bl w:val="nil"/>
                  </w:tcBorders>
                  <w:noWrap w:val="0"/>
                  <w:vAlign w:val="center"/>
                </w:tcPr>
                <w:p w14:paraId="719C284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厂界</w:t>
                  </w:r>
                  <w:r>
                    <w:rPr>
                      <w:rFonts w:hint="eastAsia" w:ascii="Times New Roman" w:hAnsi="Times New Roman" w:eastAsia="宋体"/>
                      <w:bCs/>
                      <w:color w:val="auto"/>
                      <w:kern w:val="0"/>
                      <w:sz w:val="21"/>
                      <w:szCs w:val="21"/>
                      <w:highlight w:val="none"/>
                      <w:lang w:val="en-US" w:eastAsia="zh-CN" w:bidi="ar"/>
                    </w:rPr>
                    <w:t>东</w:t>
                  </w:r>
                  <w:r>
                    <w:rPr>
                      <w:rFonts w:hint="eastAsia" w:ascii="Times New Roman" w:hAnsi="Times New Roman" w:eastAsia="宋体"/>
                      <w:bCs/>
                      <w:color w:val="auto"/>
                      <w:kern w:val="0"/>
                      <w:sz w:val="21"/>
                      <w:szCs w:val="21"/>
                      <w:highlight w:val="none"/>
                      <w:lang w:bidi="ar"/>
                    </w:rPr>
                    <w:t>侧N1</w:t>
                  </w:r>
                </w:p>
              </w:tc>
              <w:tc>
                <w:tcPr>
                  <w:tcW w:w="678" w:type="dxa"/>
                  <w:tcBorders>
                    <w:tl2br w:val="nil"/>
                    <w:tr2bl w:val="nil"/>
                  </w:tcBorders>
                  <w:noWrap w:val="0"/>
                  <w:vAlign w:val="center"/>
                </w:tcPr>
                <w:p w14:paraId="249EF88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昼间</w:t>
                  </w:r>
                </w:p>
              </w:tc>
              <w:tc>
                <w:tcPr>
                  <w:tcW w:w="788" w:type="dxa"/>
                  <w:tcBorders>
                    <w:tl2br w:val="nil"/>
                    <w:tr2bl w:val="nil"/>
                  </w:tcBorders>
                  <w:noWrap w:val="0"/>
                  <w:vAlign w:val="center"/>
                </w:tcPr>
                <w:p w14:paraId="4F17770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58.4</w:t>
                  </w:r>
                </w:p>
              </w:tc>
              <w:tc>
                <w:tcPr>
                  <w:tcW w:w="756" w:type="dxa"/>
                  <w:tcBorders>
                    <w:tl2br w:val="nil"/>
                    <w:tr2bl w:val="nil"/>
                  </w:tcBorders>
                  <w:noWrap w:val="0"/>
                  <w:vAlign w:val="center"/>
                </w:tcPr>
                <w:p w14:paraId="717612C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40" w:type="dxa"/>
                  <w:tcBorders>
                    <w:tl2br w:val="nil"/>
                    <w:tr2bl w:val="nil"/>
                  </w:tcBorders>
                  <w:noWrap w:val="0"/>
                  <w:vAlign w:val="center"/>
                </w:tcPr>
                <w:p w14:paraId="7689BBB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25" w:type="dxa"/>
                  <w:tcBorders>
                    <w:tl2br w:val="nil"/>
                    <w:tr2bl w:val="nil"/>
                  </w:tcBorders>
                  <w:noWrap w:val="0"/>
                  <w:vAlign w:val="center"/>
                </w:tcPr>
                <w:p w14:paraId="3F10A5D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58.4</w:t>
                  </w:r>
                </w:p>
              </w:tc>
              <w:tc>
                <w:tcPr>
                  <w:tcW w:w="1193" w:type="dxa"/>
                  <w:vMerge w:val="continue"/>
                  <w:tcBorders>
                    <w:tl2br w:val="nil"/>
                    <w:tr2bl w:val="nil"/>
                  </w:tcBorders>
                  <w:noWrap w:val="0"/>
                  <w:vAlign w:val="center"/>
                </w:tcPr>
                <w:p w14:paraId="5E704A4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821" w:type="dxa"/>
                  <w:tcBorders>
                    <w:tl2br w:val="nil"/>
                    <w:tr2bl w:val="nil"/>
                  </w:tcBorders>
                  <w:noWrap w:val="0"/>
                  <w:vAlign w:val="center"/>
                </w:tcPr>
                <w:p w14:paraId="563E5AB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达标</w:t>
                  </w:r>
                </w:p>
              </w:tc>
              <w:tc>
                <w:tcPr>
                  <w:tcW w:w="736" w:type="dxa"/>
                  <w:tcBorders>
                    <w:tl2br w:val="nil"/>
                    <w:tr2bl w:val="nil"/>
                  </w:tcBorders>
                  <w:noWrap w:val="0"/>
                  <w:vAlign w:val="center"/>
                </w:tcPr>
                <w:p w14:paraId="0748D8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工业噪声</w:t>
                  </w:r>
                </w:p>
              </w:tc>
            </w:tr>
            <w:tr w14:paraId="667712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Merge w:val="continue"/>
                  <w:tcBorders>
                    <w:tl2br w:val="nil"/>
                    <w:tr2bl w:val="nil"/>
                  </w:tcBorders>
                  <w:noWrap w:val="0"/>
                  <w:vAlign w:val="center"/>
                </w:tcPr>
                <w:p w14:paraId="12962ED4">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1318" w:type="dxa"/>
                  <w:tcBorders>
                    <w:tl2br w:val="nil"/>
                    <w:tr2bl w:val="nil"/>
                  </w:tcBorders>
                  <w:noWrap w:val="0"/>
                  <w:vAlign w:val="center"/>
                </w:tcPr>
                <w:p w14:paraId="2AE5327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厂界</w:t>
                  </w:r>
                  <w:r>
                    <w:rPr>
                      <w:rFonts w:hint="eastAsia" w:ascii="Times New Roman" w:hAnsi="Times New Roman" w:eastAsia="宋体"/>
                      <w:bCs/>
                      <w:color w:val="auto"/>
                      <w:kern w:val="0"/>
                      <w:sz w:val="21"/>
                      <w:szCs w:val="21"/>
                      <w:highlight w:val="none"/>
                      <w:lang w:val="en-US" w:eastAsia="zh-CN" w:bidi="ar"/>
                    </w:rPr>
                    <w:t>南</w:t>
                  </w:r>
                  <w:r>
                    <w:rPr>
                      <w:rFonts w:hint="eastAsia" w:ascii="Times New Roman" w:hAnsi="Times New Roman" w:eastAsia="宋体"/>
                      <w:bCs/>
                      <w:color w:val="auto"/>
                      <w:kern w:val="0"/>
                      <w:sz w:val="21"/>
                      <w:szCs w:val="21"/>
                      <w:highlight w:val="none"/>
                      <w:lang w:bidi="ar"/>
                    </w:rPr>
                    <w:t>侧N2</w:t>
                  </w:r>
                </w:p>
              </w:tc>
              <w:tc>
                <w:tcPr>
                  <w:tcW w:w="678" w:type="dxa"/>
                  <w:tcBorders>
                    <w:tl2br w:val="nil"/>
                    <w:tr2bl w:val="nil"/>
                  </w:tcBorders>
                  <w:noWrap w:val="0"/>
                  <w:vAlign w:val="center"/>
                </w:tcPr>
                <w:p w14:paraId="2997C9B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昼间</w:t>
                  </w:r>
                </w:p>
              </w:tc>
              <w:tc>
                <w:tcPr>
                  <w:tcW w:w="788" w:type="dxa"/>
                  <w:tcBorders>
                    <w:tl2br w:val="nil"/>
                    <w:tr2bl w:val="nil"/>
                  </w:tcBorders>
                  <w:noWrap w:val="0"/>
                  <w:vAlign w:val="center"/>
                </w:tcPr>
                <w:p w14:paraId="310FB57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57.3</w:t>
                  </w:r>
                </w:p>
              </w:tc>
              <w:tc>
                <w:tcPr>
                  <w:tcW w:w="756" w:type="dxa"/>
                  <w:tcBorders>
                    <w:tl2br w:val="nil"/>
                    <w:tr2bl w:val="nil"/>
                  </w:tcBorders>
                  <w:noWrap w:val="0"/>
                  <w:vAlign w:val="center"/>
                </w:tcPr>
                <w:p w14:paraId="7F80D72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40" w:type="dxa"/>
                  <w:tcBorders>
                    <w:tl2br w:val="nil"/>
                    <w:tr2bl w:val="nil"/>
                  </w:tcBorders>
                  <w:noWrap w:val="0"/>
                  <w:vAlign w:val="center"/>
                </w:tcPr>
                <w:p w14:paraId="1866D1D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25" w:type="dxa"/>
                  <w:tcBorders>
                    <w:tl2br w:val="nil"/>
                    <w:tr2bl w:val="nil"/>
                  </w:tcBorders>
                  <w:noWrap w:val="0"/>
                  <w:vAlign w:val="center"/>
                </w:tcPr>
                <w:p w14:paraId="02263D3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57.3</w:t>
                  </w:r>
                </w:p>
              </w:tc>
              <w:tc>
                <w:tcPr>
                  <w:tcW w:w="1193" w:type="dxa"/>
                  <w:vMerge w:val="continue"/>
                  <w:tcBorders>
                    <w:tl2br w:val="nil"/>
                    <w:tr2bl w:val="nil"/>
                  </w:tcBorders>
                  <w:noWrap w:val="0"/>
                  <w:vAlign w:val="center"/>
                </w:tcPr>
                <w:p w14:paraId="3B70FB24">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821" w:type="dxa"/>
                  <w:tcBorders>
                    <w:tl2br w:val="nil"/>
                    <w:tr2bl w:val="nil"/>
                  </w:tcBorders>
                  <w:noWrap w:val="0"/>
                  <w:vAlign w:val="center"/>
                </w:tcPr>
                <w:p w14:paraId="15F9A70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达标</w:t>
                  </w:r>
                </w:p>
              </w:tc>
              <w:tc>
                <w:tcPr>
                  <w:tcW w:w="736" w:type="dxa"/>
                  <w:tcBorders>
                    <w:tl2br w:val="nil"/>
                    <w:tr2bl w:val="nil"/>
                  </w:tcBorders>
                  <w:noWrap w:val="0"/>
                  <w:vAlign w:val="center"/>
                </w:tcPr>
                <w:p w14:paraId="3F2FAB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工业噪声</w:t>
                  </w:r>
                </w:p>
              </w:tc>
            </w:tr>
            <w:tr w14:paraId="289D5F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Merge w:val="continue"/>
                  <w:tcBorders>
                    <w:tl2br w:val="nil"/>
                    <w:tr2bl w:val="nil"/>
                  </w:tcBorders>
                  <w:noWrap w:val="0"/>
                  <w:vAlign w:val="center"/>
                </w:tcPr>
                <w:p w14:paraId="6EC4E4B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1318" w:type="dxa"/>
                  <w:tcBorders>
                    <w:tl2br w:val="nil"/>
                    <w:tr2bl w:val="nil"/>
                  </w:tcBorders>
                  <w:noWrap w:val="0"/>
                  <w:vAlign w:val="center"/>
                </w:tcPr>
                <w:p w14:paraId="082AE69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厂界</w:t>
                  </w:r>
                  <w:r>
                    <w:rPr>
                      <w:rFonts w:hint="eastAsia" w:ascii="Times New Roman" w:hAnsi="Times New Roman" w:eastAsia="宋体"/>
                      <w:bCs/>
                      <w:color w:val="auto"/>
                      <w:kern w:val="0"/>
                      <w:sz w:val="21"/>
                      <w:szCs w:val="21"/>
                      <w:highlight w:val="none"/>
                      <w:lang w:val="en-US" w:eastAsia="zh-CN" w:bidi="ar"/>
                    </w:rPr>
                    <w:t>西</w:t>
                  </w:r>
                  <w:r>
                    <w:rPr>
                      <w:rFonts w:hint="eastAsia" w:ascii="Times New Roman" w:hAnsi="Times New Roman" w:eastAsia="宋体"/>
                      <w:bCs/>
                      <w:color w:val="auto"/>
                      <w:kern w:val="0"/>
                      <w:sz w:val="21"/>
                      <w:szCs w:val="21"/>
                      <w:highlight w:val="none"/>
                      <w:lang w:bidi="ar"/>
                    </w:rPr>
                    <w:t>侧N3</w:t>
                  </w:r>
                </w:p>
              </w:tc>
              <w:tc>
                <w:tcPr>
                  <w:tcW w:w="678" w:type="dxa"/>
                  <w:tcBorders>
                    <w:tl2br w:val="nil"/>
                    <w:tr2bl w:val="nil"/>
                  </w:tcBorders>
                  <w:noWrap w:val="0"/>
                  <w:vAlign w:val="center"/>
                </w:tcPr>
                <w:p w14:paraId="3D1944F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昼间</w:t>
                  </w:r>
                </w:p>
              </w:tc>
              <w:tc>
                <w:tcPr>
                  <w:tcW w:w="788" w:type="dxa"/>
                  <w:tcBorders>
                    <w:tl2br w:val="nil"/>
                    <w:tr2bl w:val="nil"/>
                  </w:tcBorders>
                  <w:noWrap w:val="0"/>
                  <w:vAlign w:val="center"/>
                </w:tcPr>
                <w:p w14:paraId="756270C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61.5</w:t>
                  </w:r>
                </w:p>
              </w:tc>
              <w:tc>
                <w:tcPr>
                  <w:tcW w:w="756" w:type="dxa"/>
                  <w:tcBorders>
                    <w:tl2br w:val="nil"/>
                    <w:tr2bl w:val="nil"/>
                  </w:tcBorders>
                  <w:noWrap w:val="0"/>
                  <w:vAlign w:val="center"/>
                </w:tcPr>
                <w:p w14:paraId="16769A6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40" w:type="dxa"/>
                  <w:tcBorders>
                    <w:tl2br w:val="nil"/>
                    <w:tr2bl w:val="nil"/>
                  </w:tcBorders>
                  <w:noWrap w:val="0"/>
                  <w:vAlign w:val="center"/>
                </w:tcPr>
                <w:p w14:paraId="062C8EB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25" w:type="dxa"/>
                  <w:tcBorders>
                    <w:tl2br w:val="nil"/>
                    <w:tr2bl w:val="nil"/>
                  </w:tcBorders>
                  <w:noWrap w:val="0"/>
                  <w:vAlign w:val="center"/>
                </w:tcPr>
                <w:p w14:paraId="46FE3FC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61.5</w:t>
                  </w:r>
                </w:p>
              </w:tc>
              <w:tc>
                <w:tcPr>
                  <w:tcW w:w="1193" w:type="dxa"/>
                  <w:vMerge w:val="continue"/>
                  <w:tcBorders>
                    <w:tl2br w:val="nil"/>
                    <w:tr2bl w:val="nil"/>
                  </w:tcBorders>
                  <w:noWrap w:val="0"/>
                  <w:vAlign w:val="center"/>
                </w:tcPr>
                <w:p w14:paraId="074EFE7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821" w:type="dxa"/>
                  <w:tcBorders>
                    <w:tl2br w:val="nil"/>
                    <w:tr2bl w:val="nil"/>
                  </w:tcBorders>
                  <w:noWrap w:val="0"/>
                  <w:vAlign w:val="center"/>
                </w:tcPr>
                <w:p w14:paraId="1FB0AEB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达标</w:t>
                  </w:r>
                </w:p>
              </w:tc>
              <w:tc>
                <w:tcPr>
                  <w:tcW w:w="736" w:type="dxa"/>
                  <w:tcBorders>
                    <w:tl2br w:val="nil"/>
                    <w:tr2bl w:val="nil"/>
                  </w:tcBorders>
                  <w:noWrap w:val="0"/>
                  <w:vAlign w:val="center"/>
                </w:tcPr>
                <w:p w14:paraId="03ED33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工业噪声</w:t>
                  </w:r>
                </w:p>
              </w:tc>
            </w:tr>
            <w:tr w14:paraId="4DB876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Merge w:val="continue"/>
                  <w:tcBorders>
                    <w:tl2br w:val="nil"/>
                    <w:tr2bl w:val="nil"/>
                  </w:tcBorders>
                  <w:noWrap w:val="0"/>
                  <w:vAlign w:val="center"/>
                </w:tcPr>
                <w:p w14:paraId="6E913A1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1318" w:type="dxa"/>
                  <w:tcBorders>
                    <w:tl2br w:val="nil"/>
                    <w:tr2bl w:val="nil"/>
                  </w:tcBorders>
                  <w:noWrap w:val="0"/>
                  <w:vAlign w:val="center"/>
                </w:tcPr>
                <w:p w14:paraId="7FD83DF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厂界</w:t>
                  </w:r>
                  <w:r>
                    <w:rPr>
                      <w:rFonts w:hint="eastAsia" w:ascii="Times New Roman" w:hAnsi="Times New Roman" w:eastAsia="宋体"/>
                      <w:bCs/>
                      <w:color w:val="auto"/>
                      <w:kern w:val="0"/>
                      <w:sz w:val="21"/>
                      <w:szCs w:val="21"/>
                      <w:highlight w:val="none"/>
                      <w:lang w:val="en-US" w:eastAsia="zh-CN" w:bidi="ar"/>
                    </w:rPr>
                    <w:t>北</w:t>
                  </w:r>
                  <w:r>
                    <w:rPr>
                      <w:rFonts w:hint="eastAsia" w:ascii="Times New Roman" w:hAnsi="Times New Roman" w:eastAsia="宋体"/>
                      <w:bCs/>
                      <w:color w:val="auto"/>
                      <w:kern w:val="0"/>
                      <w:sz w:val="21"/>
                      <w:szCs w:val="21"/>
                      <w:highlight w:val="none"/>
                      <w:lang w:bidi="ar"/>
                    </w:rPr>
                    <w:t>侧N4</w:t>
                  </w:r>
                </w:p>
              </w:tc>
              <w:tc>
                <w:tcPr>
                  <w:tcW w:w="678" w:type="dxa"/>
                  <w:tcBorders>
                    <w:tl2br w:val="nil"/>
                    <w:tr2bl w:val="nil"/>
                  </w:tcBorders>
                  <w:noWrap w:val="0"/>
                  <w:vAlign w:val="center"/>
                </w:tcPr>
                <w:p w14:paraId="4E02AF3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昼间</w:t>
                  </w:r>
                </w:p>
              </w:tc>
              <w:tc>
                <w:tcPr>
                  <w:tcW w:w="788" w:type="dxa"/>
                  <w:tcBorders>
                    <w:tl2br w:val="nil"/>
                    <w:tr2bl w:val="nil"/>
                  </w:tcBorders>
                  <w:noWrap w:val="0"/>
                  <w:vAlign w:val="center"/>
                </w:tcPr>
                <w:p w14:paraId="7B395C7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61.8</w:t>
                  </w:r>
                </w:p>
              </w:tc>
              <w:tc>
                <w:tcPr>
                  <w:tcW w:w="756" w:type="dxa"/>
                  <w:tcBorders>
                    <w:tl2br w:val="nil"/>
                    <w:tr2bl w:val="nil"/>
                  </w:tcBorders>
                  <w:noWrap w:val="0"/>
                  <w:vAlign w:val="center"/>
                </w:tcPr>
                <w:p w14:paraId="0216243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40" w:type="dxa"/>
                  <w:tcBorders>
                    <w:tl2br w:val="nil"/>
                    <w:tr2bl w:val="nil"/>
                  </w:tcBorders>
                  <w:noWrap w:val="0"/>
                  <w:vAlign w:val="center"/>
                </w:tcPr>
                <w:p w14:paraId="4FBFC2F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w:t>
                  </w:r>
                </w:p>
              </w:tc>
              <w:tc>
                <w:tcPr>
                  <w:tcW w:w="725" w:type="dxa"/>
                  <w:tcBorders>
                    <w:tl2br w:val="nil"/>
                    <w:tr2bl w:val="nil"/>
                  </w:tcBorders>
                  <w:noWrap w:val="0"/>
                  <w:vAlign w:val="center"/>
                </w:tcPr>
                <w:p w14:paraId="48602E4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bCs/>
                      <w:color w:val="auto"/>
                      <w:kern w:val="0"/>
                      <w:sz w:val="21"/>
                      <w:szCs w:val="21"/>
                      <w:highlight w:val="none"/>
                      <w:lang w:val="en-US" w:eastAsia="zh-CN" w:bidi="ar"/>
                    </w:rPr>
                  </w:pPr>
                  <w:r>
                    <w:rPr>
                      <w:rFonts w:hint="eastAsia" w:ascii="Times New Roman" w:hAnsi="Times New Roman" w:eastAsia="宋体"/>
                      <w:bCs/>
                      <w:color w:val="auto"/>
                      <w:kern w:val="0"/>
                      <w:sz w:val="21"/>
                      <w:szCs w:val="21"/>
                      <w:highlight w:val="none"/>
                      <w:lang w:val="en-US" w:eastAsia="zh-CN" w:bidi="ar"/>
                    </w:rPr>
                    <w:t>61.8</w:t>
                  </w:r>
                </w:p>
              </w:tc>
              <w:tc>
                <w:tcPr>
                  <w:tcW w:w="1193" w:type="dxa"/>
                  <w:vMerge w:val="continue"/>
                  <w:tcBorders>
                    <w:tl2br w:val="nil"/>
                    <w:tr2bl w:val="nil"/>
                  </w:tcBorders>
                  <w:noWrap w:val="0"/>
                  <w:vAlign w:val="center"/>
                </w:tcPr>
                <w:p w14:paraId="79F0FDE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p>
              </w:tc>
              <w:tc>
                <w:tcPr>
                  <w:tcW w:w="821" w:type="dxa"/>
                  <w:tcBorders>
                    <w:tl2br w:val="nil"/>
                    <w:tr2bl w:val="nil"/>
                  </w:tcBorders>
                  <w:noWrap w:val="0"/>
                  <w:vAlign w:val="center"/>
                </w:tcPr>
                <w:p w14:paraId="00031F2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达标</w:t>
                  </w:r>
                </w:p>
              </w:tc>
              <w:tc>
                <w:tcPr>
                  <w:tcW w:w="736" w:type="dxa"/>
                  <w:tcBorders>
                    <w:tl2br w:val="nil"/>
                    <w:tr2bl w:val="nil"/>
                  </w:tcBorders>
                  <w:noWrap w:val="0"/>
                  <w:vAlign w:val="center"/>
                </w:tcPr>
                <w:p w14:paraId="698A28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bCs/>
                      <w:color w:val="auto"/>
                      <w:kern w:val="0"/>
                      <w:sz w:val="21"/>
                      <w:szCs w:val="21"/>
                      <w:highlight w:val="none"/>
                      <w:lang w:bidi="ar"/>
                    </w:rPr>
                  </w:pPr>
                  <w:r>
                    <w:rPr>
                      <w:rFonts w:hint="eastAsia" w:ascii="Times New Roman" w:hAnsi="Times New Roman" w:eastAsia="宋体"/>
                      <w:bCs/>
                      <w:color w:val="auto"/>
                      <w:kern w:val="0"/>
                      <w:sz w:val="21"/>
                      <w:szCs w:val="21"/>
                      <w:highlight w:val="none"/>
                      <w:lang w:bidi="ar"/>
                    </w:rPr>
                    <w:t>工业噪声</w:t>
                  </w:r>
                </w:p>
              </w:tc>
            </w:tr>
            <w:tr w14:paraId="6A2751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4" w:type="dxa"/>
                  <w:gridSpan w:val="10"/>
                  <w:tcBorders>
                    <w:tl2br w:val="nil"/>
                    <w:tr2bl w:val="nil"/>
                  </w:tcBorders>
                  <w:noWrap w:val="0"/>
                  <w:vAlign w:val="center"/>
                </w:tcPr>
                <w:p w14:paraId="3E3B8F51">
                  <w:pPr>
                    <w:keepNext w:val="0"/>
                    <w:keepLines w:val="0"/>
                    <w:pageBreakBefore w:val="0"/>
                    <w:kinsoku/>
                    <w:wordWrap/>
                    <w:overflowPunct/>
                    <w:topLinePunct w:val="0"/>
                    <w:autoSpaceDE/>
                    <w:autoSpaceDN/>
                    <w:bidi w:val="0"/>
                    <w:adjustRightInd w:val="0"/>
                    <w:snapToGrid/>
                    <w:spacing w:line="240" w:lineRule="auto"/>
                    <w:ind w:firstLine="0" w:firstLineChars="0"/>
                    <w:jc w:val="left"/>
                    <w:rPr>
                      <w:rFonts w:hint="eastAsia" w:ascii="Times New Roman" w:hAnsi="Times New Roman" w:eastAsia="宋体" w:cs="宋体"/>
                      <w:bCs/>
                      <w:color w:val="auto"/>
                      <w:sz w:val="21"/>
                      <w:szCs w:val="21"/>
                      <w:highlight w:val="none"/>
                    </w:rPr>
                  </w:pPr>
                  <w:r>
                    <w:rPr>
                      <w:rFonts w:hint="eastAsia" w:ascii="Times New Roman" w:hAnsi="Times New Roman" w:eastAsia="宋体" w:cs="宋体"/>
                      <w:bCs/>
                      <w:color w:val="auto"/>
                      <w:sz w:val="21"/>
                      <w:szCs w:val="21"/>
                      <w:highlight w:val="none"/>
                    </w:rPr>
                    <w:t>注：企业夜间未生产，故未对其夜间噪声进行监测。</w:t>
                  </w:r>
                </w:p>
              </w:tc>
            </w:tr>
          </w:tbl>
          <w:p w14:paraId="7768DDF3">
            <w:pPr>
              <w:pStyle w:val="28"/>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480"/>
              <w:textAlignment w:val="auto"/>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由噪声</w:t>
            </w:r>
            <w:r>
              <w:rPr>
                <w:rFonts w:ascii="Times New Roman" w:hAnsi="Times New Roman" w:eastAsia="宋体"/>
                <w:color w:val="auto"/>
                <w:sz w:val="24"/>
                <w:szCs w:val="24"/>
                <w:highlight w:val="none"/>
              </w:rPr>
              <w:t>监测结果可知</w:t>
            </w:r>
            <w:r>
              <w:rPr>
                <w:rFonts w:hint="eastAsia" w:ascii="Times New Roman" w:hAnsi="Times New Roman" w:eastAsia="宋体"/>
                <w:color w:val="auto"/>
                <w:sz w:val="24"/>
                <w:szCs w:val="24"/>
                <w:highlight w:val="none"/>
              </w:rPr>
              <w:t>，</w:t>
            </w:r>
            <w:r>
              <w:rPr>
                <w:rFonts w:hint="eastAsia" w:ascii="Times New Roman" w:hAnsi="Times New Roman" w:eastAsia="宋体" w:cs="Times New Roman"/>
                <w:color w:val="auto"/>
                <w:sz w:val="24"/>
                <w:szCs w:val="24"/>
                <w:highlight w:val="none"/>
              </w:rPr>
              <w:t>项目昼间</w:t>
            </w:r>
            <w:r>
              <w:rPr>
                <w:rFonts w:hint="eastAsia" w:ascii="Times New Roman" w:hAnsi="Times New Roman" w:eastAsia="宋体" w:cs="Times New Roman"/>
                <w:color w:val="auto"/>
                <w:sz w:val="24"/>
                <w:szCs w:val="24"/>
                <w:highlight w:val="none"/>
                <w:lang w:eastAsia="zh-CN"/>
              </w:rPr>
              <w:t>厂界噪声测量值为</w:t>
            </w:r>
            <w:r>
              <w:rPr>
                <w:rFonts w:hint="eastAsia" w:ascii="Times New Roman" w:hAnsi="Times New Roman" w:eastAsia="宋体" w:cs="Times New Roman"/>
                <w:color w:val="auto"/>
                <w:sz w:val="24"/>
                <w:szCs w:val="24"/>
                <w:highlight w:val="none"/>
                <w:lang w:val="en-US" w:eastAsia="zh-CN"/>
              </w:rPr>
              <w:t>57.3~63.2</w:t>
            </w:r>
            <w:r>
              <w:rPr>
                <w:rFonts w:hint="eastAsia" w:ascii="Times New Roman" w:hAnsi="Times New Roman" w:eastAsia="宋体" w:cs="Times New Roman"/>
                <w:color w:val="auto"/>
                <w:sz w:val="24"/>
                <w:szCs w:val="24"/>
                <w:highlight w:val="none"/>
                <w:lang w:eastAsia="zh-CN"/>
              </w:rPr>
              <w:t>dB（A），</w:t>
            </w:r>
            <w:r>
              <w:rPr>
                <w:rFonts w:hint="eastAsia" w:ascii="Times New Roman" w:hAnsi="Times New Roman" w:eastAsia="宋体"/>
                <w:color w:val="auto"/>
                <w:sz w:val="24"/>
                <w:szCs w:val="24"/>
                <w:highlight w:val="none"/>
              </w:rPr>
              <w:t>符合《工业企业厂界环境噪声排放标准》（GB12348-2008）</w:t>
            </w:r>
            <w:r>
              <w:rPr>
                <w:rFonts w:hint="eastAsia" w:ascii="Times New Roman" w:hAnsi="Times New Roman" w:eastAsia="宋体"/>
                <w:color w:val="auto"/>
                <w:sz w:val="24"/>
                <w:szCs w:val="24"/>
                <w:highlight w:val="none"/>
                <w:lang w:val="en-US" w:eastAsia="zh-CN"/>
              </w:rPr>
              <w:t>3</w:t>
            </w:r>
            <w:r>
              <w:rPr>
                <w:rFonts w:hint="eastAsia" w:ascii="Times New Roman" w:hAnsi="Times New Roman" w:eastAsia="宋体"/>
                <w:color w:val="auto"/>
                <w:sz w:val="24"/>
                <w:szCs w:val="24"/>
                <w:highlight w:val="none"/>
              </w:rPr>
              <w:t>类标准限值。项目夜间不生产，不会对周围环境产生影响</w:t>
            </w:r>
          </w:p>
          <w:p w14:paraId="7B37506B">
            <w:pPr>
              <w:pStyle w:val="2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b/>
                <w:bCs/>
                <w:color w:val="auto"/>
                <w:spacing w:val="0"/>
                <w:sz w:val="24"/>
                <w:highlight w:val="none"/>
              </w:rPr>
            </w:pPr>
            <w:r>
              <w:rPr>
                <w:rFonts w:hint="default" w:ascii="Times New Roman" w:hAnsi="Times New Roman" w:eastAsia="宋体" w:cs="Times New Roman"/>
                <w:b/>
                <w:bCs/>
                <w:color w:val="auto"/>
                <w:spacing w:val="0"/>
                <w:sz w:val="24"/>
                <w:highlight w:val="none"/>
              </w:rPr>
              <w:t>（4）固体废物</w:t>
            </w:r>
          </w:p>
          <w:p w14:paraId="14D1799A">
            <w:pPr>
              <w:pageBreakBefore w:val="0"/>
              <w:kinsoku/>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项目现有工程固废主要为一般工业固废</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废包装</w:t>
            </w:r>
            <w:r>
              <w:rPr>
                <w:rFonts w:hint="eastAsia" w:cs="Times New Roman"/>
                <w:color w:val="auto"/>
                <w:sz w:val="24"/>
                <w:highlight w:val="none"/>
                <w:lang w:val="en-US" w:eastAsia="zh-CN"/>
              </w:rPr>
              <w:t>材料</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废化学品包装物、废纱布</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、危险废物</w:t>
            </w:r>
            <w:r>
              <w:rPr>
                <w:rFonts w:hint="eastAsia" w:ascii="Times New Roman" w:hAnsi="Times New Roman" w:eastAsia="宋体" w:cs="Times New Roman"/>
                <w:color w:val="auto"/>
                <w:sz w:val="24"/>
                <w:highlight w:val="none"/>
                <w:lang w:eastAsia="zh-CN"/>
              </w:rPr>
              <w:t>（</w:t>
            </w:r>
            <w:r>
              <w:rPr>
                <w:rFonts w:hint="eastAsia" w:cs="Times New Roman"/>
                <w:color w:val="auto"/>
                <w:spacing w:val="0"/>
                <w:kern w:val="0"/>
                <w:sz w:val="24"/>
                <w:szCs w:val="24"/>
                <w:highlight w:val="none"/>
                <w:lang w:val="en-US" w:eastAsia="zh-CN" w:bidi="ar-SA"/>
              </w:rPr>
              <w:t>废化学品包装物</w:t>
            </w:r>
            <w:r>
              <w:rPr>
                <w:rFonts w:hint="eastAsia" w:ascii="Times New Roman" w:hAnsi="Times New Roman" w:eastAsia="宋体" w:cs="Times New Roman"/>
                <w:color w:val="auto"/>
                <w:spacing w:val="0"/>
                <w:kern w:val="0"/>
                <w:sz w:val="24"/>
                <w:szCs w:val="24"/>
                <w:highlight w:val="none"/>
                <w:lang w:val="en-US" w:eastAsia="zh-CN" w:bidi="ar-SA"/>
              </w:rPr>
              <w:t>、漆渣</w:t>
            </w:r>
            <w:r>
              <w:rPr>
                <w:rFonts w:hint="default" w:ascii="Times New Roman" w:hAnsi="Times New Roman" w:eastAsia="宋体" w:cs="Times New Roman"/>
                <w:color w:val="auto"/>
                <w:spacing w:val="0"/>
                <w:kern w:val="0"/>
                <w:sz w:val="24"/>
                <w:szCs w:val="24"/>
                <w:highlight w:val="none"/>
                <w:lang w:val="en-US" w:eastAsia="zh-CN" w:bidi="ar-SA"/>
              </w:rPr>
              <w:t>、</w:t>
            </w:r>
            <w:r>
              <w:rPr>
                <w:rFonts w:hint="eastAsia" w:cs="Times New Roman"/>
                <w:color w:val="auto"/>
                <w:sz w:val="24"/>
                <w:highlight w:val="none"/>
                <w:lang w:val="en-US" w:eastAsia="zh-CN"/>
              </w:rPr>
              <w:t>水帘气旋废液</w:t>
            </w:r>
            <w:r>
              <w:rPr>
                <w:rFonts w:hint="eastAsia" w:cs="Times New Roman"/>
                <w:color w:val="auto"/>
                <w:spacing w:val="0"/>
                <w:kern w:val="0"/>
                <w:sz w:val="24"/>
                <w:szCs w:val="24"/>
                <w:highlight w:val="none"/>
                <w:lang w:val="en-US" w:eastAsia="zh-CN" w:bidi="ar-SA"/>
              </w:rPr>
              <w:t>、</w:t>
            </w:r>
            <w:r>
              <w:rPr>
                <w:rFonts w:hint="eastAsia" w:ascii="Times New Roman" w:hAnsi="Times New Roman" w:eastAsia="宋体" w:cs="Times New Roman"/>
                <w:color w:val="auto"/>
                <w:spacing w:val="0"/>
                <w:kern w:val="0"/>
                <w:sz w:val="24"/>
                <w:szCs w:val="24"/>
                <w:highlight w:val="none"/>
                <w:lang w:val="en-US" w:eastAsia="zh-CN" w:bidi="ar-SA"/>
              </w:rPr>
              <w:t>喷枪清洗废液、沉淀污泥、废活性炭、废灯管</w:t>
            </w:r>
            <w:r>
              <w:rPr>
                <w:rFonts w:hint="eastAsia" w:cs="Times New Roman"/>
                <w:color w:val="auto"/>
                <w:spacing w:val="0"/>
                <w:kern w:val="0"/>
                <w:sz w:val="24"/>
                <w:szCs w:val="24"/>
                <w:highlight w:val="none"/>
                <w:lang w:val="en-US" w:eastAsia="zh-CN" w:bidi="ar-SA"/>
              </w:rPr>
              <w:t>、废润滑油、润滑油空桶、</w:t>
            </w:r>
            <w:r>
              <w:rPr>
                <w:rFonts w:hint="eastAsia" w:cs="Times New Roman"/>
                <w:color w:val="auto"/>
                <w:sz w:val="24"/>
                <w:highlight w:val="none"/>
                <w:lang w:val="en-US" w:eastAsia="zh-CN"/>
              </w:rPr>
              <w:t>废含油抹布及手套</w:t>
            </w: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生活垃圾。</w:t>
            </w:r>
          </w:p>
          <w:p w14:paraId="729D9F58">
            <w:pPr>
              <w:pageBreakBefore w:val="0"/>
              <w:kinsoku/>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宋体" w:hAnsi="宋体" w:eastAsia="宋体" w:cs="宋体"/>
                <w:color w:val="auto"/>
                <w:sz w:val="24"/>
                <w:highlight w:val="none"/>
              </w:rPr>
              <w:t>①</w:t>
            </w:r>
            <w:r>
              <w:rPr>
                <w:rFonts w:hint="eastAsia" w:ascii="Times New Roman" w:hAnsi="Times New Roman" w:eastAsia="宋体" w:cs="Times New Roman"/>
                <w:color w:val="auto"/>
                <w:sz w:val="24"/>
                <w:highlight w:val="none"/>
              </w:rPr>
              <w:t>一般工业固废</w:t>
            </w:r>
          </w:p>
          <w:p w14:paraId="481C4767">
            <w:pPr>
              <w:pageBreakBefore w:val="0"/>
              <w:kinsoku/>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根据业主提供材料</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可知</w:t>
            </w:r>
            <w:r>
              <w:rPr>
                <w:rFonts w:hint="eastAsia" w:ascii="Times New Roman" w:hAnsi="Times New Roman" w:eastAsia="宋体" w:cs="Times New Roman"/>
                <w:color w:val="auto"/>
                <w:sz w:val="24"/>
                <w:highlight w:val="none"/>
                <w:lang w:val="en-US" w:eastAsia="zh-CN"/>
              </w:rPr>
              <w:t>废包装</w:t>
            </w:r>
            <w:r>
              <w:rPr>
                <w:rFonts w:hint="eastAsia" w:cs="Times New Roman"/>
                <w:color w:val="auto"/>
                <w:sz w:val="24"/>
                <w:highlight w:val="none"/>
                <w:lang w:val="en-US" w:eastAsia="zh-CN"/>
              </w:rPr>
              <w:t>材料</w:t>
            </w:r>
            <w:r>
              <w:rPr>
                <w:rFonts w:hint="eastAsia" w:ascii="Times New Roman" w:hAnsi="Times New Roman" w:eastAsia="宋体" w:cs="Times New Roman"/>
                <w:color w:val="auto"/>
                <w:sz w:val="24"/>
                <w:highlight w:val="none"/>
              </w:rPr>
              <w:t>产生量为</w:t>
            </w:r>
            <w:r>
              <w:rPr>
                <w:rFonts w:hint="eastAsia" w:ascii="Times New Roman" w:hAnsi="Times New Roman" w:eastAsia="宋体" w:cs="Times New Roman"/>
                <w:color w:val="auto"/>
                <w:sz w:val="24"/>
                <w:highlight w:val="none"/>
                <w:lang w:val="en-US" w:eastAsia="zh-CN"/>
              </w:rPr>
              <w:t>0.8</w:t>
            </w:r>
            <w:r>
              <w:rPr>
                <w:rFonts w:hint="eastAsia" w:ascii="Times New Roman" w:hAnsi="Times New Roman" w:eastAsia="宋体" w:cs="Times New Roman"/>
                <w:color w:val="auto"/>
                <w:sz w:val="24"/>
                <w:highlight w:val="none"/>
              </w:rPr>
              <w:t>t/a</w:t>
            </w:r>
            <w:r>
              <w:rPr>
                <w:rFonts w:hint="eastAsia" w:ascii="Times New Roman" w:hAnsi="Times New Roman" w:eastAsia="宋体" w:cs="Times New Roman"/>
                <w:color w:val="auto"/>
                <w:sz w:val="24"/>
                <w:highlight w:val="none"/>
                <w:lang w:val="en-US" w:eastAsia="zh-CN"/>
              </w:rPr>
              <w:t>，集中</w:t>
            </w:r>
            <w:r>
              <w:rPr>
                <w:rFonts w:hint="eastAsia" w:ascii="Times New Roman" w:hAnsi="Times New Roman" w:eastAsia="宋体" w:cs="Times New Roman"/>
                <w:color w:val="auto"/>
                <w:sz w:val="24"/>
                <w:highlight w:val="none"/>
              </w:rPr>
              <w:t>收集后外售</w:t>
            </w:r>
            <w:r>
              <w:rPr>
                <w:rFonts w:hint="eastAsia" w:ascii="Times New Roman" w:hAnsi="Times New Roman" w:eastAsia="宋体" w:cs="Times New Roman"/>
                <w:color w:val="auto"/>
                <w:sz w:val="24"/>
                <w:highlight w:val="none"/>
                <w:lang w:val="en-US" w:eastAsia="zh-CN"/>
              </w:rPr>
              <w:t>综合利用；</w:t>
            </w:r>
            <w:r>
              <w:rPr>
                <w:rFonts w:hint="eastAsia" w:cs="Times New Roman"/>
                <w:color w:val="auto"/>
                <w:sz w:val="24"/>
                <w:highlight w:val="none"/>
                <w:lang w:val="en-US" w:eastAsia="zh-CN"/>
              </w:rPr>
              <w:t>废化学品包装物（</w:t>
            </w:r>
            <w:r>
              <w:rPr>
                <w:rFonts w:hint="eastAsia" w:ascii="Times New Roman" w:hAnsi="Times New Roman" w:eastAsia="宋体" w:cs="Times New Roman"/>
                <w:color w:val="auto"/>
                <w:sz w:val="24"/>
                <w:highlight w:val="none"/>
                <w:lang w:val="en-US" w:eastAsia="zh-CN"/>
              </w:rPr>
              <w:t>水性漆</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产生量0.5t/a，由原料厂家回收利用。</w:t>
            </w:r>
          </w:p>
          <w:p w14:paraId="396CD8A0">
            <w:pPr>
              <w:pageBreakBefore w:val="0"/>
              <w:kinsoku/>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宋体" w:hAnsi="宋体" w:eastAsia="宋体" w:cs="宋体"/>
                <w:color w:val="auto"/>
                <w:sz w:val="24"/>
                <w:highlight w:val="none"/>
              </w:rPr>
              <w:t>②</w:t>
            </w:r>
            <w:r>
              <w:rPr>
                <w:rFonts w:hint="eastAsia" w:ascii="Times New Roman" w:hAnsi="Times New Roman" w:eastAsia="宋体" w:cs="Times New Roman"/>
                <w:color w:val="auto"/>
                <w:sz w:val="24"/>
                <w:highlight w:val="none"/>
              </w:rPr>
              <w:t>危险废物</w:t>
            </w:r>
          </w:p>
          <w:p w14:paraId="7EBCA4E2">
            <w:pPr>
              <w:pageBreakBefore w:val="0"/>
              <w:kinsoku/>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val="0"/>
                <w:color w:val="auto"/>
                <w:spacing w:val="0"/>
                <w:kern w:val="0"/>
                <w:sz w:val="24"/>
                <w:szCs w:val="24"/>
                <w:highlight w:val="none"/>
                <w:lang w:val="en-US" w:eastAsia="zh-CN" w:bidi="ar-SA"/>
              </w:rPr>
            </w:pPr>
            <w:r>
              <w:rPr>
                <w:rFonts w:hint="eastAsia" w:cs="Times New Roman"/>
                <w:color w:val="auto"/>
                <w:spacing w:val="0"/>
                <w:kern w:val="0"/>
                <w:sz w:val="24"/>
                <w:szCs w:val="24"/>
                <w:highlight w:val="none"/>
                <w:lang w:val="en-US" w:eastAsia="zh-CN" w:bidi="ar-SA"/>
              </w:rPr>
              <w:t>废化学品包装物（油性漆、稀释剂、固化剂）</w:t>
            </w:r>
            <w:r>
              <w:rPr>
                <w:rFonts w:hint="eastAsia" w:ascii="Times New Roman" w:hAnsi="Times New Roman" w:eastAsia="宋体" w:cs="Times New Roman"/>
                <w:color w:val="auto"/>
                <w:sz w:val="24"/>
                <w:highlight w:val="none"/>
                <w:lang w:val="en-US" w:eastAsia="zh-CN"/>
              </w:rPr>
              <w:t>产生量0.32t/a，由原料厂家回收利用</w:t>
            </w:r>
            <w:r>
              <w:rPr>
                <w:rFonts w:hint="eastAsia" w:ascii="Times New Roman" w:hAnsi="Times New Roman" w:eastAsia="宋体" w:cs="Times New Roman"/>
                <w:color w:val="auto"/>
                <w:spacing w:val="0"/>
                <w:kern w:val="0"/>
                <w:sz w:val="24"/>
                <w:szCs w:val="24"/>
                <w:highlight w:val="none"/>
                <w:lang w:val="en-US" w:eastAsia="zh-CN" w:bidi="ar-SA"/>
              </w:rPr>
              <w:t>；漆渣</w:t>
            </w:r>
            <w:r>
              <w:rPr>
                <w:rFonts w:hint="eastAsia" w:ascii="Times New Roman" w:hAnsi="Times New Roman" w:eastAsia="宋体" w:cs="Times New Roman"/>
                <w:color w:val="auto"/>
                <w:sz w:val="24"/>
                <w:highlight w:val="none"/>
                <w:lang w:val="en-US" w:eastAsia="zh-CN"/>
              </w:rPr>
              <w:t>产生量</w:t>
            </w:r>
            <w:r>
              <w:rPr>
                <w:rFonts w:hint="eastAsia" w:cs="Times New Roman"/>
                <w:color w:val="auto"/>
                <w:sz w:val="24"/>
                <w:highlight w:val="none"/>
                <w:lang w:val="en-US" w:eastAsia="zh-CN"/>
              </w:rPr>
              <w:t>1.26</w:t>
            </w:r>
            <w:r>
              <w:rPr>
                <w:rFonts w:hint="eastAsia"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水帘气旋废液</w:t>
            </w:r>
            <w:r>
              <w:rPr>
                <w:rFonts w:hint="eastAsia" w:ascii="Times New Roman" w:hAnsi="Times New Roman" w:eastAsia="宋体" w:cs="Times New Roman"/>
                <w:color w:val="auto"/>
                <w:sz w:val="24"/>
                <w:highlight w:val="none"/>
                <w:lang w:val="en-US" w:eastAsia="zh-CN"/>
              </w:rPr>
              <w:t>产生量</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t/a，</w:t>
            </w:r>
            <w:r>
              <w:rPr>
                <w:rFonts w:hint="eastAsia" w:cs="Times New Roman"/>
                <w:color w:val="auto"/>
                <w:spacing w:val="0"/>
                <w:kern w:val="0"/>
                <w:position w:val="0"/>
                <w:sz w:val="24"/>
                <w:szCs w:val="24"/>
                <w:highlight w:val="none"/>
                <w:lang w:val="en-US" w:eastAsia="zh-CN" w:bidi="ar"/>
              </w:rPr>
              <w:t>喷枪清洗废液</w:t>
            </w:r>
            <w:r>
              <w:rPr>
                <w:rFonts w:hint="eastAsia" w:ascii="Times New Roman" w:hAnsi="Times New Roman" w:eastAsia="宋体" w:cs="Times New Roman"/>
                <w:color w:val="auto"/>
                <w:sz w:val="24"/>
                <w:highlight w:val="none"/>
                <w:lang w:val="en-US" w:eastAsia="zh-CN"/>
              </w:rPr>
              <w:t>产生量</w:t>
            </w:r>
            <w:r>
              <w:rPr>
                <w:rFonts w:hint="eastAsia" w:cs="Times New Roman"/>
                <w:color w:val="auto"/>
                <w:sz w:val="24"/>
                <w:highlight w:val="none"/>
                <w:lang w:val="en-US" w:eastAsia="zh-CN"/>
              </w:rPr>
              <w:t>0.3</w:t>
            </w:r>
            <w:r>
              <w:rPr>
                <w:rFonts w:hint="eastAsia" w:ascii="Times New Roman" w:hAnsi="Times New Roman" w:eastAsia="宋体" w:cs="Times New Roman"/>
                <w:color w:val="auto"/>
                <w:sz w:val="24"/>
                <w:highlight w:val="none"/>
                <w:lang w:val="en-US" w:eastAsia="zh-CN"/>
              </w:rPr>
              <w:t>t/a</w:t>
            </w:r>
            <w:r>
              <w:rPr>
                <w:rFonts w:hint="eastAsia" w:cs="Times New Roman"/>
                <w:color w:val="auto"/>
                <w:spacing w:val="0"/>
                <w:kern w:val="0"/>
                <w:position w:val="0"/>
                <w:sz w:val="24"/>
                <w:szCs w:val="24"/>
                <w:highlight w:val="none"/>
                <w:lang w:val="en-US" w:eastAsia="zh-CN" w:bidi="ar"/>
              </w:rPr>
              <w:t>，</w:t>
            </w:r>
            <w:r>
              <w:rPr>
                <w:rFonts w:hint="eastAsia" w:ascii="Times New Roman" w:hAnsi="Times New Roman" w:eastAsia="宋体" w:cs="Times New Roman"/>
                <w:color w:val="auto"/>
                <w:spacing w:val="0"/>
                <w:kern w:val="0"/>
                <w:sz w:val="24"/>
                <w:szCs w:val="24"/>
                <w:highlight w:val="none"/>
                <w:lang w:val="en-US" w:eastAsia="zh-CN" w:bidi="ar-SA"/>
              </w:rPr>
              <w:t>污泥</w:t>
            </w:r>
            <w:r>
              <w:rPr>
                <w:rFonts w:hint="eastAsia" w:ascii="Times New Roman" w:hAnsi="Times New Roman" w:eastAsia="宋体" w:cs="Times New Roman"/>
                <w:color w:val="auto"/>
                <w:sz w:val="24"/>
                <w:highlight w:val="none"/>
                <w:lang w:val="en-US" w:eastAsia="zh-CN"/>
              </w:rPr>
              <w:t>产生量0.</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pacing w:val="0"/>
                <w:kern w:val="0"/>
                <w:sz w:val="24"/>
                <w:szCs w:val="24"/>
                <w:highlight w:val="none"/>
                <w:lang w:val="en-US" w:eastAsia="zh-CN" w:bidi="ar-SA"/>
              </w:rPr>
              <w:t>废活性炭</w:t>
            </w:r>
            <w:r>
              <w:rPr>
                <w:rFonts w:hint="eastAsia" w:ascii="Times New Roman" w:hAnsi="Times New Roman" w:eastAsia="宋体" w:cs="Times New Roman"/>
                <w:color w:val="auto"/>
                <w:sz w:val="24"/>
                <w:highlight w:val="none"/>
                <w:lang w:val="en-US" w:eastAsia="zh-CN"/>
              </w:rPr>
              <w:t>产生量</w:t>
            </w:r>
            <w:r>
              <w:rPr>
                <w:rFonts w:hint="eastAsia" w:cs="Times New Roman"/>
                <w:color w:val="auto"/>
                <w:sz w:val="24"/>
                <w:highlight w:val="none"/>
                <w:lang w:val="en-US" w:eastAsia="zh-CN"/>
              </w:rPr>
              <w:t>2.43</w:t>
            </w:r>
            <w:r>
              <w:rPr>
                <w:rFonts w:hint="eastAsia" w:ascii="Times New Roman" w:hAnsi="Times New Roman" w:eastAsia="宋体" w:cs="Times New Roman"/>
                <w:color w:val="auto"/>
                <w:sz w:val="24"/>
                <w:highlight w:val="none"/>
                <w:lang w:val="en-US" w:eastAsia="zh-CN"/>
              </w:rPr>
              <w:t>t/a</w:t>
            </w:r>
            <w:r>
              <w:rPr>
                <w:rFonts w:hint="eastAsia" w:cs="Times New Roman"/>
                <w:color w:val="auto"/>
                <w:spacing w:val="0"/>
                <w:kern w:val="0"/>
                <w:sz w:val="24"/>
                <w:szCs w:val="24"/>
                <w:highlight w:val="none"/>
                <w:lang w:val="en-US" w:eastAsia="zh-CN" w:bidi="ar-SA"/>
              </w:rPr>
              <w:t>，</w:t>
            </w:r>
            <w:r>
              <w:rPr>
                <w:rFonts w:hint="eastAsia" w:ascii="Times New Roman" w:hAnsi="Times New Roman" w:eastAsia="宋体" w:cs="Times New Roman"/>
                <w:color w:val="auto"/>
                <w:spacing w:val="0"/>
                <w:kern w:val="0"/>
                <w:sz w:val="24"/>
                <w:szCs w:val="24"/>
                <w:highlight w:val="none"/>
                <w:lang w:val="en-US" w:eastAsia="zh-CN" w:bidi="ar-SA"/>
              </w:rPr>
              <w:t>废灯管</w:t>
            </w:r>
            <w:r>
              <w:rPr>
                <w:rFonts w:hint="eastAsia" w:ascii="Times New Roman" w:hAnsi="Times New Roman" w:eastAsia="宋体" w:cs="Times New Roman"/>
                <w:color w:val="auto"/>
                <w:sz w:val="24"/>
                <w:highlight w:val="none"/>
                <w:lang w:val="en-US" w:eastAsia="zh-CN"/>
              </w:rPr>
              <w:t>产生量</w:t>
            </w:r>
            <w:r>
              <w:rPr>
                <w:rFonts w:hint="eastAsia" w:cs="Times New Roman"/>
                <w:color w:val="auto"/>
                <w:sz w:val="24"/>
                <w:highlight w:val="none"/>
                <w:lang w:val="en-US" w:eastAsia="zh-CN"/>
              </w:rPr>
              <w:t>0.15</w:t>
            </w:r>
            <w:r>
              <w:rPr>
                <w:rFonts w:hint="eastAsia"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，废润滑油产生量0.005t/a，润滑油空桶产生量0.004t/a，废含油抹布及手套</w:t>
            </w:r>
            <w:r>
              <w:rPr>
                <w:rFonts w:hint="eastAsia" w:ascii="Times New Roman" w:hAnsi="Times New Roman" w:eastAsia="宋体" w:cs="Times New Roman"/>
                <w:color w:val="auto"/>
                <w:sz w:val="24"/>
                <w:highlight w:val="none"/>
              </w:rPr>
              <w:t>产生量为</w:t>
            </w:r>
            <w:r>
              <w:rPr>
                <w:rFonts w:hint="eastAsia" w:cs="Times New Roman"/>
                <w:color w:val="auto"/>
                <w:sz w:val="24"/>
                <w:highlight w:val="none"/>
                <w:lang w:val="en-US" w:eastAsia="zh-CN"/>
              </w:rPr>
              <w:t>0.048</w:t>
            </w:r>
            <w:r>
              <w:rPr>
                <w:rFonts w:hint="eastAsia" w:ascii="Times New Roman" w:hAnsi="Times New Roman" w:eastAsia="宋体" w:cs="Times New Roman"/>
                <w:color w:val="auto"/>
                <w:sz w:val="24"/>
                <w:highlight w:val="none"/>
              </w:rPr>
              <w:t>t/a</w:t>
            </w:r>
            <w:r>
              <w:rPr>
                <w:rFonts w:hint="eastAsia" w:cs="Times New Roman"/>
                <w:color w:val="auto"/>
                <w:sz w:val="24"/>
                <w:highlight w:val="none"/>
                <w:lang w:val="en-US" w:eastAsia="zh-CN"/>
              </w:rPr>
              <w:t>，集中收集暂存危废暂存间，委托有资质单位处置</w:t>
            </w:r>
            <w:r>
              <w:rPr>
                <w:rFonts w:hint="eastAsia" w:ascii="Times New Roman" w:hAnsi="Times New Roman" w:eastAsia="宋体" w:cs="Times New Roman"/>
                <w:color w:val="auto"/>
                <w:sz w:val="24"/>
                <w:highlight w:val="none"/>
                <w:lang w:val="en-US" w:eastAsia="zh-CN"/>
              </w:rPr>
              <w:t>。</w:t>
            </w:r>
          </w:p>
          <w:p w14:paraId="625F376C">
            <w:pPr>
              <w:pageBreakBefore w:val="0"/>
              <w:kinsoku/>
              <w:overflowPunct/>
              <w:topLinePunct w:val="0"/>
              <w:autoSpaceDE/>
              <w:autoSpaceDN/>
              <w:bidi w:val="0"/>
              <w:adjustRightInd w:val="0"/>
              <w:snapToGrid/>
              <w:spacing w:line="360" w:lineRule="auto"/>
              <w:ind w:firstLine="480" w:firstLineChars="200"/>
              <w:textAlignment w:val="auto"/>
              <w:rPr>
                <w:rFonts w:ascii="Times New Roman" w:hAnsi="Times New Roman" w:eastAsia="宋体" w:cs="Times New Roman"/>
                <w:color w:val="auto"/>
                <w:sz w:val="24"/>
                <w:highlight w:val="none"/>
              </w:rPr>
            </w:pPr>
            <w:r>
              <w:rPr>
                <w:rFonts w:hint="eastAsia" w:ascii="宋体" w:hAnsi="宋体" w:eastAsia="宋体" w:cs="宋体"/>
                <w:color w:val="auto"/>
                <w:sz w:val="24"/>
                <w:highlight w:val="none"/>
              </w:rPr>
              <w:t>③</w:t>
            </w:r>
            <w:r>
              <w:rPr>
                <w:rFonts w:hint="eastAsia" w:ascii="Times New Roman" w:hAnsi="Times New Roman" w:eastAsia="宋体" w:cs="Times New Roman"/>
                <w:color w:val="auto"/>
                <w:sz w:val="24"/>
                <w:highlight w:val="none"/>
              </w:rPr>
              <w:t>生活垃圾</w:t>
            </w:r>
          </w:p>
          <w:p w14:paraId="41461ED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生活垃圾产生量为</w:t>
            </w:r>
            <w:r>
              <w:rPr>
                <w:rFonts w:hint="eastAsia" w:cs="Times New Roman"/>
                <w:color w:val="auto"/>
                <w:sz w:val="24"/>
                <w:highlight w:val="none"/>
                <w:lang w:val="en-US" w:eastAsia="zh-CN"/>
              </w:rPr>
              <w:t>3.0</w:t>
            </w:r>
            <w:r>
              <w:rPr>
                <w:rFonts w:hint="eastAsia" w:ascii="Times New Roman" w:hAnsi="Times New Roman" w:eastAsia="宋体" w:cs="Times New Roman"/>
                <w:color w:val="auto"/>
                <w:sz w:val="24"/>
                <w:highlight w:val="none"/>
              </w:rPr>
              <w:t>t/a</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委托当地</w:t>
            </w:r>
            <w:r>
              <w:rPr>
                <w:rFonts w:hint="eastAsia" w:ascii="Times New Roman" w:hAnsi="Times New Roman" w:eastAsia="宋体" w:cs="Times New Roman"/>
                <w:color w:val="auto"/>
                <w:sz w:val="24"/>
                <w:highlight w:val="none"/>
              </w:rPr>
              <w:t>环卫部门统一清运。</w:t>
            </w:r>
          </w:p>
          <w:p w14:paraId="276D69DB">
            <w:pPr>
              <w:pageBreakBefore w:val="0"/>
              <w:kinsoku/>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根据上述</w:t>
            </w: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迁建</w:t>
            </w:r>
            <w:r>
              <w:rPr>
                <w:rFonts w:hint="eastAsia" w:ascii="Times New Roman" w:hAnsi="Times New Roman" w:eastAsia="宋体" w:cs="Times New Roman"/>
                <w:color w:val="auto"/>
                <w:sz w:val="24"/>
                <w:highlight w:val="none"/>
              </w:rPr>
              <w:t>前项目污染物产排情况</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kern w:val="0"/>
                <w:sz w:val="24"/>
                <w:highlight w:val="none"/>
              </w:rPr>
              <w:t>详见表</w:t>
            </w:r>
            <w:r>
              <w:rPr>
                <w:rFonts w:hint="eastAsia" w:ascii="Times New Roman" w:hAnsi="Times New Roman" w:eastAsia="宋体" w:cs="Times New Roman"/>
                <w:color w:val="auto"/>
                <w:sz w:val="24"/>
                <w:highlight w:val="none"/>
              </w:rPr>
              <w:t>2.</w:t>
            </w:r>
            <w:r>
              <w:rPr>
                <w:rFonts w:hint="eastAsia" w:ascii="Times New Roman" w:hAnsi="Times New Roman" w:eastAsia="宋体" w:cs="Times New Roman"/>
                <w:color w:val="auto"/>
                <w:sz w:val="24"/>
                <w:highlight w:val="none"/>
                <w:lang w:val="en-US" w:eastAsia="zh-CN"/>
              </w:rPr>
              <w:t>9</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7</w:t>
            </w:r>
            <w:r>
              <w:rPr>
                <w:rFonts w:hint="eastAsia" w:ascii="Times New Roman" w:hAnsi="Times New Roman" w:eastAsia="宋体" w:cs="Times New Roman"/>
                <w:color w:val="auto"/>
                <w:sz w:val="24"/>
                <w:highlight w:val="none"/>
              </w:rPr>
              <w:t>。</w:t>
            </w:r>
          </w:p>
          <w:p w14:paraId="19A5B8B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b/>
                <w:bCs/>
                <w:color w:val="auto"/>
                <w:spacing w:val="0"/>
                <w:position w:val="0"/>
                <w:sz w:val="24"/>
                <w:szCs w:val="24"/>
                <w:highlight w:val="none"/>
              </w:rPr>
              <w:t>表2.</w:t>
            </w:r>
            <w:r>
              <w:rPr>
                <w:rFonts w:hint="eastAsia" w:ascii="Times New Roman" w:hAnsi="Times New Roman" w:eastAsia="宋体" w:cs="Times New Roman"/>
                <w:b/>
                <w:bCs/>
                <w:color w:val="auto"/>
                <w:spacing w:val="0"/>
                <w:position w:val="0"/>
                <w:sz w:val="24"/>
                <w:szCs w:val="24"/>
                <w:highlight w:val="none"/>
                <w:lang w:val="en-US" w:eastAsia="zh-CN"/>
              </w:rPr>
              <w:t>9</w:t>
            </w:r>
            <w:r>
              <w:rPr>
                <w:rFonts w:hint="eastAsia" w:cs="Times New Roman"/>
                <w:b/>
                <w:bCs/>
                <w:color w:val="auto"/>
                <w:spacing w:val="0"/>
                <w:position w:val="0"/>
                <w:sz w:val="24"/>
                <w:szCs w:val="24"/>
                <w:highlight w:val="none"/>
                <w:lang w:val="en-US" w:eastAsia="zh-CN"/>
              </w:rPr>
              <w:t>.2</w:t>
            </w:r>
            <w:r>
              <w:rPr>
                <w:rFonts w:hint="eastAsia" w:ascii="Times New Roman" w:hAnsi="Times New Roman" w:eastAsia="宋体" w:cs="Times New Roman"/>
                <w:b/>
                <w:bCs/>
                <w:color w:val="auto"/>
                <w:spacing w:val="0"/>
                <w:position w:val="0"/>
                <w:sz w:val="24"/>
                <w:szCs w:val="24"/>
                <w:highlight w:val="none"/>
              </w:rPr>
              <w:t>-</w:t>
            </w:r>
            <w:r>
              <w:rPr>
                <w:rFonts w:hint="eastAsia" w:cs="Times New Roman"/>
                <w:b/>
                <w:bCs/>
                <w:color w:val="auto"/>
                <w:spacing w:val="0"/>
                <w:position w:val="0"/>
                <w:sz w:val="24"/>
                <w:szCs w:val="24"/>
                <w:highlight w:val="none"/>
                <w:lang w:val="en-US" w:eastAsia="zh-CN"/>
              </w:rPr>
              <w:t>7</w:t>
            </w:r>
            <w:r>
              <w:rPr>
                <w:rFonts w:hint="eastAsia" w:ascii="Times New Roman" w:hAnsi="Times New Roman" w:eastAsia="宋体" w:cs="Times New Roman"/>
                <w:b/>
                <w:bCs/>
                <w:color w:val="auto"/>
                <w:spacing w:val="0"/>
                <w:position w:val="0"/>
                <w:sz w:val="24"/>
                <w:szCs w:val="24"/>
                <w:highlight w:val="none"/>
              </w:rPr>
              <w:t xml:space="preserve">  现有工程主要污染物产排情况一览表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691"/>
              <w:gridCol w:w="870"/>
              <w:gridCol w:w="675"/>
              <w:gridCol w:w="640"/>
              <w:gridCol w:w="966"/>
              <w:gridCol w:w="938"/>
              <w:gridCol w:w="1037"/>
              <w:gridCol w:w="1807"/>
              <w:gridCol w:w="1110"/>
            </w:tblGrid>
            <w:tr w14:paraId="79C5FF37">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tcBorders>
                    <w:tl2br w:val="nil"/>
                    <w:tr2bl w:val="nil"/>
                  </w:tcBorders>
                  <w:noWrap w:val="0"/>
                  <w:vAlign w:val="center"/>
                </w:tcPr>
                <w:p w14:paraId="287D3C8F">
                  <w:pPr>
                    <w:spacing w:line="240" w:lineRule="auto"/>
                    <w:ind w:firstLine="0" w:firstLineChars="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类别</w:t>
                  </w:r>
                </w:p>
              </w:tc>
              <w:tc>
                <w:tcPr>
                  <w:tcW w:w="870" w:type="dxa"/>
                  <w:tcBorders>
                    <w:tl2br w:val="nil"/>
                    <w:tr2bl w:val="nil"/>
                  </w:tcBorders>
                  <w:noWrap w:val="0"/>
                  <w:vAlign w:val="center"/>
                </w:tcPr>
                <w:p w14:paraId="0C2FE7E3">
                  <w:pPr>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排放源</w:t>
                  </w:r>
                </w:p>
              </w:tc>
              <w:tc>
                <w:tcPr>
                  <w:tcW w:w="1315" w:type="dxa"/>
                  <w:gridSpan w:val="2"/>
                  <w:tcBorders>
                    <w:tl2br w:val="nil"/>
                    <w:tr2bl w:val="nil"/>
                  </w:tcBorders>
                  <w:noWrap w:val="0"/>
                  <w:vAlign w:val="center"/>
                </w:tcPr>
                <w:p w14:paraId="3462AF39">
                  <w:pPr>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污染物</w:t>
                  </w:r>
                </w:p>
              </w:tc>
              <w:tc>
                <w:tcPr>
                  <w:tcW w:w="966" w:type="dxa"/>
                  <w:tcBorders>
                    <w:tl2br w:val="nil"/>
                    <w:tr2bl w:val="nil"/>
                  </w:tcBorders>
                  <w:noWrap w:val="0"/>
                  <w:vAlign w:val="center"/>
                </w:tcPr>
                <w:p w14:paraId="3A0BF812">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rPr>
                    <w:t>产生量</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c>
                <w:tcPr>
                  <w:tcW w:w="938" w:type="dxa"/>
                  <w:tcBorders>
                    <w:tl2br w:val="nil"/>
                    <w:tr2bl w:val="nil"/>
                  </w:tcBorders>
                  <w:noWrap w:val="0"/>
                  <w:vAlign w:val="center"/>
                </w:tcPr>
                <w:p w14:paraId="43DFC3A2">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rPr>
                    <w:t>削减量</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c>
                <w:tcPr>
                  <w:tcW w:w="1037" w:type="dxa"/>
                  <w:tcBorders>
                    <w:tl2br w:val="nil"/>
                    <w:tr2bl w:val="nil"/>
                  </w:tcBorders>
                  <w:noWrap w:val="0"/>
                  <w:vAlign w:val="center"/>
                </w:tcPr>
                <w:p w14:paraId="101A84F6">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rPr>
                    <w:t>排放量</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c>
                <w:tcPr>
                  <w:tcW w:w="1807" w:type="dxa"/>
                  <w:tcBorders>
                    <w:tl2br w:val="nil"/>
                    <w:tr2bl w:val="nil"/>
                  </w:tcBorders>
                  <w:noWrap w:val="0"/>
                  <w:vAlign w:val="center"/>
                </w:tcPr>
                <w:p w14:paraId="0F83ED2C">
                  <w:pPr>
                    <w:spacing w:line="240" w:lineRule="auto"/>
                    <w:ind w:firstLine="0" w:firstLineChars="0"/>
                    <w:jc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排放规律</w:t>
                  </w:r>
                </w:p>
              </w:tc>
              <w:tc>
                <w:tcPr>
                  <w:tcW w:w="1110" w:type="dxa"/>
                  <w:tcBorders>
                    <w:tl2br w:val="nil"/>
                    <w:tr2bl w:val="nil"/>
                  </w:tcBorders>
                  <w:noWrap w:val="0"/>
                  <w:vAlign w:val="center"/>
                </w:tcPr>
                <w:p w14:paraId="5CCB2494">
                  <w:pPr>
                    <w:spacing w:line="240" w:lineRule="auto"/>
                    <w:ind w:firstLine="0" w:firstLineChars="0"/>
                    <w:jc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排放去向</w:t>
                  </w:r>
                </w:p>
              </w:tc>
            </w:tr>
            <w:tr w14:paraId="1C69B1B0">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restart"/>
                  <w:tcBorders>
                    <w:tl2br w:val="nil"/>
                    <w:tr2bl w:val="nil"/>
                  </w:tcBorders>
                  <w:noWrap w:val="0"/>
                  <w:vAlign w:val="center"/>
                </w:tcPr>
                <w:p w14:paraId="41B0A0F3">
                  <w:pPr>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废水</w:t>
                  </w:r>
                </w:p>
              </w:tc>
              <w:tc>
                <w:tcPr>
                  <w:tcW w:w="870" w:type="dxa"/>
                  <w:vMerge w:val="restart"/>
                  <w:tcBorders>
                    <w:tl2br w:val="nil"/>
                    <w:tr2bl w:val="nil"/>
                  </w:tcBorders>
                  <w:noWrap w:val="0"/>
                  <w:vAlign w:val="center"/>
                </w:tcPr>
                <w:p w14:paraId="59ECE4BD">
                  <w:pPr>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生活</w:t>
                  </w:r>
                </w:p>
                <w:p w14:paraId="503E1C82">
                  <w:pPr>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污水</w:t>
                  </w:r>
                </w:p>
              </w:tc>
              <w:tc>
                <w:tcPr>
                  <w:tcW w:w="1315" w:type="dxa"/>
                  <w:gridSpan w:val="2"/>
                  <w:tcBorders>
                    <w:tl2br w:val="nil"/>
                    <w:tr2bl w:val="nil"/>
                  </w:tcBorders>
                  <w:noWrap w:val="0"/>
                  <w:vAlign w:val="center"/>
                </w:tcPr>
                <w:p w14:paraId="671EA815">
                  <w:pPr>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废水</w:t>
                  </w:r>
                </w:p>
              </w:tc>
              <w:tc>
                <w:tcPr>
                  <w:tcW w:w="966" w:type="dxa"/>
                  <w:tcBorders>
                    <w:tl2br w:val="nil"/>
                    <w:tr2bl w:val="nil"/>
                  </w:tcBorders>
                  <w:noWrap w:val="0"/>
                  <w:vAlign w:val="center"/>
                </w:tcPr>
                <w:p w14:paraId="2FED117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w:t>
                  </w:r>
                </w:p>
              </w:tc>
              <w:tc>
                <w:tcPr>
                  <w:tcW w:w="938" w:type="dxa"/>
                  <w:tcBorders>
                    <w:tl2br w:val="nil"/>
                    <w:tr2bl w:val="nil"/>
                  </w:tcBorders>
                  <w:noWrap w:val="0"/>
                  <w:vAlign w:val="center"/>
                </w:tcPr>
                <w:p w14:paraId="71C178D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37" w:type="dxa"/>
                  <w:tcBorders>
                    <w:tl2br w:val="nil"/>
                    <w:tr2bl w:val="nil"/>
                  </w:tcBorders>
                  <w:noWrap w:val="0"/>
                  <w:vAlign w:val="center"/>
                </w:tcPr>
                <w:p w14:paraId="62A1B03C">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w:t>
                  </w:r>
                </w:p>
              </w:tc>
              <w:tc>
                <w:tcPr>
                  <w:tcW w:w="1807" w:type="dxa"/>
                  <w:vMerge w:val="restart"/>
                  <w:tcBorders>
                    <w:tl2br w:val="nil"/>
                    <w:tr2bl w:val="nil"/>
                  </w:tcBorders>
                  <w:noWrap w:val="0"/>
                  <w:vAlign w:val="center"/>
                </w:tcPr>
                <w:p w14:paraId="70DF0B46">
                  <w:pPr>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废水间断排放</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排放期间流量不稳定且无规律</w:t>
                  </w:r>
                </w:p>
              </w:tc>
              <w:tc>
                <w:tcPr>
                  <w:tcW w:w="1110" w:type="dxa"/>
                  <w:vMerge w:val="restart"/>
                  <w:tcBorders>
                    <w:tl2br w:val="nil"/>
                    <w:tr2bl w:val="nil"/>
                  </w:tcBorders>
                  <w:noWrap w:val="0"/>
                  <w:vAlign w:val="center"/>
                </w:tcPr>
                <w:p w14:paraId="6FCCA418">
                  <w:pPr>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闽侯县城关</w:t>
                  </w:r>
                  <w:r>
                    <w:rPr>
                      <w:rFonts w:hint="eastAsia" w:ascii="Times New Roman" w:hAnsi="Times New Roman" w:eastAsia="宋体" w:cs="Times New Roman"/>
                      <w:color w:val="auto"/>
                      <w:sz w:val="21"/>
                      <w:szCs w:val="21"/>
                      <w:highlight w:val="none"/>
                    </w:rPr>
                    <w:t>污水处理厂</w:t>
                  </w:r>
                </w:p>
              </w:tc>
            </w:tr>
            <w:tr w14:paraId="129E9B63">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7B7B3CD9">
                  <w:pPr>
                    <w:spacing w:line="240" w:lineRule="auto"/>
                    <w:ind w:firstLine="0" w:firstLineChars="0"/>
                    <w:jc w:val="center"/>
                    <w:rPr>
                      <w:rFonts w:ascii="Times New Roman" w:hAnsi="Times New Roman" w:eastAsia="宋体" w:cs="Times New Roman"/>
                      <w:color w:val="auto"/>
                      <w:sz w:val="21"/>
                      <w:szCs w:val="21"/>
                      <w:highlight w:val="none"/>
                    </w:rPr>
                  </w:pPr>
                </w:p>
              </w:tc>
              <w:tc>
                <w:tcPr>
                  <w:tcW w:w="870" w:type="dxa"/>
                  <w:vMerge w:val="continue"/>
                  <w:tcBorders>
                    <w:tl2br w:val="nil"/>
                    <w:tr2bl w:val="nil"/>
                  </w:tcBorders>
                  <w:noWrap w:val="0"/>
                  <w:vAlign w:val="center"/>
                </w:tcPr>
                <w:p w14:paraId="1780275B">
                  <w:pPr>
                    <w:spacing w:line="240" w:lineRule="auto"/>
                    <w:ind w:firstLine="0" w:firstLineChars="0"/>
                    <w:jc w:val="center"/>
                    <w:rPr>
                      <w:rFonts w:ascii="Times New Roman" w:hAnsi="Times New Roman" w:eastAsia="宋体" w:cs="Times New Roman"/>
                      <w:color w:val="auto"/>
                      <w:sz w:val="21"/>
                      <w:szCs w:val="21"/>
                      <w:highlight w:val="none"/>
                    </w:rPr>
                  </w:pPr>
                </w:p>
              </w:tc>
              <w:tc>
                <w:tcPr>
                  <w:tcW w:w="1315" w:type="dxa"/>
                  <w:gridSpan w:val="2"/>
                  <w:tcBorders>
                    <w:tl2br w:val="nil"/>
                    <w:tr2bl w:val="nil"/>
                  </w:tcBorders>
                  <w:noWrap w:val="0"/>
                  <w:vAlign w:val="center"/>
                </w:tcPr>
                <w:p w14:paraId="729B6F3A">
                  <w:pPr>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COD</w:t>
                  </w:r>
                  <w:r>
                    <w:rPr>
                      <w:rFonts w:hint="eastAsia" w:ascii="Times New Roman" w:hAnsi="Times New Roman" w:eastAsia="宋体" w:cs="Times New Roman"/>
                      <w:color w:val="auto"/>
                      <w:sz w:val="21"/>
                      <w:szCs w:val="21"/>
                      <w:highlight w:val="none"/>
                      <w:vertAlign w:val="subscript"/>
                    </w:rPr>
                    <w:t>Cr</w:t>
                  </w:r>
                </w:p>
              </w:tc>
              <w:tc>
                <w:tcPr>
                  <w:tcW w:w="966" w:type="dxa"/>
                  <w:tcBorders>
                    <w:tl2br w:val="nil"/>
                    <w:tr2bl w:val="nil"/>
                  </w:tcBorders>
                  <w:noWrap w:val="0"/>
                  <w:vAlign w:val="center"/>
                </w:tcPr>
                <w:p w14:paraId="336B6603">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38" w:type="dxa"/>
                  <w:tcBorders>
                    <w:tl2br w:val="nil"/>
                    <w:tr2bl w:val="nil"/>
                  </w:tcBorders>
                  <w:noWrap w:val="0"/>
                  <w:vAlign w:val="center"/>
                </w:tcPr>
                <w:p w14:paraId="27678F9F">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37" w:type="dxa"/>
                  <w:tcBorders>
                    <w:tl2br w:val="nil"/>
                    <w:tr2bl w:val="nil"/>
                  </w:tcBorders>
                  <w:noWrap w:val="0"/>
                  <w:vAlign w:val="center"/>
                </w:tcPr>
                <w:p w14:paraId="6ED4169A">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fldChar w:fldCharType="begin"/>
                  </w:r>
                  <w:r>
                    <w:rPr>
                      <w:rFonts w:hint="eastAsia" w:ascii="Times New Roman" w:hAnsi="Times New Roman" w:eastAsia="宋体" w:cs="Times New Roman"/>
                      <w:color w:val="auto"/>
                      <w:sz w:val="21"/>
                      <w:szCs w:val="21"/>
                      <w:highlight w:val="none"/>
                      <w:lang w:val="en-US" w:eastAsia="zh-CN"/>
                    </w:rPr>
                    <w:instrText xml:space="preserve"> =50*240/1000000 \# "0.0000" \* MERGEFORMAT </w:instrText>
                  </w:r>
                  <w:r>
                    <w:rPr>
                      <w:rFonts w:hint="eastAsia" w:ascii="Times New Roman" w:hAnsi="Times New Roman" w:eastAsia="宋体" w:cs="Times New Roman"/>
                      <w:color w:val="auto"/>
                      <w:sz w:val="21"/>
                      <w:szCs w:val="21"/>
                      <w:highlight w:val="none"/>
                      <w:lang w:val="en-US" w:eastAsia="zh-CN"/>
                    </w:rPr>
                    <w:fldChar w:fldCharType="separate"/>
                  </w:r>
                  <w:r>
                    <w:rPr>
                      <w:color w:val="auto"/>
                      <w:highlight w:val="none"/>
                    </w:rPr>
                    <w:t>0.0120</w:t>
                  </w:r>
                  <w:r>
                    <w:rPr>
                      <w:rFonts w:hint="eastAsia" w:ascii="Times New Roman" w:hAnsi="Times New Roman" w:eastAsia="宋体" w:cs="Times New Roman"/>
                      <w:color w:val="auto"/>
                      <w:sz w:val="21"/>
                      <w:szCs w:val="21"/>
                      <w:highlight w:val="none"/>
                      <w:lang w:val="en-US" w:eastAsia="zh-CN"/>
                    </w:rPr>
                    <w:fldChar w:fldCharType="end"/>
                  </w:r>
                </w:p>
              </w:tc>
              <w:tc>
                <w:tcPr>
                  <w:tcW w:w="1807" w:type="dxa"/>
                  <w:vMerge w:val="continue"/>
                  <w:tcBorders>
                    <w:tl2br w:val="nil"/>
                    <w:tr2bl w:val="nil"/>
                  </w:tcBorders>
                  <w:noWrap w:val="0"/>
                  <w:vAlign w:val="center"/>
                </w:tcPr>
                <w:p w14:paraId="21424563">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1110" w:type="dxa"/>
                  <w:vMerge w:val="continue"/>
                  <w:tcBorders>
                    <w:tl2br w:val="nil"/>
                    <w:tr2bl w:val="nil"/>
                  </w:tcBorders>
                  <w:noWrap w:val="0"/>
                  <w:vAlign w:val="center"/>
                </w:tcPr>
                <w:p w14:paraId="7394BF66">
                  <w:pPr>
                    <w:spacing w:line="240" w:lineRule="auto"/>
                    <w:ind w:firstLine="0" w:firstLineChars="0"/>
                    <w:jc w:val="center"/>
                    <w:rPr>
                      <w:rFonts w:hint="eastAsia" w:ascii="Times New Roman" w:hAnsi="Times New Roman" w:eastAsia="宋体" w:cs="Times New Roman"/>
                      <w:color w:val="auto"/>
                      <w:sz w:val="21"/>
                      <w:szCs w:val="21"/>
                      <w:highlight w:val="none"/>
                    </w:rPr>
                  </w:pPr>
                </w:p>
              </w:tc>
            </w:tr>
            <w:tr w14:paraId="5A739FC1">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17428F31">
                  <w:pPr>
                    <w:spacing w:line="240" w:lineRule="auto"/>
                    <w:ind w:firstLine="0" w:firstLineChars="0"/>
                    <w:jc w:val="center"/>
                    <w:rPr>
                      <w:rFonts w:ascii="Times New Roman" w:hAnsi="Times New Roman" w:eastAsia="宋体" w:cs="Times New Roman"/>
                      <w:color w:val="auto"/>
                      <w:sz w:val="21"/>
                      <w:szCs w:val="21"/>
                      <w:highlight w:val="none"/>
                    </w:rPr>
                  </w:pPr>
                </w:p>
              </w:tc>
              <w:tc>
                <w:tcPr>
                  <w:tcW w:w="870" w:type="dxa"/>
                  <w:vMerge w:val="continue"/>
                  <w:tcBorders>
                    <w:tl2br w:val="nil"/>
                    <w:tr2bl w:val="nil"/>
                  </w:tcBorders>
                  <w:noWrap w:val="0"/>
                  <w:vAlign w:val="center"/>
                </w:tcPr>
                <w:p w14:paraId="18B40F18">
                  <w:pPr>
                    <w:spacing w:line="240" w:lineRule="auto"/>
                    <w:ind w:firstLine="0" w:firstLineChars="0"/>
                    <w:jc w:val="center"/>
                    <w:rPr>
                      <w:rFonts w:ascii="Times New Roman" w:hAnsi="Times New Roman" w:eastAsia="宋体" w:cs="Times New Roman"/>
                      <w:color w:val="auto"/>
                      <w:sz w:val="21"/>
                      <w:szCs w:val="21"/>
                      <w:highlight w:val="none"/>
                    </w:rPr>
                  </w:pPr>
                </w:p>
              </w:tc>
              <w:tc>
                <w:tcPr>
                  <w:tcW w:w="1315" w:type="dxa"/>
                  <w:gridSpan w:val="2"/>
                  <w:tcBorders>
                    <w:tl2br w:val="nil"/>
                    <w:tr2bl w:val="nil"/>
                  </w:tcBorders>
                  <w:noWrap w:val="0"/>
                  <w:vAlign w:val="center"/>
                </w:tcPr>
                <w:p w14:paraId="1498F364">
                  <w:pPr>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氨氮</w:t>
                  </w:r>
                </w:p>
              </w:tc>
              <w:tc>
                <w:tcPr>
                  <w:tcW w:w="966" w:type="dxa"/>
                  <w:tcBorders>
                    <w:tl2br w:val="nil"/>
                    <w:tr2bl w:val="nil"/>
                  </w:tcBorders>
                  <w:noWrap w:val="0"/>
                  <w:vAlign w:val="center"/>
                </w:tcPr>
                <w:p w14:paraId="1D00217F">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38" w:type="dxa"/>
                  <w:tcBorders>
                    <w:tl2br w:val="nil"/>
                    <w:tr2bl w:val="nil"/>
                  </w:tcBorders>
                  <w:noWrap w:val="0"/>
                  <w:vAlign w:val="center"/>
                </w:tcPr>
                <w:p w14:paraId="71661EA5">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37" w:type="dxa"/>
                  <w:tcBorders>
                    <w:tl2br w:val="nil"/>
                    <w:tr2bl w:val="nil"/>
                  </w:tcBorders>
                  <w:noWrap w:val="0"/>
                  <w:vAlign w:val="center"/>
                </w:tcPr>
                <w:p w14:paraId="33A8401A">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fldChar w:fldCharType="begin"/>
                  </w:r>
                  <w:r>
                    <w:rPr>
                      <w:rFonts w:hint="eastAsia" w:ascii="Times New Roman" w:hAnsi="Times New Roman" w:eastAsia="宋体" w:cs="Times New Roman"/>
                      <w:color w:val="auto"/>
                      <w:sz w:val="21"/>
                      <w:szCs w:val="21"/>
                      <w:highlight w:val="none"/>
                      <w:lang w:val="en-US" w:eastAsia="zh-CN"/>
                    </w:rPr>
                    <w:instrText xml:space="preserve"> =5*240/1000000 \# "0.0000" \* MERGEFORMAT </w:instrText>
                  </w:r>
                  <w:r>
                    <w:rPr>
                      <w:rFonts w:hint="eastAsia" w:ascii="Times New Roman" w:hAnsi="Times New Roman" w:eastAsia="宋体" w:cs="Times New Roman"/>
                      <w:color w:val="auto"/>
                      <w:sz w:val="21"/>
                      <w:szCs w:val="21"/>
                      <w:highlight w:val="none"/>
                      <w:lang w:val="en-US" w:eastAsia="zh-CN"/>
                    </w:rPr>
                    <w:fldChar w:fldCharType="separate"/>
                  </w:r>
                  <w:r>
                    <w:rPr>
                      <w:color w:val="auto"/>
                      <w:highlight w:val="none"/>
                    </w:rPr>
                    <w:t>0.0012</w:t>
                  </w:r>
                  <w:r>
                    <w:rPr>
                      <w:rFonts w:hint="eastAsia" w:ascii="Times New Roman" w:hAnsi="Times New Roman" w:eastAsia="宋体" w:cs="Times New Roman"/>
                      <w:color w:val="auto"/>
                      <w:sz w:val="21"/>
                      <w:szCs w:val="21"/>
                      <w:highlight w:val="none"/>
                      <w:lang w:val="en-US" w:eastAsia="zh-CN"/>
                    </w:rPr>
                    <w:fldChar w:fldCharType="end"/>
                  </w:r>
                </w:p>
              </w:tc>
              <w:tc>
                <w:tcPr>
                  <w:tcW w:w="1807" w:type="dxa"/>
                  <w:vMerge w:val="continue"/>
                  <w:tcBorders>
                    <w:tl2br w:val="nil"/>
                    <w:tr2bl w:val="nil"/>
                  </w:tcBorders>
                  <w:noWrap w:val="0"/>
                  <w:vAlign w:val="center"/>
                </w:tcPr>
                <w:p w14:paraId="2956DED8">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1110" w:type="dxa"/>
                  <w:vMerge w:val="continue"/>
                  <w:tcBorders>
                    <w:tl2br w:val="nil"/>
                    <w:tr2bl w:val="nil"/>
                  </w:tcBorders>
                  <w:noWrap w:val="0"/>
                  <w:vAlign w:val="center"/>
                </w:tcPr>
                <w:p w14:paraId="2F627C20">
                  <w:pPr>
                    <w:spacing w:line="240" w:lineRule="auto"/>
                    <w:ind w:firstLine="0" w:firstLineChars="0"/>
                    <w:jc w:val="center"/>
                    <w:rPr>
                      <w:rFonts w:hint="eastAsia" w:ascii="Times New Roman" w:hAnsi="Times New Roman" w:eastAsia="宋体" w:cs="Times New Roman"/>
                      <w:color w:val="auto"/>
                      <w:sz w:val="21"/>
                      <w:szCs w:val="21"/>
                      <w:highlight w:val="none"/>
                    </w:rPr>
                  </w:pPr>
                </w:p>
              </w:tc>
            </w:tr>
            <w:tr w14:paraId="5CAC0EA1">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tcBorders>
                    <w:tl2br w:val="nil"/>
                    <w:tr2bl w:val="nil"/>
                  </w:tcBorders>
                  <w:noWrap w:val="0"/>
                  <w:vAlign w:val="center"/>
                </w:tcPr>
                <w:p w14:paraId="65DBFE83">
                  <w:pPr>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类别</w:t>
                  </w:r>
                </w:p>
              </w:tc>
              <w:tc>
                <w:tcPr>
                  <w:tcW w:w="870" w:type="dxa"/>
                  <w:tcBorders>
                    <w:tl2br w:val="nil"/>
                    <w:tr2bl w:val="nil"/>
                  </w:tcBorders>
                  <w:noWrap w:val="0"/>
                  <w:vAlign w:val="center"/>
                </w:tcPr>
                <w:p w14:paraId="49D91FA9">
                  <w:pPr>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污染源</w:t>
                  </w:r>
                </w:p>
              </w:tc>
              <w:tc>
                <w:tcPr>
                  <w:tcW w:w="1315" w:type="dxa"/>
                  <w:gridSpan w:val="2"/>
                  <w:tcBorders>
                    <w:tl2br w:val="nil"/>
                    <w:tr2bl w:val="nil"/>
                  </w:tcBorders>
                  <w:noWrap w:val="0"/>
                  <w:vAlign w:val="center"/>
                </w:tcPr>
                <w:p w14:paraId="7D401FD0">
                  <w:pPr>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污染物</w:t>
                  </w:r>
                </w:p>
              </w:tc>
              <w:tc>
                <w:tcPr>
                  <w:tcW w:w="966" w:type="dxa"/>
                  <w:tcBorders>
                    <w:tl2br w:val="nil"/>
                    <w:tr2bl w:val="nil"/>
                  </w:tcBorders>
                  <w:noWrap w:val="0"/>
                  <w:vAlign w:val="center"/>
                </w:tcPr>
                <w:p w14:paraId="544EE17D">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rPr>
                    <w:t>产生量</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c>
                <w:tcPr>
                  <w:tcW w:w="938" w:type="dxa"/>
                  <w:tcBorders>
                    <w:tl2br w:val="nil"/>
                    <w:tr2bl w:val="nil"/>
                  </w:tcBorders>
                  <w:noWrap w:val="0"/>
                  <w:vAlign w:val="center"/>
                </w:tcPr>
                <w:p w14:paraId="6F6CA344">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rPr>
                    <w:t>削减量</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c>
                <w:tcPr>
                  <w:tcW w:w="1037" w:type="dxa"/>
                  <w:tcBorders>
                    <w:tl2br w:val="nil"/>
                    <w:tr2bl w:val="nil"/>
                  </w:tcBorders>
                  <w:noWrap w:val="0"/>
                  <w:vAlign w:val="center"/>
                </w:tcPr>
                <w:p w14:paraId="31CF86BF">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rPr>
                    <w:t>排放量</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c>
                <w:tcPr>
                  <w:tcW w:w="1807" w:type="dxa"/>
                  <w:tcBorders>
                    <w:tl2br w:val="nil"/>
                    <w:tr2bl w:val="nil"/>
                  </w:tcBorders>
                  <w:noWrap w:val="0"/>
                  <w:vAlign w:val="center"/>
                </w:tcPr>
                <w:p w14:paraId="146140A6">
                  <w:pPr>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处理设施</w:t>
                  </w:r>
                </w:p>
              </w:tc>
              <w:tc>
                <w:tcPr>
                  <w:tcW w:w="1110" w:type="dxa"/>
                  <w:tcBorders>
                    <w:tl2br w:val="nil"/>
                    <w:tr2bl w:val="nil"/>
                  </w:tcBorders>
                  <w:noWrap w:val="0"/>
                  <w:vAlign w:val="center"/>
                </w:tcPr>
                <w:p w14:paraId="5CF0A583">
                  <w:pPr>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排放去向</w:t>
                  </w:r>
                </w:p>
              </w:tc>
            </w:tr>
            <w:tr w14:paraId="18E4929F">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restart"/>
                  <w:tcBorders>
                    <w:tl2br w:val="nil"/>
                    <w:tr2bl w:val="nil"/>
                  </w:tcBorders>
                  <w:noWrap w:val="0"/>
                  <w:vAlign w:val="center"/>
                </w:tcPr>
                <w:p w14:paraId="4940CBAF">
                  <w:pPr>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废气</w:t>
                  </w:r>
                </w:p>
              </w:tc>
              <w:tc>
                <w:tcPr>
                  <w:tcW w:w="870" w:type="dxa"/>
                  <w:vMerge w:val="restart"/>
                  <w:tcBorders>
                    <w:tl2br w:val="nil"/>
                    <w:tr2bl w:val="nil"/>
                  </w:tcBorders>
                  <w:noWrap w:val="0"/>
                  <w:vAlign w:val="center"/>
                </w:tcPr>
                <w:p w14:paraId="699D9ABE">
                  <w:pPr>
                    <w:pStyle w:val="11"/>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val="0"/>
                      <w:color w:val="auto"/>
                      <w:spacing w:val="0"/>
                      <w:sz w:val="21"/>
                      <w:szCs w:val="21"/>
                      <w:highlight w:val="none"/>
                      <w:lang w:val="en-US" w:eastAsia="zh-CN"/>
                    </w:rPr>
                    <w:t>调漆、喷漆、晾干、打印</w:t>
                  </w:r>
                  <w:r>
                    <w:rPr>
                      <w:rFonts w:hint="eastAsia" w:ascii="Times New Roman" w:hAnsi="Times New Roman" w:eastAsia="宋体" w:cs="Times New Roman"/>
                      <w:b w:val="0"/>
                      <w:bCs w:val="0"/>
                      <w:color w:val="auto"/>
                      <w:spacing w:val="0"/>
                      <w:sz w:val="21"/>
                      <w:szCs w:val="21"/>
                      <w:highlight w:val="none"/>
                      <w:lang w:val="en-US" w:eastAsia="zh-CN"/>
                    </w:rPr>
                    <w:t>废气</w:t>
                  </w:r>
                </w:p>
              </w:tc>
              <w:tc>
                <w:tcPr>
                  <w:tcW w:w="675" w:type="dxa"/>
                  <w:tcBorders>
                    <w:tl2br w:val="nil"/>
                    <w:tr2bl w:val="nil"/>
                  </w:tcBorders>
                  <w:shd w:val="clear" w:color="auto" w:fill="auto"/>
                  <w:noWrap w:val="0"/>
                  <w:vAlign w:val="center"/>
                </w:tcPr>
                <w:p w14:paraId="307BA113">
                  <w:pPr>
                    <w:pStyle w:val="94"/>
                    <w:spacing w:line="240" w:lineRule="auto"/>
                    <w:ind w:left="-63" w:leftChars="-30" w:right="-63" w:rightChars="-30" w:firstLine="0" w:firstLineChars="0"/>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颗粒物</w:t>
                  </w:r>
                </w:p>
              </w:tc>
              <w:tc>
                <w:tcPr>
                  <w:tcW w:w="640" w:type="dxa"/>
                  <w:vMerge w:val="restart"/>
                  <w:tcBorders>
                    <w:tl2br w:val="nil"/>
                    <w:tr2bl w:val="nil"/>
                  </w:tcBorders>
                  <w:noWrap w:val="0"/>
                  <w:vAlign w:val="center"/>
                </w:tcPr>
                <w:p w14:paraId="305F7259">
                  <w:pPr>
                    <w:pStyle w:val="94"/>
                    <w:spacing w:line="240" w:lineRule="auto"/>
                    <w:ind w:firstLine="0" w:firstLineChars="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有组织</w:t>
                  </w:r>
                </w:p>
              </w:tc>
              <w:tc>
                <w:tcPr>
                  <w:tcW w:w="966" w:type="dxa"/>
                  <w:tcBorders>
                    <w:tl2br w:val="nil"/>
                    <w:tr2bl w:val="nil"/>
                  </w:tcBorders>
                  <w:noWrap w:val="0"/>
                  <w:vAlign w:val="center"/>
                </w:tcPr>
                <w:p w14:paraId="3C107E8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9.996</w:t>
                  </w:r>
                </w:p>
              </w:tc>
              <w:tc>
                <w:tcPr>
                  <w:tcW w:w="938" w:type="dxa"/>
                  <w:tcBorders>
                    <w:tl2br w:val="nil"/>
                    <w:tr2bl w:val="nil"/>
                  </w:tcBorders>
                  <w:noWrap w:val="0"/>
                  <w:vAlign w:val="center"/>
                </w:tcPr>
                <w:p w14:paraId="4C2506E9">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8.9964</w:t>
                  </w:r>
                </w:p>
              </w:tc>
              <w:tc>
                <w:tcPr>
                  <w:tcW w:w="1037" w:type="dxa"/>
                  <w:tcBorders>
                    <w:tl2br w:val="nil"/>
                    <w:tr2bl w:val="nil"/>
                  </w:tcBorders>
                  <w:noWrap w:val="0"/>
                  <w:vAlign w:val="center"/>
                </w:tcPr>
                <w:p w14:paraId="0465814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0.9996</w:t>
                  </w:r>
                </w:p>
              </w:tc>
              <w:tc>
                <w:tcPr>
                  <w:tcW w:w="1807" w:type="dxa"/>
                  <w:vMerge w:val="restart"/>
                  <w:tcBorders>
                    <w:tl2br w:val="nil"/>
                    <w:tr2bl w:val="nil"/>
                  </w:tcBorders>
                  <w:noWrap w:val="0"/>
                  <w:vAlign w:val="center"/>
                </w:tcPr>
                <w:p w14:paraId="7FBC15C9">
                  <w:pPr>
                    <w:pStyle w:val="94"/>
                    <w:spacing w:line="240" w:lineRule="auto"/>
                    <w:ind w:firstLine="0" w:firstLineChars="0"/>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rPr>
                    <w:t>调漆、喷漆、晾干废气收集后与打印废气一起经一套喷淋塔+UV光氧催化+活性炭吸附装置设施处理后通过一根15m高排气筒</w:t>
                  </w: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rPr>
                    <w:t>DA001</w:t>
                  </w: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rPr>
                    <w:t>排放</w:t>
                  </w:r>
                </w:p>
              </w:tc>
              <w:tc>
                <w:tcPr>
                  <w:tcW w:w="1110" w:type="dxa"/>
                  <w:vMerge w:val="restart"/>
                  <w:tcBorders>
                    <w:tl2br w:val="nil"/>
                    <w:tr2bl w:val="nil"/>
                  </w:tcBorders>
                  <w:noWrap w:val="0"/>
                  <w:vAlign w:val="center"/>
                </w:tcPr>
                <w:p w14:paraId="02A9799C">
                  <w:pPr>
                    <w:pStyle w:val="94"/>
                    <w:spacing w:line="240" w:lineRule="auto"/>
                    <w:ind w:firstLine="0" w:firstLineChars="0"/>
                    <w:rPr>
                      <w:rFonts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rPr>
                    <w:t>大气环境</w:t>
                  </w:r>
                </w:p>
              </w:tc>
            </w:tr>
            <w:tr w14:paraId="6F114983">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7853F970">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870" w:type="dxa"/>
                  <w:vMerge w:val="continue"/>
                  <w:tcBorders>
                    <w:tl2br w:val="nil"/>
                    <w:tr2bl w:val="nil"/>
                  </w:tcBorders>
                  <w:noWrap w:val="0"/>
                  <w:vAlign w:val="center"/>
                </w:tcPr>
                <w:p w14:paraId="3B47DCA8">
                  <w:pPr>
                    <w:pStyle w:val="11"/>
                    <w:keepNext w:val="0"/>
                    <w:keepLines w:val="0"/>
                    <w:pageBreakBefore w:val="0"/>
                    <w:kinsoku/>
                    <w:wordWrap/>
                    <w:overflowPunct/>
                    <w:topLinePunct w:val="0"/>
                    <w:autoSpaceDE/>
                    <w:autoSpaceDN/>
                    <w:bidi w:val="0"/>
                    <w:adjustRightInd/>
                    <w:spacing w:line="240" w:lineRule="auto"/>
                    <w:jc w:val="center"/>
                    <w:textAlignment w:val="auto"/>
                    <w:rPr>
                      <w:rFonts w:hint="eastAsia" w:cs="Times New Roman"/>
                      <w:b w:val="0"/>
                      <w:bCs w:val="0"/>
                      <w:color w:val="auto"/>
                      <w:spacing w:val="0"/>
                      <w:sz w:val="21"/>
                      <w:szCs w:val="21"/>
                      <w:highlight w:val="none"/>
                      <w:lang w:val="en-US" w:eastAsia="zh-CN"/>
                    </w:rPr>
                  </w:pPr>
                </w:p>
              </w:tc>
              <w:tc>
                <w:tcPr>
                  <w:tcW w:w="675" w:type="dxa"/>
                  <w:tcBorders>
                    <w:tl2br w:val="nil"/>
                    <w:tr2bl w:val="nil"/>
                  </w:tcBorders>
                  <w:shd w:val="clear" w:color="auto" w:fill="auto"/>
                  <w:noWrap w:val="0"/>
                  <w:vAlign w:val="center"/>
                </w:tcPr>
                <w:p w14:paraId="2E3B5A8E">
                  <w:pPr>
                    <w:pStyle w:val="94"/>
                    <w:spacing w:line="240" w:lineRule="auto"/>
                    <w:ind w:left="-63" w:leftChars="-30" w:right="-63" w:rightChars="-30" w:firstLine="0" w:firstLineChars="0"/>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甲苯</w:t>
                  </w:r>
                </w:p>
              </w:tc>
              <w:tc>
                <w:tcPr>
                  <w:tcW w:w="640" w:type="dxa"/>
                  <w:vMerge w:val="continue"/>
                  <w:tcBorders>
                    <w:tl2br w:val="nil"/>
                    <w:tr2bl w:val="nil"/>
                  </w:tcBorders>
                  <w:noWrap w:val="0"/>
                  <w:vAlign w:val="center"/>
                </w:tcPr>
                <w:p w14:paraId="3070AB62">
                  <w:pPr>
                    <w:pStyle w:val="94"/>
                    <w:spacing w:line="240" w:lineRule="auto"/>
                    <w:ind w:firstLine="0" w:firstLineChars="0"/>
                    <w:rPr>
                      <w:rFonts w:hint="eastAsia" w:ascii="Times New Roman" w:hAnsi="Times New Roman" w:eastAsia="宋体" w:cs="Times New Roman"/>
                      <w:b w:val="0"/>
                      <w:bCs/>
                      <w:color w:val="auto"/>
                      <w:sz w:val="21"/>
                      <w:szCs w:val="21"/>
                      <w:highlight w:val="none"/>
                      <w:lang w:val="en-US" w:eastAsia="zh-CN"/>
                    </w:rPr>
                  </w:pPr>
                </w:p>
              </w:tc>
              <w:tc>
                <w:tcPr>
                  <w:tcW w:w="966" w:type="dxa"/>
                  <w:tcBorders>
                    <w:tl2br w:val="nil"/>
                    <w:tr2bl w:val="nil"/>
                  </w:tcBorders>
                  <w:noWrap w:val="0"/>
                  <w:vAlign w:val="center"/>
                </w:tcPr>
                <w:p w14:paraId="10C6BF3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0.324</w:t>
                  </w:r>
                </w:p>
              </w:tc>
              <w:tc>
                <w:tcPr>
                  <w:tcW w:w="938" w:type="dxa"/>
                  <w:tcBorders>
                    <w:tl2br w:val="nil"/>
                    <w:tr2bl w:val="nil"/>
                  </w:tcBorders>
                  <w:noWrap w:val="0"/>
                  <w:vAlign w:val="center"/>
                </w:tcPr>
                <w:p w14:paraId="4BED038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0.2916</w:t>
                  </w:r>
                </w:p>
              </w:tc>
              <w:tc>
                <w:tcPr>
                  <w:tcW w:w="1037" w:type="dxa"/>
                  <w:tcBorders>
                    <w:tl2br w:val="nil"/>
                    <w:tr2bl w:val="nil"/>
                  </w:tcBorders>
                  <w:noWrap w:val="0"/>
                  <w:vAlign w:val="center"/>
                </w:tcPr>
                <w:p w14:paraId="6CED1F2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0.0324</w:t>
                  </w:r>
                </w:p>
              </w:tc>
              <w:tc>
                <w:tcPr>
                  <w:tcW w:w="1807" w:type="dxa"/>
                  <w:vMerge w:val="continue"/>
                  <w:tcBorders>
                    <w:tl2br w:val="nil"/>
                    <w:tr2bl w:val="nil"/>
                  </w:tcBorders>
                  <w:noWrap w:val="0"/>
                  <w:vAlign w:val="center"/>
                </w:tcPr>
                <w:p w14:paraId="375F9309">
                  <w:pPr>
                    <w:pStyle w:val="94"/>
                    <w:spacing w:line="240" w:lineRule="auto"/>
                    <w:ind w:firstLine="0" w:firstLineChars="0"/>
                    <w:rPr>
                      <w:rFonts w:hint="eastAsia" w:ascii="Times New Roman" w:hAnsi="Times New Roman" w:eastAsia="宋体" w:cs="Times New Roman"/>
                      <w:b w:val="0"/>
                      <w:bCs/>
                      <w:color w:val="auto"/>
                      <w:sz w:val="21"/>
                      <w:szCs w:val="21"/>
                      <w:highlight w:val="none"/>
                    </w:rPr>
                  </w:pPr>
                </w:p>
              </w:tc>
              <w:tc>
                <w:tcPr>
                  <w:tcW w:w="1110" w:type="dxa"/>
                  <w:vMerge w:val="continue"/>
                  <w:tcBorders>
                    <w:tl2br w:val="nil"/>
                    <w:tr2bl w:val="nil"/>
                  </w:tcBorders>
                  <w:noWrap w:val="0"/>
                  <w:vAlign w:val="center"/>
                </w:tcPr>
                <w:p w14:paraId="78CB17A4">
                  <w:pPr>
                    <w:pStyle w:val="94"/>
                    <w:spacing w:line="240" w:lineRule="auto"/>
                    <w:ind w:firstLine="0" w:firstLineChars="0"/>
                    <w:rPr>
                      <w:rFonts w:hint="eastAsia" w:ascii="Times New Roman" w:hAnsi="Times New Roman" w:eastAsia="宋体" w:cs="Times New Roman"/>
                      <w:b w:val="0"/>
                      <w:bCs/>
                      <w:color w:val="auto"/>
                      <w:sz w:val="21"/>
                      <w:szCs w:val="21"/>
                      <w:highlight w:val="none"/>
                    </w:rPr>
                  </w:pPr>
                </w:p>
              </w:tc>
            </w:tr>
            <w:tr w14:paraId="76BACCE1">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7EF1CD93">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870" w:type="dxa"/>
                  <w:vMerge w:val="continue"/>
                  <w:tcBorders>
                    <w:tl2br w:val="nil"/>
                    <w:tr2bl w:val="nil"/>
                  </w:tcBorders>
                  <w:noWrap w:val="0"/>
                  <w:vAlign w:val="center"/>
                </w:tcPr>
                <w:p w14:paraId="7EC08DBF">
                  <w:pPr>
                    <w:pStyle w:val="11"/>
                    <w:keepNext w:val="0"/>
                    <w:keepLines w:val="0"/>
                    <w:pageBreakBefore w:val="0"/>
                    <w:kinsoku/>
                    <w:wordWrap/>
                    <w:overflowPunct/>
                    <w:topLinePunct w:val="0"/>
                    <w:autoSpaceDE/>
                    <w:autoSpaceDN/>
                    <w:bidi w:val="0"/>
                    <w:adjustRightInd/>
                    <w:spacing w:line="240" w:lineRule="auto"/>
                    <w:jc w:val="center"/>
                    <w:textAlignment w:val="auto"/>
                    <w:rPr>
                      <w:rFonts w:hint="eastAsia" w:cs="Times New Roman"/>
                      <w:b w:val="0"/>
                      <w:bCs w:val="0"/>
                      <w:color w:val="auto"/>
                      <w:spacing w:val="0"/>
                      <w:sz w:val="21"/>
                      <w:szCs w:val="21"/>
                      <w:highlight w:val="none"/>
                      <w:lang w:val="en-US" w:eastAsia="zh-CN"/>
                    </w:rPr>
                  </w:pPr>
                </w:p>
              </w:tc>
              <w:tc>
                <w:tcPr>
                  <w:tcW w:w="675" w:type="dxa"/>
                  <w:tcBorders>
                    <w:tl2br w:val="nil"/>
                    <w:tr2bl w:val="nil"/>
                  </w:tcBorders>
                  <w:shd w:val="clear" w:color="auto" w:fill="auto"/>
                  <w:noWrap w:val="0"/>
                  <w:vAlign w:val="center"/>
                </w:tcPr>
                <w:p w14:paraId="7FF56964">
                  <w:pPr>
                    <w:pStyle w:val="94"/>
                    <w:spacing w:line="240" w:lineRule="auto"/>
                    <w:ind w:left="-63" w:leftChars="-30" w:right="-63" w:rightChars="-30" w:firstLine="0" w:firstLineChars="0"/>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二甲苯</w:t>
                  </w:r>
                </w:p>
              </w:tc>
              <w:tc>
                <w:tcPr>
                  <w:tcW w:w="640" w:type="dxa"/>
                  <w:vMerge w:val="continue"/>
                  <w:tcBorders>
                    <w:tl2br w:val="nil"/>
                    <w:tr2bl w:val="nil"/>
                  </w:tcBorders>
                  <w:noWrap w:val="0"/>
                  <w:vAlign w:val="center"/>
                </w:tcPr>
                <w:p w14:paraId="34E78D25">
                  <w:pPr>
                    <w:pStyle w:val="94"/>
                    <w:spacing w:line="240" w:lineRule="auto"/>
                    <w:ind w:firstLine="0" w:firstLineChars="0"/>
                    <w:rPr>
                      <w:rFonts w:hint="eastAsia" w:ascii="Times New Roman" w:hAnsi="Times New Roman" w:eastAsia="宋体" w:cs="Times New Roman"/>
                      <w:b w:val="0"/>
                      <w:bCs/>
                      <w:color w:val="auto"/>
                      <w:sz w:val="21"/>
                      <w:szCs w:val="21"/>
                      <w:highlight w:val="none"/>
                      <w:lang w:val="en-US" w:eastAsia="zh-CN"/>
                    </w:rPr>
                  </w:pPr>
                </w:p>
              </w:tc>
              <w:tc>
                <w:tcPr>
                  <w:tcW w:w="966" w:type="dxa"/>
                  <w:tcBorders>
                    <w:tl2br w:val="nil"/>
                    <w:tr2bl w:val="nil"/>
                  </w:tcBorders>
                  <w:noWrap w:val="0"/>
                  <w:vAlign w:val="center"/>
                </w:tcPr>
                <w:p w14:paraId="4BE73888">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0.84</w:t>
                  </w:r>
                </w:p>
              </w:tc>
              <w:tc>
                <w:tcPr>
                  <w:tcW w:w="938" w:type="dxa"/>
                  <w:tcBorders>
                    <w:tl2br w:val="nil"/>
                    <w:tr2bl w:val="nil"/>
                  </w:tcBorders>
                  <w:noWrap w:val="0"/>
                  <w:vAlign w:val="center"/>
                </w:tcPr>
                <w:p w14:paraId="7526F91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0.756</w:t>
                  </w:r>
                </w:p>
              </w:tc>
              <w:tc>
                <w:tcPr>
                  <w:tcW w:w="1037" w:type="dxa"/>
                  <w:tcBorders>
                    <w:tl2br w:val="nil"/>
                    <w:tr2bl w:val="nil"/>
                  </w:tcBorders>
                  <w:noWrap w:val="0"/>
                  <w:vAlign w:val="center"/>
                </w:tcPr>
                <w:p w14:paraId="345EF6D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0.084</w:t>
                  </w:r>
                </w:p>
              </w:tc>
              <w:tc>
                <w:tcPr>
                  <w:tcW w:w="1807" w:type="dxa"/>
                  <w:vMerge w:val="continue"/>
                  <w:tcBorders>
                    <w:tl2br w:val="nil"/>
                    <w:tr2bl w:val="nil"/>
                  </w:tcBorders>
                  <w:noWrap w:val="0"/>
                  <w:vAlign w:val="center"/>
                </w:tcPr>
                <w:p w14:paraId="2690BB09">
                  <w:pPr>
                    <w:pStyle w:val="94"/>
                    <w:spacing w:line="240" w:lineRule="auto"/>
                    <w:ind w:firstLine="0" w:firstLineChars="0"/>
                    <w:rPr>
                      <w:rFonts w:hint="eastAsia" w:ascii="Times New Roman" w:hAnsi="Times New Roman" w:eastAsia="宋体" w:cs="Times New Roman"/>
                      <w:b w:val="0"/>
                      <w:bCs/>
                      <w:color w:val="auto"/>
                      <w:sz w:val="21"/>
                      <w:szCs w:val="21"/>
                      <w:highlight w:val="none"/>
                    </w:rPr>
                  </w:pPr>
                </w:p>
              </w:tc>
              <w:tc>
                <w:tcPr>
                  <w:tcW w:w="1110" w:type="dxa"/>
                  <w:vMerge w:val="continue"/>
                  <w:tcBorders>
                    <w:tl2br w:val="nil"/>
                    <w:tr2bl w:val="nil"/>
                  </w:tcBorders>
                  <w:noWrap w:val="0"/>
                  <w:vAlign w:val="center"/>
                </w:tcPr>
                <w:p w14:paraId="2EC5EF8C">
                  <w:pPr>
                    <w:pStyle w:val="94"/>
                    <w:spacing w:line="240" w:lineRule="auto"/>
                    <w:ind w:firstLine="0" w:firstLineChars="0"/>
                    <w:rPr>
                      <w:rFonts w:hint="eastAsia" w:ascii="Times New Roman" w:hAnsi="Times New Roman" w:eastAsia="宋体" w:cs="Times New Roman"/>
                      <w:b w:val="0"/>
                      <w:bCs/>
                      <w:color w:val="auto"/>
                      <w:sz w:val="21"/>
                      <w:szCs w:val="21"/>
                      <w:highlight w:val="none"/>
                    </w:rPr>
                  </w:pPr>
                </w:p>
              </w:tc>
            </w:tr>
            <w:tr w14:paraId="3B3F0624">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7F50056C">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870" w:type="dxa"/>
                  <w:vMerge w:val="continue"/>
                  <w:tcBorders>
                    <w:tl2br w:val="nil"/>
                    <w:tr2bl w:val="nil"/>
                  </w:tcBorders>
                  <w:noWrap w:val="0"/>
                  <w:vAlign w:val="center"/>
                </w:tcPr>
                <w:p w14:paraId="5E94673D">
                  <w:pPr>
                    <w:pStyle w:val="11"/>
                    <w:keepNext w:val="0"/>
                    <w:keepLines w:val="0"/>
                    <w:pageBreakBefore w:val="0"/>
                    <w:kinsoku/>
                    <w:wordWrap/>
                    <w:overflowPunct/>
                    <w:topLinePunct w:val="0"/>
                    <w:autoSpaceDE/>
                    <w:autoSpaceDN/>
                    <w:bidi w:val="0"/>
                    <w:adjustRightInd/>
                    <w:spacing w:line="240" w:lineRule="auto"/>
                    <w:jc w:val="center"/>
                    <w:textAlignment w:val="auto"/>
                    <w:rPr>
                      <w:rFonts w:hint="eastAsia" w:cs="Times New Roman"/>
                      <w:b w:val="0"/>
                      <w:bCs w:val="0"/>
                      <w:color w:val="auto"/>
                      <w:spacing w:val="0"/>
                      <w:sz w:val="21"/>
                      <w:szCs w:val="21"/>
                      <w:highlight w:val="none"/>
                      <w:lang w:val="en-US" w:eastAsia="zh-CN"/>
                    </w:rPr>
                  </w:pPr>
                </w:p>
              </w:tc>
              <w:tc>
                <w:tcPr>
                  <w:tcW w:w="675" w:type="dxa"/>
                  <w:tcBorders>
                    <w:tl2br w:val="nil"/>
                    <w:tr2bl w:val="nil"/>
                  </w:tcBorders>
                  <w:shd w:val="clear" w:color="auto" w:fill="auto"/>
                  <w:noWrap w:val="0"/>
                  <w:vAlign w:val="center"/>
                </w:tcPr>
                <w:p w14:paraId="288DB239">
                  <w:pPr>
                    <w:pStyle w:val="94"/>
                    <w:spacing w:line="240" w:lineRule="auto"/>
                    <w:ind w:left="-63" w:leftChars="-30" w:right="-63" w:rightChars="-30" w:firstLine="0" w:firstLineChars="0"/>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非甲烷总烃</w:t>
                  </w:r>
                </w:p>
              </w:tc>
              <w:tc>
                <w:tcPr>
                  <w:tcW w:w="640" w:type="dxa"/>
                  <w:vMerge w:val="continue"/>
                  <w:tcBorders>
                    <w:tl2br w:val="nil"/>
                    <w:tr2bl w:val="nil"/>
                  </w:tcBorders>
                  <w:noWrap w:val="0"/>
                  <w:vAlign w:val="center"/>
                </w:tcPr>
                <w:p w14:paraId="206AEA1C">
                  <w:pPr>
                    <w:pStyle w:val="94"/>
                    <w:spacing w:line="240" w:lineRule="auto"/>
                    <w:ind w:firstLine="0" w:firstLineChars="0"/>
                    <w:rPr>
                      <w:rFonts w:hint="eastAsia" w:ascii="Times New Roman" w:hAnsi="Times New Roman" w:eastAsia="宋体" w:cs="Times New Roman"/>
                      <w:b w:val="0"/>
                      <w:bCs/>
                      <w:color w:val="auto"/>
                      <w:sz w:val="21"/>
                      <w:szCs w:val="21"/>
                      <w:highlight w:val="none"/>
                      <w:lang w:val="en-US" w:eastAsia="zh-CN"/>
                    </w:rPr>
                  </w:pPr>
                </w:p>
              </w:tc>
              <w:tc>
                <w:tcPr>
                  <w:tcW w:w="966" w:type="dxa"/>
                  <w:tcBorders>
                    <w:tl2br w:val="nil"/>
                    <w:tr2bl w:val="nil"/>
                  </w:tcBorders>
                  <w:noWrap w:val="0"/>
                  <w:vAlign w:val="center"/>
                </w:tcPr>
                <w:p w14:paraId="15DE7FA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6.336</w:t>
                  </w:r>
                </w:p>
              </w:tc>
              <w:tc>
                <w:tcPr>
                  <w:tcW w:w="938" w:type="dxa"/>
                  <w:tcBorders>
                    <w:tl2br w:val="nil"/>
                    <w:tr2bl w:val="nil"/>
                  </w:tcBorders>
                  <w:noWrap w:val="0"/>
                  <w:vAlign w:val="center"/>
                </w:tcPr>
                <w:p w14:paraId="68C81488">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5.7024</w:t>
                  </w:r>
                </w:p>
              </w:tc>
              <w:tc>
                <w:tcPr>
                  <w:tcW w:w="1037" w:type="dxa"/>
                  <w:tcBorders>
                    <w:tl2br w:val="nil"/>
                    <w:tr2bl w:val="nil"/>
                  </w:tcBorders>
                  <w:noWrap w:val="0"/>
                  <w:vAlign w:val="center"/>
                </w:tcPr>
                <w:p w14:paraId="3511E098">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0.6336</w:t>
                  </w:r>
                </w:p>
              </w:tc>
              <w:tc>
                <w:tcPr>
                  <w:tcW w:w="1807" w:type="dxa"/>
                  <w:vMerge w:val="continue"/>
                  <w:tcBorders>
                    <w:tl2br w:val="nil"/>
                    <w:tr2bl w:val="nil"/>
                  </w:tcBorders>
                  <w:noWrap w:val="0"/>
                  <w:vAlign w:val="center"/>
                </w:tcPr>
                <w:p w14:paraId="37B5A5C0">
                  <w:pPr>
                    <w:pStyle w:val="94"/>
                    <w:spacing w:line="240" w:lineRule="auto"/>
                    <w:ind w:firstLine="0" w:firstLineChars="0"/>
                    <w:rPr>
                      <w:rFonts w:hint="eastAsia" w:ascii="Times New Roman" w:hAnsi="Times New Roman" w:eastAsia="宋体" w:cs="Times New Roman"/>
                      <w:b w:val="0"/>
                      <w:bCs/>
                      <w:color w:val="auto"/>
                      <w:sz w:val="21"/>
                      <w:szCs w:val="21"/>
                      <w:highlight w:val="none"/>
                    </w:rPr>
                  </w:pPr>
                </w:p>
              </w:tc>
              <w:tc>
                <w:tcPr>
                  <w:tcW w:w="1110" w:type="dxa"/>
                  <w:vMerge w:val="continue"/>
                  <w:tcBorders>
                    <w:tl2br w:val="nil"/>
                    <w:tr2bl w:val="nil"/>
                  </w:tcBorders>
                  <w:noWrap w:val="0"/>
                  <w:vAlign w:val="center"/>
                </w:tcPr>
                <w:p w14:paraId="6959B568">
                  <w:pPr>
                    <w:pStyle w:val="94"/>
                    <w:spacing w:line="240" w:lineRule="auto"/>
                    <w:ind w:firstLine="0" w:firstLineChars="0"/>
                    <w:rPr>
                      <w:rFonts w:hint="eastAsia" w:ascii="Times New Roman" w:hAnsi="Times New Roman" w:eastAsia="宋体" w:cs="Times New Roman"/>
                      <w:b w:val="0"/>
                      <w:bCs/>
                      <w:color w:val="auto"/>
                      <w:sz w:val="21"/>
                      <w:szCs w:val="21"/>
                      <w:highlight w:val="none"/>
                    </w:rPr>
                  </w:pPr>
                </w:p>
              </w:tc>
            </w:tr>
            <w:tr w14:paraId="24A28C9F">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16237CD3">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870" w:type="dxa"/>
                  <w:vMerge w:val="continue"/>
                  <w:tcBorders>
                    <w:tl2br w:val="nil"/>
                    <w:tr2bl w:val="nil"/>
                  </w:tcBorders>
                  <w:noWrap w:val="0"/>
                  <w:vAlign w:val="center"/>
                </w:tcPr>
                <w:p w14:paraId="01306B41">
                  <w:pPr>
                    <w:pStyle w:val="11"/>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val="0"/>
                      <w:color w:val="auto"/>
                      <w:spacing w:val="0"/>
                      <w:sz w:val="21"/>
                      <w:szCs w:val="21"/>
                      <w:highlight w:val="none"/>
                      <w:lang w:val="en-US" w:eastAsia="zh-CN"/>
                    </w:rPr>
                  </w:pPr>
                </w:p>
              </w:tc>
              <w:tc>
                <w:tcPr>
                  <w:tcW w:w="675" w:type="dxa"/>
                  <w:tcBorders>
                    <w:tl2br w:val="nil"/>
                    <w:tr2bl w:val="nil"/>
                  </w:tcBorders>
                  <w:noWrap w:val="0"/>
                  <w:vAlign w:val="center"/>
                </w:tcPr>
                <w:p w14:paraId="37E1A13F">
                  <w:pPr>
                    <w:pStyle w:val="94"/>
                    <w:spacing w:line="240" w:lineRule="auto"/>
                    <w:ind w:left="-63" w:leftChars="-30" w:right="-63" w:rightChars="-30" w:firstLine="0" w:firstLineChars="0"/>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颗粒物</w:t>
                  </w:r>
                </w:p>
              </w:tc>
              <w:tc>
                <w:tcPr>
                  <w:tcW w:w="640" w:type="dxa"/>
                  <w:vMerge w:val="restart"/>
                  <w:tcBorders>
                    <w:tl2br w:val="nil"/>
                    <w:tr2bl w:val="nil"/>
                  </w:tcBorders>
                  <w:noWrap w:val="0"/>
                  <w:vAlign w:val="center"/>
                </w:tcPr>
                <w:p w14:paraId="0E640827">
                  <w:pPr>
                    <w:pStyle w:val="94"/>
                    <w:spacing w:line="240" w:lineRule="auto"/>
                    <w:ind w:firstLine="0" w:firstLineChars="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无组织</w:t>
                  </w:r>
                </w:p>
              </w:tc>
              <w:tc>
                <w:tcPr>
                  <w:tcW w:w="966" w:type="dxa"/>
                  <w:tcBorders>
                    <w:tl2br w:val="nil"/>
                    <w:tr2bl w:val="nil"/>
                  </w:tcBorders>
                  <w:noWrap w:val="0"/>
                  <w:vAlign w:val="center"/>
                </w:tcPr>
                <w:p w14:paraId="5214E67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1.1107</w:t>
                  </w:r>
                </w:p>
              </w:tc>
              <w:tc>
                <w:tcPr>
                  <w:tcW w:w="938" w:type="dxa"/>
                  <w:tcBorders>
                    <w:tl2br w:val="nil"/>
                    <w:tr2bl w:val="nil"/>
                  </w:tcBorders>
                  <w:noWrap w:val="0"/>
                  <w:vAlign w:val="center"/>
                </w:tcPr>
                <w:p w14:paraId="16E5562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37" w:type="dxa"/>
                  <w:tcBorders>
                    <w:tl2br w:val="nil"/>
                    <w:tr2bl w:val="nil"/>
                  </w:tcBorders>
                  <w:noWrap w:val="0"/>
                  <w:vAlign w:val="center"/>
                </w:tcPr>
                <w:p w14:paraId="4D004A1C">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1.1107</w:t>
                  </w:r>
                </w:p>
              </w:tc>
              <w:tc>
                <w:tcPr>
                  <w:tcW w:w="1807" w:type="dxa"/>
                  <w:vMerge w:val="restart"/>
                  <w:tcBorders>
                    <w:tl2br w:val="nil"/>
                    <w:tr2bl w:val="nil"/>
                  </w:tcBorders>
                  <w:noWrap w:val="0"/>
                  <w:vAlign w:val="center"/>
                </w:tcPr>
                <w:p w14:paraId="6F249580">
                  <w:pPr>
                    <w:pStyle w:val="94"/>
                    <w:spacing w:line="240" w:lineRule="auto"/>
                    <w:ind w:firstLine="0" w:firstLineChars="0"/>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1110" w:type="dxa"/>
                  <w:vMerge w:val="continue"/>
                  <w:tcBorders>
                    <w:tl2br w:val="nil"/>
                    <w:tr2bl w:val="nil"/>
                  </w:tcBorders>
                  <w:noWrap w:val="0"/>
                  <w:vAlign w:val="center"/>
                </w:tcPr>
                <w:p w14:paraId="462739F6">
                  <w:pPr>
                    <w:pStyle w:val="94"/>
                    <w:spacing w:line="240" w:lineRule="auto"/>
                    <w:ind w:firstLine="0" w:firstLineChars="0"/>
                    <w:rPr>
                      <w:rFonts w:hint="eastAsia" w:ascii="Times New Roman" w:hAnsi="Times New Roman" w:eastAsia="宋体" w:cs="Times New Roman"/>
                      <w:b w:val="0"/>
                      <w:bCs/>
                      <w:color w:val="auto"/>
                      <w:sz w:val="21"/>
                      <w:szCs w:val="21"/>
                      <w:highlight w:val="none"/>
                    </w:rPr>
                  </w:pPr>
                </w:p>
              </w:tc>
            </w:tr>
            <w:tr w14:paraId="36D16833">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421C2750">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870" w:type="dxa"/>
                  <w:vMerge w:val="continue"/>
                  <w:tcBorders>
                    <w:tl2br w:val="nil"/>
                    <w:tr2bl w:val="nil"/>
                  </w:tcBorders>
                  <w:noWrap w:val="0"/>
                  <w:vAlign w:val="center"/>
                </w:tcPr>
                <w:p w14:paraId="1DC40080">
                  <w:pPr>
                    <w:pStyle w:val="11"/>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val="0"/>
                      <w:color w:val="auto"/>
                      <w:spacing w:val="0"/>
                      <w:sz w:val="21"/>
                      <w:szCs w:val="21"/>
                      <w:highlight w:val="none"/>
                      <w:lang w:val="en-US" w:eastAsia="zh-CN"/>
                    </w:rPr>
                  </w:pPr>
                </w:p>
              </w:tc>
              <w:tc>
                <w:tcPr>
                  <w:tcW w:w="675" w:type="dxa"/>
                  <w:tcBorders>
                    <w:tl2br w:val="nil"/>
                    <w:tr2bl w:val="nil"/>
                  </w:tcBorders>
                  <w:noWrap w:val="0"/>
                  <w:vAlign w:val="center"/>
                </w:tcPr>
                <w:p w14:paraId="45ECD130">
                  <w:pPr>
                    <w:pStyle w:val="94"/>
                    <w:spacing w:line="240" w:lineRule="auto"/>
                    <w:ind w:left="-63" w:leftChars="-30" w:right="-63" w:rightChars="-30" w:firstLine="0" w:firstLineChars="0"/>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甲苯</w:t>
                  </w:r>
                </w:p>
              </w:tc>
              <w:tc>
                <w:tcPr>
                  <w:tcW w:w="640" w:type="dxa"/>
                  <w:vMerge w:val="continue"/>
                  <w:tcBorders>
                    <w:tl2br w:val="nil"/>
                    <w:tr2bl w:val="nil"/>
                  </w:tcBorders>
                  <w:noWrap w:val="0"/>
                  <w:vAlign w:val="center"/>
                </w:tcPr>
                <w:p w14:paraId="385DAB77">
                  <w:pPr>
                    <w:pStyle w:val="94"/>
                    <w:spacing w:line="240" w:lineRule="auto"/>
                    <w:ind w:firstLine="0" w:firstLineChars="0"/>
                    <w:rPr>
                      <w:rFonts w:hint="eastAsia" w:ascii="Times New Roman" w:hAnsi="Times New Roman" w:eastAsia="宋体" w:cs="Times New Roman"/>
                      <w:b w:val="0"/>
                      <w:bCs/>
                      <w:color w:val="auto"/>
                      <w:sz w:val="21"/>
                      <w:szCs w:val="21"/>
                      <w:highlight w:val="none"/>
                      <w:lang w:val="en-US" w:eastAsia="zh-CN"/>
                    </w:rPr>
                  </w:pPr>
                </w:p>
              </w:tc>
              <w:tc>
                <w:tcPr>
                  <w:tcW w:w="966" w:type="dxa"/>
                  <w:tcBorders>
                    <w:tl2br w:val="nil"/>
                    <w:tr2bl w:val="nil"/>
                  </w:tcBorders>
                  <w:noWrap w:val="0"/>
                  <w:vAlign w:val="center"/>
                </w:tcPr>
                <w:p w14:paraId="7119EAB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0.036</w:t>
                  </w:r>
                </w:p>
              </w:tc>
              <w:tc>
                <w:tcPr>
                  <w:tcW w:w="938" w:type="dxa"/>
                  <w:tcBorders>
                    <w:tl2br w:val="nil"/>
                    <w:tr2bl w:val="nil"/>
                  </w:tcBorders>
                  <w:noWrap w:val="0"/>
                  <w:vAlign w:val="center"/>
                </w:tcPr>
                <w:p w14:paraId="2EC057B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37" w:type="dxa"/>
                  <w:tcBorders>
                    <w:tl2br w:val="nil"/>
                    <w:tr2bl w:val="nil"/>
                  </w:tcBorders>
                  <w:noWrap w:val="0"/>
                  <w:vAlign w:val="center"/>
                </w:tcPr>
                <w:p w14:paraId="7E117BE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0.036</w:t>
                  </w:r>
                </w:p>
              </w:tc>
              <w:tc>
                <w:tcPr>
                  <w:tcW w:w="1807" w:type="dxa"/>
                  <w:vMerge w:val="continue"/>
                  <w:tcBorders>
                    <w:tl2br w:val="nil"/>
                    <w:tr2bl w:val="nil"/>
                  </w:tcBorders>
                  <w:noWrap w:val="0"/>
                  <w:vAlign w:val="center"/>
                </w:tcPr>
                <w:p w14:paraId="635C6907">
                  <w:pPr>
                    <w:pStyle w:val="94"/>
                    <w:spacing w:line="240" w:lineRule="auto"/>
                    <w:ind w:firstLine="0" w:firstLineChars="0"/>
                    <w:rPr>
                      <w:rFonts w:hint="eastAsia" w:ascii="Times New Roman" w:hAnsi="Times New Roman" w:eastAsia="宋体" w:cs="Times New Roman"/>
                      <w:b w:val="0"/>
                      <w:bCs/>
                      <w:color w:val="auto"/>
                      <w:sz w:val="21"/>
                      <w:szCs w:val="21"/>
                      <w:highlight w:val="none"/>
                      <w:lang w:val="en-US" w:eastAsia="zh-CN"/>
                    </w:rPr>
                  </w:pPr>
                </w:p>
              </w:tc>
              <w:tc>
                <w:tcPr>
                  <w:tcW w:w="1110" w:type="dxa"/>
                  <w:vMerge w:val="continue"/>
                  <w:tcBorders>
                    <w:tl2br w:val="nil"/>
                    <w:tr2bl w:val="nil"/>
                  </w:tcBorders>
                  <w:noWrap w:val="0"/>
                  <w:vAlign w:val="center"/>
                </w:tcPr>
                <w:p w14:paraId="6E2816F5">
                  <w:pPr>
                    <w:pStyle w:val="94"/>
                    <w:spacing w:line="240" w:lineRule="auto"/>
                    <w:ind w:firstLine="0" w:firstLineChars="0"/>
                    <w:rPr>
                      <w:rFonts w:hint="eastAsia" w:ascii="Times New Roman" w:hAnsi="Times New Roman" w:eastAsia="宋体" w:cs="Times New Roman"/>
                      <w:b w:val="0"/>
                      <w:bCs/>
                      <w:color w:val="auto"/>
                      <w:sz w:val="21"/>
                      <w:szCs w:val="21"/>
                      <w:highlight w:val="none"/>
                    </w:rPr>
                  </w:pPr>
                </w:p>
              </w:tc>
            </w:tr>
            <w:tr w14:paraId="77EF73EA">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09E5295A">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870" w:type="dxa"/>
                  <w:vMerge w:val="continue"/>
                  <w:tcBorders>
                    <w:tl2br w:val="nil"/>
                    <w:tr2bl w:val="nil"/>
                  </w:tcBorders>
                  <w:noWrap w:val="0"/>
                  <w:vAlign w:val="center"/>
                </w:tcPr>
                <w:p w14:paraId="19FB21C0">
                  <w:pPr>
                    <w:pStyle w:val="11"/>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val="0"/>
                      <w:color w:val="auto"/>
                      <w:spacing w:val="0"/>
                      <w:sz w:val="21"/>
                      <w:szCs w:val="21"/>
                      <w:highlight w:val="none"/>
                      <w:lang w:val="en-US" w:eastAsia="zh-CN"/>
                    </w:rPr>
                  </w:pPr>
                </w:p>
              </w:tc>
              <w:tc>
                <w:tcPr>
                  <w:tcW w:w="675" w:type="dxa"/>
                  <w:tcBorders>
                    <w:tl2br w:val="nil"/>
                    <w:tr2bl w:val="nil"/>
                  </w:tcBorders>
                  <w:noWrap w:val="0"/>
                  <w:vAlign w:val="center"/>
                </w:tcPr>
                <w:p w14:paraId="6AAD42F2">
                  <w:pPr>
                    <w:pStyle w:val="94"/>
                    <w:spacing w:line="240" w:lineRule="auto"/>
                    <w:ind w:left="-63" w:leftChars="-30" w:right="-63" w:rightChars="-30" w:firstLine="0" w:firstLineChars="0"/>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二甲苯</w:t>
                  </w:r>
                </w:p>
              </w:tc>
              <w:tc>
                <w:tcPr>
                  <w:tcW w:w="640" w:type="dxa"/>
                  <w:vMerge w:val="continue"/>
                  <w:tcBorders>
                    <w:tl2br w:val="nil"/>
                    <w:tr2bl w:val="nil"/>
                  </w:tcBorders>
                  <w:noWrap w:val="0"/>
                  <w:vAlign w:val="center"/>
                </w:tcPr>
                <w:p w14:paraId="4B22B724">
                  <w:pPr>
                    <w:pStyle w:val="94"/>
                    <w:spacing w:line="240" w:lineRule="auto"/>
                    <w:ind w:firstLine="0" w:firstLineChars="0"/>
                    <w:rPr>
                      <w:rFonts w:hint="eastAsia" w:ascii="Times New Roman" w:hAnsi="Times New Roman" w:eastAsia="宋体" w:cs="Times New Roman"/>
                      <w:b w:val="0"/>
                      <w:bCs/>
                      <w:color w:val="auto"/>
                      <w:sz w:val="21"/>
                      <w:szCs w:val="21"/>
                      <w:highlight w:val="none"/>
                      <w:lang w:val="en-US" w:eastAsia="zh-CN"/>
                    </w:rPr>
                  </w:pPr>
                </w:p>
              </w:tc>
              <w:tc>
                <w:tcPr>
                  <w:tcW w:w="966" w:type="dxa"/>
                  <w:tcBorders>
                    <w:tl2br w:val="nil"/>
                    <w:tr2bl w:val="nil"/>
                  </w:tcBorders>
                  <w:noWrap w:val="0"/>
                  <w:vAlign w:val="center"/>
                </w:tcPr>
                <w:p w14:paraId="2D2416F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0.0933</w:t>
                  </w:r>
                </w:p>
              </w:tc>
              <w:tc>
                <w:tcPr>
                  <w:tcW w:w="938" w:type="dxa"/>
                  <w:tcBorders>
                    <w:tl2br w:val="nil"/>
                    <w:tr2bl w:val="nil"/>
                  </w:tcBorders>
                  <w:noWrap w:val="0"/>
                  <w:vAlign w:val="center"/>
                </w:tcPr>
                <w:p w14:paraId="52E0047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37" w:type="dxa"/>
                  <w:tcBorders>
                    <w:tl2br w:val="nil"/>
                    <w:tr2bl w:val="nil"/>
                  </w:tcBorders>
                  <w:noWrap w:val="0"/>
                  <w:vAlign w:val="center"/>
                </w:tcPr>
                <w:p w14:paraId="17BCA56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0.0933</w:t>
                  </w:r>
                </w:p>
              </w:tc>
              <w:tc>
                <w:tcPr>
                  <w:tcW w:w="1807" w:type="dxa"/>
                  <w:vMerge w:val="continue"/>
                  <w:tcBorders>
                    <w:tl2br w:val="nil"/>
                    <w:tr2bl w:val="nil"/>
                  </w:tcBorders>
                  <w:noWrap w:val="0"/>
                  <w:vAlign w:val="center"/>
                </w:tcPr>
                <w:p w14:paraId="65D63205">
                  <w:pPr>
                    <w:pStyle w:val="94"/>
                    <w:spacing w:line="240" w:lineRule="auto"/>
                    <w:ind w:firstLine="0" w:firstLineChars="0"/>
                    <w:rPr>
                      <w:rFonts w:hint="eastAsia" w:ascii="Times New Roman" w:hAnsi="Times New Roman" w:eastAsia="宋体" w:cs="Times New Roman"/>
                      <w:b w:val="0"/>
                      <w:bCs/>
                      <w:color w:val="auto"/>
                      <w:sz w:val="21"/>
                      <w:szCs w:val="21"/>
                      <w:highlight w:val="none"/>
                      <w:lang w:val="en-US" w:eastAsia="zh-CN"/>
                    </w:rPr>
                  </w:pPr>
                </w:p>
              </w:tc>
              <w:tc>
                <w:tcPr>
                  <w:tcW w:w="1110" w:type="dxa"/>
                  <w:vMerge w:val="continue"/>
                  <w:tcBorders>
                    <w:tl2br w:val="nil"/>
                    <w:tr2bl w:val="nil"/>
                  </w:tcBorders>
                  <w:noWrap w:val="0"/>
                  <w:vAlign w:val="center"/>
                </w:tcPr>
                <w:p w14:paraId="48B65247">
                  <w:pPr>
                    <w:pStyle w:val="94"/>
                    <w:spacing w:line="240" w:lineRule="auto"/>
                    <w:ind w:firstLine="0" w:firstLineChars="0"/>
                    <w:rPr>
                      <w:rFonts w:hint="eastAsia" w:ascii="Times New Roman" w:hAnsi="Times New Roman" w:eastAsia="宋体" w:cs="Times New Roman"/>
                      <w:b w:val="0"/>
                      <w:bCs/>
                      <w:color w:val="auto"/>
                      <w:sz w:val="21"/>
                      <w:szCs w:val="21"/>
                      <w:highlight w:val="none"/>
                    </w:rPr>
                  </w:pPr>
                </w:p>
              </w:tc>
            </w:tr>
            <w:tr w14:paraId="3F64E164">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27ADDD12">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870" w:type="dxa"/>
                  <w:vMerge w:val="continue"/>
                  <w:tcBorders>
                    <w:tl2br w:val="nil"/>
                    <w:tr2bl w:val="nil"/>
                  </w:tcBorders>
                  <w:noWrap w:val="0"/>
                  <w:vAlign w:val="center"/>
                </w:tcPr>
                <w:p w14:paraId="1A509F6E">
                  <w:pPr>
                    <w:pStyle w:val="11"/>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val="0"/>
                      <w:color w:val="auto"/>
                      <w:spacing w:val="0"/>
                      <w:sz w:val="21"/>
                      <w:szCs w:val="21"/>
                      <w:highlight w:val="none"/>
                      <w:lang w:val="en-US" w:eastAsia="zh-CN"/>
                    </w:rPr>
                  </w:pPr>
                </w:p>
              </w:tc>
              <w:tc>
                <w:tcPr>
                  <w:tcW w:w="675" w:type="dxa"/>
                  <w:tcBorders>
                    <w:tl2br w:val="nil"/>
                    <w:tr2bl w:val="nil"/>
                  </w:tcBorders>
                  <w:noWrap w:val="0"/>
                  <w:vAlign w:val="center"/>
                </w:tcPr>
                <w:p w14:paraId="7DE1FC60">
                  <w:pPr>
                    <w:pStyle w:val="94"/>
                    <w:spacing w:line="240" w:lineRule="auto"/>
                    <w:ind w:left="-63" w:leftChars="-30" w:right="-63" w:rightChars="-30" w:firstLine="0" w:firstLineChars="0"/>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非甲烷总烃</w:t>
                  </w:r>
                </w:p>
              </w:tc>
              <w:tc>
                <w:tcPr>
                  <w:tcW w:w="640" w:type="dxa"/>
                  <w:vMerge w:val="continue"/>
                  <w:tcBorders>
                    <w:tl2br w:val="nil"/>
                    <w:tr2bl w:val="nil"/>
                  </w:tcBorders>
                  <w:noWrap w:val="0"/>
                  <w:vAlign w:val="center"/>
                </w:tcPr>
                <w:p w14:paraId="465F31CC">
                  <w:pPr>
                    <w:pStyle w:val="94"/>
                    <w:spacing w:line="240" w:lineRule="auto"/>
                    <w:ind w:firstLine="0" w:firstLineChars="0"/>
                    <w:rPr>
                      <w:rFonts w:hint="eastAsia" w:ascii="Times New Roman" w:hAnsi="Times New Roman" w:eastAsia="宋体" w:cs="Times New Roman"/>
                      <w:b w:val="0"/>
                      <w:bCs/>
                      <w:color w:val="auto"/>
                      <w:sz w:val="21"/>
                      <w:szCs w:val="21"/>
                      <w:highlight w:val="none"/>
                      <w:lang w:val="en-US" w:eastAsia="zh-CN"/>
                    </w:rPr>
                  </w:pPr>
                </w:p>
              </w:tc>
              <w:tc>
                <w:tcPr>
                  <w:tcW w:w="966" w:type="dxa"/>
                  <w:tcBorders>
                    <w:tl2br w:val="nil"/>
                    <w:tr2bl w:val="nil"/>
                  </w:tcBorders>
                  <w:noWrap w:val="0"/>
                  <w:vAlign w:val="center"/>
                </w:tcPr>
                <w:p w14:paraId="7798A84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0.704</w:t>
                  </w:r>
                </w:p>
              </w:tc>
              <w:tc>
                <w:tcPr>
                  <w:tcW w:w="938" w:type="dxa"/>
                  <w:tcBorders>
                    <w:tl2br w:val="nil"/>
                    <w:tr2bl w:val="nil"/>
                  </w:tcBorders>
                  <w:noWrap w:val="0"/>
                  <w:vAlign w:val="center"/>
                </w:tcPr>
                <w:p w14:paraId="1044432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37" w:type="dxa"/>
                  <w:tcBorders>
                    <w:tl2br w:val="nil"/>
                    <w:tr2bl w:val="nil"/>
                  </w:tcBorders>
                  <w:noWrap w:val="0"/>
                  <w:vAlign w:val="center"/>
                </w:tcPr>
                <w:p w14:paraId="43E9B60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0.704</w:t>
                  </w:r>
                </w:p>
              </w:tc>
              <w:tc>
                <w:tcPr>
                  <w:tcW w:w="1807" w:type="dxa"/>
                  <w:vMerge w:val="continue"/>
                  <w:tcBorders>
                    <w:tl2br w:val="nil"/>
                    <w:tr2bl w:val="nil"/>
                  </w:tcBorders>
                  <w:noWrap w:val="0"/>
                  <w:vAlign w:val="center"/>
                </w:tcPr>
                <w:p w14:paraId="790B9573">
                  <w:pPr>
                    <w:pStyle w:val="94"/>
                    <w:spacing w:line="240" w:lineRule="auto"/>
                    <w:ind w:firstLine="0" w:firstLineChars="0"/>
                    <w:rPr>
                      <w:rFonts w:hint="eastAsia" w:ascii="Times New Roman" w:hAnsi="Times New Roman" w:eastAsia="宋体" w:cs="Times New Roman"/>
                      <w:b w:val="0"/>
                      <w:bCs/>
                      <w:color w:val="auto"/>
                      <w:sz w:val="21"/>
                      <w:szCs w:val="21"/>
                      <w:highlight w:val="none"/>
                      <w:lang w:val="en-US" w:eastAsia="zh-CN"/>
                    </w:rPr>
                  </w:pPr>
                </w:p>
              </w:tc>
              <w:tc>
                <w:tcPr>
                  <w:tcW w:w="1110" w:type="dxa"/>
                  <w:vMerge w:val="continue"/>
                  <w:tcBorders>
                    <w:tl2br w:val="nil"/>
                    <w:tr2bl w:val="nil"/>
                  </w:tcBorders>
                  <w:noWrap w:val="0"/>
                  <w:vAlign w:val="center"/>
                </w:tcPr>
                <w:p w14:paraId="54C5B88C">
                  <w:pPr>
                    <w:pStyle w:val="94"/>
                    <w:spacing w:line="240" w:lineRule="auto"/>
                    <w:ind w:firstLine="0" w:firstLineChars="0"/>
                    <w:rPr>
                      <w:rFonts w:hint="eastAsia" w:ascii="Times New Roman" w:hAnsi="Times New Roman" w:eastAsia="宋体" w:cs="Times New Roman"/>
                      <w:b w:val="0"/>
                      <w:bCs/>
                      <w:color w:val="auto"/>
                      <w:sz w:val="21"/>
                      <w:szCs w:val="21"/>
                      <w:highlight w:val="none"/>
                    </w:rPr>
                  </w:pPr>
                </w:p>
              </w:tc>
            </w:tr>
            <w:tr w14:paraId="7036029A">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tcBorders>
                    <w:tl2br w:val="nil"/>
                    <w:tr2bl w:val="nil"/>
                  </w:tcBorders>
                  <w:noWrap w:val="0"/>
                  <w:vAlign w:val="center"/>
                </w:tcPr>
                <w:p w14:paraId="7ACD666F">
                  <w:pPr>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类别</w:t>
                  </w:r>
                </w:p>
              </w:tc>
              <w:tc>
                <w:tcPr>
                  <w:tcW w:w="2185" w:type="dxa"/>
                  <w:gridSpan w:val="3"/>
                  <w:tcBorders>
                    <w:tl2br w:val="nil"/>
                    <w:tr2bl w:val="nil"/>
                  </w:tcBorders>
                  <w:noWrap w:val="0"/>
                  <w:vAlign w:val="center"/>
                </w:tcPr>
                <w:p w14:paraId="2401EB38">
                  <w:pPr>
                    <w:spacing w:line="240" w:lineRule="auto"/>
                    <w:ind w:firstLine="0" w:firstLineChars="0"/>
                    <w:jc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固废名称</w:t>
                  </w:r>
                </w:p>
              </w:tc>
              <w:tc>
                <w:tcPr>
                  <w:tcW w:w="966" w:type="dxa"/>
                  <w:tcBorders>
                    <w:tl2br w:val="nil"/>
                    <w:tr2bl w:val="nil"/>
                  </w:tcBorders>
                  <w:noWrap w:val="0"/>
                  <w:vAlign w:val="center"/>
                </w:tcPr>
                <w:p w14:paraId="4C4A253B">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rPr>
                    <w:t>产生量</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c>
                <w:tcPr>
                  <w:tcW w:w="938" w:type="dxa"/>
                  <w:tcBorders>
                    <w:tl2br w:val="nil"/>
                    <w:tr2bl w:val="nil"/>
                  </w:tcBorders>
                  <w:noWrap w:val="0"/>
                  <w:vAlign w:val="center"/>
                </w:tcPr>
                <w:p w14:paraId="2D2B8262">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rPr>
                    <w:t>削减量</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c>
                <w:tcPr>
                  <w:tcW w:w="1037" w:type="dxa"/>
                  <w:tcBorders>
                    <w:tl2br w:val="nil"/>
                    <w:tr2bl w:val="nil"/>
                  </w:tcBorders>
                  <w:noWrap w:val="0"/>
                  <w:vAlign w:val="center"/>
                </w:tcPr>
                <w:p w14:paraId="0FA7A53E">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rPr>
                    <w:t>排放量</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c>
                <w:tcPr>
                  <w:tcW w:w="2917" w:type="dxa"/>
                  <w:gridSpan w:val="2"/>
                  <w:tcBorders>
                    <w:tl2br w:val="nil"/>
                    <w:tr2bl w:val="nil"/>
                  </w:tcBorders>
                  <w:noWrap w:val="0"/>
                  <w:vAlign w:val="center"/>
                </w:tcPr>
                <w:p w14:paraId="1AD9B5CC">
                  <w:pPr>
                    <w:spacing w:line="240" w:lineRule="auto"/>
                    <w:ind w:firstLine="0" w:firstLineChars="0"/>
                    <w:jc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处理处置方式</w:t>
                  </w:r>
                </w:p>
              </w:tc>
            </w:tr>
            <w:tr w14:paraId="4C5AE4A9">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restart"/>
                  <w:tcBorders>
                    <w:tl2br w:val="nil"/>
                    <w:tr2bl w:val="nil"/>
                  </w:tcBorders>
                  <w:noWrap w:val="0"/>
                  <w:vAlign w:val="center"/>
                </w:tcPr>
                <w:p w14:paraId="736E45B6">
                  <w:pPr>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一般</w:t>
                  </w:r>
                  <w:r>
                    <w:rPr>
                      <w:rFonts w:ascii="Times New Roman" w:hAnsi="Times New Roman" w:eastAsia="宋体" w:cs="Times New Roman"/>
                      <w:color w:val="auto"/>
                      <w:sz w:val="21"/>
                      <w:szCs w:val="21"/>
                      <w:highlight w:val="none"/>
                    </w:rPr>
                    <w:t>固体废物</w:t>
                  </w:r>
                </w:p>
              </w:tc>
              <w:tc>
                <w:tcPr>
                  <w:tcW w:w="2185" w:type="dxa"/>
                  <w:gridSpan w:val="3"/>
                  <w:tcBorders>
                    <w:tl2br w:val="nil"/>
                    <w:tr2bl w:val="nil"/>
                  </w:tcBorders>
                  <w:noWrap w:val="0"/>
                  <w:vAlign w:val="center"/>
                </w:tcPr>
                <w:p w14:paraId="41957E96">
                  <w:pPr>
                    <w:pStyle w:val="94"/>
                    <w:adjustRightInd w:val="0"/>
                    <w:snapToGrid w:val="0"/>
                    <w:ind w:left="-63" w:leftChars="-30" w:right="-63" w:rightChars="-30"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废包装材料</w:t>
                  </w:r>
                </w:p>
              </w:tc>
              <w:tc>
                <w:tcPr>
                  <w:tcW w:w="966" w:type="dxa"/>
                  <w:tcBorders>
                    <w:tl2br w:val="nil"/>
                    <w:tr2bl w:val="nil"/>
                  </w:tcBorders>
                  <w:noWrap w:val="0"/>
                  <w:vAlign w:val="center"/>
                </w:tcPr>
                <w:p w14:paraId="2013FB6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w:t>
                  </w:r>
                </w:p>
              </w:tc>
              <w:tc>
                <w:tcPr>
                  <w:tcW w:w="938" w:type="dxa"/>
                  <w:tcBorders>
                    <w:tl2br w:val="nil"/>
                    <w:tr2bl w:val="nil"/>
                  </w:tcBorders>
                  <w:noWrap w:val="0"/>
                  <w:vAlign w:val="center"/>
                </w:tcPr>
                <w:p w14:paraId="5DF365E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0.8</w:t>
                  </w:r>
                </w:p>
              </w:tc>
              <w:tc>
                <w:tcPr>
                  <w:tcW w:w="1037" w:type="dxa"/>
                  <w:tcBorders>
                    <w:tl2br w:val="nil"/>
                    <w:tr2bl w:val="nil"/>
                  </w:tcBorders>
                  <w:noWrap w:val="0"/>
                  <w:vAlign w:val="center"/>
                </w:tcPr>
                <w:p w14:paraId="6D9F9A6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917" w:type="dxa"/>
                  <w:gridSpan w:val="2"/>
                  <w:vMerge w:val="restart"/>
                  <w:tcBorders>
                    <w:tl2br w:val="nil"/>
                    <w:tr2bl w:val="nil"/>
                  </w:tcBorders>
                  <w:noWrap w:val="0"/>
                  <w:vAlign w:val="center"/>
                </w:tcPr>
                <w:p w14:paraId="2278F198">
                  <w:pPr>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highlight w:val="none"/>
                    </w:rPr>
                    <w:t>收集后出售给有关物资</w:t>
                  </w:r>
                  <w:r>
                    <w:rPr>
                      <w:rFonts w:hint="eastAsia" w:ascii="Times New Roman" w:hAnsi="Times New Roman" w:eastAsia="宋体" w:cs="Times New Roman"/>
                      <w:color w:val="auto"/>
                      <w:sz w:val="21"/>
                      <w:highlight w:val="none"/>
                      <w:lang w:eastAsia="zh-CN"/>
                    </w:rPr>
                    <w:t>回收单位</w:t>
                  </w:r>
                </w:p>
              </w:tc>
            </w:tr>
            <w:tr w14:paraId="73991A29">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65BC2C5F">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185" w:type="dxa"/>
                  <w:gridSpan w:val="3"/>
                  <w:tcBorders>
                    <w:tl2br w:val="nil"/>
                    <w:tr2bl w:val="nil"/>
                  </w:tcBorders>
                  <w:noWrap w:val="0"/>
                  <w:vAlign w:val="center"/>
                </w:tcPr>
                <w:p w14:paraId="1093940A">
                  <w:pPr>
                    <w:pStyle w:val="94"/>
                    <w:adjustRightInd w:val="0"/>
                    <w:snapToGrid w:val="0"/>
                    <w:ind w:left="-63" w:leftChars="-30" w:right="-63" w:rightChars="-30" w:firstLine="0" w:firstLineChars="0"/>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废纱布</w:t>
                  </w:r>
                </w:p>
              </w:tc>
              <w:tc>
                <w:tcPr>
                  <w:tcW w:w="966" w:type="dxa"/>
                  <w:tcBorders>
                    <w:tl2br w:val="nil"/>
                    <w:tr2bl w:val="nil"/>
                  </w:tcBorders>
                  <w:noWrap w:val="0"/>
                  <w:vAlign w:val="center"/>
                </w:tcPr>
                <w:p w14:paraId="09C3948E">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0.0001</w:t>
                  </w:r>
                </w:p>
              </w:tc>
              <w:tc>
                <w:tcPr>
                  <w:tcW w:w="938" w:type="dxa"/>
                  <w:tcBorders>
                    <w:tl2br w:val="nil"/>
                    <w:tr2bl w:val="nil"/>
                  </w:tcBorders>
                  <w:noWrap w:val="0"/>
                  <w:vAlign w:val="center"/>
                </w:tcPr>
                <w:p w14:paraId="40A5F688">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0.0001</w:t>
                  </w:r>
                </w:p>
              </w:tc>
              <w:tc>
                <w:tcPr>
                  <w:tcW w:w="1037" w:type="dxa"/>
                  <w:tcBorders>
                    <w:tl2br w:val="nil"/>
                    <w:tr2bl w:val="nil"/>
                  </w:tcBorders>
                  <w:noWrap w:val="0"/>
                  <w:vAlign w:val="center"/>
                </w:tcPr>
                <w:p w14:paraId="288AC2C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0.0001</w:t>
                  </w:r>
                </w:p>
              </w:tc>
              <w:tc>
                <w:tcPr>
                  <w:tcW w:w="2917" w:type="dxa"/>
                  <w:gridSpan w:val="2"/>
                  <w:vMerge w:val="continue"/>
                  <w:tcBorders>
                    <w:tl2br w:val="nil"/>
                    <w:tr2bl w:val="nil"/>
                  </w:tcBorders>
                  <w:noWrap w:val="0"/>
                  <w:vAlign w:val="center"/>
                </w:tcPr>
                <w:p w14:paraId="155AED33">
                  <w:pPr>
                    <w:spacing w:line="240" w:lineRule="auto"/>
                    <w:ind w:firstLine="0" w:firstLineChars="0"/>
                    <w:jc w:val="center"/>
                    <w:rPr>
                      <w:rFonts w:hint="eastAsia" w:ascii="Times New Roman" w:hAnsi="Times New Roman" w:eastAsia="宋体" w:cs="Times New Roman"/>
                      <w:color w:val="auto"/>
                      <w:sz w:val="21"/>
                      <w:highlight w:val="none"/>
                    </w:rPr>
                  </w:pPr>
                </w:p>
              </w:tc>
            </w:tr>
            <w:tr w14:paraId="7547480A">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2DD9B4A9">
                  <w:pPr>
                    <w:spacing w:line="240" w:lineRule="auto"/>
                    <w:ind w:firstLine="0" w:firstLineChars="0"/>
                    <w:jc w:val="center"/>
                    <w:rPr>
                      <w:rFonts w:ascii="Times New Roman" w:hAnsi="Times New Roman" w:eastAsia="宋体" w:cs="Times New Roman"/>
                      <w:color w:val="auto"/>
                      <w:sz w:val="21"/>
                      <w:szCs w:val="21"/>
                      <w:highlight w:val="none"/>
                    </w:rPr>
                  </w:pPr>
                </w:p>
              </w:tc>
              <w:tc>
                <w:tcPr>
                  <w:tcW w:w="2185" w:type="dxa"/>
                  <w:gridSpan w:val="3"/>
                  <w:tcBorders>
                    <w:tl2br w:val="nil"/>
                    <w:tr2bl w:val="nil"/>
                  </w:tcBorders>
                  <w:noWrap w:val="0"/>
                  <w:vAlign w:val="center"/>
                </w:tcPr>
                <w:p w14:paraId="1050DBA2">
                  <w:pPr>
                    <w:pStyle w:val="94"/>
                    <w:adjustRightInd w:val="0"/>
                    <w:snapToGrid w:val="0"/>
                    <w:ind w:left="-63" w:leftChars="-30" w:right="-63" w:rightChars="-30" w:firstLine="0" w:firstLineChars="0"/>
                    <w:rPr>
                      <w:rFonts w:hint="eastAsia" w:eastAsia="宋体" w:cs="Times New Roman"/>
                      <w:b w:val="0"/>
                      <w:bCs/>
                      <w:color w:val="auto"/>
                      <w:sz w:val="21"/>
                      <w:szCs w:val="21"/>
                      <w:highlight w:val="none"/>
                      <w:lang w:val="en-US" w:eastAsia="zh-CN"/>
                    </w:rPr>
                  </w:pPr>
                  <w:r>
                    <w:rPr>
                      <w:rFonts w:hint="eastAsia" w:cs="Times New Roman"/>
                      <w:b w:val="0"/>
                      <w:bCs/>
                      <w:color w:val="auto"/>
                      <w:sz w:val="21"/>
                      <w:szCs w:val="21"/>
                      <w:highlight w:val="none"/>
                      <w:lang w:eastAsia="zh-CN"/>
                    </w:rPr>
                    <w:t>废化学品包装物</w:t>
                  </w:r>
                </w:p>
                <w:p w14:paraId="7561B6A9">
                  <w:pPr>
                    <w:pStyle w:val="94"/>
                    <w:adjustRightInd w:val="0"/>
                    <w:snapToGrid w:val="0"/>
                    <w:ind w:left="-63" w:leftChars="-30" w:right="-63" w:rightChars="-30"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（水性漆）</w:t>
                  </w:r>
                </w:p>
              </w:tc>
              <w:tc>
                <w:tcPr>
                  <w:tcW w:w="966" w:type="dxa"/>
                  <w:tcBorders>
                    <w:tl2br w:val="nil"/>
                    <w:tr2bl w:val="nil"/>
                  </w:tcBorders>
                  <w:noWrap w:val="0"/>
                  <w:vAlign w:val="center"/>
                </w:tcPr>
                <w:p w14:paraId="4210A11A">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938" w:type="dxa"/>
                  <w:tcBorders>
                    <w:tl2br w:val="nil"/>
                    <w:tr2bl w:val="nil"/>
                  </w:tcBorders>
                  <w:noWrap w:val="0"/>
                  <w:vAlign w:val="center"/>
                </w:tcPr>
                <w:p w14:paraId="0D1CC828">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p>
              </w:tc>
              <w:tc>
                <w:tcPr>
                  <w:tcW w:w="1037" w:type="dxa"/>
                  <w:tcBorders>
                    <w:tl2br w:val="nil"/>
                    <w:tr2bl w:val="nil"/>
                  </w:tcBorders>
                  <w:noWrap w:val="0"/>
                  <w:vAlign w:val="center"/>
                </w:tcPr>
                <w:p w14:paraId="32D90E00">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917" w:type="dxa"/>
                  <w:gridSpan w:val="2"/>
                  <w:vMerge w:val="restart"/>
                  <w:tcBorders>
                    <w:tl2br w:val="nil"/>
                    <w:tr2bl w:val="nil"/>
                  </w:tcBorders>
                  <w:noWrap w:val="0"/>
                  <w:vAlign w:val="center"/>
                </w:tcPr>
                <w:p w14:paraId="1163ED9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由原料厂家回收利用</w:t>
                  </w:r>
                </w:p>
              </w:tc>
            </w:tr>
            <w:tr w14:paraId="11B46143">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restart"/>
                  <w:tcBorders>
                    <w:tl2br w:val="nil"/>
                    <w:tr2bl w:val="nil"/>
                  </w:tcBorders>
                  <w:noWrap w:val="0"/>
                  <w:vAlign w:val="center"/>
                </w:tcPr>
                <w:p w14:paraId="6C82C0D7">
                  <w:pPr>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危险废物</w:t>
                  </w:r>
                </w:p>
              </w:tc>
              <w:tc>
                <w:tcPr>
                  <w:tcW w:w="2185" w:type="dxa"/>
                  <w:gridSpan w:val="3"/>
                  <w:tcBorders>
                    <w:tl2br w:val="nil"/>
                    <w:tr2bl w:val="nil"/>
                  </w:tcBorders>
                  <w:noWrap w:val="0"/>
                  <w:vAlign w:val="center"/>
                </w:tcPr>
                <w:p w14:paraId="47ED3FC8">
                  <w:pPr>
                    <w:pStyle w:val="94"/>
                    <w:adjustRightInd w:val="0"/>
                    <w:snapToGrid w:val="0"/>
                    <w:ind w:left="-63" w:leftChars="-30" w:right="-63" w:rightChars="-30" w:firstLine="0" w:firstLineChars="0"/>
                    <w:rPr>
                      <w:rFonts w:hint="eastAsia" w:eastAsia="宋体" w:cs="Times New Roman"/>
                      <w:b w:val="0"/>
                      <w:bCs/>
                      <w:color w:val="auto"/>
                      <w:sz w:val="21"/>
                      <w:szCs w:val="21"/>
                      <w:highlight w:val="none"/>
                      <w:lang w:val="en-US" w:eastAsia="zh-CN"/>
                    </w:rPr>
                  </w:pPr>
                  <w:r>
                    <w:rPr>
                      <w:rFonts w:hint="eastAsia" w:cs="Times New Roman"/>
                      <w:b w:val="0"/>
                      <w:bCs/>
                      <w:color w:val="auto"/>
                      <w:sz w:val="21"/>
                      <w:szCs w:val="21"/>
                      <w:highlight w:val="none"/>
                      <w:lang w:eastAsia="zh-CN"/>
                    </w:rPr>
                    <w:t>废化学品包装物</w:t>
                  </w:r>
                </w:p>
                <w:p w14:paraId="4DF7685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（油性漆、稀释剂、固化剂）</w:t>
                  </w:r>
                </w:p>
              </w:tc>
              <w:tc>
                <w:tcPr>
                  <w:tcW w:w="966" w:type="dxa"/>
                  <w:tcBorders>
                    <w:tl2br w:val="nil"/>
                    <w:tr2bl w:val="nil"/>
                  </w:tcBorders>
                  <w:noWrap w:val="0"/>
                  <w:vAlign w:val="center"/>
                </w:tcPr>
                <w:p w14:paraId="1B6DE5D7">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0.32</w:t>
                  </w:r>
                </w:p>
              </w:tc>
              <w:tc>
                <w:tcPr>
                  <w:tcW w:w="938" w:type="dxa"/>
                  <w:tcBorders>
                    <w:tl2br w:val="nil"/>
                    <w:tr2bl w:val="nil"/>
                  </w:tcBorders>
                  <w:noWrap w:val="0"/>
                  <w:vAlign w:val="center"/>
                </w:tcPr>
                <w:p w14:paraId="76067F7C">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0.32</w:t>
                  </w:r>
                </w:p>
              </w:tc>
              <w:tc>
                <w:tcPr>
                  <w:tcW w:w="1037" w:type="dxa"/>
                  <w:tcBorders>
                    <w:tl2br w:val="nil"/>
                    <w:tr2bl w:val="nil"/>
                  </w:tcBorders>
                  <w:noWrap w:val="0"/>
                  <w:vAlign w:val="center"/>
                </w:tcPr>
                <w:p w14:paraId="5E3ED38B">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917" w:type="dxa"/>
                  <w:gridSpan w:val="2"/>
                  <w:vMerge w:val="continue"/>
                  <w:tcBorders>
                    <w:tl2br w:val="nil"/>
                    <w:tr2bl w:val="nil"/>
                  </w:tcBorders>
                  <w:noWrap w:val="0"/>
                  <w:vAlign w:val="center"/>
                </w:tcPr>
                <w:p w14:paraId="25D38BBF">
                  <w:pPr>
                    <w:pStyle w:val="17"/>
                    <w:keepNext w:val="0"/>
                    <w:keepLines w:val="0"/>
                    <w:pageBreakBefore w:val="0"/>
                    <w:kinsoku/>
                    <w:wordWrap/>
                    <w:overflowPunct w:val="0"/>
                    <w:topLinePunct w:val="0"/>
                    <w:bidi w:val="0"/>
                    <w:adjustRightInd/>
                    <w:spacing w:line="240" w:lineRule="auto"/>
                    <w:ind w:firstLine="0" w:firstLineChars="0"/>
                    <w:jc w:val="center"/>
                    <w:outlineLvl w:val="1"/>
                    <w:rPr>
                      <w:rFonts w:hint="eastAsia" w:ascii="Times New Roman" w:hAnsi="Times New Roman" w:eastAsia="宋体" w:cs="Times New Roman"/>
                      <w:color w:val="auto"/>
                      <w:sz w:val="21"/>
                      <w:szCs w:val="21"/>
                      <w:highlight w:val="none"/>
                    </w:rPr>
                  </w:pPr>
                </w:p>
              </w:tc>
            </w:tr>
            <w:tr w14:paraId="744F1C5D">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5C19851E">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185" w:type="dxa"/>
                  <w:gridSpan w:val="3"/>
                  <w:tcBorders>
                    <w:tl2br w:val="nil"/>
                    <w:tr2bl w:val="nil"/>
                  </w:tcBorders>
                  <w:noWrap w:val="0"/>
                  <w:vAlign w:val="center"/>
                </w:tcPr>
                <w:p w14:paraId="14B5EEA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漆渣</w:t>
                  </w:r>
                </w:p>
              </w:tc>
              <w:tc>
                <w:tcPr>
                  <w:tcW w:w="966" w:type="dxa"/>
                  <w:tcBorders>
                    <w:tl2br w:val="nil"/>
                    <w:tr2bl w:val="nil"/>
                  </w:tcBorders>
                  <w:noWrap w:val="0"/>
                  <w:vAlign w:val="center"/>
                </w:tcPr>
                <w:p w14:paraId="1F689F96">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1.26</w:t>
                  </w:r>
                </w:p>
              </w:tc>
              <w:tc>
                <w:tcPr>
                  <w:tcW w:w="938" w:type="dxa"/>
                  <w:tcBorders>
                    <w:tl2br w:val="nil"/>
                    <w:tr2bl w:val="nil"/>
                  </w:tcBorders>
                  <w:noWrap w:val="0"/>
                  <w:vAlign w:val="center"/>
                </w:tcPr>
                <w:p w14:paraId="15B25774">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1.26</w:t>
                  </w:r>
                </w:p>
              </w:tc>
              <w:tc>
                <w:tcPr>
                  <w:tcW w:w="1037" w:type="dxa"/>
                  <w:tcBorders>
                    <w:tl2br w:val="nil"/>
                    <w:tr2bl w:val="nil"/>
                  </w:tcBorders>
                  <w:noWrap w:val="0"/>
                  <w:vAlign w:val="center"/>
                </w:tcPr>
                <w:p w14:paraId="4EE1E3AB">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917" w:type="dxa"/>
                  <w:gridSpan w:val="2"/>
                  <w:vMerge w:val="restart"/>
                  <w:tcBorders>
                    <w:tl2br w:val="nil"/>
                    <w:tr2bl w:val="nil"/>
                  </w:tcBorders>
                  <w:noWrap w:val="0"/>
                  <w:vAlign w:val="center"/>
                </w:tcPr>
                <w:p w14:paraId="03B923E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pacing w:val="-2"/>
                      <w:sz w:val="21"/>
                      <w:szCs w:val="21"/>
                      <w:highlight w:val="none"/>
                    </w:rPr>
                    <w:t>按危废管理要求暂存，暂存于危废</w:t>
                  </w:r>
                  <w:r>
                    <w:rPr>
                      <w:rFonts w:hint="eastAsia" w:ascii="Times New Roman" w:hAnsi="Times New Roman" w:eastAsia="宋体"/>
                      <w:color w:val="auto"/>
                      <w:spacing w:val="-2"/>
                      <w:sz w:val="21"/>
                      <w:szCs w:val="21"/>
                      <w:highlight w:val="none"/>
                      <w:lang w:val="en-US" w:eastAsia="zh-CN"/>
                    </w:rPr>
                    <w:t>暂存</w:t>
                  </w:r>
                  <w:r>
                    <w:rPr>
                      <w:rFonts w:hint="eastAsia" w:ascii="Times New Roman" w:hAnsi="Times New Roman" w:eastAsia="宋体"/>
                      <w:color w:val="auto"/>
                      <w:spacing w:val="-2"/>
                      <w:sz w:val="21"/>
                      <w:szCs w:val="21"/>
                      <w:highlight w:val="none"/>
                    </w:rPr>
                    <w:t>间，委托</w:t>
                  </w:r>
                  <w:r>
                    <w:rPr>
                      <w:rFonts w:hint="eastAsia" w:ascii="Times New Roman" w:hAnsi="Times New Roman" w:eastAsia="宋体"/>
                      <w:color w:val="auto"/>
                      <w:sz w:val="21"/>
                      <w:szCs w:val="21"/>
                      <w:highlight w:val="none"/>
                      <w:lang w:val="en-US" w:eastAsia="zh-CN"/>
                    </w:rPr>
                    <w:t>有资质单位</w:t>
                  </w:r>
                  <w:r>
                    <w:rPr>
                      <w:rFonts w:hint="eastAsia" w:ascii="Times New Roman" w:hAnsi="Times New Roman" w:eastAsia="宋体"/>
                      <w:color w:val="auto"/>
                      <w:spacing w:val="-2"/>
                      <w:sz w:val="21"/>
                      <w:szCs w:val="21"/>
                      <w:highlight w:val="none"/>
                    </w:rPr>
                    <w:t>处置</w:t>
                  </w:r>
                </w:p>
              </w:tc>
            </w:tr>
            <w:tr w14:paraId="43F7C20B">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57B83E42">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185" w:type="dxa"/>
                  <w:gridSpan w:val="3"/>
                  <w:tcBorders>
                    <w:tl2br w:val="nil"/>
                    <w:tr2bl w:val="nil"/>
                  </w:tcBorders>
                  <w:noWrap w:val="0"/>
                  <w:vAlign w:val="center"/>
                </w:tcPr>
                <w:p w14:paraId="2FEF0B58">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水帘气旋废液</w:t>
                  </w:r>
                </w:p>
              </w:tc>
              <w:tc>
                <w:tcPr>
                  <w:tcW w:w="966" w:type="dxa"/>
                  <w:tcBorders>
                    <w:tl2br w:val="nil"/>
                    <w:tr2bl w:val="nil"/>
                  </w:tcBorders>
                  <w:noWrap w:val="0"/>
                  <w:vAlign w:val="center"/>
                </w:tcPr>
                <w:p w14:paraId="35A96C1B">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938" w:type="dxa"/>
                  <w:tcBorders>
                    <w:tl2br w:val="nil"/>
                    <w:tr2bl w:val="nil"/>
                  </w:tcBorders>
                  <w:noWrap w:val="0"/>
                  <w:vAlign w:val="center"/>
                </w:tcPr>
                <w:p w14:paraId="5E06815F">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1037" w:type="dxa"/>
                  <w:tcBorders>
                    <w:tl2br w:val="nil"/>
                    <w:tr2bl w:val="nil"/>
                  </w:tcBorders>
                  <w:noWrap w:val="0"/>
                  <w:vAlign w:val="center"/>
                </w:tcPr>
                <w:p w14:paraId="392F9B0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917" w:type="dxa"/>
                  <w:gridSpan w:val="2"/>
                  <w:vMerge w:val="continue"/>
                  <w:tcBorders>
                    <w:tl2br w:val="nil"/>
                    <w:tr2bl w:val="nil"/>
                  </w:tcBorders>
                  <w:noWrap w:val="0"/>
                  <w:vAlign w:val="center"/>
                </w:tcPr>
                <w:p w14:paraId="0359444E">
                  <w:pPr>
                    <w:spacing w:line="240" w:lineRule="auto"/>
                    <w:ind w:firstLine="0" w:firstLineChars="0"/>
                    <w:jc w:val="center"/>
                    <w:rPr>
                      <w:rFonts w:hint="eastAsia" w:ascii="Times New Roman" w:hAnsi="Times New Roman" w:eastAsia="宋体" w:cs="Times New Roman"/>
                      <w:color w:val="auto"/>
                      <w:sz w:val="21"/>
                      <w:szCs w:val="21"/>
                      <w:highlight w:val="none"/>
                    </w:rPr>
                  </w:pPr>
                </w:p>
              </w:tc>
            </w:tr>
            <w:tr w14:paraId="50A6FA24">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55AFBF2B">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185" w:type="dxa"/>
                  <w:gridSpan w:val="3"/>
                  <w:tcBorders>
                    <w:tl2br w:val="nil"/>
                    <w:tr2bl w:val="nil"/>
                  </w:tcBorders>
                  <w:noWrap w:val="0"/>
                  <w:vAlign w:val="center"/>
                </w:tcPr>
                <w:p w14:paraId="2F0C43A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喷枪清洗废液</w:t>
                  </w:r>
                </w:p>
              </w:tc>
              <w:tc>
                <w:tcPr>
                  <w:tcW w:w="966" w:type="dxa"/>
                  <w:tcBorders>
                    <w:tl2br w:val="nil"/>
                    <w:tr2bl w:val="nil"/>
                  </w:tcBorders>
                  <w:noWrap w:val="0"/>
                  <w:vAlign w:val="center"/>
                </w:tcPr>
                <w:p w14:paraId="3CE71B2D">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938" w:type="dxa"/>
                  <w:tcBorders>
                    <w:tl2br w:val="nil"/>
                    <w:tr2bl w:val="nil"/>
                  </w:tcBorders>
                  <w:noWrap w:val="0"/>
                  <w:vAlign w:val="center"/>
                </w:tcPr>
                <w:p w14:paraId="5A7B1667">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0.3</w:t>
                  </w:r>
                </w:p>
              </w:tc>
              <w:tc>
                <w:tcPr>
                  <w:tcW w:w="1037" w:type="dxa"/>
                  <w:tcBorders>
                    <w:tl2br w:val="nil"/>
                    <w:tr2bl w:val="nil"/>
                  </w:tcBorders>
                  <w:noWrap w:val="0"/>
                  <w:vAlign w:val="center"/>
                </w:tcPr>
                <w:p w14:paraId="7C174337">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917" w:type="dxa"/>
                  <w:gridSpan w:val="2"/>
                  <w:vMerge w:val="continue"/>
                  <w:tcBorders>
                    <w:tl2br w:val="nil"/>
                    <w:tr2bl w:val="nil"/>
                  </w:tcBorders>
                  <w:noWrap w:val="0"/>
                  <w:vAlign w:val="center"/>
                </w:tcPr>
                <w:p w14:paraId="5CD9A8A9">
                  <w:pPr>
                    <w:spacing w:line="240" w:lineRule="auto"/>
                    <w:ind w:firstLine="0" w:firstLineChars="0"/>
                    <w:jc w:val="center"/>
                    <w:rPr>
                      <w:rFonts w:hint="eastAsia" w:ascii="Times New Roman" w:hAnsi="Times New Roman" w:eastAsia="宋体" w:cs="Times New Roman"/>
                      <w:color w:val="auto"/>
                      <w:sz w:val="21"/>
                      <w:szCs w:val="21"/>
                      <w:highlight w:val="none"/>
                    </w:rPr>
                  </w:pPr>
                </w:p>
              </w:tc>
            </w:tr>
            <w:tr w14:paraId="34137114">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05AB09AA">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185" w:type="dxa"/>
                  <w:gridSpan w:val="3"/>
                  <w:tcBorders>
                    <w:tl2br w:val="nil"/>
                    <w:tr2bl w:val="nil"/>
                  </w:tcBorders>
                  <w:noWrap w:val="0"/>
                  <w:vAlign w:val="center"/>
                </w:tcPr>
                <w:p w14:paraId="0B7D270B">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沉淀污泥</w:t>
                  </w:r>
                </w:p>
              </w:tc>
              <w:tc>
                <w:tcPr>
                  <w:tcW w:w="966" w:type="dxa"/>
                  <w:tcBorders>
                    <w:tl2br w:val="nil"/>
                    <w:tr2bl w:val="nil"/>
                  </w:tcBorders>
                  <w:noWrap w:val="0"/>
                  <w:vAlign w:val="center"/>
                </w:tcPr>
                <w:p w14:paraId="11EFF7D4">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938" w:type="dxa"/>
                  <w:tcBorders>
                    <w:tl2br w:val="nil"/>
                    <w:tr2bl w:val="nil"/>
                  </w:tcBorders>
                  <w:noWrap w:val="0"/>
                  <w:vAlign w:val="center"/>
                </w:tcPr>
                <w:p w14:paraId="6A17786A">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p>
              </w:tc>
              <w:tc>
                <w:tcPr>
                  <w:tcW w:w="1037" w:type="dxa"/>
                  <w:tcBorders>
                    <w:tl2br w:val="nil"/>
                    <w:tr2bl w:val="nil"/>
                  </w:tcBorders>
                  <w:noWrap w:val="0"/>
                  <w:vAlign w:val="center"/>
                </w:tcPr>
                <w:p w14:paraId="2E694068">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917" w:type="dxa"/>
                  <w:gridSpan w:val="2"/>
                  <w:vMerge w:val="continue"/>
                  <w:tcBorders>
                    <w:tl2br w:val="nil"/>
                    <w:tr2bl w:val="nil"/>
                  </w:tcBorders>
                  <w:noWrap w:val="0"/>
                  <w:vAlign w:val="center"/>
                </w:tcPr>
                <w:p w14:paraId="470F7F96">
                  <w:pPr>
                    <w:spacing w:line="240" w:lineRule="auto"/>
                    <w:ind w:firstLine="0" w:firstLineChars="0"/>
                    <w:jc w:val="center"/>
                    <w:rPr>
                      <w:rFonts w:hint="eastAsia" w:ascii="Times New Roman" w:hAnsi="Times New Roman" w:eastAsia="宋体" w:cs="Times New Roman"/>
                      <w:color w:val="auto"/>
                      <w:sz w:val="21"/>
                      <w:szCs w:val="21"/>
                      <w:highlight w:val="none"/>
                    </w:rPr>
                  </w:pPr>
                </w:p>
              </w:tc>
            </w:tr>
            <w:tr w14:paraId="4F13F51A">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14600E35">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185" w:type="dxa"/>
                  <w:gridSpan w:val="3"/>
                  <w:tcBorders>
                    <w:tl2br w:val="nil"/>
                    <w:tr2bl w:val="nil"/>
                  </w:tcBorders>
                  <w:noWrap w:val="0"/>
                  <w:vAlign w:val="center"/>
                </w:tcPr>
                <w:p w14:paraId="42A8F84D">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w:t>
                  </w:r>
                  <w:r>
                    <w:rPr>
                      <w:rFonts w:hint="eastAsia" w:cs="Times New Roman"/>
                      <w:color w:val="auto"/>
                      <w:sz w:val="21"/>
                      <w:szCs w:val="21"/>
                      <w:highlight w:val="none"/>
                      <w:lang w:val="en-US" w:eastAsia="zh-CN"/>
                    </w:rPr>
                    <w:t>活性炭</w:t>
                  </w:r>
                </w:p>
              </w:tc>
              <w:tc>
                <w:tcPr>
                  <w:tcW w:w="966" w:type="dxa"/>
                  <w:tcBorders>
                    <w:tl2br w:val="nil"/>
                    <w:tr2bl w:val="nil"/>
                  </w:tcBorders>
                  <w:noWrap w:val="0"/>
                  <w:vAlign w:val="center"/>
                </w:tcPr>
                <w:p w14:paraId="3360F4F7">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2.43</w:t>
                  </w:r>
                </w:p>
              </w:tc>
              <w:tc>
                <w:tcPr>
                  <w:tcW w:w="938" w:type="dxa"/>
                  <w:tcBorders>
                    <w:tl2br w:val="nil"/>
                    <w:tr2bl w:val="nil"/>
                  </w:tcBorders>
                  <w:noWrap w:val="0"/>
                  <w:vAlign w:val="center"/>
                </w:tcPr>
                <w:p w14:paraId="68E7EEDF">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2.43</w:t>
                  </w:r>
                </w:p>
              </w:tc>
              <w:tc>
                <w:tcPr>
                  <w:tcW w:w="1037" w:type="dxa"/>
                  <w:tcBorders>
                    <w:tl2br w:val="nil"/>
                    <w:tr2bl w:val="nil"/>
                  </w:tcBorders>
                  <w:noWrap w:val="0"/>
                  <w:vAlign w:val="center"/>
                </w:tcPr>
                <w:p w14:paraId="6FED4D07">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917" w:type="dxa"/>
                  <w:gridSpan w:val="2"/>
                  <w:vMerge w:val="continue"/>
                  <w:tcBorders>
                    <w:tl2br w:val="nil"/>
                    <w:tr2bl w:val="nil"/>
                  </w:tcBorders>
                  <w:noWrap w:val="0"/>
                  <w:vAlign w:val="center"/>
                </w:tcPr>
                <w:p w14:paraId="5660A050">
                  <w:pPr>
                    <w:spacing w:line="240" w:lineRule="auto"/>
                    <w:ind w:firstLine="0" w:firstLineChars="0"/>
                    <w:jc w:val="center"/>
                    <w:rPr>
                      <w:rFonts w:hint="eastAsia" w:ascii="Times New Roman" w:hAnsi="Times New Roman" w:eastAsia="宋体" w:cs="Times New Roman"/>
                      <w:color w:val="auto"/>
                      <w:sz w:val="21"/>
                      <w:szCs w:val="21"/>
                      <w:highlight w:val="none"/>
                    </w:rPr>
                  </w:pPr>
                </w:p>
              </w:tc>
            </w:tr>
            <w:tr w14:paraId="6B7C6BC5">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7D7F2888">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185" w:type="dxa"/>
                  <w:gridSpan w:val="3"/>
                  <w:tcBorders>
                    <w:tl2br w:val="nil"/>
                    <w:tr2bl w:val="nil"/>
                  </w:tcBorders>
                  <w:noWrap w:val="0"/>
                  <w:vAlign w:val="center"/>
                </w:tcPr>
                <w:p w14:paraId="5ABE997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w:t>
                  </w:r>
                  <w:r>
                    <w:rPr>
                      <w:rFonts w:hint="eastAsia" w:cs="Times New Roman"/>
                      <w:color w:val="auto"/>
                      <w:sz w:val="21"/>
                      <w:szCs w:val="21"/>
                      <w:highlight w:val="none"/>
                      <w:lang w:val="en-US" w:eastAsia="zh-CN"/>
                    </w:rPr>
                    <w:t>灯管</w:t>
                  </w:r>
                </w:p>
              </w:tc>
              <w:tc>
                <w:tcPr>
                  <w:tcW w:w="966" w:type="dxa"/>
                  <w:tcBorders>
                    <w:tl2br w:val="nil"/>
                    <w:tr2bl w:val="nil"/>
                  </w:tcBorders>
                  <w:noWrap w:val="0"/>
                  <w:vAlign w:val="center"/>
                </w:tcPr>
                <w:p w14:paraId="7F1539A8">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0.15</w:t>
                  </w:r>
                </w:p>
              </w:tc>
              <w:tc>
                <w:tcPr>
                  <w:tcW w:w="938" w:type="dxa"/>
                  <w:tcBorders>
                    <w:tl2br w:val="nil"/>
                    <w:tr2bl w:val="nil"/>
                  </w:tcBorders>
                  <w:noWrap w:val="0"/>
                  <w:vAlign w:val="center"/>
                </w:tcPr>
                <w:p w14:paraId="53E41D09">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0.15</w:t>
                  </w:r>
                </w:p>
              </w:tc>
              <w:tc>
                <w:tcPr>
                  <w:tcW w:w="1037" w:type="dxa"/>
                  <w:tcBorders>
                    <w:tl2br w:val="nil"/>
                    <w:tr2bl w:val="nil"/>
                  </w:tcBorders>
                  <w:noWrap w:val="0"/>
                  <w:vAlign w:val="center"/>
                </w:tcPr>
                <w:p w14:paraId="586E35F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917" w:type="dxa"/>
                  <w:gridSpan w:val="2"/>
                  <w:vMerge w:val="continue"/>
                  <w:tcBorders>
                    <w:tl2br w:val="nil"/>
                    <w:tr2bl w:val="nil"/>
                  </w:tcBorders>
                  <w:noWrap w:val="0"/>
                  <w:vAlign w:val="center"/>
                </w:tcPr>
                <w:p w14:paraId="5BD9AA01">
                  <w:pPr>
                    <w:spacing w:line="240" w:lineRule="auto"/>
                    <w:ind w:firstLine="0" w:firstLineChars="0"/>
                    <w:jc w:val="center"/>
                    <w:rPr>
                      <w:rFonts w:hint="eastAsia" w:ascii="Times New Roman" w:hAnsi="Times New Roman" w:eastAsia="宋体" w:cs="Times New Roman"/>
                      <w:color w:val="auto"/>
                      <w:sz w:val="21"/>
                      <w:szCs w:val="21"/>
                      <w:highlight w:val="none"/>
                    </w:rPr>
                  </w:pPr>
                </w:p>
              </w:tc>
            </w:tr>
            <w:tr w14:paraId="10BD3606">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48E19E65">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185" w:type="dxa"/>
                  <w:gridSpan w:val="3"/>
                  <w:tcBorders>
                    <w:tl2br w:val="nil"/>
                    <w:tr2bl w:val="nil"/>
                  </w:tcBorders>
                  <w:noWrap w:val="0"/>
                  <w:vAlign w:val="center"/>
                </w:tcPr>
                <w:p w14:paraId="47D37B7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废润滑油</w:t>
                  </w:r>
                </w:p>
              </w:tc>
              <w:tc>
                <w:tcPr>
                  <w:tcW w:w="966" w:type="dxa"/>
                  <w:tcBorders>
                    <w:tl2br w:val="nil"/>
                    <w:tr2bl w:val="nil"/>
                  </w:tcBorders>
                  <w:noWrap w:val="0"/>
                  <w:vAlign w:val="center"/>
                </w:tcPr>
                <w:p w14:paraId="36F5150E">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0.005</w:t>
                  </w:r>
                </w:p>
              </w:tc>
              <w:tc>
                <w:tcPr>
                  <w:tcW w:w="938" w:type="dxa"/>
                  <w:tcBorders>
                    <w:tl2br w:val="nil"/>
                    <w:tr2bl w:val="nil"/>
                  </w:tcBorders>
                  <w:noWrap w:val="0"/>
                  <w:vAlign w:val="center"/>
                </w:tcPr>
                <w:p w14:paraId="02FF0EBC">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0.005</w:t>
                  </w:r>
                </w:p>
              </w:tc>
              <w:tc>
                <w:tcPr>
                  <w:tcW w:w="1037" w:type="dxa"/>
                  <w:tcBorders>
                    <w:tl2br w:val="nil"/>
                    <w:tr2bl w:val="nil"/>
                  </w:tcBorders>
                  <w:noWrap w:val="0"/>
                  <w:vAlign w:val="center"/>
                </w:tcPr>
                <w:p w14:paraId="0E36F1C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917" w:type="dxa"/>
                  <w:gridSpan w:val="2"/>
                  <w:vMerge w:val="continue"/>
                  <w:tcBorders>
                    <w:tl2br w:val="nil"/>
                    <w:tr2bl w:val="nil"/>
                  </w:tcBorders>
                  <w:noWrap w:val="0"/>
                  <w:vAlign w:val="center"/>
                </w:tcPr>
                <w:p w14:paraId="0DB7BA9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14:paraId="0767ACF1">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1407B384">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185" w:type="dxa"/>
                  <w:gridSpan w:val="3"/>
                  <w:tcBorders>
                    <w:tl2br w:val="nil"/>
                    <w:tr2bl w:val="nil"/>
                  </w:tcBorders>
                  <w:noWrap w:val="0"/>
                  <w:vAlign w:val="center"/>
                </w:tcPr>
                <w:p w14:paraId="2084FA1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润滑油空桶</w:t>
                  </w:r>
                </w:p>
              </w:tc>
              <w:tc>
                <w:tcPr>
                  <w:tcW w:w="966" w:type="dxa"/>
                  <w:tcBorders>
                    <w:tl2br w:val="nil"/>
                    <w:tr2bl w:val="nil"/>
                  </w:tcBorders>
                  <w:noWrap w:val="0"/>
                  <w:vAlign w:val="center"/>
                </w:tcPr>
                <w:p w14:paraId="534F69E7">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0.004</w:t>
                  </w:r>
                </w:p>
              </w:tc>
              <w:tc>
                <w:tcPr>
                  <w:tcW w:w="938" w:type="dxa"/>
                  <w:tcBorders>
                    <w:tl2br w:val="nil"/>
                    <w:tr2bl w:val="nil"/>
                  </w:tcBorders>
                  <w:noWrap w:val="0"/>
                  <w:vAlign w:val="center"/>
                </w:tcPr>
                <w:p w14:paraId="0EAB58AE">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0.004</w:t>
                  </w:r>
                </w:p>
              </w:tc>
              <w:tc>
                <w:tcPr>
                  <w:tcW w:w="1037" w:type="dxa"/>
                  <w:tcBorders>
                    <w:tl2br w:val="nil"/>
                    <w:tr2bl w:val="nil"/>
                  </w:tcBorders>
                  <w:noWrap w:val="0"/>
                  <w:vAlign w:val="center"/>
                </w:tcPr>
                <w:p w14:paraId="3A60674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917" w:type="dxa"/>
                  <w:gridSpan w:val="2"/>
                  <w:vMerge w:val="continue"/>
                  <w:tcBorders>
                    <w:tl2br w:val="nil"/>
                    <w:tr2bl w:val="nil"/>
                  </w:tcBorders>
                  <w:noWrap w:val="0"/>
                  <w:vAlign w:val="center"/>
                </w:tcPr>
                <w:p w14:paraId="420AE676">
                  <w:pPr>
                    <w:spacing w:line="240" w:lineRule="auto"/>
                    <w:ind w:firstLine="0" w:firstLineChars="0"/>
                    <w:jc w:val="center"/>
                    <w:rPr>
                      <w:rFonts w:hint="eastAsia" w:ascii="Times New Roman" w:hAnsi="Times New Roman" w:eastAsia="宋体" w:cs="Times New Roman"/>
                      <w:color w:val="auto"/>
                      <w:sz w:val="21"/>
                      <w:szCs w:val="21"/>
                      <w:highlight w:val="none"/>
                    </w:rPr>
                  </w:pPr>
                </w:p>
              </w:tc>
            </w:tr>
            <w:tr w14:paraId="68E5BB90">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691" w:type="dxa"/>
                  <w:vMerge w:val="continue"/>
                  <w:tcBorders>
                    <w:tl2br w:val="nil"/>
                    <w:tr2bl w:val="nil"/>
                  </w:tcBorders>
                  <w:noWrap w:val="0"/>
                  <w:vAlign w:val="center"/>
                </w:tcPr>
                <w:p w14:paraId="7BBAF856">
                  <w:pPr>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185" w:type="dxa"/>
                  <w:gridSpan w:val="3"/>
                  <w:tcBorders>
                    <w:tl2br w:val="nil"/>
                    <w:tr2bl w:val="nil"/>
                  </w:tcBorders>
                  <w:noWrap w:val="0"/>
                  <w:vAlign w:val="center"/>
                </w:tcPr>
                <w:p w14:paraId="30C39547">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废含有抹布及手套</w:t>
                  </w:r>
                </w:p>
              </w:tc>
              <w:tc>
                <w:tcPr>
                  <w:tcW w:w="966" w:type="dxa"/>
                  <w:tcBorders>
                    <w:tl2br w:val="nil"/>
                    <w:tr2bl w:val="nil"/>
                  </w:tcBorders>
                  <w:shd w:val="clear" w:color="auto" w:fill="auto"/>
                  <w:noWrap w:val="0"/>
                  <w:vAlign w:val="center"/>
                </w:tcPr>
                <w:p w14:paraId="5AF75429">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0.048</w:t>
                  </w:r>
                </w:p>
              </w:tc>
              <w:tc>
                <w:tcPr>
                  <w:tcW w:w="938" w:type="dxa"/>
                  <w:tcBorders>
                    <w:tl2br w:val="nil"/>
                    <w:tr2bl w:val="nil"/>
                  </w:tcBorders>
                  <w:shd w:val="clear" w:color="auto" w:fill="auto"/>
                  <w:noWrap w:val="0"/>
                  <w:vAlign w:val="center"/>
                </w:tcPr>
                <w:p w14:paraId="398CE517">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0.048</w:t>
                  </w:r>
                </w:p>
              </w:tc>
              <w:tc>
                <w:tcPr>
                  <w:tcW w:w="1037" w:type="dxa"/>
                  <w:tcBorders>
                    <w:tl2br w:val="nil"/>
                    <w:tr2bl w:val="nil"/>
                  </w:tcBorders>
                  <w:shd w:val="clear" w:color="auto" w:fill="auto"/>
                  <w:noWrap w:val="0"/>
                  <w:vAlign w:val="center"/>
                </w:tcPr>
                <w:p w14:paraId="563F1776">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2917" w:type="dxa"/>
                  <w:gridSpan w:val="2"/>
                  <w:vMerge w:val="continue"/>
                  <w:tcBorders>
                    <w:tl2br w:val="nil"/>
                    <w:tr2bl w:val="nil"/>
                  </w:tcBorders>
                  <w:noWrap w:val="0"/>
                  <w:vAlign w:val="center"/>
                </w:tcPr>
                <w:p w14:paraId="126843A7">
                  <w:pPr>
                    <w:spacing w:line="240" w:lineRule="auto"/>
                    <w:ind w:firstLine="0" w:firstLineChars="0"/>
                    <w:jc w:val="center"/>
                    <w:rPr>
                      <w:rFonts w:hint="eastAsia" w:ascii="Times New Roman" w:hAnsi="Times New Roman" w:eastAsia="宋体" w:cs="Times New Roman"/>
                      <w:color w:val="auto"/>
                      <w:sz w:val="21"/>
                      <w:szCs w:val="21"/>
                      <w:highlight w:val="none"/>
                    </w:rPr>
                  </w:pPr>
                </w:p>
              </w:tc>
            </w:tr>
            <w:tr w14:paraId="30FA6AC2">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2876" w:type="dxa"/>
                  <w:gridSpan w:val="4"/>
                  <w:tcBorders>
                    <w:tl2br w:val="nil"/>
                    <w:tr2bl w:val="nil"/>
                  </w:tcBorders>
                  <w:noWrap w:val="0"/>
                  <w:vAlign w:val="center"/>
                </w:tcPr>
                <w:p w14:paraId="6324F5C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生活垃圾</w:t>
                  </w:r>
                </w:p>
              </w:tc>
              <w:tc>
                <w:tcPr>
                  <w:tcW w:w="966" w:type="dxa"/>
                  <w:tcBorders>
                    <w:tl2br w:val="nil"/>
                    <w:tr2bl w:val="nil"/>
                  </w:tcBorders>
                  <w:noWrap w:val="0"/>
                  <w:vAlign w:val="center"/>
                </w:tcPr>
                <w:p w14:paraId="4FDD184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938" w:type="dxa"/>
                  <w:tcBorders>
                    <w:tl2br w:val="nil"/>
                    <w:tr2bl w:val="nil"/>
                  </w:tcBorders>
                  <w:noWrap w:val="0"/>
                  <w:vAlign w:val="center"/>
                </w:tcPr>
                <w:p w14:paraId="2026F6B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037" w:type="dxa"/>
                  <w:tcBorders>
                    <w:tl2br w:val="nil"/>
                    <w:tr2bl w:val="nil"/>
                  </w:tcBorders>
                  <w:noWrap w:val="0"/>
                  <w:vAlign w:val="center"/>
                </w:tcPr>
                <w:p w14:paraId="7F1F323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2917" w:type="dxa"/>
                  <w:gridSpan w:val="2"/>
                  <w:tcBorders>
                    <w:tl2br w:val="nil"/>
                    <w:tr2bl w:val="nil"/>
                  </w:tcBorders>
                  <w:noWrap w:val="0"/>
                  <w:vAlign w:val="center"/>
                </w:tcPr>
                <w:p w14:paraId="51CC9F44">
                  <w:pPr>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color w:val="auto"/>
                      <w:highlight w:val="none"/>
                    </w:rPr>
                    <w:t>委托当地环卫部门统一清运</w:t>
                  </w:r>
                </w:p>
              </w:tc>
            </w:tr>
          </w:tbl>
          <w:p w14:paraId="082B8F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rPr>
              <w:t>2.9.</w:t>
            </w:r>
            <w:r>
              <w:rPr>
                <w:rFonts w:hint="eastAsia" w:ascii="Times New Roman" w:hAnsi="Times New Roman" w:eastAsia="宋体"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eastAsia="zh-CN"/>
              </w:rPr>
              <w:t>项目存在的环保问题、整改要求</w:t>
            </w:r>
            <w:r>
              <w:rPr>
                <w:rFonts w:hint="eastAsia" w:ascii="Times New Roman" w:hAnsi="Times New Roman" w:eastAsia="宋体" w:cs="Times New Roman"/>
                <w:b/>
                <w:bCs/>
                <w:color w:val="auto"/>
                <w:sz w:val="24"/>
                <w:szCs w:val="24"/>
                <w:highlight w:val="none"/>
                <w:lang w:val="en-US" w:eastAsia="zh-CN"/>
              </w:rPr>
              <w:t>及退役期分析</w:t>
            </w:r>
          </w:p>
          <w:p w14:paraId="4221FE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迁建前项目根据原环评要求：VOCs排放量为</w:t>
            </w:r>
            <w:r>
              <w:rPr>
                <w:rFonts w:hint="eastAsia" w:cs="Times New Roman"/>
                <w:b w:val="0"/>
                <w:bCs w:val="0"/>
                <w:color w:val="auto"/>
                <w:sz w:val="24"/>
                <w:szCs w:val="24"/>
                <w:highlight w:val="none"/>
                <w:lang w:val="en-US" w:eastAsia="zh-CN"/>
              </w:rPr>
              <w:t>0.388</w:t>
            </w:r>
            <w:r>
              <w:rPr>
                <w:rFonts w:hint="eastAsia" w:ascii="Times New Roman" w:hAnsi="Times New Roman" w:eastAsia="宋体" w:cs="Times New Roman"/>
                <w:b w:val="0"/>
                <w:bCs w:val="0"/>
                <w:color w:val="auto"/>
                <w:sz w:val="24"/>
                <w:szCs w:val="24"/>
                <w:highlight w:val="none"/>
                <w:lang w:val="en-US" w:eastAsia="zh-CN"/>
              </w:rPr>
              <w:t>t</w:t>
            </w:r>
            <w:r>
              <w:rPr>
                <w:rFonts w:hint="default" w:ascii="Times New Roman" w:hAnsi="Times New Roman" w:eastAsia="宋体" w:cs="Times New Roman"/>
                <w:b w:val="0"/>
                <w:bCs w:val="0"/>
                <w:color w:val="auto"/>
                <w:sz w:val="24"/>
                <w:szCs w:val="24"/>
                <w:highlight w:val="none"/>
                <w:lang w:val="en-US" w:eastAsia="zh-CN"/>
              </w:rPr>
              <w:t>/a</w:t>
            </w:r>
            <w:r>
              <w:rPr>
                <w:rFonts w:hint="eastAsia" w:ascii="Times New Roman" w:hAnsi="Times New Roman" w:eastAsia="宋体" w:cs="Times New Roman"/>
                <w:b w:val="0"/>
                <w:bCs w:val="0"/>
                <w:color w:val="auto"/>
                <w:sz w:val="24"/>
                <w:szCs w:val="24"/>
                <w:highlight w:val="none"/>
                <w:lang w:val="en-US" w:eastAsia="zh-CN"/>
              </w:rPr>
              <w:t>。根据《</w:t>
            </w:r>
            <w:r>
              <w:rPr>
                <w:rFonts w:hint="eastAsia" w:cs="Times New Roman"/>
                <w:color w:val="auto"/>
                <w:spacing w:val="0"/>
                <w:position w:val="0"/>
                <w:sz w:val="24"/>
                <w:szCs w:val="24"/>
                <w:highlight w:val="none"/>
                <w:u w:val="none"/>
                <w:lang w:eastAsia="zh-CN"/>
              </w:rPr>
              <w:t>福州市搜一家具有限公司</w:t>
            </w:r>
            <w:r>
              <w:rPr>
                <w:rFonts w:hint="eastAsia" w:cs="Times New Roman"/>
                <w:color w:val="auto"/>
                <w:spacing w:val="0"/>
                <w:position w:val="0"/>
                <w:sz w:val="24"/>
                <w:szCs w:val="24"/>
                <w:highlight w:val="none"/>
                <w:u w:val="none"/>
                <w:lang w:val="en-US" w:eastAsia="zh-CN"/>
              </w:rPr>
              <w:t>木质屏风生产</w:t>
            </w:r>
            <w:r>
              <w:rPr>
                <w:rFonts w:hint="eastAsia" w:ascii="Times New Roman" w:hAnsi="Times New Roman" w:eastAsia="宋体" w:cs="Times New Roman"/>
                <w:color w:val="auto"/>
                <w:spacing w:val="0"/>
                <w:position w:val="0"/>
                <w:sz w:val="24"/>
                <w:szCs w:val="24"/>
                <w:highlight w:val="none"/>
                <w:u w:val="none"/>
                <w:lang w:val="en-US" w:eastAsia="zh-CN"/>
              </w:rPr>
              <w:t>项目</w:t>
            </w:r>
            <w:r>
              <w:rPr>
                <w:rFonts w:hint="eastAsia" w:ascii="Times New Roman" w:hAnsi="Times New Roman" w:eastAsia="宋体" w:cs="Times New Roman"/>
                <w:b w:val="0"/>
                <w:bCs w:val="0"/>
                <w:color w:val="auto"/>
                <w:sz w:val="24"/>
                <w:szCs w:val="24"/>
                <w:highlight w:val="none"/>
                <w:lang w:val="en-US" w:eastAsia="zh-CN"/>
              </w:rPr>
              <w:t>竣工环境保护验收监测报告表》验收实际监测VOCs总量为大于</w:t>
            </w:r>
            <w:r>
              <w:rPr>
                <w:rFonts w:hint="eastAsia" w:cs="Times New Roman"/>
                <w:b w:val="0"/>
                <w:bCs w:val="0"/>
                <w:color w:val="auto"/>
                <w:sz w:val="24"/>
                <w:szCs w:val="24"/>
                <w:highlight w:val="none"/>
                <w:lang w:val="en-US" w:eastAsia="zh-CN"/>
              </w:rPr>
              <w:t>0.388</w:t>
            </w:r>
            <w:r>
              <w:rPr>
                <w:rFonts w:hint="eastAsia" w:ascii="Times New Roman" w:hAnsi="Times New Roman" w:eastAsia="宋体" w:cs="Times New Roman"/>
                <w:b w:val="0"/>
                <w:bCs w:val="0"/>
                <w:color w:val="auto"/>
                <w:sz w:val="24"/>
                <w:szCs w:val="24"/>
                <w:highlight w:val="none"/>
                <w:lang w:val="en-US" w:eastAsia="zh-CN"/>
              </w:rPr>
              <w:t>t</w:t>
            </w:r>
            <w:r>
              <w:rPr>
                <w:rFonts w:hint="default" w:ascii="Times New Roman" w:hAnsi="Times New Roman" w:eastAsia="宋体" w:cs="Times New Roman"/>
                <w:b w:val="0"/>
                <w:bCs w:val="0"/>
                <w:color w:val="auto"/>
                <w:sz w:val="24"/>
                <w:szCs w:val="24"/>
                <w:highlight w:val="none"/>
                <w:lang w:val="en-US" w:eastAsia="zh-CN"/>
              </w:rPr>
              <w:t>/a</w:t>
            </w:r>
            <w:r>
              <w:rPr>
                <w:rFonts w:hint="eastAsia" w:ascii="Times New Roman" w:hAnsi="Times New Roman" w:eastAsia="宋体" w:cs="Times New Roman"/>
                <w:b w:val="0"/>
                <w:bCs w:val="0"/>
                <w:color w:val="auto"/>
                <w:sz w:val="24"/>
                <w:szCs w:val="24"/>
                <w:highlight w:val="none"/>
                <w:lang w:val="en-US" w:eastAsia="zh-CN"/>
              </w:rPr>
              <w:t>，经综合分析，</w:t>
            </w:r>
            <w:r>
              <w:rPr>
                <w:rFonts w:hint="eastAsia" w:cs="Times New Roman"/>
                <w:b w:val="0"/>
                <w:bCs w:val="0"/>
                <w:color w:val="auto"/>
                <w:sz w:val="24"/>
                <w:szCs w:val="24"/>
                <w:highlight w:val="none"/>
                <w:lang w:val="en-US" w:eastAsia="zh-CN"/>
              </w:rPr>
              <w:t>项目生产车间生产过程中开门关门未密闭、</w:t>
            </w:r>
            <w:r>
              <w:rPr>
                <w:rFonts w:hint="eastAsia" w:ascii="Times New Roman" w:hAnsi="Times New Roman" w:eastAsia="宋体" w:cs="Times New Roman"/>
                <w:b w:val="0"/>
                <w:bCs w:val="0"/>
                <w:color w:val="auto"/>
                <w:sz w:val="24"/>
                <w:szCs w:val="24"/>
                <w:highlight w:val="none"/>
                <w:lang w:val="en-US" w:eastAsia="zh-CN"/>
              </w:rPr>
              <w:t>原有UV灯管使用衰减、活性炭箱设置的活性炭量较少且未定期及时更换活性炭（采用低碘值活性炭）导致排放浓度较高、VOCs总量偏高，但其排放浓度，排放速率均符合相关排放浓度要求限值。迁建后企业需按环评规范要求配置足量的活性炭，采用800碘值活性炭，根据要求定期检测及更换活性炭。</w:t>
            </w:r>
          </w:p>
          <w:p w14:paraId="21C28C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eastAsia="zh-CN"/>
              </w:rPr>
              <w:t>近年来，</w:t>
            </w:r>
            <w:r>
              <w:rPr>
                <w:rFonts w:hint="eastAsia" w:cs="Times New Roman"/>
                <w:b w:val="0"/>
                <w:bCs w:val="0"/>
                <w:color w:val="auto"/>
                <w:sz w:val="24"/>
                <w:szCs w:val="24"/>
                <w:highlight w:val="none"/>
                <w:lang w:val="en-US" w:eastAsia="zh-CN"/>
              </w:rPr>
              <w:t>福州市</w:t>
            </w:r>
            <w:r>
              <w:rPr>
                <w:rFonts w:hint="eastAsia" w:cs="Times New Roman"/>
                <w:color w:val="auto"/>
                <w:spacing w:val="0"/>
                <w:position w:val="0"/>
                <w:sz w:val="24"/>
                <w:szCs w:val="24"/>
                <w:highlight w:val="none"/>
                <w:u w:val="none"/>
                <w:lang w:eastAsia="zh-CN"/>
              </w:rPr>
              <w:t>搜一家具</w:t>
            </w:r>
            <w:r>
              <w:rPr>
                <w:rFonts w:hint="eastAsia" w:ascii="Times New Roman" w:hAnsi="Times New Roman" w:eastAsia="宋体" w:cs="Times New Roman"/>
                <w:b w:val="0"/>
                <w:bCs w:val="0"/>
                <w:color w:val="auto"/>
                <w:sz w:val="24"/>
                <w:szCs w:val="24"/>
                <w:highlight w:val="none"/>
                <w:lang w:val="en-US" w:eastAsia="zh-CN"/>
              </w:rPr>
              <w:t>有限</w:t>
            </w:r>
            <w:r>
              <w:rPr>
                <w:rFonts w:hint="eastAsia" w:ascii="Times New Roman" w:hAnsi="Times New Roman" w:eastAsia="宋体" w:cs="Times New Roman"/>
                <w:b w:val="0"/>
                <w:bCs w:val="0"/>
                <w:color w:val="auto"/>
                <w:sz w:val="24"/>
                <w:szCs w:val="24"/>
                <w:highlight w:val="none"/>
                <w:lang w:eastAsia="zh-CN"/>
              </w:rPr>
              <w:t>公司运营过程未出现环境污染投诉问题或行政处罚。对照迁建前项目原环评报告、竣工环境保护验收报告及其实施情况，迁建前项目基本按照原环评批复、验收意见落实了环保各项“三同时”措施，噪声、废气、废水污染物能够达标排放。</w:t>
            </w:r>
          </w:p>
          <w:p w14:paraId="0E140D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eastAsia="zh-CN"/>
              </w:rPr>
              <w:t>为加大环境保护力度，促进企业强化环保合规化运营，避免项目迁建后原址出现环境遗留问题，本评价提出以下要求：</w:t>
            </w:r>
          </w:p>
          <w:p w14:paraId="303F0C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eastAsia="zh-CN"/>
              </w:rPr>
              <w:fldChar w:fldCharType="begin"/>
            </w:r>
            <w:r>
              <w:rPr>
                <w:rFonts w:hint="eastAsia" w:ascii="Times New Roman" w:hAnsi="Times New Roman" w:eastAsia="宋体" w:cs="Times New Roman"/>
                <w:b w:val="0"/>
                <w:bCs w:val="0"/>
                <w:color w:val="auto"/>
                <w:sz w:val="24"/>
                <w:szCs w:val="24"/>
                <w:highlight w:val="none"/>
                <w:lang w:eastAsia="zh-CN"/>
              </w:rPr>
              <w:instrText xml:space="preserve"> = 1 \* GB3 \* MERGEFORMAT </w:instrText>
            </w:r>
            <w:r>
              <w:rPr>
                <w:rFonts w:hint="eastAsia" w:ascii="Times New Roman" w:hAnsi="Times New Roman" w:eastAsia="宋体" w:cs="Times New Roman"/>
                <w:b w:val="0"/>
                <w:bCs w:val="0"/>
                <w:color w:val="auto"/>
                <w:sz w:val="24"/>
                <w:szCs w:val="24"/>
                <w:highlight w:val="none"/>
                <w:lang w:eastAsia="zh-CN"/>
              </w:rPr>
              <w:fldChar w:fldCharType="separate"/>
            </w:r>
            <w:r>
              <w:rPr>
                <w:color w:val="auto"/>
                <w:sz w:val="24"/>
                <w:szCs w:val="24"/>
                <w:highlight w:val="none"/>
              </w:rPr>
              <w:t>①</w:t>
            </w:r>
            <w:r>
              <w:rPr>
                <w:rFonts w:hint="eastAsia" w:ascii="Times New Roman" w:hAnsi="Times New Roman" w:eastAsia="宋体" w:cs="Times New Roman"/>
                <w:b w:val="0"/>
                <w:bCs w:val="0"/>
                <w:color w:val="auto"/>
                <w:sz w:val="24"/>
                <w:szCs w:val="24"/>
                <w:highlight w:val="none"/>
                <w:lang w:eastAsia="zh-CN"/>
              </w:rPr>
              <w:fldChar w:fldCharType="end"/>
            </w:r>
            <w:r>
              <w:rPr>
                <w:rFonts w:hint="eastAsia" w:ascii="Times New Roman" w:hAnsi="Times New Roman" w:eastAsia="宋体" w:cs="Times New Roman"/>
                <w:b w:val="0"/>
                <w:bCs w:val="0"/>
                <w:color w:val="auto"/>
                <w:sz w:val="24"/>
                <w:szCs w:val="24"/>
                <w:highlight w:val="none"/>
                <w:lang w:eastAsia="zh-CN"/>
              </w:rPr>
              <w:t>迁建前项目在退出原址时，应按照《关于加强工业企业关停、搬迁及原址场地再开发利用过程中污染防治工作的通知》（环发【2014】66号）的要求，规范各类设施的拆除流程、安全处置原辅材料和固体废物。</w:t>
            </w:r>
          </w:p>
          <w:p w14:paraId="6319F4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eastAsia="zh-CN"/>
              </w:rPr>
              <w:fldChar w:fldCharType="begin"/>
            </w:r>
            <w:r>
              <w:rPr>
                <w:rFonts w:hint="eastAsia" w:ascii="Times New Roman" w:hAnsi="Times New Roman" w:eastAsia="宋体" w:cs="Times New Roman"/>
                <w:b w:val="0"/>
                <w:bCs w:val="0"/>
                <w:color w:val="auto"/>
                <w:sz w:val="24"/>
                <w:szCs w:val="24"/>
                <w:highlight w:val="none"/>
                <w:lang w:eastAsia="zh-CN"/>
              </w:rPr>
              <w:instrText xml:space="preserve"> = 2 \* GB3 \* MERGEFORMAT </w:instrText>
            </w:r>
            <w:r>
              <w:rPr>
                <w:rFonts w:hint="eastAsia" w:ascii="Times New Roman" w:hAnsi="Times New Roman" w:eastAsia="宋体" w:cs="Times New Roman"/>
                <w:b w:val="0"/>
                <w:bCs w:val="0"/>
                <w:color w:val="auto"/>
                <w:sz w:val="24"/>
                <w:szCs w:val="24"/>
                <w:highlight w:val="none"/>
                <w:lang w:eastAsia="zh-CN"/>
              </w:rPr>
              <w:fldChar w:fldCharType="separate"/>
            </w:r>
            <w:r>
              <w:rPr>
                <w:color w:val="auto"/>
                <w:sz w:val="24"/>
                <w:szCs w:val="24"/>
                <w:highlight w:val="none"/>
              </w:rPr>
              <w:t>②</w:t>
            </w:r>
            <w:r>
              <w:rPr>
                <w:rFonts w:hint="eastAsia" w:ascii="Times New Roman" w:hAnsi="Times New Roman" w:eastAsia="宋体" w:cs="Times New Roman"/>
                <w:b w:val="0"/>
                <w:bCs w:val="0"/>
                <w:color w:val="auto"/>
                <w:sz w:val="24"/>
                <w:szCs w:val="24"/>
                <w:highlight w:val="none"/>
                <w:lang w:eastAsia="zh-CN"/>
              </w:rPr>
              <w:fldChar w:fldCharType="end"/>
            </w:r>
            <w:r>
              <w:rPr>
                <w:rFonts w:hint="eastAsia" w:ascii="Times New Roman" w:hAnsi="Times New Roman" w:eastAsia="宋体" w:cs="Times New Roman"/>
                <w:b w:val="0"/>
                <w:bCs w:val="0"/>
                <w:color w:val="auto"/>
                <w:sz w:val="24"/>
                <w:szCs w:val="24"/>
                <w:highlight w:val="none"/>
                <w:lang w:eastAsia="zh-CN"/>
              </w:rPr>
              <w:t>在对生产设备、污染防治设施进行搬迁拆除或退出时，可以制定相关处置预案，妥善处置现场可能遗留的污染物；属于一般工业废物的，应及时交由具备主体技术资格的单位处置；属于危险废物的，应及时委托有资质单位处置。</w:t>
            </w:r>
          </w:p>
          <w:p w14:paraId="065D71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eastAsia="zh-CN"/>
              </w:rPr>
              <w:fldChar w:fldCharType="begin"/>
            </w:r>
            <w:r>
              <w:rPr>
                <w:rFonts w:hint="eastAsia" w:ascii="Times New Roman" w:hAnsi="Times New Roman" w:eastAsia="宋体" w:cs="Times New Roman"/>
                <w:b w:val="0"/>
                <w:bCs w:val="0"/>
                <w:color w:val="auto"/>
                <w:sz w:val="24"/>
                <w:szCs w:val="24"/>
                <w:highlight w:val="none"/>
                <w:lang w:eastAsia="zh-CN"/>
              </w:rPr>
              <w:instrText xml:space="preserve"> = 3 \* GB3 \* MERGEFORMAT </w:instrText>
            </w:r>
            <w:r>
              <w:rPr>
                <w:rFonts w:hint="eastAsia" w:ascii="Times New Roman" w:hAnsi="Times New Roman" w:eastAsia="宋体" w:cs="Times New Roman"/>
                <w:b w:val="0"/>
                <w:bCs w:val="0"/>
                <w:color w:val="auto"/>
                <w:sz w:val="24"/>
                <w:szCs w:val="24"/>
                <w:highlight w:val="none"/>
                <w:lang w:eastAsia="zh-CN"/>
              </w:rPr>
              <w:fldChar w:fldCharType="separate"/>
            </w:r>
            <w:r>
              <w:rPr>
                <w:color w:val="auto"/>
                <w:sz w:val="24"/>
                <w:szCs w:val="24"/>
                <w:highlight w:val="none"/>
              </w:rPr>
              <w:t>③</w:t>
            </w:r>
            <w:r>
              <w:rPr>
                <w:rFonts w:hint="eastAsia" w:ascii="Times New Roman" w:hAnsi="Times New Roman" w:eastAsia="宋体" w:cs="Times New Roman"/>
                <w:b w:val="0"/>
                <w:bCs w:val="0"/>
                <w:color w:val="auto"/>
                <w:sz w:val="24"/>
                <w:szCs w:val="24"/>
                <w:highlight w:val="none"/>
                <w:lang w:eastAsia="zh-CN"/>
              </w:rPr>
              <w:fldChar w:fldCharType="end"/>
            </w:r>
            <w:r>
              <w:rPr>
                <w:rFonts w:hint="eastAsia" w:ascii="Times New Roman" w:hAnsi="Times New Roman" w:eastAsia="宋体" w:cs="Times New Roman"/>
                <w:b w:val="0"/>
                <w:bCs w:val="0"/>
                <w:color w:val="auto"/>
                <w:sz w:val="24"/>
                <w:szCs w:val="24"/>
                <w:highlight w:val="none"/>
                <w:lang w:eastAsia="zh-CN"/>
              </w:rPr>
              <w:t>企业所用原辅材料属于可回收的，应实行回收处置；属于不可回收的物料，应遵守固体废物污染防治的相关法律法规、技术规范进行妥善处置。</w:t>
            </w:r>
          </w:p>
          <w:p w14:paraId="635895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eastAsia="zh-CN"/>
              </w:rPr>
              <w:fldChar w:fldCharType="begin"/>
            </w:r>
            <w:r>
              <w:rPr>
                <w:rFonts w:hint="eastAsia" w:ascii="Times New Roman" w:hAnsi="Times New Roman" w:eastAsia="宋体" w:cs="Times New Roman"/>
                <w:b w:val="0"/>
                <w:bCs w:val="0"/>
                <w:color w:val="auto"/>
                <w:sz w:val="24"/>
                <w:szCs w:val="24"/>
                <w:highlight w:val="none"/>
                <w:lang w:eastAsia="zh-CN"/>
              </w:rPr>
              <w:instrText xml:space="preserve"> = 4 \* GB3 \* MERGEFORMAT </w:instrText>
            </w:r>
            <w:r>
              <w:rPr>
                <w:rFonts w:hint="eastAsia" w:ascii="Times New Roman" w:hAnsi="Times New Roman" w:eastAsia="宋体" w:cs="Times New Roman"/>
                <w:b w:val="0"/>
                <w:bCs w:val="0"/>
                <w:color w:val="auto"/>
                <w:sz w:val="24"/>
                <w:szCs w:val="24"/>
                <w:highlight w:val="none"/>
                <w:lang w:eastAsia="zh-CN"/>
              </w:rPr>
              <w:fldChar w:fldCharType="separate"/>
            </w:r>
            <w:r>
              <w:rPr>
                <w:color w:val="auto"/>
                <w:sz w:val="24"/>
                <w:szCs w:val="24"/>
                <w:highlight w:val="none"/>
              </w:rPr>
              <w:t>④</w:t>
            </w:r>
            <w:r>
              <w:rPr>
                <w:rFonts w:hint="eastAsia" w:ascii="Times New Roman" w:hAnsi="Times New Roman" w:eastAsia="宋体" w:cs="Times New Roman"/>
                <w:b w:val="0"/>
                <w:bCs w:val="0"/>
                <w:color w:val="auto"/>
                <w:sz w:val="24"/>
                <w:szCs w:val="24"/>
                <w:highlight w:val="none"/>
                <w:lang w:eastAsia="zh-CN"/>
              </w:rPr>
              <w:fldChar w:fldCharType="end"/>
            </w:r>
            <w:r>
              <w:rPr>
                <w:rFonts w:hint="eastAsia" w:ascii="Times New Roman" w:hAnsi="Times New Roman" w:eastAsia="宋体" w:cs="Times New Roman"/>
                <w:b w:val="0"/>
                <w:bCs w:val="0"/>
                <w:color w:val="auto"/>
                <w:sz w:val="24"/>
                <w:szCs w:val="24"/>
                <w:highlight w:val="none"/>
                <w:lang w:eastAsia="zh-CN"/>
              </w:rPr>
              <w:t>妥善处置迁建前项目危险废物，补充签订危险废物处置协议，严格执行危险废物转移联单制度。</w:t>
            </w:r>
          </w:p>
          <w:p w14:paraId="71040E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eastAsia="zh-CN"/>
              </w:rPr>
              <w:t>综上，在妥善处置迁建前项目原址现场可能遗留的污染物后，同时对原有生产设备、原有生产物资有序搬迁转移后，与项目有关的原有污染影响将不存在。</w:t>
            </w:r>
          </w:p>
          <w:p w14:paraId="286F16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2.9.4迁建</w:t>
            </w:r>
            <w:r>
              <w:rPr>
                <w:rFonts w:hint="eastAsia" w:ascii="Times New Roman" w:hAnsi="Times New Roman" w:eastAsia="宋体" w:cs="Times New Roman"/>
                <w:b/>
                <w:bCs/>
                <w:color w:val="auto"/>
                <w:sz w:val="24"/>
                <w:szCs w:val="24"/>
                <w:highlight w:val="none"/>
                <w:lang w:eastAsia="zh-CN"/>
              </w:rPr>
              <w:t>前</w:t>
            </w:r>
            <w:r>
              <w:rPr>
                <w:rFonts w:hint="default" w:ascii="Times New Roman" w:hAnsi="Times New Roman" w:eastAsia="宋体" w:cs="Times New Roman"/>
                <w:b/>
                <w:bCs/>
                <w:color w:val="auto"/>
                <w:sz w:val="24"/>
                <w:szCs w:val="24"/>
                <w:highlight w:val="none"/>
              </w:rPr>
              <w:t>污染物排放总量控制要求</w:t>
            </w:r>
          </w:p>
          <w:p w14:paraId="36485A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根据《</w:t>
            </w:r>
            <w:r>
              <w:rPr>
                <w:rFonts w:hint="eastAsia" w:cs="Times New Roman"/>
                <w:color w:val="auto"/>
                <w:spacing w:val="0"/>
                <w:position w:val="0"/>
                <w:sz w:val="24"/>
                <w:szCs w:val="24"/>
                <w:highlight w:val="none"/>
                <w:u w:val="none"/>
                <w:lang w:eastAsia="zh-CN"/>
              </w:rPr>
              <w:t>福州市搜一家具有限公司</w:t>
            </w:r>
            <w:r>
              <w:rPr>
                <w:rFonts w:hint="eastAsia" w:cs="Times New Roman"/>
                <w:color w:val="auto"/>
                <w:spacing w:val="0"/>
                <w:position w:val="0"/>
                <w:sz w:val="24"/>
                <w:szCs w:val="24"/>
                <w:highlight w:val="none"/>
                <w:u w:val="none"/>
                <w:lang w:val="en-US" w:eastAsia="zh-CN"/>
              </w:rPr>
              <w:t>木质屏风生产</w:t>
            </w:r>
            <w:r>
              <w:rPr>
                <w:rFonts w:hint="eastAsia" w:ascii="Times New Roman" w:hAnsi="Times New Roman" w:eastAsia="宋体" w:cs="Times New Roman"/>
                <w:color w:val="auto"/>
                <w:spacing w:val="0"/>
                <w:position w:val="0"/>
                <w:sz w:val="24"/>
                <w:szCs w:val="24"/>
                <w:highlight w:val="none"/>
                <w:u w:val="none"/>
                <w:lang w:val="en-US" w:eastAsia="zh-CN"/>
              </w:rPr>
              <w:t>项目</w:t>
            </w:r>
            <w:r>
              <w:rPr>
                <w:rFonts w:hint="eastAsia" w:ascii="Times New Roman" w:hAnsi="Times New Roman" w:eastAsia="宋体" w:cs="Times New Roman"/>
                <w:color w:val="auto"/>
                <w:spacing w:val="0"/>
                <w:position w:val="0"/>
                <w:sz w:val="24"/>
                <w:szCs w:val="24"/>
                <w:highlight w:val="none"/>
                <w:lang w:val="en-US" w:eastAsia="zh-CN"/>
              </w:rPr>
              <w:t>环境影响报告表</w:t>
            </w:r>
            <w:r>
              <w:rPr>
                <w:rFonts w:hint="default" w:ascii="Times New Roman" w:hAnsi="Times New Roman" w:eastAsia="宋体" w:cs="Times New Roman"/>
                <w:b w:val="0"/>
                <w:bCs w:val="0"/>
                <w:color w:val="auto"/>
                <w:sz w:val="24"/>
                <w:szCs w:val="24"/>
                <w:highlight w:val="none"/>
              </w:rPr>
              <w:t>》内容及其环评批复意见如下：</w:t>
            </w:r>
          </w:p>
          <w:p w14:paraId="3BCB52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①水污染物排放总量控制指标</w:t>
            </w:r>
          </w:p>
          <w:p w14:paraId="13721D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项目</w:t>
            </w:r>
            <w:r>
              <w:rPr>
                <w:rFonts w:hint="eastAsia" w:ascii="Times New Roman" w:hAnsi="Times New Roman" w:eastAsia="宋体" w:cs="Times New Roman"/>
                <w:b w:val="0"/>
                <w:bCs w:val="0"/>
                <w:color w:val="auto"/>
                <w:sz w:val="24"/>
                <w:szCs w:val="24"/>
                <w:highlight w:val="none"/>
                <w:lang w:eastAsia="zh-CN"/>
              </w:rPr>
              <w:t>迁建</w:t>
            </w:r>
            <w:r>
              <w:rPr>
                <w:rFonts w:hint="default" w:ascii="Times New Roman" w:hAnsi="Times New Roman" w:eastAsia="宋体" w:cs="Times New Roman"/>
                <w:b w:val="0"/>
                <w:bCs w:val="0"/>
                <w:color w:val="auto"/>
                <w:sz w:val="24"/>
                <w:szCs w:val="24"/>
                <w:highlight w:val="none"/>
              </w:rPr>
              <w:t>前无生产废水外排</w:t>
            </w:r>
          </w:p>
          <w:p w14:paraId="3BF6EA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②大气污染物排放总量控制指标</w:t>
            </w:r>
          </w:p>
          <w:p w14:paraId="66C979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根据国家及地方当前对主要污染物排放总量控制要求，本项目涉及大气污染物</w:t>
            </w:r>
            <w:r>
              <w:rPr>
                <w:rFonts w:hint="eastAsia" w:ascii="Times New Roman" w:hAnsi="Times New Roman" w:eastAsia="宋体" w:cs="Times New Roman"/>
                <w:b w:val="0"/>
                <w:bCs w:val="0"/>
                <w:color w:val="auto"/>
                <w:sz w:val="24"/>
                <w:szCs w:val="24"/>
                <w:highlight w:val="none"/>
                <w:lang w:val="en-US" w:eastAsia="zh-CN"/>
              </w:rPr>
              <w:t>VOCs</w:t>
            </w:r>
            <w:r>
              <w:rPr>
                <w:rFonts w:hint="default" w:ascii="Times New Roman" w:hAnsi="Times New Roman" w:eastAsia="宋体" w:cs="Times New Roman"/>
                <w:b w:val="0"/>
                <w:bCs w:val="0"/>
                <w:color w:val="auto"/>
                <w:sz w:val="24"/>
                <w:szCs w:val="24"/>
                <w:highlight w:val="none"/>
              </w:rPr>
              <w:t>的总量控制问题</w:t>
            </w:r>
            <w:r>
              <w:rPr>
                <w:rFonts w:hint="eastAsia" w:ascii="Times New Roman" w:hAnsi="Times New Roman" w:eastAsia="宋体" w:cs="Times New Roman"/>
                <w:b w:val="0"/>
                <w:bCs w:val="0"/>
                <w:color w:val="auto"/>
                <w:sz w:val="24"/>
                <w:szCs w:val="24"/>
                <w:highlight w:val="none"/>
                <w:lang w:eastAsia="zh-CN"/>
              </w:rPr>
              <w:t>。</w:t>
            </w:r>
          </w:p>
          <w:p w14:paraId="595E384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迁建前项目根据原环评要求：VOCs排放量为</w:t>
            </w:r>
            <w:r>
              <w:rPr>
                <w:rFonts w:hint="eastAsia" w:cs="Times New Roman"/>
                <w:b w:val="0"/>
                <w:bCs w:val="0"/>
                <w:color w:val="auto"/>
                <w:sz w:val="24"/>
                <w:szCs w:val="24"/>
                <w:highlight w:val="none"/>
                <w:lang w:val="en-US" w:eastAsia="zh-CN"/>
              </w:rPr>
              <w:t>0.388</w:t>
            </w:r>
            <w:r>
              <w:rPr>
                <w:rFonts w:hint="eastAsia" w:ascii="Times New Roman" w:hAnsi="Times New Roman" w:eastAsia="宋体" w:cs="Times New Roman"/>
                <w:b w:val="0"/>
                <w:bCs w:val="0"/>
                <w:color w:val="auto"/>
                <w:sz w:val="24"/>
                <w:szCs w:val="24"/>
                <w:highlight w:val="none"/>
                <w:lang w:val="en-US" w:eastAsia="zh-CN"/>
              </w:rPr>
              <w:t>t</w:t>
            </w:r>
            <w:r>
              <w:rPr>
                <w:rFonts w:hint="default" w:ascii="Times New Roman" w:hAnsi="Times New Roman" w:eastAsia="宋体" w:cs="Times New Roman"/>
                <w:b w:val="0"/>
                <w:bCs w:val="0"/>
                <w:color w:val="auto"/>
                <w:sz w:val="24"/>
                <w:szCs w:val="24"/>
                <w:highlight w:val="none"/>
                <w:lang w:val="en-US" w:eastAsia="zh-CN"/>
              </w:rPr>
              <w:t>/a</w:t>
            </w:r>
            <w:r>
              <w:rPr>
                <w:rFonts w:hint="eastAsia" w:ascii="Times New Roman" w:hAnsi="Times New Roman" w:eastAsia="宋体" w:cs="Times New Roman"/>
                <w:b w:val="0"/>
                <w:bCs w:val="0"/>
                <w:color w:val="auto"/>
                <w:sz w:val="24"/>
                <w:szCs w:val="24"/>
                <w:highlight w:val="none"/>
                <w:lang w:val="en-US" w:eastAsia="zh-CN"/>
              </w:rPr>
              <w:t>。</w:t>
            </w:r>
          </w:p>
        </w:tc>
      </w:tr>
    </w:tbl>
    <w:p w14:paraId="60BD27A3">
      <w:pPr>
        <w:pStyle w:val="24"/>
        <w:jc w:val="center"/>
        <w:rPr>
          <w:rFonts w:ascii="Times New Roman" w:hAnsi="Times New Roman" w:eastAsia="宋体" w:cs="Times New Roman"/>
          <w:snapToGrid w:val="0"/>
          <w:color w:val="auto"/>
          <w:spacing w:val="0"/>
          <w:position w:val="0"/>
          <w:sz w:val="36"/>
          <w:szCs w:val="36"/>
          <w:highlight w:val="none"/>
        </w:rPr>
        <w:sectPr>
          <w:pgSz w:w="11905" w:h="16838"/>
          <w:pgMar w:top="1134" w:right="1134" w:bottom="1134" w:left="1134"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1646D980">
      <w:pPr>
        <w:pStyle w:val="24"/>
        <w:jc w:val="center"/>
        <w:outlineLvl w:val="0"/>
        <w:rPr>
          <w:rFonts w:ascii="Times New Roman" w:hAnsi="Times New Roman" w:eastAsia="宋体" w:cs="Times New Roman"/>
          <w:snapToGrid w:val="0"/>
          <w:color w:val="auto"/>
          <w:spacing w:val="0"/>
          <w:position w:val="0"/>
          <w:sz w:val="30"/>
          <w:szCs w:val="30"/>
          <w:highlight w:val="none"/>
        </w:rPr>
      </w:pPr>
      <w:bookmarkStart w:id="32" w:name="_Toc5460"/>
      <w:bookmarkStart w:id="33" w:name="_Toc19833"/>
      <w:r>
        <w:rPr>
          <w:rFonts w:hint="eastAsia" w:ascii="Times New Roman" w:hAnsi="Times New Roman" w:eastAsia="宋体" w:cs="Times New Roman"/>
          <w:snapToGrid w:val="0"/>
          <w:color w:val="auto"/>
          <w:spacing w:val="0"/>
          <w:position w:val="0"/>
          <w:sz w:val="30"/>
          <w:szCs w:val="30"/>
          <w:highlight w:val="none"/>
        </w:rPr>
        <w:t>三、区域环境质量现状、环境保护目标及评价标准</w:t>
      </w:r>
      <w:bookmarkEnd w:id="32"/>
      <w:bookmarkEnd w:id="33"/>
    </w:p>
    <w:tbl>
      <w:tblPr>
        <w:tblStyle w:val="29"/>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675CB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0" w:type="dxa"/>
            <w:vAlign w:val="center"/>
          </w:tcPr>
          <w:p w14:paraId="5EFFEB94">
            <w:pPr>
              <w:adjustRightInd w:val="0"/>
              <w:snapToGrid w:val="0"/>
              <w:jc w:val="center"/>
              <w:rPr>
                <w:rFonts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rPr>
              <w:t>区域</w:t>
            </w:r>
          </w:p>
          <w:p w14:paraId="1089C4DB">
            <w:pPr>
              <w:adjustRightInd w:val="0"/>
              <w:snapToGrid w:val="0"/>
              <w:jc w:val="center"/>
              <w:rPr>
                <w:rFonts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rPr>
              <w:t>环境</w:t>
            </w:r>
          </w:p>
          <w:p w14:paraId="370B978D">
            <w:pPr>
              <w:adjustRightInd w:val="0"/>
              <w:snapToGrid w:val="0"/>
              <w:jc w:val="center"/>
              <w:rPr>
                <w:rFonts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rPr>
              <w:t>质量</w:t>
            </w:r>
          </w:p>
          <w:p w14:paraId="45177F93">
            <w:pPr>
              <w:adjustRightInd w:val="0"/>
              <w:snapToGrid w:val="0"/>
              <w:jc w:val="center"/>
              <w:rPr>
                <w:rFonts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rPr>
              <w:t>现状</w:t>
            </w:r>
          </w:p>
        </w:tc>
        <w:tc>
          <w:tcPr>
            <w:tcW w:w="8190" w:type="dxa"/>
            <w:vAlign w:val="center"/>
          </w:tcPr>
          <w:p w14:paraId="0040ADF1">
            <w:pPr>
              <w:pStyle w:val="3"/>
              <w:pageBreakBefore w:val="0"/>
              <w:widowControl w:val="0"/>
              <w:kinsoku/>
              <w:wordWrap/>
              <w:overflowPunct/>
              <w:topLinePunct w:val="0"/>
              <w:autoSpaceDE/>
              <w:autoSpaceDN/>
              <w:bidi w:val="0"/>
              <w:adjustRightInd/>
              <w:snapToGrid/>
              <w:spacing w:before="0" w:beforeLines="0" w:after="0" w:afterLines="0"/>
              <w:textAlignment w:val="auto"/>
              <w:rPr>
                <w:rFonts w:ascii="Times New Roman" w:hAnsi="Times New Roman" w:eastAsia="宋体" w:cs="Times New Roman"/>
                <w:color w:val="auto"/>
                <w:spacing w:val="0"/>
                <w:sz w:val="24"/>
                <w:highlight w:val="none"/>
              </w:rPr>
            </w:pPr>
            <w:r>
              <w:rPr>
                <w:rFonts w:hint="eastAsia" w:ascii="Times New Roman" w:hAnsi="Times New Roman" w:eastAsia="宋体" w:cs="Times New Roman"/>
                <w:color w:val="auto"/>
                <w:spacing w:val="0"/>
                <w:sz w:val="24"/>
                <w:highlight w:val="none"/>
                <w:lang w:val="en-US" w:eastAsia="zh-CN"/>
              </w:rPr>
              <w:t xml:space="preserve">3.1环境功能区划及环境质量标准 </w:t>
            </w:r>
          </w:p>
          <w:p w14:paraId="26F7DAED">
            <w:pPr>
              <w:pStyle w:val="4"/>
              <w:keepNext/>
              <w:keepLines/>
              <w:pageBreakBefore w:val="0"/>
              <w:widowControl w:val="0"/>
              <w:kinsoku/>
              <w:wordWrap/>
              <w:overflowPunct/>
              <w:topLinePunct w:val="0"/>
              <w:autoSpaceDE/>
              <w:autoSpaceDN/>
              <w:bidi w:val="0"/>
              <w:adjustRightInd/>
              <w:snapToGrid/>
              <w:spacing w:before="0" w:beforeLines="0" w:after="0" w:afterLines="0" w:line="416" w:lineRule="auto"/>
              <w:ind w:firstLine="482" w:firstLineChars="200"/>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lang w:val="en-US" w:eastAsia="zh-CN"/>
              </w:rPr>
              <w:t>3.1.1大气环境</w:t>
            </w:r>
          </w:p>
          <w:p w14:paraId="4EC72B98">
            <w:pPr>
              <w:pStyle w:val="63"/>
              <w:ind w:firstLine="482"/>
              <w:rPr>
                <w:rFonts w:ascii="Times New Roman" w:hAnsi="Times New Roman" w:eastAsia="宋体" w:cs="Times New Roman"/>
                <w:color w:val="auto"/>
                <w:spacing w:val="0"/>
                <w:sz w:val="24"/>
                <w:szCs w:val="24"/>
                <w:highlight w:val="none"/>
              </w:rPr>
            </w:pPr>
            <w:r>
              <w:rPr>
                <w:rFonts w:hint="eastAsia" w:ascii="Times New Roman" w:hAnsi="Times New Roman" w:eastAsia="宋体" w:cs="Times New Roman"/>
                <w:b/>
                <w:bCs/>
                <w:color w:val="auto"/>
                <w:spacing w:val="0"/>
                <w:sz w:val="24"/>
                <w:szCs w:val="24"/>
                <w:highlight w:val="none"/>
                <w:lang w:val="en-US" w:eastAsia="zh-CN"/>
              </w:rPr>
              <w:t>①</w:t>
            </w:r>
            <w:r>
              <w:rPr>
                <w:rFonts w:hint="eastAsia" w:ascii="Times New Roman" w:hAnsi="Times New Roman" w:eastAsia="宋体" w:cs="Times New Roman"/>
                <w:b/>
                <w:bCs/>
                <w:color w:val="auto"/>
                <w:spacing w:val="0"/>
                <w:sz w:val="24"/>
                <w:szCs w:val="24"/>
                <w:highlight w:val="none"/>
              </w:rPr>
              <w:t>基本污染物</w:t>
            </w:r>
            <w:r>
              <w:rPr>
                <w:rFonts w:hint="eastAsia" w:ascii="Times New Roman" w:hAnsi="Times New Roman" w:eastAsia="宋体" w:cs="Times New Roman"/>
                <w:color w:val="auto"/>
                <w:spacing w:val="0"/>
                <w:sz w:val="24"/>
                <w:szCs w:val="24"/>
                <w:highlight w:val="none"/>
                <w:lang w:eastAsia="zh-CN"/>
              </w:rPr>
              <w:t>：</w:t>
            </w:r>
            <w:r>
              <w:rPr>
                <w:rFonts w:ascii="Times New Roman" w:hAnsi="Times New Roman" w:eastAsia="宋体" w:cs="Times New Roman"/>
                <w:color w:val="auto"/>
                <w:spacing w:val="0"/>
                <w:sz w:val="24"/>
                <w:highlight w:val="none"/>
              </w:rPr>
              <w:t>项目所在区域环境空气质量功能类别为二类功能区</w:t>
            </w:r>
            <w:r>
              <w:rPr>
                <w:rFonts w:hint="eastAsia" w:ascii="Times New Roman" w:hAnsi="Times New Roman" w:eastAsia="宋体" w:cs="Times New Roman"/>
                <w:color w:val="auto"/>
                <w:spacing w:val="0"/>
                <w:sz w:val="24"/>
                <w:highlight w:val="none"/>
                <w:lang w:eastAsia="zh-CN"/>
              </w:rPr>
              <w:t>，</w:t>
            </w:r>
            <w:r>
              <w:rPr>
                <w:rFonts w:ascii="Times New Roman" w:hAnsi="Times New Roman" w:eastAsia="宋体" w:cs="Times New Roman"/>
                <w:color w:val="auto"/>
                <w:spacing w:val="0"/>
                <w:sz w:val="24"/>
                <w:highlight w:val="none"/>
              </w:rPr>
              <w:t>执行《环境空气质量标准》</w:t>
            </w:r>
            <w:r>
              <w:rPr>
                <w:rFonts w:hint="eastAsia" w:ascii="Times New Roman" w:hAnsi="Times New Roman" w:eastAsia="宋体" w:cs="Times New Roman"/>
                <w:color w:val="auto"/>
                <w:spacing w:val="0"/>
                <w:sz w:val="24"/>
                <w:highlight w:val="none"/>
                <w:lang w:eastAsia="zh-CN"/>
              </w:rPr>
              <w:t>（</w:t>
            </w:r>
            <w:r>
              <w:rPr>
                <w:rFonts w:ascii="Times New Roman" w:hAnsi="Times New Roman" w:eastAsia="宋体" w:cs="Times New Roman"/>
                <w:color w:val="auto"/>
                <w:spacing w:val="0"/>
                <w:sz w:val="24"/>
                <w:highlight w:val="none"/>
              </w:rPr>
              <w:t>GB</w:t>
            </w:r>
            <w:r>
              <w:rPr>
                <w:rFonts w:hint="eastAsia" w:ascii="Times New Roman" w:hAnsi="Times New Roman" w:eastAsia="宋体" w:cs="Times New Roman"/>
                <w:color w:val="auto"/>
                <w:spacing w:val="0"/>
                <w:sz w:val="24"/>
                <w:highlight w:val="none"/>
                <w:lang w:val="en-US" w:eastAsia="zh-CN"/>
              </w:rPr>
              <w:t xml:space="preserve"> </w:t>
            </w:r>
            <w:r>
              <w:rPr>
                <w:rFonts w:ascii="Times New Roman" w:hAnsi="Times New Roman" w:eastAsia="宋体" w:cs="Times New Roman"/>
                <w:color w:val="auto"/>
                <w:spacing w:val="0"/>
                <w:sz w:val="24"/>
                <w:highlight w:val="none"/>
              </w:rPr>
              <w:t>3095-20</w:t>
            </w:r>
            <w:r>
              <w:rPr>
                <w:rFonts w:hint="eastAsia" w:ascii="Times New Roman" w:hAnsi="Times New Roman" w:eastAsia="宋体" w:cs="Times New Roman"/>
                <w:color w:val="auto"/>
                <w:spacing w:val="0"/>
                <w:sz w:val="24"/>
                <w:highlight w:val="none"/>
                <w:lang w:val="en-US" w:eastAsia="zh-CN"/>
              </w:rPr>
              <w:t>26</w:t>
            </w:r>
            <w:r>
              <w:rPr>
                <w:rFonts w:hint="eastAsia" w:ascii="Times New Roman" w:hAnsi="Times New Roman" w:eastAsia="宋体" w:cs="Times New Roman"/>
                <w:color w:val="auto"/>
                <w:spacing w:val="0"/>
                <w:sz w:val="24"/>
                <w:highlight w:val="none"/>
                <w:lang w:eastAsia="zh-CN"/>
              </w:rPr>
              <w:t>）</w:t>
            </w:r>
            <w:r>
              <w:rPr>
                <w:rFonts w:hint="eastAsia" w:ascii="Times New Roman" w:hAnsi="Times New Roman" w:eastAsia="宋体" w:cs="Times New Roman"/>
                <w:color w:val="auto"/>
                <w:spacing w:val="0"/>
                <w:sz w:val="24"/>
                <w:szCs w:val="24"/>
                <w:highlight w:val="none"/>
              </w:rPr>
              <w:t>表1</w:t>
            </w:r>
            <w:r>
              <w:rPr>
                <w:rFonts w:hint="eastAsia" w:cs="Times New Roman"/>
                <w:color w:val="auto"/>
                <w:spacing w:val="0"/>
                <w:sz w:val="24"/>
                <w:szCs w:val="24"/>
                <w:highlight w:val="none"/>
                <w:lang w:val="en-US" w:eastAsia="zh-CN"/>
              </w:rPr>
              <w:t xml:space="preserve"> </w:t>
            </w:r>
            <w:r>
              <w:rPr>
                <w:rFonts w:hint="eastAsia" w:ascii="Times New Roman" w:hAnsi="Times New Roman" w:eastAsia="宋体" w:cs="Times New Roman"/>
                <w:color w:val="auto"/>
                <w:spacing w:val="0"/>
                <w:sz w:val="24"/>
                <w:szCs w:val="24"/>
                <w:highlight w:val="none"/>
              </w:rPr>
              <w:t>中的二级标准</w:t>
            </w:r>
            <w:r>
              <w:rPr>
                <w:rFonts w:hint="eastAsia" w:ascii="Times New Roman" w:hAnsi="Times New Roman" w:eastAsia="宋体" w:cs="Times New Roman"/>
                <w:color w:val="auto"/>
                <w:spacing w:val="0"/>
                <w:sz w:val="24"/>
                <w:highlight w:val="none"/>
                <w:lang w:eastAsia="zh-CN"/>
              </w:rPr>
              <w:t>，详</w:t>
            </w:r>
            <w:r>
              <w:rPr>
                <w:rFonts w:ascii="Times New Roman" w:hAnsi="Times New Roman" w:eastAsia="宋体" w:cs="Times New Roman"/>
                <w:color w:val="auto"/>
                <w:spacing w:val="0"/>
                <w:sz w:val="24"/>
                <w:highlight w:val="none"/>
              </w:rPr>
              <w:t>见表</w:t>
            </w:r>
            <w:r>
              <w:rPr>
                <w:rFonts w:hint="eastAsia" w:ascii="Times New Roman" w:hAnsi="Times New Roman" w:eastAsia="宋体" w:cs="Times New Roman"/>
                <w:color w:val="auto"/>
                <w:spacing w:val="0"/>
                <w:sz w:val="24"/>
                <w:highlight w:val="none"/>
              </w:rPr>
              <w:t>3</w:t>
            </w:r>
            <w:r>
              <w:rPr>
                <w:rFonts w:hint="eastAsia" w:ascii="Times New Roman" w:hAnsi="Times New Roman" w:eastAsia="宋体" w:cs="Times New Roman"/>
                <w:color w:val="auto"/>
                <w:spacing w:val="0"/>
                <w:sz w:val="24"/>
                <w:highlight w:val="none"/>
                <w:lang w:val="en-US" w:eastAsia="zh-CN"/>
              </w:rPr>
              <w:t>.1</w:t>
            </w:r>
            <w:r>
              <w:rPr>
                <w:rFonts w:ascii="Times New Roman" w:hAnsi="Times New Roman" w:eastAsia="宋体" w:cs="Times New Roman"/>
                <w:color w:val="auto"/>
                <w:spacing w:val="0"/>
                <w:sz w:val="24"/>
                <w:highlight w:val="none"/>
              </w:rPr>
              <w:t>-</w:t>
            </w:r>
            <w:r>
              <w:rPr>
                <w:rFonts w:hint="eastAsia" w:ascii="Times New Roman" w:hAnsi="Times New Roman" w:eastAsia="宋体" w:cs="Times New Roman"/>
                <w:color w:val="auto"/>
                <w:spacing w:val="0"/>
                <w:sz w:val="24"/>
                <w:highlight w:val="none"/>
                <w:lang w:val="en-US" w:eastAsia="zh-CN"/>
              </w:rPr>
              <w:t>1</w:t>
            </w:r>
            <w:r>
              <w:rPr>
                <w:rFonts w:hint="eastAsia" w:ascii="Times New Roman" w:hAnsi="Times New Roman" w:eastAsia="宋体" w:cs="Times New Roman"/>
                <w:color w:val="auto"/>
                <w:spacing w:val="0"/>
                <w:sz w:val="24"/>
                <w:szCs w:val="24"/>
                <w:highlight w:val="none"/>
              </w:rPr>
              <w:t>。</w:t>
            </w:r>
          </w:p>
          <w:p w14:paraId="070E2E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pacing w:val="0"/>
                <w:sz w:val="24"/>
                <w:szCs w:val="22"/>
                <w:highlight w:val="none"/>
                <w:lang w:eastAsia="zh-CN"/>
              </w:rPr>
            </w:pPr>
            <w:r>
              <w:rPr>
                <w:rFonts w:ascii="Times New Roman" w:hAnsi="Times New Roman" w:eastAsia="宋体" w:cs="Times New Roman"/>
                <w:b/>
                <w:bCs/>
                <w:color w:val="auto"/>
                <w:spacing w:val="0"/>
                <w:sz w:val="24"/>
                <w:szCs w:val="22"/>
                <w:highlight w:val="none"/>
              </w:rPr>
              <w:t>表</w:t>
            </w:r>
            <w:r>
              <w:rPr>
                <w:rFonts w:hint="eastAsia" w:ascii="Times New Roman" w:hAnsi="Times New Roman" w:eastAsia="宋体" w:cs="Times New Roman"/>
                <w:b/>
                <w:bCs/>
                <w:color w:val="auto"/>
                <w:spacing w:val="0"/>
                <w:sz w:val="24"/>
                <w:szCs w:val="22"/>
                <w:highlight w:val="none"/>
              </w:rPr>
              <w:t>3</w:t>
            </w:r>
            <w:r>
              <w:rPr>
                <w:rFonts w:hint="eastAsia" w:ascii="Times New Roman" w:hAnsi="Times New Roman" w:eastAsia="宋体" w:cs="Times New Roman"/>
                <w:b/>
                <w:bCs/>
                <w:color w:val="auto"/>
                <w:spacing w:val="0"/>
                <w:sz w:val="24"/>
                <w:szCs w:val="22"/>
                <w:highlight w:val="none"/>
                <w:lang w:val="en-US" w:eastAsia="zh-CN"/>
              </w:rPr>
              <w:t>.1</w:t>
            </w:r>
            <w:r>
              <w:rPr>
                <w:rFonts w:ascii="Times New Roman" w:hAnsi="Times New Roman" w:eastAsia="宋体" w:cs="Times New Roman"/>
                <w:b/>
                <w:bCs/>
                <w:color w:val="auto"/>
                <w:spacing w:val="0"/>
                <w:sz w:val="24"/>
                <w:szCs w:val="22"/>
                <w:highlight w:val="none"/>
              </w:rPr>
              <w:t>-</w:t>
            </w:r>
            <w:r>
              <w:rPr>
                <w:rFonts w:hint="eastAsia" w:ascii="Times New Roman" w:hAnsi="Times New Roman" w:eastAsia="宋体" w:cs="Times New Roman"/>
                <w:b/>
                <w:bCs/>
                <w:color w:val="auto"/>
                <w:spacing w:val="0"/>
                <w:sz w:val="24"/>
                <w:szCs w:val="22"/>
                <w:highlight w:val="none"/>
                <w:lang w:val="en-US" w:eastAsia="zh-CN"/>
              </w:rPr>
              <w:t xml:space="preserve">1  </w:t>
            </w:r>
            <w:r>
              <w:rPr>
                <w:rFonts w:ascii="Times New Roman" w:hAnsi="Times New Roman" w:eastAsia="宋体" w:cs="Times New Roman"/>
                <w:b/>
                <w:bCs/>
                <w:color w:val="auto"/>
                <w:spacing w:val="0"/>
                <w:sz w:val="24"/>
                <w:szCs w:val="22"/>
                <w:highlight w:val="none"/>
              </w:rPr>
              <w:t>《环境空气质量标准》</w:t>
            </w:r>
            <w:r>
              <w:rPr>
                <w:rFonts w:hint="eastAsia" w:ascii="Times New Roman" w:hAnsi="Times New Roman" w:eastAsia="宋体" w:cs="Times New Roman"/>
                <w:b/>
                <w:bCs/>
                <w:color w:val="auto"/>
                <w:spacing w:val="0"/>
                <w:sz w:val="24"/>
                <w:szCs w:val="22"/>
                <w:highlight w:val="none"/>
                <w:lang w:eastAsia="zh-CN"/>
              </w:rPr>
              <w:t>（</w:t>
            </w:r>
            <w:r>
              <w:rPr>
                <w:rFonts w:ascii="Times New Roman" w:hAnsi="Times New Roman" w:eastAsia="宋体" w:cs="Times New Roman"/>
                <w:b/>
                <w:bCs/>
                <w:color w:val="auto"/>
                <w:spacing w:val="0"/>
                <w:sz w:val="24"/>
                <w:szCs w:val="22"/>
                <w:highlight w:val="none"/>
              </w:rPr>
              <w:t>GB</w:t>
            </w:r>
            <w:r>
              <w:rPr>
                <w:rFonts w:hint="eastAsia" w:ascii="Times New Roman" w:hAnsi="Times New Roman" w:eastAsia="宋体" w:cs="Times New Roman"/>
                <w:b/>
                <w:bCs/>
                <w:color w:val="auto"/>
                <w:spacing w:val="0"/>
                <w:sz w:val="24"/>
                <w:szCs w:val="22"/>
                <w:highlight w:val="none"/>
                <w:lang w:val="en-US" w:eastAsia="zh-CN"/>
              </w:rPr>
              <w:t xml:space="preserve"> </w:t>
            </w:r>
            <w:r>
              <w:rPr>
                <w:rFonts w:ascii="Times New Roman" w:hAnsi="Times New Roman" w:eastAsia="宋体" w:cs="Times New Roman"/>
                <w:b/>
                <w:bCs/>
                <w:color w:val="auto"/>
                <w:spacing w:val="0"/>
                <w:sz w:val="24"/>
                <w:szCs w:val="22"/>
                <w:highlight w:val="none"/>
              </w:rPr>
              <w:t>3095-20</w:t>
            </w:r>
            <w:r>
              <w:rPr>
                <w:rFonts w:hint="eastAsia" w:ascii="Times New Roman" w:hAnsi="Times New Roman" w:eastAsia="宋体" w:cs="Times New Roman"/>
                <w:b/>
                <w:bCs/>
                <w:color w:val="auto"/>
                <w:spacing w:val="0"/>
                <w:sz w:val="24"/>
                <w:szCs w:val="22"/>
                <w:highlight w:val="none"/>
                <w:lang w:val="en-US" w:eastAsia="zh-CN"/>
              </w:rPr>
              <w:t>26</w:t>
            </w:r>
            <w:r>
              <w:rPr>
                <w:rFonts w:hint="eastAsia" w:ascii="Times New Roman" w:hAnsi="Times New Roman" w:eastAsia="宋体" w:cs="Times New Roman"/>
                <w:b/>
                <w:bCs/>
                <w:color w:val="auto"/>
                <w:spacing w:val="0"/>
                <w:sz w:val="24"/>
                <w:szCs w:val="22"/>
                <w:highlight w:val="none"/>
                <w:lang w:eastAsia="zh-CN"/>
              </w:rPr>
              <w:t>）</w:t>
            </w:r>
            <w:r>
              <w:rPr>
                <w:rFonts w:hint="eastAsia" w:ascii="Times New Roman" w:hAnsi="Times New Roman" w:eastAsia="宋体" w:cs="Times New Roman"/>
                <w:b/>
                <w:bCs/>
                <w:color w:val="auto"/>
                <w:spacing w:val="0"/>
                <w:sz w:val="24"/>
                <w:szCs w:val="22"/>
                <w:highlight w:val="none"/>
                <w:lang w:val="en-US" w:eastAsia="zh-CN"/>
              </w:rPr>
              <w:t xml:space="preserve">  </w:t>
            </w:r>
            <w:r>
              <w:rPr>
                <w:rFonts w:hint="eastAsia" w:ascii="Times New Roman" w:hAnsi="Times New Roman" w:eastAsia="宋体" w:cs="Times New Roman"/>
                <w:b/>
                <w:bCs/>
                <w:color w:val="auto"/>
                <w:spacing w:val="0"/>
                <w:sz w:val="24"/>
                <w:szCs w:val="22"/>
                <w:highlight w:val="none"/>
                <w:lang w:eastAsia="zh-CN"/>
              </w:rPr>
              <w:t>（</w:t>
            </w:r>
            <w:r>
              <w:rPr>
                <w:rFonts w:ascii="Times New Roman" w:hAnsi="Times New Roman" w:eastAsia="宋体" w:cs="Times New Roman"/>
                <w:b/>
                <w:bCs/>
                <w:color w:val="auto"/>
                <w:spacing w:val="0"/>
                <w:sz w:val="24"/>
                <w:szCs w:val="22"/>
                <w:highlight w:val="none"/>
              </w:rPr>
              <w:t>摘录</w:t>
            </w:r>
            <w:r>
              <w:rPr>
                <w:rFonts w:hint="eastAsia" w:ascii="Times New Roman" w:hAnsi="Times New Roman" w:eastAsia="宋体" w:cs="Times New Roman"/>
                <w:b/>
                <w:bCs/>
                <w:color w:val="auto"/>
                <w:spacing w:val="0"/>
                <w:sz w:val="24"/>
                <w:szCs w:val="22"/>
                <w:highlight w:val="none"/>
                <w:lang w:eastAsia="zh-CN"/>
              </w:rPr>
              <w:t>）</w:t>
            </w:r>
          </w:p>
          <w:tbl>
            <w:tblPr>
              <w:tblStyle w:val="29"/>
              <w:tblW w:w="5074" w:type="pct"/>
              <w:jc w:val="center"/>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641"/>
              <w:gridCol w:w="1036"/>
              <w:gridCol w:w="1750"/>
              <w:gridCol w:w="1836"/>
              <w:gridCol w:w="1105"/>
              <w:gridCol w:w="1724"/>
            </w:tblGrid>
            <w:tr w14:paraId="52DC0947">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tcBorders>
                    <w:tl2br w:val="nil"/>
                    <w:tr2bl w:val="nil"/>
                  </w:tcBorders>
                  <w:noWrap w:val="0"/>
                  <w:vAlign w:val="center"/>
                </w:tcPr>
                <w:p w14:paraId="0EBA740C">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序号</w:t>
                  </w:r>
                </w:p>
              </w:tc>
              <w:tc>
                <w:tcPr>
                  <w:tcW w:w="1721" w:type="pct"/>
                  <w:gridSpan w:val="2"/>
                  <w:tcBorders>
                    <w:tl2br w:val="nil"/>
                    <w:tr2bl w:val="nil"/>
                  </w:tcBorders>
                  <w:noWrap w:val="0"/>
                  <w:vAlign w:val="center"/>
                </w:tcPr>
                <w:p w14:paraId="630A8816">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1134" w:type="pct"/>
                  <w:tcBorders>
                    <w:tl2br w:val="nil"/>
                    <w:tr2bl w:val="nil"/>
                  </w:tcBorders>
                  <w:noWrap w:val="0"/>
                  <w:vAlign w:val="center"/>
                </w:tcPr>
                <w:p w14:paraId="04E6486F">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取值时间</w:t>
                  </w:r>
                </w:p>
              </w:tc>
              <w:tc>
                <w:tcPr>
                  <w:tcW w:w="682" w:type="pct"/>
                  <w:tcBorders>
                    <w:tl2br w:val="nil"/>
                    <w:tr2bl w:val="nil"/>
                  </w:tcBorders>
                  <w:noWrap w:val="0"/>
                  <w:vAlign w:val="center"/>
                </w:tcPr>
                <w:p w14:paraId="17DF9BA6">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浓度限值</w:t>
                  </w:r>
                </w:p>
              </w:tc>
              <w:tc>
                <w:tcPr>
                  <w:tcW w:w="1065" w:type="pct"/>
                  <w:tcBorders>
                    <w:tl2br w:val="nil"/>
                    <w:tr2bl w:val="nil"/>
                  </w:tcBorders>
                  <w:noWrap w:val="0"/>
                  <w:vAlign w:val="center"/>
                </w:tcPr>
                <w:p w14:paraId="7AF375C8">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标准来源</w:t>
                  </w:r>
                </w:p>
              </w:tc>
            </w:tr>
            <w:tr w14:paraId="63515D43">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restart"/>
                  <w:tcBorders>
                    <w:tl2br w:val="nil"/>
                    <w:tr2bl w:val="nil"/>
                  </w:tcBorders>
                  <w:noWrap w:val="0"/>
                  <w:vAlign w:val="center"/>
                </w:tcPr>
                <w:p w14:paraId="5D10DED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640" w:type="pct"/>
                  <w:vMerge w:val="restart"/>
                  <w:tcBorders>
                    <w:tl2br w:val="nil"/>
                    <w:tr2bl w:val="nil"/>
                  </w:tcBorders>
                  <w:noWrap w:val="0"/>
                  <w:vAlign w:val="center"/>
                </w:tcPr>
                <w:p w14:paraId="5AC47C92">
                  <w:pPr>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污染物</w:t>
                  </w:r>
                </w:p>
                <w:p w14:paraId="643F9747">
                  <w:pPr>
                    <w:spacing w:line="240" w:lineRule="auto"/>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基本项目</w:t>
                  </w:r>
                </w:p>
              </w:tc>
              <w:tc>
                <w:tcPr>
                  <w:tcW w:w="1081" w:type="pct"/>
                  <w:vMerge w:val="restart"/>
                  <w:tcBorders>
                    <w:tl2br w:val="nil"/>
                    <w:tr2bl w:val="nil"/>
                  </w:tcBorders>
                  <w:noWrap w:val="0"/>
                  <w:vAlign w:val="center"/>
                </w:tcPr>
                <w:p w14:paraId="461A3C78">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二氧化硫</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SO</w:t>
                  </w:r>
                  <w:r>
                    <w:rPr>
                      <w:rFonts w:ascii="Times New Roman" w:hAnsi="Times New Roman" w:eastAsia="宋体" w:cs="Times New Roman"/>
                      <w:color w:val="auto"/>
                      <w:sz w:val="21"/>
                      <w:szCs w:val="21"/>
                      <w:highlight w:val="none"/>
                      <w:vertAlign w:val="subscript"/>
                    </w:rPr>
                    <w:t>2</w:t>
                  </w:r>
                  <w:r>
                    <w:rPr>
                      <w:rFonts w:hint="eastAsia" w:ascii="Times New Roman" w:hAnsi="Times New Roman" w:eastAsia="宋体" w:cs="Times New Roman"/>
                      <w:color w:val="auto"/>
                      <w:sz w:val="21"/>
                      <w:szCs w:val="21"/>
                      <w:highlight w:val="none"/>
                      <w:lang w:eastAsia="zh-CN"/>
                    </w:rPr>
                    <w:t>）</w:t>
                  </w:r>
                </w:p>
              </w:tc>
              <w:tc>
                <w:tcPr>
                  <w:tcW w:w="1134" w:type="pct"/>
                  <w:tcBorders>
                    <w:tl2br w:val="nil"/>
                    <w:tr2bl w:val="nil"/>
                  </w:tcBorders>
                  <w:noWrap w:val="0"/>
                  <w:vAlign w:val="center"/>
                </w:tcPr>
                <w:p w14:paraId="17354E32">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682" w:type="pct"/>
                  <w:tcBorders>
                    <w:tl2br w:val="nil"/>
                    <w:tr2bl w:val="nil"/>
                  </w:tcBorders>
                  <w:noWrap w:val="0"/>
                  <w:vAlign w:val="center"/>
                </w:tcPr>
                <w:p w14:paraId="28FDE195">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60μg/m</w:t>
                  </w:r>
                  <w:r>
                    <w:rPr>
                      <w:rFonts w:hint="default" w:ascii="Times New Roman" w:hAnsi="Times New Roman" w:eastAsia="宋体" w:cs="Times New Roman"/>
                      <w:color w:val="auto"/>
                      <w:sz w:val="21"/>
                      <w:szCs w:val="21"/>
                      <w:highlight w:val="none"/>
                      <w:vertAlign w:val="superscript"/>
                    </w:rPr>
                    <w:t>3</w:t>
                  </w:r>
                </w:p>
              </w:tc>
              <w:tc>
                <w:tcPr>
                  <w:tcW w:w="1065" w:type="pct"/>
                  <w:vMerge w:val="restart"/>
                  <w:tcBorders>
                    <w:tl2br w:val="nil"/>
                    <w:tr2bl w:val="nil"/>
                  </w:tcBorders>
                  <w:noWrap w:val="0"/>
                  <w:vAlign w:val="center"/>
                </w:tcPr>
                <w:p w14:paraId="328FDBAF">
                  <w:pPr>
                    <w:keepNext w:val="0"/>
                    <w:keepLines w:val="0"/>
                    <w:pageBreakBefore w:val="0"/>
                    <w:widowControl w:val="0"/>
                    <w:kinsoku/>
                    <w:wordWrap w:val="0"/>
                    <w:overflowPunct/>
                    <w:topLinePunct/>
                    <w:autoSpaceDE/>
                    <w:autoSpaceDN/>
                    <w:bidi w:val="0"/>
                    <w:adjustRightInd w:val="0"/>
                    <w:snapToGrid w:val="0"/>
                    <w:spacing w:line="340" w:lineRule="exact"/>
                    <w:ind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GB3095-20</w:t>
                  </w:r>
                  <w:r>
                    <w:rPr>
                      <w:rFonts w:hint="eastAsia" w:ascii="Times New Roman" w:hAnsi="Times New Roman" w:eastAsia="宋体" w:cs="Times New Roman"/>
                      <w:color w:val="auto"/>
                      <w:sz w:val="21"/>
                      <w:szCs w:val="21"/>
                      <w:highlight w:val="none"/>
                      <w:lang w:val="en-US" w:eastAsia="zh-CN"/>
                    </w:rPr>
                    <w:t>26</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表1过渡阶段浓度限值</w:t>
                  </w:r>
                  <w:r>
                    <w:rPr>
                      <w:rFonts w:hint="eastAsia" w:ascii="Times New Roman" w:hAnsi="Times New Roman" w:eastAsia="宋体" w:cs="Times New Roman"/>
                      <w:color w:val="auto"/>
                      <w:sz w:val="21"/>
                      <w:szCs w:val="21"/>
                      <w:highlight w:val="none"/>
                      <w:lang w:val="en-US" w:eastAsia="zh-CN"/>
                    </w:rPr>
                    <w:t>中的</w:t>
                  </w:r>
                  <w:r>
                    <w:rPr>
                      <w:rFonts w:ascii="Times New Roman" w:hAnsi="Times New Roman" w:eastAsia="宋体"/>
                      <w:color w:val="auto"/>
                      <w:sz w:val="21"/>
                      <w:szCs w:val="21"/>
                      <w:highlight w:val="none"/>
                    </w:rPr>
                    <w:t>二级</w:t>
                  </w:r>
                  <w:r>
                    <w:rPr>
                      <w:rFonts w:hint="eastAsia" w:ascii="Times New Roman" w:hAnsi="Times New Roman" w:eastAsia="宋体" w:cs="Times New Roman"/>
                      <w:color w:val="auto"/>
                      <w:sz w:val="21"/>
                      <w:szCs w:val="21"/>
                      <w:highlight w:val="none"/>
                      <w:lang w:val="en-US" w:eastAsia="zh-CN"/>
                    </w:rPr>
                    <w:t>标准限值</w:t>
                  </w:r>
                </w:p>
              </w:tc>
            </w:tr>
            <w:tr w14:paraId="3DC9C69C">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continue"/>
                  <w:tcBorders>
                    <w:tl2br w:val="nil"/>
                    <w:tr2bl w:val="nil"/>
                  </w:tcBorders>
                  <w:noWrap w:val="0"/>
                  <w:vAlign w:val="center"/>
                </w:tcPr>
                <w:p w14:paraId="6792E10F">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640" w:type="pct"/>
                  <w:vMerge w:val="continue"/>
                  <w:tcBorders>
                    <w:tl2br w:val="nil"/>
                    <w:tr2bl w:val="nil"/>
                  </w:tcBorders>
                  <w:noWrap w:val="0"/>
                  <w:vAlign w:val="center"/>
                </w:tcPr>
                <w:p w14:paraId="7905A521">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1081" w:type="pct"/>
                  <w:vMerge w:val="continue"/>
                  <w:tcBorders>
                    <w:tl2br w:val="nil"/>
                    <w:tr2bl w:val="nil"/>
                  </w:tcBorders>
                  <w:noWrap w:val="0"/>
                  <w:vAlign w:val="center"/>
                </w:tcPr>
                <w:p w14:paraId="0BC1B045">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1134" w:type="pct"/>
                  <w:tcBorders>
                    <w:tl2br w:val="nil"/>
                    <w:tr2bl w:val="nil"/>
                  </w:tcBorders>
                  <w:noWrap w:val="0"/>
                  <w:vAlign w:val="center"/>
                </w:tcPr>
                <w:p w14:paraId="5C7AD28B">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682" w:type="pct"/>
                  <w:tcBorders>
                    <w:tl2br w:val="nil"/>
                    <w:tr2bl w:val="nil"/>
                  </w:tcBorders>
                  <w:noWrap w:val="0"/>
                  <w:vAlign w:val="center"/>
                </w:tcPr>
                <w:p w14:paraId="067F0E4D">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150μg/m</w:t>
                  </w:r>
                  <w:r>
                    <w:rPr>
                      <w:rFonts w:hint="default" w:ascii="Times New Roman" w:hAnsi="Times New Roman" w:eastAsia="宋体" w:cs="Times New Roman"/>
                      <w:color w:val="auto"/>
                      <w:sz w:val="21"/>
                      <w:szCs w:val="21"/>
                      <w:highlight w:val="none"/>
                      <w:vertAlign w:val="superscript"/>
                    </w:rPr>
                    <w:t>3</w:t>
                  </w:r>
                </w:p>
              </w:tc>
              <w:tc>
                <w:tcPr>
                  <w:tcW w:w="1065" w:type="pct"/>
                  <w:vMerge w:val="continue"/>
                  <w:tcBorders>
                    <w:tl2br w:val="nil"/>
                    <w:tr2bl w:val="nil"/>
                  </w:tcBorders>
                  <w:noWrap w:val="0"/>
                  <w:vAlign w:val="center"/>
                </w:tcPr>
                <w:p w14:paraId="01BF09CE">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r>
            <w:tr w14:paraId="2BE5C945">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continue"/>
                  <w:tcBorders>
                    <w:tl2br w:val="nil"/>
                    <w:tr2bl w:val="nil"/>
                  </w:tcBorders>
                  <w:noWrap w:val="0"/>
                  <w:vAlign w:val="center"/>
                </w:tcPr>
                <w:p w14:paraId="13D4535A">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640" w:type="pct"/>
                  <w:vMerge w:val="continue"/>
                  <w:tcBorders>
                    <w:tl2br w:val="nil"/>
                    <w:tr2bl w:val="nil"/>
                  </w:tcBorders>
                  <w:noWrap w:val="0"/>
                  <w:vAlign w:val="center"/>
                </w:tcPr>
                <w:p w14:paraId="1030BDB3">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1081" w:type="pct"/>
                  <w:vMerge w:val="continue"/>
                  <w:tcBorders>
                    <w:tl2br w:val="nil"/>
                    <w:tr2bl w:val="nil"/>
                  </w:tcBorders>
                  <w:noWrap w:val="0"/>
                  <w:vAlign w:val="center"/>
                </w:tcPr>
                <w:p w14:paraId="4CD4E471">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1134" w:type="pct"/>
                  <w:tcBorders>
                    <w:tl2br w:val="nil"/>
                    <w:tr2bl w:val="nil"/>
                  </w:tcBorders>
                  <w:noWrap w:val="0"/>
                  <w:vAlign w:val="center"/>
                </w:tcPr>
                <w:p w14:paraId="46532ECA">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682" w:type="pct"/>
                  <w:tcBorders>
                    <w:tl2br w:val="nil"/>
                    <w:tr2bl w:val="nil"/>
                  </w:tcBorders>
                  <w:noWrap w:val="0"/>
                  <w:vAlign w:val="center"/>
                </w:tcPr>
                <w:p w14:paraId="16A8D8FF">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500μg/m</w:t>
                  </w:r>
                  <w:r>
                    <w:rPr>
                      <w:rFonts w:hint="default" w:ascii="Times New Roman" w:hAnsi="Times New Roman" w:eastAsia="宋体" w:cs="Times New Roman"/>
                      <w:color w:val="auto"/>
                      <w:sz w:val="21"/>
                      <w:szCs w:val="21"/>
                      <w:highlight w:val="none"/>
                      <w:vertAlign w:val="superscript"/>
                    </w:rPr>
                    <w:t>3</w:t>
                  </w:r>
                </w:p>
              </w:tc>
              <w:tc>
                <w:tcPr>
                  <w:tcW w:w="1065" w:type="pct"/>
                  <w:vMerge w:val="continue"/>
                  <w:tcBorders>
                    <w:tl2br w:val="nil"/>
                    <w:tr2bl w:val="nil"/>
                  </w:tcBorders>
                  <w:noWrap w:val="0"/>
                  <w:vAlign w:val="center"/>
                </w:tcPr>
                <w:p w14:paraId="73D0F822">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r>
            <w:tr w14:paraId="789F6BC2">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restart"/>
                  <w:tcBorders>
                    <w:tl2br w:val="nil"/>
                    <w:tr2bl w:val="nil"/>
                  </w:tcBorders>
                  <w:noWrap w:val="0"/>
                  <w:vAlign w:val="center"/>
                </w:tcPr>
                <w:p w14:paraId="0F9E3ADF">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640" w:type="pct"/>
                  <w:vMerge w:val="continue"/>
                  <w:tcBorders>
                    <w:tl2br w:val="nil"/>
                    <w:tr2bl w:val="nil"/>
                  </w:tcBorders>
                  <w:noWrap w:val="0"/>
                  <w:vAlign w:val="center"/>
                </w:tcPr>
                <w:p w14:paraId="1CCCEA22">
                  <w:pPr>
                    <w:spacing w:line="240" w:lineRule="auto"/>
                    <w:ind w:firstLine="0" w:firstLineChars="0"/>
                    <w:jc w:val="center"/>
                    <w:rPr>
                      <w:rFonts w:ascii="Times New Roman" w:hAnsi="Times New Roman" w:eastAsia="宋体" w:cs="Times New Roman"/>
                      <w:color w:val="auto"/>
                      <w:sz w:val="21"/>
                      <w:szCs w:val="21"/>
                      <w:highlight w:val="none"/>
                    </w:rPr>
                  </w:pPr>
                </w:p>
              </w:tc>
              <w:tc>
                <w:tcPr>
                  <w:tcW w:w="1081" w:type="pct"/>
                  <w:vMerge w:val="restart"/>
                  <w:tcBorders>
                    <w:tl2br w:val="nil"/>
                    <w:tr2bl w:val="nil"/>
                  </w:tcBorders>
                  <w:noWrap w:val="0"/>
                  <w:vAlign w:val="center"/>
                </w:tcPr>
                <w:p w14:paraId="0204019D">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二氧化氮</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NO</w:t>
                  </w:r>
                  <w:r>
                    <w:rPr>
                      <w:rFonts w:ascii="Times New Roman" w:hAnsi="Times New Roman" w:eastAsia="宋体" w:cs="Times New Roman"/>
                      <w:color w:val="auto"/>
                      <w:sz w:val="21"/>
                      <w:szCs w:val="21"/>
                      <w:highlight w:val="none"/>
                      <w:vertAlign w:val="subscript"/>
                    </w:rPr>
                    <w:t>2</w:t>
                  </w:r>
                  <w:r>
                    <w:rPr>
                      <w:rFonts w:hint="eastAsia" w:ascii="Times New Roman" w:hAnsi="Times New Roman" w:eastAsia="宋体" w:cs="Times New Roman"/>
                      <w:color w:val="auto"/>
                      <w:sz w:val="21"/>
                      <w:szCs w:val="21"/>
                      <w:highlight w:val="none"/>
                      <w:lang w:eastAsia="zh-CN"/>
                    </w:rPr>
                    <w:t>）</w:t>
                  </w:r>
                </w:p>
              </w:tc>
              <w:tc>
                <w:tcPr>
                  <w:tcW w:w="1134" w:type="pct"/>
                  <w:tcBorders>
                    <w:tl2br w:val="nil"/>
                    <w:tr2bl w:val="nil"/>
                  </w:tcBorders>
                  <w:noWrap w:val="0"/>
                  <w:vAlign w:val="center"/>
                </w:tcPr>
                <w:p w14:paraId="69BA1571">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682" w:type="pct"/>
                  <w:tcBorders>
                    <w:tl2br w:val="nil"/>
                    <w:tr2bl w:val="nil"/>
                  </w:tcBorders>
                  <w:noWrap w:val="0"/>
                  <w:vAlign w:val="center"/>
                </w:tcPr>
                <w:p w14:paraId="14D60307">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40μg/m</w:t>
                  </w:r>
                  <w:r>
                    <w:rPr>
                      <w:rFonts w:hint="default" w:ascii="Times New Roman" w:hAnsi="Times New Roman" w:eastAsia="宋体" w:cs="Times New Roman"/>
                      <w:color w:val="auto"/>
                      <w:sz w:val="21"/>
                      <w:szCs w:val="21"/>
                      <w:highlight w:val="none"/>
                      <w:vertAlign w:val="superscript"/>
                    </w:rPr>
                    <w:t>3</w:t>
                  </w:r>
                </w:p>
              </w:tc>
              <w:tc>
                <w:tcPr>
                  <w:tcW w:w="1065" w:type="pct"/>
                  <w:vMerge w:val="continue"/>
                  <w:tcBorders>
                    <w:tl2br w:val="nil"/>
                    <w:tr2bl w:val="nil"/>
                  </w:tcBorders>
                  <w:noWrap w:val="0"/>
                  <w:vAlign w:val="center"/>
                </w:tcPr>
                <w:p w14:paraId="1C27BE89">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r>
            <w:tr w14:paraId="0A46D8F6">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continue"/>
                  <w:tcBorders>
                    <w:tl2br w:val="nil"/>
                    <w:tr2bl w:val="nil"/>
                  </w:tcBorders>
                  <w:noWrap w:val="0"/>
                  <w:vAlign w:val="center"/>
                </w:tcPr>
                <w:p w14:paraId="53EB5594">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640" w:type="pct"/>
                  <w:vMerge w:val="continue"/>
                  <w:tcBorders>
                    <w:tl2br w:val="nil"/>
                    <w:tr2bl w:val="nil"/>
                  </w:tcBorders>
                  <w:noWrap w:val="0"/>
                  <w:vAlign w:val="center"/>
                </w:tcPr>
                <w:p w14:paraId="65B7325E">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1081" w:type="pct"/>
                  <w:vMerge w:val="continue"/>
                  <w:tcBorders>
                    <w:tl2br w:val="nil"/>
                    <w:tr2bl w:val="nil"/>
                  </w:tcBorders>
                  <w:noWrap w:val="0"/>
                  <w:vAlign w:val="center"/>
                </w:tcPr>
                <w:p w14:paraId="78A3B314">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1134" w:type="pct"/>
                  <w:tcBorders>
                    <w:tl2br w:val="nil"/>
                    <w:tr2bl w:val="nil"/>
                  </w:tcBorders>
                  <w:noWrap w:val="0"/>
                  <w:vAlign w:val="center"/>
                </w:tcPr>
                <w:p w14:paraId="2CA96974">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682" w:type="pct"/>
                  <w:tcBorders>
                    <w:tl2br w:val="nil"/>
                    <w:tr2bl w:val="nil"/>
                  </w:tcBorders>
                  <w:noWrap w:val="0"/>
                  <w:vAlign w:val="center"/>
                </w:tcPr>
                <w:p w14:paraId="1FE2D7E0">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80μg/m</w:t>
                  </w:r>
                  <w:r>
                    <w:rPr>
                      <w:rFonts w:hint="default" w:ascii="Times New Roman" w:hAnsi="Times New Roman" w:eastAsia="宋体" w:cs="Times New Roman"/>
                      <w:color w:val="auto"/>
                      <w:sz w:val="21"/>
                      <w:szCs w:val="21"/>
                      <w:highlight w:val="none"/>
                      <w:vertAlign w:val="superscript"/>
                    </w:rPr>
                    <w:t>3</w:t>
                  </w:r>
                </w:p>
              </w:tc>
              <w:tc>
                <w:tcPr>
                  <w:tcW w:w="1065" w:type="pct"/>
                  <w:vMerge w:val="continue"/>
                  <w:tcBorders>
                    <w:tl2br w:val="nil"/>
                    <w:tr2bl w:val="nil"/>
                  </w:tcBorders>
                  <w:noWrap w:val="0"/>
                  <w:vAlign w:val="center"/>
                </w:tcPr>
                <w:p w14:paraId="5FEB7F2B">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r>
            <w:tr w14:paraId="2FEF8EFB">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continue"/>
                  <w:tcBorders>
                    <w:tl2br w:val="nil"/>
                    <w:tr2bl w:val="nil"/>
                  </w:tcBorders>
                  <w:noWrap w:val="0"/>
                  <w:vAlign w:val="center"/>
                </w:tcPr>
                <w:p w14:paraId="1AC3369D">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640" w:type="pct"/>
                  <w:vMerge w:val="continue"/>
                  <w:tcBorders>
                    <w:tl2br w:val="nil"/>
                    <w:tr2bl w:val="nil"/>
                  </w:tcBorders>
                  <w:noWrap w:val="0"/>
                  <w:vAlign w:val="center"/>
                </w:tcPr>
                <w:p w14:paraId="777B6F5F">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1081" w:type="pct"/>
                  <w:vMerge w:val="continue"/>
                  <w:tcBorders>
                    <w:tl2br w:val="nil"/>
                    <w:tr2bl w:val="nil"/>
                  </w:tcBorders>
                  <w:noWrap w:val="0"/>
                  <w:vAlign w:val="center"/>
                </w:tcPr>
                <w:p w14:paraId="437D3049">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1134" w:type="pct"/>
                  <w:tcBorders>
                    <w:tl2br w:val="nil"/>
                    <w:tr2bl w:val="nil"/>
                  </w:tcBorders>
                  <w:noWrap w:val="0"/>
                  <w:vAlign w:val="center"/>
                </w:tcPr>
                <w:p w14:paraId="46998AA4">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682" w:type="pct"/>
                  <w:tcBorders>
                    <w:tl2br w:val="nil"/>
                    <w:tr2bl w:val="nil"/>
                  </w:tcBorders>
                  <w:noWrap w:val="0"/>
                  <w:vAlign w:val="center"/>
                </w:tcPr>
                <w:p w14:paraId="4407E154">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200μg/m</w:t>
                  </w:r>
                  <w:r>
                    <w:rPr>
                      <w:rFonts w:hint="default" w:ascii="Times New Roman" w:hAnsi="Times New Roman" w:eastAsia="宋体" w:cs="Times New Roman"/>
                      <w:color w:val="auto"/>
                      <w:sz w:val="21"/>
                      <w:szCs w:val="21"/>
                      <w:highlight w:val="none"/>
                      <w:vertAlign w:val="superscript"/>
                    </w:rPr>
                    <w:t>3</w:t>
                  </w:r>
                </w:p>
              </w:tc>
              <w:tc>
                <w:tcPr>
                  <w:tcW w:w="1065" w:type="pct"/>
                  <w:vMerge w:val="continue"/>
                  <w:tcBorders>
                    <w:tl2br w:val="nil"/>
                    <w:tr2bl w:val="nil"/>
                  </w:tcBorders>
                  <w:noWrap w:val="0"/>
                  <w:vAlign w:val="center"/>
                </w:tcPr>
                <w:p w14:paraId="67BC0CA1">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r>
            <w:tr w14:paraId="1CD5C4B7">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restart"/>
                  <w:tcBorders>
                    <w:tl2br w:val="nil"/>
                    <w:tr2bl w:val="nil"/>
                  </w:tcBorders>
                  <w:noWrap w:val="0"/>
                  <w:vAlign w:val="center"/>
                </w:tcPr>
                <w:p w14:paraId="12335FD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640" w:type="pct"/>
                  <w:vMerge w:val="continue"/>
                  <w:tcBorders>
                    <w:tl2br w:val="nil"/>
                    <w:tr2bl w:val="nil"/>
                  </w:tcBorders>
                  <w:noWrap w:val="0"/>
                  <w:vAlign w:val="center"/>
                </w:tcPr>
                <w:p w14:paraId="41CC6034">
                  <w:pPr>
                    <w:spacing w:line="240" w:lineRule="auto"/>
                    <w:ind w:firstLine="0" w:firstLineChars="0"/>
                    <w:jc w:val="center"/>
                    <w:rPr>
                      <w:rFonts w:ascii="Times New Roman" w:hAnsi="Times New Roman" w:eastAsia="宋体" w:cs="Times New Roman"/>
                      <w:color w:val="auto"/>
                      <w:sz w:val="21"/>
                      <w:szCs w:val="21"/>
                      <w:highlight w:val="none"/>
                    </w:rPr>
                  </w:pPr>
                </w:p>
              </w:tc>
              <w:tc>
                <w:tcPr>
                  <w:tcW w:w="1081" w:type="pct"/>
                  <w:vMerge w:val="restart"/>
                  <w:tcBorders>
                    <w:tl2br w:val="nil"/>
                    <w:tr2bl w:val="nil"/>
                  </w:tcBorders>
                  <w:noWrap w:val="0"/>
                  <w:vAlign w:val="center"/>
                </w:tcPr>
                <w:p w14:paraId="5B2022DB">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一氧化碳</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CO</w:t>
                  </w:r>
                  <w:r>
                    <w:rPr>
                      <w:rFonts w:hint="eastAsia" w:ascii="Times New Roman" w:hAnsi="Times New Roman" w:eastAsia="宋体" w:cs="Times New Roman"/>
                      <w:color w:val="auto"/>
                      <w:sz w:val="21"/>
                      <w:szCs w:val="21"/>
                      <w:highlight w:val="none"/>
                      <w:lang w:eastAsia="zh-CN"/>
                    </w:rPr>
                    <w:t>）</w:t>
                  </w:r>
                </w:p>
              </w:tc>
              <w:tc>
                <w:tcPr>
                  <w:tcW w:w="1134" w:type="pct"/>
                  <w:tcBorders>
                    <w:tl2br w:val="nil"/>
                    <w:tr2bl w:val="nil"/>
                  </w:tcBorders>
                  <w:noWrap w:val="0"/>
                  <w:vAlign w:val="center"/>
                </w:tcPr>
                <w:p w14:paraId="71B97AE9">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682" w:type="pct"/>
                  <w:tcBorders>
                    <w:tl2br w:val="nil"/>
                    <w:tr2bl w:val="nil"/>
                  </w:tcBorders>
                  <w:noWrap w:val="0"/>
                  <w:vAlign w:val="center"/>
                </w:tcPr>
                <w:p w14:paraId="41CB5CAD">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4mg/m</w:t>
                  </w:r>
                  <w:r>
                    <w:rPr>
                      <w:rFonts w:hint="default" w:ascii="Times New Roman" w:hAnsi="Times New Roman" w:eastAsia="宋体" w:cs="Times New Roman"/>
                      <w:color w:val="auto"/>
                      <w:kern w:val="2"/>
                      <w:sz w:val="21"/>
                      <w:szCs w:val="21"/>
                      <w:highlight w:val="none"/>
                      <w:vertAlign w:val="superscript"/>
                      <w:lang w:val="en-US" w:eastAsia="zh-CN" w:bidi="ar"/>
                    </w:rPr>
                    <w:t>3</w:t>
                  </w:r>
                </w:p>
              </w:tc>
              <w:tc>
                <w:tcPr>
                  <w:tcW w:w="1065" w:type="pct"/>
                  <w:vMerge w:val="continue"/>
                  <w:tcBorders>
                    <w:tl2br w:val="nil"/>
                    <w:tr2bl w:val="nil"/>
                  </w:tcBorders>
                  <w:noWrap w:val="0"/>
                  <w:vAlign w:val="center"/>
                </w:tcPr>
                <w:p w14:paraId="1094D72D">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r>
            <w:tr w14:paraId="1E4050DB">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continue"/>
                  <w:tcBorders>
                    <w:tl2br w:val="nil"/>
                    <w:tr2bl w:val="nil"/>
                  </w:tcBorders>
                  <w:noWrap w:val="0"/>
                  <w:vAlign w:val="center"/>
                </w:tcPr>
                <w:p w14:paraId="03C4E83F">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640" w:type="pct"/>
                  <w:vMerge w:val="continue"/>
                  <w:tcBorders>
                    <w:tl2br w:val="nil"/>
                    <w:tr2bl w:val="nil"/>
                  </w:tcBorders>
                  <w:noWrap w:val="0"/>
                  <w:vAlign w:val="center"/>
                </w:tcPr>
                <w:p w14:paraId="0C922955">
                  <w:pPr>
                    <w:keepNext w:val="0"/>
                    <w:keepLines w:val="0"/>
                    <w:pageBreakBefore w:val="0"/>
                    <w:widowControl w:val="0"/>
                    <w:kinsoku/>
                    <w:wordWrap/>
                    <w:overflowPunct/>
                    <w:topLinePunct w:val="0"/>
                    <w:autoSpaceDE/>
                    <w:bidi w:val="0"/>
                    <w:adjustRightInd w:val="0"/>
                    <w:snapToGrid w:val="0"/>
                    <w:spacing w:line="340" w:lineRule="exact"/>
                    <w:ind w:firstLine="0"/>
                    <w:rPr>
                      <w:rFonts w:hint="default" w:ascii="Times New Roman" w:hAnsi="Times New Roman" w:eastAsia="宋体" w:cs="Times New Roman"/>
                      <w:color w:val="auto"/>
                      <w:sz w:val="21"/>
                      <w:szCs w:val="21"/>
                      <w:highlight w:val="none"/>
                    </w:rPr>
                  </w:pPr>
                </w:p>
              </w:tc>
              <w:tc>
                <w:tcPr>
                  <w:tcW w:w="1081" w:type="pct"/>
                  <w:vMerge w:val="continue"/>
                  <w:tcBorders>
                    <w:tl2br w:val="nil"/>
                    <w:tr2bl w:val="nil"/>
                  </w:tcBorders>
                  <w:noWrap w:val="0"/>
                  <w:vAlign w:val="center"/>
                </w:tcPr>
                <w:p w14:paraId="2C8FAE0D">
                  <w:pPr>
                    <w:keepNext w:val="0"/>
                    <w:keepLines w:val="0"/>
                    <w:pageBreakBefore w:val="0"/>
                    <w:widowControl w:val="0"/>
                    <w:kinsoku/>
                    <w:wordWrap/>
                    <w:overflowPunct/>
                    <w:topLinePunct w:val="0"/>
                    <w:autoSpaceDE/>
                    <w:bidi w:val="0"/>
                    <w:adjustRightInd w:val="0"/>
                    <w:snapToGrid w:val="0"/>
                    <w:spacing w:line="340" w:lineRule="exact"/>
                    <w:ind w:firstLine="0"/>
                    <w:rPr>
                      <w:rFonts w:hint="default" w:ascii="Times New Roman" w:hAnsi="Times New Roman" w:eastAsia="宋体" w:cs="Times New Roman"/>
                      <w:color w:val="auto"/>
                      <w:sz w:val="21"/>
                      <w:szCs w:val="21"/>
                      <w:highlight w:val="none"/>
                    </w:rPr>
                  </w:pPr>
                </w:p>
              </w:tc>
              <w:tc>
                <w:tcPr>
                  <w:tcW w:w="1134" w:type="pct"/>
                  <w:tcBorders>
                    <w:tl2br w:val="nil"/>
                    <w:tr2bl w:val="nil"/>
                  </w:tcBorders>
                  <w:noWrap w:val="0"/>
                  <w:vAlign w:val="center"/>
                </w:tcPr>
                <w:p w14:paraId="5BFA3D0C">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1小时平均</w:t>
                  </w:r>
                </w:p>
              </w:tc>
              <w:tc>
                <w:tcPr>
                  <w:tcW w:w="682" w:type="pct"/>
                  <w:tcBorders>
                    <w:tl2br w:val="nil"/>
                    <w:tr2bl w:val="nil"/>
                  </w:tcBorders>
                  <w:noWrap w:val="0"/>
                  <w:vAlign w:val="center"/>
                </w:tcPr>
                <w:p w14:paraId="3626044C">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10mg/m</w:t>
                  </w:r>
                  <w:r>
                    <w:rPr>
                      <w:rFonts w:hint="default" w:ascii="Times New Roman" w:hAnsi="Times New Roman" w:eastAsia="宋体" w:cs="Times New Roman"/>
                      <w:color w:val="auto"/>
                      <w:kern w:val="2"/>
                      <w:sz w:val="21"/>
                      <w:szCs w:val="21"/>
                      <w:highlight w:val="none"/>
                      <w:vertAlign w:val="superscript"/>
                      <w:lang w:val="en-US" w:eastAsia="zh-CN" w:bidi="ar"/>
                    </w:rPr>
                    <w:t>3</w:t>
                  </w:r>
                </w:p>
              </w:tc>
              <w:tc>
                <w:tcPr>
                  <w:tcW w:w="1065" w:type="pct"/>
                  <w:vMerge w:val="continue"/>
                  <w:tcBorders>
                    <w:tl2br w:val="nil"/>
                    <w:tr2bl w:val="nil"/>
                  </w:tcBorders>
                  <w:noWrap w:val="0"/>
                  <w:vAlign w:val="center"/>
                </w:tcPr>
                <w:p w14:paraId="56812E8C">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r>
            <w:tr w14:paraId="0CD27C6F">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restart"/>
                  <w:tcBorders>
                    <w:tl2br w:val="nil"/>
                    <w:tr2bl w:val="nil"/>
                  </w:tcBorders>
                  <w:noWrap w:val="0"/>
                  <w:vAlign w:val="center"/>
                </w:tcPr>
                <w:p w14:paraId="0D6CC945">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640" w:type="pct"/>
                  <w:vMerge w:val="continue"/>
                  <w:tcBorders>
                    <w:tl2br w:val="nil"/>
                    <w:tr2bl w:val="nil"/>
                  </w:tcBorders>
                  <w:noWrap w:val="0"/>
                  <w:vAlign w:val="center"/>
                </w:tcPr>
                <w:p w14:paraId="20CF87A4">
                  <w:pPr>
                    <w:spacing w:line="240" w:lineRule="auto"/>
                    <w:ind w:firstLine="0" w:firstLineChars="0"/>
                    <w:jc w:val="center"/>
                    <w:rPr>
                      <w:rFonts w:ascii="Times New Roman" w:hAnsi="Times New Roman" w:eastAsia="宋体" w:cs="Times New Roman"/>
                      <w:color w:val="auto"/>
                      <w:sz w:val="21"/>
                      <w:szCs w:val="21"/>
                      <w:highlight w:val="none"/>
                    </w:rPr>
                  </w:pPr>
                </w:p>
              </w:tc>
              <w:tc>
                <w:tcPr>
                  <w:tcW w:w="1081" w:type="pct"/>
                  <w:vMerge w:val="restart"/>
                  <w:tcBorders>
                    <w:tl2br w:val="nil"/>
                    <w:tr2bl w:val="nil"/>
                  </w:tcBorders>
                  <w:noWrap w:val="0"/>
                  <w:vAlign w:val="center"/>
                </w:tcPr>
                <w:p w14:paraId="7DC2FD5A">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臭氧</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O</w:t>
                  </w:r>
                  <w:r>
                    <w:rPr>
                      <w:rFonts w:ascii="Times New Roman" w:hAnsi="Times New Roman" w:eastAsia="宋体" w:cs="Times New Roman"/>
                      <w:color w:val="auto"/>
                      <w:sz w:val="21"/>
                      <w:szCs w:val="21"/>
                      <w:highlight w:val="none"/>
                      <w:vertAlign w:val="subscript"/>
                    </w:rPr>
                    <w:t>3</w:t>
                  </w:r>
                  <w:r>
                    <w:rPr>
                      <w:rFonts w:hint="eastAsia" w:ascii="Times New Roman" w:hAnsi="Times New Roman" w:eastAsia="宋体" w:cs="Times New Roman"/>
                      <w:color w:val="auto"/>
                      <w:sz w:val="21"/>
                      <w:szCs w:val="21"/>
                      <w:highlight w:val="none"/>
                      <w:lang w:eastAsia="zh-CN"/>
                    </w:rPr>
                    <w:t>）</w:t>
                  </w:r>
                </w:p>
              </w:tc>
              <w:tc>
                <w:tcPr>
                  <w:tcW w:w="1134" w:type="pct"/>
                  <w:tcBorders>
                    <w:tl2br w:val="nil"/>
                    <w:tr2bl w:val="nil"/>
                  </w:tcBorders>
                  <w:noWrap w:val="0"/>
                  <w:vAlign w:val="center"/>
                </w:tcPr>
                <w:p w14:paraId="02ED1A2E">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日最大8小时平均</w:t>
                  </w:r>
                </w:p>
              </w:tc>
              <w:tc>
                <w:tcPr>
                  <w:tcW w:w="682" w:type="pct"/>
                  <w:tcBorders>
                    <w:tl2br w:val="nil"/>
                    <w:tr2bl w:val="nil"/>
                  </w:tcBorders>
                  <w:noWrap w:val="0"/>
                  <w:vAlign w:val="center"/>
                </w:tcPr>
                <w:p w14:paraId="7A775B21">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160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065" w:type="pct"/>
                  <w:vMerge w:val="continue"/>
                  <w:tcBorders>
                    <w:tl2br w:val="nil"/>
                    <w:tr2bl w:val="nil"/>
                  </w:tcBorders>
                  <w:noWrap w:val="0"/>
                  <w:vAlign w:val="center"/>
                </w:tcPr>
                <w:p w14:paraId="0C43C094">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r>
            <w:tr w14:paraId="532736DE">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continue"/>
                  <w:tcBorders>
                    <w:tl2br w:val="nil"/>
                    <w:tr2bl w:val="nil"/>
                  </w:tcBorders>
                  <w:noWrap w:val="0"/>
                  <w:vAlign w:val="center"/>
                </w:tcPr>
                <w:p w14:paraId="2F8100A2">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640" w:type="pct"/>
                  <w:vMerge w:val="continue"/>
                  <w:tcBorders>
                    <w:tl2br w:val="nil"/>
                    <w:tr2bl w:val="nil"/>
                  </w:tcBorders>
                  <w:noWrap w:val="0"/>
                  <w:vAlign w:val="center"/>
                </w:tcPr>
                <w:p w14:paraId="10C0CDC2">
                  <w:pPr>
                    <w:keepNext w:val="0"/>
                    <w:keepLines w:val="0"/>
                    <w:pageBreakBefore w:val="0"/>
                    <w:widowControl w:val="0"/>
                    <w:kinsoku/>
                    <w:wordWrap/>
                    <w:overflowPunct/>
                    <w:topLinePunct w:val="0"/>
                    <w:autoSpaceDE/>
                    <w:bidi w:val="0"/>
                    <w:adjustRightInd w:val="0"/>
                    <w:snapToGrid w:val="0"/>
                    <w:spacing w:line="340" w:lineRule="exact"/>
                    <w:ind w:firstLine="0"/>
                    <w:rPr>
                      <w:rFonts w:hint="default" w:ascii="Times New Roman" w:hAnsi="Times New Roman" w:eastAsia="宋体" w:cs="Times New Roman"/>
                      <w:color w:val="auto"/>
                      <w:sz w:val="21"/>
                      <w:szCs w:val="21"/>
                      <w:highlight w:val="none"/>
                    </w:rPr>
                  </w:pPr>
                </w:p>
              </w:tc>
              <w:tc>
                <w:tcPr>
                  <w:tcW w:w="1081" w:type="pct"/>
                  <w:vMerge w:val="continue"/>
                  <w:tcBorders>
                    <w:tl2br w:val="nil"/>
                    <w:tr2bl w:val="nil"/>
                  </w:tcBorders>
                  <w:noWrap w:val="0"/>
                  <w:vAlign w:val="center"/>
                </w:tcPr>
                <w:p w14:paraId="477FC430">
                  <w:pPr>
                    <w:keepNext w:val="0"/>
                    <w:keepLines w:val="0"/>
                    <w:pageBreakBefore w:val="0"/>
                    <w:widowControl w:val="0"/>
                    <w:kinsoku/>
                    <w:wordWrap/>
                    <w:overflowPunct/>
                    <w:topLinePunct w:val="0"/>
                    <w:autoSpaceDE/>
                    <w:bidi w:val="0"/>
                    <w:adjustRightInd w:val="0"/>
                    <w:snapToGrid w:val="0"/>
                    <w:spacing w:line="340" w:lineRule="exact"/>
                    <w:ind w:firstLine="0"/>
                    <w:rPr>
                      <w:rFonts w:hint="default" w:ascii="Times New Roman" w:hAnsi="Times New Roman" w:eastAsia="宋体" w:cs="Times New Roman"/>
                      <w:color w:val="auto"/>
                      <w:sz w:val="21"/>
                      <w:szCs w:val="21"/>
                      <w:highlight w:val="none"/>
                    </w:rPr>
                  </w:pPr>
                </w:p>
              </w:tc>
              <w:tc>
                <w:tcPr>
                  <w:tcW w:w="1134" w:type="pct"/>
                  <w:tcBorders>
                    <w:tl2br w:val="nil"/>
                    <w:tr2bl w:val="nil"/>
                  </w:tcBorders>
                  <w:noWrap w:val="0"/>
                  <w:vAlign w:val="center"/>
                </w:tcPr>
                <w:p w14:paraId="6BD46A66">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1小时平均</w:t>
                  </w:r>
                </w:p>
              </w:tc>
              <w:tc>
                <w:tcPr>
                  <w:tcW w:w="682" w:type="pct"/>
                  <w:tcBorders>
                    <w:tl2br w:val="nil"/>
                    <w:tr2bl w:val="nil"/>
                  </w:tcBorders>
                  <w:noWrap w:val="0"/>
                  <w:vAlign w:val="center"/>
                </w:tcPr>
                <w:p w14:paraId="2CFC1EE6">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200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065" w:type="pct"/>
                  <w:vMerge w:val="continue"/>
                  <w:tcBorders>
                    <w:tl2br w:val="nil"/>
                    <w:tr2bl w:val="nil"/>
                  </w:tcBorders>
                  <w:noWrap w:val="0"/>
                  <w:vAlign w:val="center"/>
                </w:tcPr>
                <w:p w14:paraId="1458587F">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r>
            <w:tr w14:paraId="73EE9B6A">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restart"/>
                  <w:tcBorders>
                    <w:tl2br w:val="nil"/>
                    <w:tr2bl w:val="nil"/>
                  </w:tcBorders>
                  <w:noWrap w:val="0"/>
                  <w:vAlign w:val="center"/>
                </w:tcPr>
                <w:p w14:paraId="7FE858C3">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640" w:type="pct"/>
                  <w:vMerge w:val="continue"/>
                  <w:tcBorders>
                    <w:tl2br w:val="nil"/>
                    <w:tr2bl w:val="nil"/>
                  </w:tcBorders>
                  <w:noWrap w:val="0"/>
                  <w:vAlign w:val="center"/>
                </w:tcPr>
                <w:p w14:paraId="170E4995">
                  <w:pPr>
                    <w:keepNext w:val="0"/>
                    <w:keepLines w:val="0"/>
                    <w:pageBreakBefore w:val="0"/>
                    <w:widowControl w:val="0"/>
                    <w:kinsoku/>
                    <w:wordWrap/>
                    <w:overflowPunct/>
                    <w:topLinePunct w:val="0"/>
                    <w:autoSpaceDE/>
                    <w:bidi w:val="0"/>
                    <w:adjustRightInd w:val="0"/>
                    <w:snapToGrid w:val="0"/>
                    <w:spacing w:line="340" w:lineRule="exact"/>
                    <w:ind w:firstLine="0"/>
                    <w:rPr>
                      <w:rFonts w:hint="default" w:ascii="Times New Roman" w:hAnsi="Times New Roman" w:eastAsia="宋体" w:cs="Times New Roman"/>
                      <w:color w:val="auto"/>
                      <w:sz w:val="21"/>
                      <w:szCs w:val="21"/>
                      <w:highlight w:val="none"/>
                    </w:rPr>
                  </w:pPr>
                </w:p>
              </w:tc>
              <w:tc>
                <w:tcPr>
                  <w:tcW w:w="1081" w:type="pct"/>
                  <w:vMerge w:val="restart"/>
                  <w:tcBorders>
                    <w:tl2br w:val="nil"/>
                    <w:tr2bl w:val="nil"/>
                  </w:tcBorders>
                  <w:noWrap w:val="0"/>
                  <w:vAlign w:val="center"/>
                </w:tcPr>
                <w:p w14:paraId="2EC02333">
                  <w:pPr>
                    <w:keepNext w:val="0"/>
                    <w:keepLines w:val="0"/>
                    <w:pageBreakBefore w:val="0"/>
                    <w:widowControl w:val="0"/>
                    <w:kinsoku/>
                    <w:wordWrap/>
                    <w:overflowPunct/>
                    <w:topLinePunct w:val="0"/>
                    <w:autoSpaceDE/>
                    <w:autoSpaceDN/>
                    <w:bidi w:val="0"/>
                    <w:spacing w:before="32" w:beforeLines="10"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粒径小于等于10μm的颗粒物</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10</w:t>
                  </w:r>
                  <w:r>
                    <w:rPr>
                      <w:rFonts w:hint="eastAsia" w:ascii="Times New Roman" w:hAnsi="Times New Roman" w:eastAsia="宋体" w:cs="Times New Roman"/>
                      <w:color w:val="auto"/>
                      <w:sz w:val="21"/>
                      <w:szCs w:val="21"/>
                      <w:highlight w:val="none"/>
                      <w:lang w:eastAsia="zh-CN"/>
                    </w:rPr>
                    <w:t>）</w:t>
                  </w:r>
                </w:p>
              </w:tc>
              <w:tc>
                <w:tcPr>
                  <w:tcW w:w="1134" w:type="pct"/>
                  <w:tcBorders>
                    <w:tl2br w:val="nil"/>
                    <w:tr2bl w:val="nil"/>
                  </w:tcBorders>
                  <w:noWrap w:val="0"/>
                  <w:vAlign w:val="center"/>
                </w:tcPr>
                <w:p w14:paraId="1C0F7E50">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rPr>
                    <w:t>年平均</w:t>
                  </w:r>
                </w:p>
              </w:tc>
              <w:tc>
                <w:tcPr>
                  <w:tcW w:w="682" w:type="pct"/>
                  <w:tcBorders>
                    <w:tl2br w:val="nil"/>
                    <w:tr2bl w:val="nil"/>
                  </w:tcBorders>
                  <w:noWrap w:val="0"/>
                  <w:vAlign w:val="center"/>
                </w:tcPr>
                <w:p w14:paraId="5D8CDF4C">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065" w:type="pct"/>
                  <w:vMerge w:val="continue"/>
                  <w:tcBorders>
                    <w:tl2br w:val="nil"/>
                    <w:tr2bl w:val="nil"/>
                  </w:tcBorders>
                  <w:noWrap w:val="0"/>
                  <w:vAlign w:val="center"/>
                </w:tcPr>
                <w:p w14:paraId="5D19CE42">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r>
            <w:tr w14:paraId="4878B123">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continue"/>
                  <w:tcBorders>
                    <w:tl2br w:val="nil"/>
                    <w:tr2bl w:val="nil"/>
                  </w:tcBorders>
                  <w:noWrap w:val="0"/>
                  <w:vAlign w:val="center"/>
                </w:tcPr>
                <w:p w14:paraId="345F9D12">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640" w:type="pct"/>
                  <w:vMerge w:val="continue"/>
                  <w:tcBorders>
                    <w:tl2br w:val="nil"/>
                    <w:tr2bl w:val="nil"/>
                  </w:tcBorders>
                  <w:noWrap w:val="0"/>
                  <w:vAlign w:val="center"/>
                </w:tcPr>
                <w:p w14:paraId="086A54F9">
                  <w:pPr>
                    <w:keepNext w:val="0"/>
                    <w:keepLines w:val="0"/>
                    <w:pageBreakBefore w:val="0"/>
                    <w:widowControl w:val="0"/>
                    <w:kinsoku/>
                    <w:wordWrap/>
                    <w:overflowPunct/>
                    <w:topLinePunct w:val="0"/>
                    <w:autoSpaceDE/>
                    <w:bidi w:val="0"/>
                    <w:adjustRightInd w:val="0"/>
                    <w:snapToGrid w:val="0"/>
                    <w:spacing w:line="340" w:lineRule="exact"/>
                    <w:ind w:firstLine="0"/>
                    <w:rPr>
                      <w:rFonts w:hint="default" w:ascii="Times New Roman" w:hAnsi="Times New Roman" w:eastAsia="宋体" w:cs="Times New Roman"/>
                      <w:color w:val="auto"/>
                      <w:sz w:val="21"/>
                      <w:szCs w:val="21"/>
                      <w:highlight w:val="none"/>
                    </w:rPr>
                  </w:pPr>
                </w:p>
              </w:tc>
              <w:tc>
                <w:tcPr>
                  <w:tcW w:w="1081" w:type="pct"/>
                  <w:vMerge w:val="continue"/>
                  <w:tcBorders>
                    <w:tl2br w:val="nil"/>
                    <w:tr2bl w:val="nil"/>
                  </w:tcBorders>
                  <w:noWrap w:val="0"/>
                  <w:vAlign w:val="center"/>
                </w:tcPr>
                <w:p w14:paraId="39CAD0FB">
                  <w:pPr>
                    <w:keepNext w:val="0"/>
                    <w:keepLines w:val="0"/>
                    <w:pageBreakBefore w:val="0"/>
                    <w:widowControl w:val="0"/>
                    <w:kinsoku/>
                    <w:wordWrap/>
                    <w:overflowPunct/>
                    <w:topLinePunct w:val="0"/>
                    <w:autoSpaceDE/>
                    <w:autoSpaceDN/>
                    <w:bidi w:val="0"/>
                    <w:adjustRightInd w:val="0"/>
                    <w:snapToGrid w:val="0"/>
                    <w:spacing w:before="32" w:beforeLines="10" w:line="3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134" w:type="pct"/>
                  <w:tcBorders>
                    <w:tl2br w:val="nil"/>
                    <w:tr2bl w:val="nil"/>
                  </w:tcBorders>
                  <w:noWrap w:val="0"/>
                  <w:vAlign w:val="center"/>
                </w:tcPr>
                <w:p w14:paraId="54B96D48">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rPr>
                    <w:t>24小时平均</w:t>
                  </w:r>
                </w:p>
              </w:tc>
              <w:tc>
                <w:tcPr>
                  <w:tcW w:w="682" w:type="pct"/>
                  <w:tcBorders>
                    <w:tl2br w:val="nil"/>
                    <w:tr2bl w:val="nil"/>
                  </w:tcBorders>
                  <w:noWrap w:val="0"/>
                  <w:vAlign w:val="center"/>
                </w:tcPr>
                <w:p w14:paraId="2378338C">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0μg/m</w:t>
                  </w:r>
                  <w:r>
                    <w:rPr>
                      <w:rFonts w:hint="default" w:ascii="Times New Roman" w:hAnsi="Times New Roman" w:eastAsia="宋体" w:cs="Times New Roman"/>
                      <w:color w:val="auto"/>
                      <w:sz w:val="21"/>
                      <w:szCs w:val="21"/>
                      <w:highlight w:val="none"/>
                      <w:vertAlign w:val="superscript"/>
                    </w:rPr>
                    <w:t>3</w:t>
                  </w:r>
                </w:p>
              </w:tc>
              <w:tc>
                <w:tcPr>
                  <w:tcW w:w="1065" w:type="pct"/>
                  <w:vMerge w:val="continue"/>
                  <w:tcBorders>
                    <w:tl2br w:val="nil"/>
                    <w:tr2bl w:val="nil"/>
                  </w:tcBorders>
                  <w:noWrap w:val="0"/>
                  <w:vAlign w:val="center"/>
                </w:tcPr>
                <w:p w14:paraId="08CD6288">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r>
            <w:tr w14:paraId="030D841B">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restart"/>
                  <w:tcBorders>
                    <w:tl2br w:val="nil"/>
                    <w:tr2bl w:val="nil"/>
                  </w:tcBorders>
                  <w:noWrap w:val="0"/>
                  <w:vAlign w:val="center"/>
                </w:tcPr>
                <w:p w14:paraId="32BADC92">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640" w:type="pct"/>
                  <w:vMerge w:val="continue"/>
                  <w:tcBorders>
                    <w:tl2br w:val="nil"/>
                    <w:tr2bl w:val="nil"/>
                  </w:tcBorders>
                  <w:noWrap w:val="0"/>
                  <w:vAlign w:val="center"/>
                </w:tcPr>
                <w:p w14:paraId="7662CF41">
                  <w:pPr>
                    <w:keepNext w:val="0"/>
                    <w:keepLines w:val="0"/>
                    <w:pageBreakBefore w:val="0"/>
                    <w:widowControl w:val="0"/>
                    <w:kinsoku/>
                    <w:wordWrap/>
                    <w:overflowPunct/>
                    <w:topLinePunct w:val="0"/>
                    <w:autoSpaceDE/>
                    <w:bidi w:val="0"/>
                    <w:adjustRightInd w:val="0"/>
                    <w:snapToGrid w:val="0"/>
                    <w:spacing w:line="340" w:lineRule="exact"/>
                    <w:ind w:firstLine="0"/>
                    <w:rPr>
                      <w:rFonts w:hint="default" w:ascii="Times New Roman" w:hAnsi="Times New Roman" w:eastAsia="宋体" w:cs="Times New Roman"/>
                      <w:color w:val="auto"/>
                      <w:sz w:val="21"/>
                      <w:szCs w:val="21"/>
                      <w:highlight w:val="none"/>
                    </w:rPr>
                  </w:pPr>
                </w:p>
              </w:tc>
              <w:tc>
                <w:tcPr>
                  <w:tcW w:w="1081" w:type="pct"/>
                  <w:vMerge w:val="restart"/>
                  <w:tcBorders>
                    <w:tl2br w:val="nil"/>
                    <w:tr2bl w:val="nil"/>
                  </w:tcBorders>
                  <w:noWrap w:val="0"/>
                  <w:vAlign w:val="center"/>
                </w:tcPr>
                <w:p w14:paraId="21513659">
                  <w:pPr>
                    <w:keepNext w:val="0"/>
                    <w:keepLines w:val="0"/>
                    <w:pageBreakBefore w:val="0"/>
                    <w:widowControl w:val="0"/>
                    <w:kinsoku/>
                    <w:wordWrap/>
                    <w:overflowPunct/>
                    <w:topLinePunct w:val="0"/>
                    <w:autoSpaceDE/>
                    <w:autoSpaceDN/>
                    <w:bidi w:val="0"/>
                    <w:spacing w:before="32" w:beforeLines="10"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粒径小于等于2.5μm的颗粒物</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2.5</w:t>
                  </w:r>
                  <w:r>
                    <w:rPr>
                      <w:rFonts w:hint="eastAsia" w:ascii="Times New Roman" w:hAnsi="Times New Roman" w:eastAsia="宋体" w:cs="Times New Roman"/>
                      <w:color w:val="auto"/>
                      <w:sz w:val="21"/>
                      <w:szCs w:val="21"/>
                      <w:highlight w:val="none"/>
                      <w:lang w:eastAsia="zh-CN"/>
                    </w:rPr>
                    <w:t>）</w:t>
                  </w:r>
                </w:p>
              </w:tc>
              <w:tc>
                <w:tcPr>
                  <w:tcW w:w="1134" w:type="pct"/>
                  <w:tcBorders>
                    <w:tl2br w:val="nil"/>
                    <w:tr2bl w:val="nil"/>
                  </w:tcBorders>
                  <w:noWrap w:val="0"/>
                  <w:vAlign w:val="center"/>
                </w:tcPr>
                <w:p w14:paraId="39956FB6">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rPr>
                    <w:t>年平均</w:t>
                  </w:r>
                </w:p>
              </w:tc>
              <w:tc>
                <w:tcPr>
                  <w:tcW w:w="682" w:type="pct"/>
                  <w:tcBorders>
                    <w:tl2br w:val="nil"/>
                    <w:tr2bl w:val="nil"/>
                  </w:tcBorders>
                  <w:noWrap w:val="0"/>
                  <w:vAlign w:val="center"/>
                </w:tcPr>
                <w:p w14:paraId="1F0CC89C">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065" w:type="pct"/>
                  <w:vMerge w:val="continue"/>
                  <w:tcBorders>
                    <w:tl2br w:val="nil"/>
                    <w:tr2bl w:val="nil"/>
                  </w:tcBorders>
                  <w:noWrap w:val="0"/>
                  <w:vAlign w:val="center"/>
                </w:tcPr>
                <w:p w14:paraId="52DD15BF">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r>
            <w:tr w14:paraId="286558D9">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395" w:type="pct"/>
                  <w:vMerge w:val="continue"/>
                  <w:tcBorders>
                    <w:tl2br w:val="nil"/>
                    <w:tr2bl w:val="nil"/>
                  </w:tcBorders>
                  <w:noWrap w:val="0"/>
                  <w:vAlign w:val="center"/>
                </w:tcPr>
                <w:p w14:paraId="494D2A59">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c>
                <w:tcPr>
                  <w:tcW w:w="640" w:type="pct"/>
                  <w:vMerge w:val="continue"/>
                  <w:tcBorders>
                    <w:tl2br w:val="nil"/>
                    <w:tr2bl w:val="nil"/>
                  </w:tcBorders>
                  <w:noWrap w:val="0"/>
                  <w:vAlign w:val="center"/>
                </w:tcPr>
                <w:p w14:paraId="6411F1E4">
                  <w:pPr>
                    <w:keepNext w:val="0"/>
                    <w:keepLines w:val="0"/>
                    <w:pageBreakBefore w:val="0"/>
                    <w:widowControl w:val="0"/>
                    <w:kinsoku/>
                    <w:wordWrap/>
                    <w:overflowPunct/>
                    <w:topLinePunct w:val="0"/>
                    <w:autoSpaceDE/>
                    <w:bidi w:val="0"/>
                    <w:adjustRightInd w:val="0"/>
                    <w:snapToGrid w:val="0"/>
                    <w:spacing w:line="340" w:lineRule="exact"/>
                    <w:ind w:firstLine="0"/>
                    <w:rPr>
                      <w:rFonts w:hint="default" w:ascii="Times New Roman" w:hAnsi="Times New Roman" w:eastAsia="宋体" w:cs="Times New Roman"/>
                      <w:color w:val="auto"/>
                      <w:sz w:val="21"/>
                      <w:szCs w:val="21"/>
                      <w:highlight w:val="none"/>
                    </w:rPr>
                  </w:pPr>
                </w:p>
              </w:tc>
              <w:tc>
                <w:tcPr>
                  <w:tcW w:w="1081" w:type="pct"/>
                  <w:vMerge w:val="continue"/>
                  <w:tcBorders>
                    <w:tl2br w:val="nil"/>
                    <w:tr2bl w:val="nil"/>
                  </w:tcBorders>
                  <w:noWrap w:val="0"/>
                  <w:vAlign w:val="center"/>
                </w:tcPr>
                <w:p w14:paraId="4B04A742">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eastAsia="宋体" w:cs="Times New Roman"/>
                      <w:color w:val="auto"/>
                      <w:sz w:val="21"/>
                      <w:szCs w:val="21"/>
                      <w:highlight w:val="none"/>
                    </w:rPr>
                  </w:pPr>
                </w:p>
              </w:tc>
              <w:tc>
                <w:tcPr>
                  <w:tcW w:w="1134" w:type="pct"/>
                  <w:tcBorders>
                    <w:tl2br w:val="nil"/>
                    <w:tr2bl w:val="nil"/>
                  </w:tcBorders>
                  <w:noWrap w:val="0"/>
                  <w:vAlign w:val="center"/>
                </w:tcPr>
                <w:p w14:paraId="3E2428E1">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rPr>
                    <w:t>24小时平均</w:t>
                  </w:r>
                </w:p>
              </w:tc>
              <w:tc>
                <w:tcPr>
                  <w:tcW w:w="682" w:type="pct"/>
                  <w:tcBorders>
                    <w:tl2br w:val="nil"/>
                    <w:tr2bl w:val="nil"/>
                  </w:tcBorders>
                  <w:noWrap w:val="0"/>
                  <w:vAlign w:val="center"/>
                </w:tcPr>
                <w:p w14:paraId="2E3BE291">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065" w:type="pct"/>
                  <w:vMerge w:val="continue"/>
                  <w:tcBorders>
                    <w:tl2br w:val="nil"/>
                    <w:tr2bl w:val="nil"/>
                  </w:tcBorders>
                  <w:noWrap w:val="0"/>
                  <w:vAlign w:val="center"/>
                </w:tcPr>
                <w:p w14:paraId="332F8C21">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rPr>
                  </w:pPr>
                </w:p>
              </w:tc>
            </w:tr>
          </w:tbl>
          <w:p w14:paraId="1C653A54">
            <w:pPr>
              <w:pStyle w:val="73"/>
              <w:keepNext w:val="0"/>
              <w:keepLines w:val="0"/>
              <w:pageBreakBefore w:val="0"/>
              <w:widowControl/>
              <w:kinsoku/>
              <w:wordWrap/>
              <w:overflowPunct/>
              <w:topLinePunct w:val="0"/>
              <w:autoSpaceDE/>
              <w:autoSpaceDN/>
              <w:bidi w:val="0"/>
              <w:adjustRightInd/>
              <w:snapToGrid/>
              <w:spacing w:before="157" w:beforeLines="50" w:line="360" w:lineRule="auto"/>
              <w:ind w:firstLine="482" w:firstLineChars="200"/>
              <w:jc w:val="both"/>
              <w:textAlignment w:val="auto"/>
              <w:rPr>
                <w:rFonts w:ascii="Times New Roman" w:hAnsi="Times New Roman" w:eastAsia="宋体"/>
                <w:b w:val="0"/>
                <w:bCs/>
                <w:color w:val="auto"/>
                <w:highlight w:val="none"/>
              </w:rPr>
            </w:pPr>
            <w:r>
              <w:rPr>
                <w:rFonts w:ascii="Times New Roman" w:hAnsi="Times New Roman" w:eastAsia="宋体"/>
                <w:bCs/>
                <w:color w:val="auto"/>
                <w:highlight w:val="none"/>
              </w:rPr>
              <w:t>②特征污染物：</w:t>
            </w:r>
            <w:r>
              <w:rPr>
                <w:rFonts w:ascii="Times New Roman" w:hAnsi="Times New Roman" w:eastAsia="宋体"/>
                <w:b w:val="0"/>
                <w:bCs/>
                <w:color w:val="auto"/>
                <w:kern w:val="0"/>
                <w:szCs w:val="20"/>
                <w:highlight w:val="none"/>
              </w:rPr>
              <w:t>项目</w:t>
            </w:r>
            <w:r>
              <w:rPr>
                <w:rFonts w:ascii="Times New Roman" w:hAnsi="Times New Roman" w:eastAsia="宋体"/>
                <w:b w:val="0"/>
                <w:bCs/>
                <w:color w:val="auto"/>
                <w:highlight w:val="none"/>
              </w:rPr>
              <w:t>特征</w:t>
            </w:r>
            <w:r>
              <w:rPr>
                <w:rFonts w:ascii="Times New Roman" w:hAnsi="Times New Roman" w:eastAsia="宋体"/>
                <w:b w:val="0"/>
                <w:bCs/>
                <w:color w:val="auto"/>
                <w:kern w:val="0"/>
                <w:szCs w:val="20"/>
                <w:highlight w:val="none"/>
              </w:rPr>
              <w:t>污染物包括</w:t>
            </w:r>
            <w:r>
              <w:rPr>
                <w:rFonts w:hint="eastAsia" w:ascii="Times New Roman" w:hAnsi="Times New Roman" w:eastAsia="宋体"/>
                <w:b w:val="0"/>
                <w:bCs/>
                <w:color w:val="auto"/>
                <w:kern w:val="0"/>
                <w:szCs w:val="20"/>
                <w:highlight w:val="none"/>
                <w:lang w:val="en-US" w:eastAsia="zh-CN"/>
              </w:rPr>
              <w:t>颗粒物、</w:t>
            </w:r>
            <w:r>
              <w:rPr>
                <w:rFonts w:ascii="Times New Roman" w:hAnsi="Times New Roman" w:eastAsia="宋体"/>
                <w:b w:val="0"/>
                <w:bCs/>
                <w:color w:val="auto"/>
                <w:kern w:val="0"/>
                <w:szCs w:val="20"/>
                <w:highlight w:val="none"/>
              </w:rPr>
              <w:t>挥发性有机物（以非甲烷总烃表征）</w:t>
            </w:r>
            <w:r>
              <w:rPr>
                <w:rFonts w:hint="eastAsia"/>
                <w:b w:val="0"/>
                <w:bCs/>
                <w:color w:val="auto"/>
                <w:kern w:val="0"/>
                <w:szCs w:val="20"/>
                <w:highlight w:val="none"/>
                <w:lang w:eastAsia="zh-CN"/>
              </w:rPr>
              <w:t>、</w:t>
            </w:r>
            <w:r>
              <w:rPr>
                <w:rFonts w:hint="eastAsia"/>
                <w:b w:val="0"/>
                <w:bCs/>
                <w:color w:val="auto"/>
                <w:kern w:val="0"/>
                <w:szCs w:val="20"/>
                <w:highlight w:val="none"/>
                <w:lang w:val="en-US" w:eastAsia="zh-CN"/>
              </w:rPr>
              <w:t>二甲苯、乙酸乙酯、乙酸丁酯</w:t>
            </w:r>
            <w:r>
              <w:rPr>
                <w:rFonts w:ascii="Times New Roman" w:hAnsi="Times New Roman" w:eastAsia="宋体"/>
                <w:b w:val="0"/>
                <w:bCs/>
                <w:color w:val="auto"/>
                <w:kern w:val="0"/>
                <w:szCs w:val="20"/>
                <w:highlight w:val="none"/>
              </w:rPr>
              <w:t>。</w:t>
            </w:r>
            <w:r>
              <w:rPr>
                <w:rFonts w:hint="eastAsia" w:ascii="Times New Roman" w:hAnsi="Times New Roman" w:eastAsia="宋体"/>
                <w:b w:val="0"/>
                <w:bCs/>
                <w:color w:val="auto"/>
                <w:kern w:val="0"/>
                <w:szCs w:val="20"/>
                <w:highlight w:val="none"/>
                <w:lang w:val="en-US" w:eastAsia="zh-CN"/>
              </w:rPr>
              <w:t>颗粒物</w:t>
            </w:r>
            <w:r>
              <w:rPr>
                <w:rFonts w:ascii="Times New Roman" w:hAnsi="Times New Roman" w:eastAsia="宋体"/>
                <w:b w:val="0"/>
                <w:bCs/>
                <w:color w:val="auto"/>
                <w:highlight w:val="none"/>
              </w:rPr>
              <w:t>执行《环境空气质量标准》（GB3095-20</w:t>
            </w:r>
            <w:r>
              <w:rPr>
                <w:rFonts w:hint="eastAsia" w:ascii="Times New Roman" w:hAnsi="Times New Roman" w:eastAsia="宋体"/>
                <w:b w:val="0"/>
                <w:bCs/>
                <w:color w:val="auto"/>
                <w:highlight w:val="none"/>
                <w:lang w:val="en-US" w:eastAsia="zh-CN"/>
              </w:rPr>
              <w:t>26</w:t>
            </w:r>
            <w:r>
              <w:rPr>
                <w:rFonts w:ascii="Times New Roman" w:hAnsi="Times New Roman" w:eastAsia="宋体"/>
                <w:b w:val="0"/>
                <w:bCs/>
                <w:color w:val="auto"/>
                <w:highlight w:val="none"/>
              </w:rPr>
              <w:t>）</w:t>
            </w:r>
            <w:r>
              <w:rPr>
                <w:rFonts w:hint="eastAsia" w:ascii="Times New Roman" w:hAnsi="Times New Roman" w:eastAsia="宋体"/>
                <w:b w:val="0"/>
                <w:bCs/>
                <w:color w:val="auto"/>
                <w:sz w:val="24"/>
                <w:szCs w:val="24"/>
                <w:highlight w:val="none"/>
                <w:lang w:val="en-US" w:eastAsia="zh-CN"/>
              </w:rPr>
              <w:t>表2</w:t>
            </w:r>
            <w:r>
              <w:rPr>
                <w:rFonts w:ascii="Times New Roman" w:hAnsi="Times New Roman" w:eastAsia="宋体"/>
                <w:b w:val="0"/>
                <w:bCs/>
                <w:color w:val="auto"/>
                <w:highlight w:val="none"/>
              </w:rPr>
              <w:t>二级标准</w:t>
            </w:r>
            <w:r>
              <w:rPr>
                <w:rFonts w:hint="eastAsia" w:ascii="Times New Roman" w:hAnsi="Times New Roman" w:eastAsia="宋体"/>
                <w:b w:val="0"/>
                <w:bCs/>
                <w:color w:val="auto"/>
                <w:highlight w:val="none"/>
              </w:rPr>
              <w:t>要求</w:t>
            </w:r>
            <w:r>
              <w:rPr>
                <w:rFonts w:hint="eastAsia"/>
                <w:b w:val="0"/>
                <w:bCs/>
                <w:color w:val="auto"/>
                <w:highlight w:val="none"/>
                <w:lang w:eastAsia="zh-CN"/>
              </w:rPr>
              <w:t>；</w:t>
            </w:r>
            <w:r>
              <w:rPr>
                <w:rFonts w:ascii="Times New Roman" w:hAnsi="Times New Roman" w:eastAsia="宋体"/>
                <w:b w:val="0"/>
                <w:bCs/>
                <w:color w:val="auto"/>
                <w:kern w:val="0"/>
                <w:szCs w:val="20"/>
                <w:highlight w:val="none"/>
              </w:rPr>
              <w:t>非甲烷总烃环境质量标准参照执行《大气污染物综合排放标准详解》</w:t>
            </w:r>
            <w:r>
              <w:rPr>
                <w:rFonts w:hint="eastAsia" w:ascii="Times New Roman" w:hAnsi="Times New Roman" w:eastAsia="宋体"/>
                <w:b w:val="0"/>
                <w:bCs/>
                <w:color w:val="auto"/>
                <w:kern w:val="0"/>
                <w:szCs w:val="20"/>
                <w:highlight w:val="none"/>
                <w:lang w:eastAsia="zh-CN"/>
              </w:rPr>
              <w:t>（</w:t>
            </w:r>
            <w:r>
              <w:rPr>
                <w:rFonts w:ascii="Times New Roman" w:hAnsi="Times New Roman" w:eastAsia="宋体"/>
                <w:b w:val="0"/>
                <w:bCs/>
                <w:color w:val="auto"/>
                <w:kern w:val="0"/>
                <w:szCs w:val="20"/>
                <w:highlight w:val="none"/>
              </w:rPr>
              <w:t>国家环境保护局科技标准司</w:t>
            </w:r>
            <w:r>
              <w:rPr>
                <w:rFonts w:hint="eastAsia" w:ascii="Times New Roman" w:hAnsi="Times New Roman" w:eastAsia="宋体"/>
                <w:b w:val="0"/>
                <w:bCs/>
                <w:color w:val="auto"/>
                <w:kern w:val="0"/>
                <w:szCs w:val="20"/>
                <w:highlight w:val="none"/>
                <w:lang w:eastAsia="zh-CN"/>
              </w:rPr>
              <w:t>）</w:t>
            </w:r>
            <w:r>
              <w:rPr>
                <w:rFonts w:ascii="Times New Roman" w:hAnsi="Times New Roman" w:eastAsia="宋体"/>
                <w:b w:val="0"/>
                <w:bCs/>
                <w:color w:val="auto"/>
                <w:kern w:val="0"/>
                <w:szCs w:val="20"/>
                <w:highlight w:val="none"/>
              </w:rPr>
              <w:t>P244页中的限值要求</w:t>
            </w:r>
            <w:r>
              <w:rPr>
                <w:rFonts w:hint="eastAsia"/>
                <w:b w:val="0"/>
                <w:bCs/>
                <w:color w:val="auto"/>
                <w:highlight w:val="none"/>
                <w:lang w:eastAsia="zh-CN"/>
              </w:rPr>
              <w:t>；</w:t>
            </w:r>
            <w:r>
              <w:rPr>
                <w:rFonts w:hint="eastAsia" w:cs="Times New Roman"/>
                <w:b w:val="0"/>
                <w:bCs/>
                <w:color w:val="auto"/>
                <w:spacing w:val="0"/>
                <w:kern w:val="0"/>
                <w:szCs w:val="20"/>
                <w:highlight w:val="none"/>
                <w:lang w:val="en-US" w:eastAsia="zh-CN"/>
              </w:rPr>
              <w:t>二甲苯</w:t>
            </w:r>
            <w:r>
              <w:rPr>
                <w:rFonts w:ascii="Times New Roman" w:hAnsi="Times New Roman" w:eastAsia="宋体" w:cs="Times New Roman"/>
                <w:b w:val="0"/>
                <w:bCs/>
                <w:color w:val="auto"/>
                <w:spacing w:val="0"/>
                <w:kern w:val="0"/>
                <w:szCs w:val="20"/>
                <w:highlight w:val="none"/>
              </w:rPr>
              <w:t>环境质量标准</w:t>
            </w:r>
            <w:r>
              <w:rPr>
                <w:rFonts w:ascii="Times New Roman" w:hAnsi="Times New Roman" w:eastAsia="宋体" w:cs="Times New Roman"/>
                <w:b w:val="0"/>
                <w:bCs/>
                <w:color w:val="auto"/>
                <w:spacing w:val="0"/>
                <w:kern w:val="0"/>
                <w:highlight w:val="none"/>
              </w:rPr>
              <w:t>执行《环境影响评价技术导则</w:t>
            </w:r>
            <w:r>
              <w:rPr>
                <w:rFonts w:hint="eastAsia" w:cs="Times New Roman"/>
                <w:b w:val="0"/>
                <w:bCs/>
                <w:color w:val="auto"/>
                <w:spacing w:val="0"/>
                <w:kern w:val="0"/>
                <w:highlight w:val="none"/>
                <w:lang w:val="en-US" w:eastAsia="zh-CN"/>
              </w:rPr>
              <w:t xml:space="preserve"> </w:t>
            </w:r>
            <w:r>
              <w:rPr>
                <w:rFonts w:ascii="Times New Roman" w:hAnsi="Times New Roman" w:eastAsia="宋体" w:cs="Times New Roman"/>
                <w:b w:val="0"/>
                <w:bCs/>
                <w:color w:val="auto"/>
                <w:spacing w:val="0"/>
                <w:kern w:val="0"/>
                <w:highlight w:val="none"/>
              </w:rPr>
              <w:t>大气环境》（HJ2.2-2018）中附录D</w:t>
            </w:r>
            <w:r>
              <w:rPr>
                <w:rFonts w:hint="eastAsia"/>
                <w:b w:val="0"/>
                <w:bCs/>
                <w:color w:val="auto"/>
                <w:highlight w:val="none"/>
                <w:lang w:val="en-US" w:eastAsia="zh-CN"/>
              </w:rPr>
              <w:t>；</w:t>
            </w:r>
            <w:r>
              <w:rPr>
                <w:rFonts w:hint="eastAsia" w:cs="Times New Roman"/>
                <w:b w:val="0"/>
                <w:bCs/>
                <w:color w:val="auto"/>
                <w:spacing w:val="0"/>
                <w:kern w:val="0"/>
                <w:highlight w:val="none"/>
                <w:lang w:eastAsia="zh-CN"/>
              </w:rPr>
              <w:t>乙酸乙酯、</w:t>
            </w:r>
            <w:r>
              <w:rPr>
                <w:rFonts w:hint="eastAsia" w:cs="Times New Roman"/>
                <w:b w:val="0"/>
                <w:bCs/>
                <w:color w:val="auto"/>
                <w:spacing w:val="0"/>
                <w:kern w:val="0"/>
                <w:highlight w:val="none"/>
                <w:lang w:val="en-US" w:eastAsia="zh-CN"/>
              </w:rPr>
              <w:t>乙酸丁酯</w:t>
            </w:r>
            <w:r>
              <w:rPr>
                <w:rFonts w:hint="eastAsia" w:cs="Times New Roman"/>
                <w:b w:val="0"/>
                <w:bCs/>
                <w:color w:val="auto"/>
                <w:spacing w:val="0"/>
                <w:kern w:val="0"/>
                <w:highlight w:val="none"/>
                <w:lang w:eastAsia="zh-CN"/>
              </w:rPr>
              <w:t>参照执行《前苏联居民区大气中有害物质的最大区域允许浓度》（CH245-7</w:t>
            </w:r>
            <w:r>
              <w:rPr>
                <w:rFonts w:hint="eastAsia" w:cs="Times New Roman"/>
                <w:b w:val="0"/>
                <w:bCs/>
                <w:color w:val="auto"/>
                <w:spacing w:val="0"/>
                <w:kern w:val="0"/>
                <w:highlight w:val="none"/>
                <w:lang w:val="en-US" w:eastAsia="zh-CN"/>
              </w:rPr>
              <w:t>1</w:t>
            </w:r>
            <w:r>
              <w:rPr>
                <w:rFonts w:hint="eastAsia" w:cs="Times New Roman"/>
                <w:b w:val="0"/>
                <w:bCs/>
                <w:color w:val="auto"/>
                <w:spacing w:val="0"/>
                <w:kern w:val="0"/>
                <w:highlight w:val="none"/>
                <w:lang w:eastAsia="zh-CN"/>
              </w:rPr>
              <w:t>）中“居住区大气中有毒物质最高允许排放浓度”</w:t>
            </w:r>
            <w:r>
              <w:rPr>
                <w:rFonts w:ascii="Times New Roman" w:hAnsi="Times New Roman" w:eastAsia="宋体" w:cs="Times New Roman"/>
                <w:b w:val="0"/>
                <w:bCs/>
                <w:color w:val="auto"/>
                <w:spacing w:val="0"/>
                <w:kern w:val="0"/>
                <w:highlight w:val="none"/>
              </w:rPr>
              <w:t>，</w:t>
            </w:r>
            <w:r>
              <w:rPr>
                <w:rFonts w:ascii="Times New Roman" w:hAnsi="Times New Roman" w:eastAsia="宋体"/>
                <w:b w:val="0"/>
                <w:bCs/>
                <w:color w:val="auto"/>
                <w:highlight w:val="none"/>
              </w:rPr>
              <w:t>详见表3</w:t>
            </w:r>
            <w:r>
              <w:rPr>
                <w:rFonts w:hint="eastAsia" w:ascii="Times New Roman" w:hAnsi="Times New Roman" w:eastAsia="宋体"/>
                <w:b w:val="0"/>
                <w:bCs/>
                <w:color w:val="auto"/>
                <w:highlight w:val="none"/>
                <w:lang w:val="en-US" w:eastAsia="zh-CN"/>
              </w:rPr>
              <w:t>.1</w:t>
            </w:r>
            <w:r>
              <w:rPr>
                <w:rFonts w:ascii="Times New Roman" w:hAnsi="Times New Roman" w:eastAsia="宋体"/>
                <w:b w:val="0"/>
                <w:bCs/>
                <w:color w:val="auto"/>
                <w:highlight w:val="none"/>
              </w:rPr>
              <w:t>-2。</w:t>
            </w:r>
          </w:p>
          <w:p w14:paraId="62413DE6">
            <w:pPr>
              <w:adjustRightInd w:val="0"/>
              <w:snapToGrid w:val="0"/>
              <w:spacing w:line="240" w:lineRule="auto"/>
              <w:ind w:firstLine="0" w:firstLineChars="0"/>
              <w:jc w:val="center"/>
              <w:rPr>
                <w:rFonts w:ascii="Times New Roman" w:hAnsi="Times New Roman" w:eastAsia="宋体"/>
                <w:b/>
                <w:bCs/>
                <w:color w:val="auto"/>
                <w:highlight w:val="none"/>
              </w:rPr>
            </w:pPr>
            <w:r>
              <w:rPr>
                <w:rFonts w:ascii="Times New Roman" w:hAnsi="Times New Roman" w:eastAsia="宋体"/>
                <w:b/>
                <w:bCs/>
                <w:color w:val="auto"/>
                <w:sz w:val="24"/>
                <w:szCs w:val="24"/>
                <w:highlight w:val="none"/>
              </w:rPr>
              <w:t>表3</w:t>
            </w:r>
            <w:r>
              <w:rPr>
                <w:rFonts w:hint="eastAsia" w:ascii="Times New Roman" w:hAnsi="Times New Roman" w:eastAsia="宋体"/>
                <w:b/>
                <w:bCs/>
                <w:color w:val="auto"/>
                <w:sz w:val="24"/>
                <w:szCs w:val="24"/>
                <w:highlight w:val="none"/>
                <w:lang w:val="en-US" w:eastAsia="zh-CN"/>
              </w:rPr>
              <w:t>.1</w:t>
            </w:r>
            <w:r>
              <w:rPr>
                <w:rFonts w:ascii="Times New Roman" w:hAnsi="Times New Roman" w:eastAsia="宋体"/>
                <w:b/>
                <w:bCs/>
                <w:color w:val="auto"/>
                <w:sz w:val="24"/>
                <w:szCs w:val="24"/>
                <w:highlight w:val="none"/>
              </w:rPr>
              <w:t>-2</w:t>
            </w:r>
            <w:r>
              <w:rPr>
                <w:rFonts w:hint="eastAsia" w:ascii="Times New Roman" w:hAnsi="Times New Roman" w:eastAsia="宋体"/>
                <w:b/>
                <w:bCs/>
                <w:color w:val="auto"/>
                <w:sz w:val="24"/>
                <w:szCs w:val="24"/>
                <w:highlight w:val="none"/>
              </w:rPr>
              <w:t xml:space="preserve">  </w:t>
            </w:r>
            <w:r>
              <w:rPr>
                <w:rFonts w:ascii="Times New Roman" w:hAnsi="Times New Roman" w:eastAsia="宋体"/>
                <w:b/>
                <w:bCs/>
                <w:color w:val="auto"/>
                <w:sz w:val="24"/>
                <w:szCs w:val="24"/>
                <w:highlight w:val="none"/>
              </w:rPr>
              <w:t xml:space="preserve">其他污染物大气质量参考评价标准    </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330"/>
              <w:gridCol w:w="2313"/>
              <w:gridCol w:w="3001"/>
            </w:tblGrid>
            <w:tr w14:paraId="3AD362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tcBorders>
                    <w:tl2br w:val="nil"/>
                    <w:tr2bl w:val="nil"/>
                  </w:tcBorders>
                  <w:noWrap w:val="0"/>
                  <w:vAlign w:val="center"/>
                </w:tcPr>
                <w:p w14:paraId="1FDF4BED">
                  <w:pPr>
                    <w:keepNext/>
                    <w:keepLines/>
                    <w:widowControl/>
                    <w:spacing w:line="240" w:lineRule="auto"/>
                    <w:ind w:firstLine="0" w:firstLineChars="0"/>
                    <w:jc w:val="center"/>
                    <w:outlineLvl w:val="2"/>
                    <w:rPr>
                      <w:rFonts w:ascii="Times New Roman" w:hAnsi="Times New Roman" w:eastAsia="宋体"/>
                      <w:b/>
                      <w:color w:val="auto"/>
                      <w:kern w:val="0"/>
                      <w:sz w:val="21"/>
                      <w:szCs w:val="21"/>
                      <w:highlight w:val="none"/>
                    </w:rPr>
                  </w:pPr>
                  <w:r>
                    <w:rPr>
                      <w:rFonts w:ascii="Times New Roman" w:hAnsi="Times New Roman" w:eastAsia="宋体"/>
                      <w:b/>
                      <w:color w:val="auto"/>
                      <w:kern w:val="0"/>
                      <w:sz w:val="21"/>
                      <w:szCs w:val="21"/>
                      <w:highlight w:val="none"/>
                    </w:rPr>
                    <w:t>污染物名称</w:t>
                  </w:r>
                </w:p>
              </w:tc>
              <w:tc>
                <w:tcPr>
                  <w:tcW w:w="1330" w:type="dxa"/>
                  <w:tcBorders>
                    <w:tl2br w:val="nil"/>
                    <w:tr2bl w:val="nil"/>
                  </w:tcBorders>
                  <w:noWrap w:val="0"/>
                  <w:vAlign w:val="center"/>
                </w:tcPr>
                <w:p w14:paraId="3C9C0D54">
                  <w:pPr>
                    <w:keepNext/>
                    <w:keepLines/>
                    <w:widowControl/>
                    <w:spacing w:line="240" w:lineRule="auto"/>
                    <w:ind w:firstLine="0" w:firstLineChars="0"/>
                    <w:jc w:val="center"/>
                    <w:outlineLvl w:val="2"/>
                    <w:rPr>
                      <w:rFonts w:ascii="Times New Roman" w:hAnsi="Times New Roman" w:eastAsia="宋体"/>
                      <w:b/>
                      <w:color w:val="auto"/>
                      <w:kern w:val="0"/>
                      <w:sz w:val="21"/>
                      <w:szCs w:val="21"/>
                      <w:highlight w:val="none"/>
                    </w:rPr>
                  </w:pPr>
                  <w:r>
                    <w:rPr>
                      <w:rFonts w:ascii="Times New Roman" w:hAnsi="Times New Roman" w:eastAsia="宋体"/>
                      <w:b/>
                      <w:color w:val="auto"/>
                      <w:kern w:val="0"/>
                      <w:sz w:val="21"/>
                      <w:szCs w:val="21"/>
                      <w:highlight w:val="none"/>
                    </w:rPr>
                    <w:t>取值时间</w:t>
                  </w:r>
                </w:p>
              </w:tc>
              <w:tc>
                <w:tcPr>
                  <w:tcW w:w="2313" w:type="dxa"/>
                  <w:tcBorders>
                    <w:tl2br w:val="nil"/>
                    <w:tr2bl w:val="nil"/>
                  </w:tcBorders>
                  <w:noWrap w:val="0"/>
                  <w:vAlign w:val="center"/>
                </w:tcPr>
                <w:p w14:paraId="1C54D20D">
                  <w:pPr>
                    <w:keepNext/>
                    <w:keepLines/>
                    <w:widowControl/>
                    <w:spacing w:line="240" w:lineRule="auto"/>
                    <w:ind w:firstLine="0" w:firstLineChars="0"/>
                    <w:jc w:val="center"/>
                    <w:outlineLvl w:val="2"/>
                    <w:rPr>
                      <w:rFonts w:ascii="Times New Roman" w:hAnsi="Times New Roman" w:eastAsia="宋体"/>
                      <w:b/>
                      <w:color w:val="auto"/>
                      <w:kern w:val="0"/>
                      <w:sz w:val="21"/>
                      <w:szCs w:val="21"/>
                      <w:highlight w:val="none"/>
                    </w:rPr>
                  </w:pPr>
                  <w:r>
                    <w:rPr>
                      <w:rFonts w:ascii="Times New Roman" w:hAnsi="Times New Roman" w:eastAsia="宋体"/>
                      <w:b/>
                      <w:color w:val="auto"/>
                      <w:kern w:val="0"/>
                      <w:sz w:val="21"/>
                      <w:szCs w:val="21"/>
                      <w:highlight w:val="none"/>
                    </w:rPr>
                    <w:t>标准浓度限值（mg/m</w:t>
                  </w:r>
                  <w:r>
                    <w:rPr>
                      <w:rFonts w:ascii="Times New Roman" w:hAnsi="Times New Roman" w:eastAsia="宋体"/>
                      <w:b/>
                      <w:color w:val="auto"/>
                      <w:kern w:val="0"/>
                      <w:sz w:val="21"/>
                      <w:szCs w:val="21"/>
                      <w:highlight w:val="none"/>
                      <w:vertAlign w:val="superscript"/>
                    </w:rPr>
                    <w:t>3</w:t>
                  </w:r>
                  <w:r>
                    <w:rPr>
                      <w:rFonts w:ascii="Times New Roman" w:hAnsi="Times New Roman" w:eastAsia="宋体"/>
                      <w:b/>
                      <w:color w:val="auto"/>
                      <w:kern w:val="0"/>
                      <w:sz w:val="21"/>
                      <w:szCs w:val="21"/>
                      <w:highlight w:val="none"/>
                    </w:rPr>
                    <w:t>）</w:t>
                  </w:r>
                </w:p>
              </w:tc>
              <w:tc>
                <w:tcPr>
                  <w:tcW w:w="3001" w:type="dxa"/>
                  <w:tcBorders>
                    <w:tl2br w:val="nil"/>
                    <w:tr2bl w:val="nil"/>
                  </w:tcBorders>
                  <w:noWrap w:val="0"/>
                  <w:vAlign w:val="center"/>
                </w:tcPr>
                <w:p w14:paraId="38A78CD2">
                  <w:pPr>
                    <w:keepNext/>
                    <w:keepLines/>
                    <w:widowControl/>
                    <w:spacing w:line="240" w:lineRule="auto"/>
                    <w:ind w:firstLine="0" w:firstLineChars="0"/>
                    <w:jc w:val="center"/>
                    <w:outlineLvl w:val="2"/>
                    <w:rPr>
                      <w:rFonts w:ascii="Times New Roman" w:hAnsi="Times New Roman" w:eastAsia="宋体"/>
                      <w:b/>
                      <w:color w:val="auto"/>
                      <w:kern w:val="0"/>
                      <w:sz w:val="21"/>
                      <w:szCs w:val="21"/>
                      <w:highlight w:val="none"/>
                    </w:rPr>
                  </w:pPr>
                  <w:r>
                    <w:rPr>
                      <w:rFonts w:ascii="Times New Roman" w:hAnsi="Times New Roman" w:eastAsia="宋体"/>
                      <w:b/>
                      <w:color w:val="auto"/>
                      <w:kern w:val="0"/>
                      <w:sz w:val="21"/>
                      <w:szCs w:val="21"/>
                      <w:highlight w:val="none"/>
                    </w:rPr>
                    <w:t>标准来源</w:t>
                  </w:r>
                </w:p>
              </w:tc>
            </w:tr>
            <w:tr w14:paraId="2A91A7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vMerge w:val="restart"/>
                  <w:tcBorders>
                    <w:tl2br w:val="nil"/>
                    <w:tr2bl w:val="nil"/>
                  </w:tcBorders>
                  <w:noWrap w:val="0"/>
                  <w:vAlign w:val="center"/>
                </w:tcPr>
                <w:p w14:paraId="4FD33F1D">
                  <w:pPr>
                    <w:spacing w:line="240" w:lineRule="auto"/>
                    <w:ind w:firstLine="0" w:firstLineChars="0"/>
                    <w:jc w:val="center"/>
                    <w:rPr>
                      <w:rFonts w:ascii="Times New Roman" w:hAnsi="Times New Roman" w:eastAsia="宋体"/>
                      <w:bCs/>
                      <w:color w:val="auto"/>
                      <w:kern w:val="0"/>
                      <w:sz w:val="21"/>
                      <w:szCs w:val="21"/>
                      <w:highlight w:val="none"/>
                    </w:rPr>
                  </w:pPr>
                  <w:r>
                    <w:rPr>
                      <w:rFonts w:hint="eastAsia" w:ascii="Times New Roman" w:hAnsi="Times New Roman" w:eastAsia="宋体"/>
                      <w:color w:val="auto"/>
                      <w:sz w:val="21"/>
                      <w:szCs w:val="21"/>
                      <w:highlight w:val="none"/>
                    </w:rPr>
                    <w:t>颗粒物（</w:t>
                  </w:r>
                  <w:r>
                    <w:rPr>
                      <w:rFonts w:ascii="Times New Roman" w:hAnsi="Times New Roman" w:eastAsia="宋体"/>
                      <w:color w:val="auto"/>
                      <w:sz w:val="21"/>
                      <w:szCs w:val="21"/>
                      <w:highlight w:val="none"/>
                    </w:rPr>
                    <w:t>TSP</w:t>
                  </w:r>
                  <w:r>
                    <w:rPr>
                      <w:rFonts w:hint="eastAsia" w:ascii="Times New Roman" w:hAnsi="Times New Roman" w:eastAsia="宋体"/>
                      <w:color w:val="auto"/>
                      <w:sz w:val="21"/>
                      <w:szCs w:val="21"/>
                      <w:highlight w:val="none"/>
                    </w:rPr>
                    <w:t>）</w:t>
                  </w:r>
                </w:p>
              </w:tc>
              <w:tc>
                <w:tcPr>
                  <w:tcW w:w="1330" w:type="dxa"/>
                  <w:tcBorders>
                    <w:tl2br w:val="nil"/>
                    <w:tr2bl w:val="nil"/>
                  </w:tcBorders>
                  <w:noWrap w:val="0"/>
                  <w:vAlign w:val="center"/>
                </w:tcPr>
                <w:p w14:paraId="66358F30">
                  <w:pPr>
                    <w:spacing w:line="240" w:lineRule="auto"/>
                    <w:ind w:firstLine="0" w:firstLineChars="0"/>
                    <w:jc w:val="center"/>
                    <w:rPr>
                      <w:rFonts w:ascii="Times New Roman" w:hAnsi="Times New Roman" w:eastAsia="宋体"/>
                      <w:bCs/>
                      <w:color w:val="auto"/>
                      <w:kern w:val="0"/>
                      <w:sz w:val="21"/>
                      <w:szCs w:val="21"/>
                      <w:highlight w:val="none"/>
                    </w:rPr>
                  </w:pPr>
                  <w:r>
                    <w:rPr>
                      <w:rFonts w:ascii="Times New Roman" w:hAnsi="Times New Roman" w:eastAsia="宋体"/>
                      <w:color w:val="auto"/>
                      <w:sz w:val="21"/>
                      <w:szCs w:val="21"/>
                      <w:highlight w:val="none"/>
                    </w:rPr>
                    <w:t>年平均</w:t>
                  </w:r>
                </w:p>
              </w:tc>
              <w:tc>
                <w:tcPr>
                  <w:tcW w:w="2313" w:type="dxa"/>
                  <w:tcBorders>
                    <w:tl2br w:val="nil"/>
                    <w:tr2bl w:val="nil"/>
                  </w:tcBorders>
                  <w:noWrap w:val="0"/>
                  <w:vAlign w:val="center"/>
                </w:tcPr>
                <w:p w14:paraId="028673AF">
                  <w:pPr>
                    <w:spacing w:line="240" w:lineRule="auto"/>
                    <w:ind w:firstLine="0" w:firstLineChars="0"/>
                    <w:jc w:val="center"/>
                    <w:rPr>
                      <w:rFonts w:hint="default" w:ascii="Times New Roman" w:hAnsi="Times New Roman" w:eastAsia="宋体"/>
                      <w:bCs/>
                      <w:color w:val="auto"/>
                      <w:kern w:val="0"/>
                      <w:sz w:val="21"/>
                      <w:szCs w:val="21"/>
                      <w:highlight w:val="none"/>
                      <w:lang w:val="en-US" w:eastAsia="zh-CN"/>
                    </w:rPr>
                  </w:pPr>
                  <w:r>
                    <w:rPr>
                      <w:rFonts w:hint="eastAsia" w:ascii="Times New Roman" w:hAnsi="Times New Roman" w:eastAsia="宋体"/>
                      <w:color w:val="auto"/>
                      <w:sz w:val="21"/>
                      <w:szCs w:val="21"/>
                      <w:highlight w:val="none"/>
                      <w:lang w:val="en-US" w:eastAsia="zh-CN"/>
                    </w:rPr>
                    <w:t>0.2</w:t>
                  </w:r>
                </w:p>
              </w:tc>
              <w:tc>
                <w:tcPr>
                  <w:tcW w:w="3001" w:type="dxa"/>
                  <w:vMerge w:val="restart"/>
                  <w:tcBorders>
                    <w:tl2br w:val="nil"/>
                    <w:tr2bl w:val="nil"/>
                  </w:tcBorders>
                  <w:noWrap w:val="0"/>
                  <w:vAlign w:val="center"/>
                </w:tcPr>
                <w:p w14:paraId="37BB336B">
                  <w:pPr>
                    <w:keepNext/>
                    <w:keepLines/>
                    <w:pageBreakBefore w:val="0"/>
                    <w:widowControl/>
                    <w:kinsoku w:val="0"/>
                    <w:wordWrap/>
                    <w:overflowPunct/>
                    <w:topLinePunct w:val="0"/>
                    <w:autoSpaceDE/>
                    <w:autoSpaceDN/>
                    <w:bidi w:val="0"/>
                    <w:adjustRightInd/>
                    <w:snapToGrid/>
                    <w:spacing w:line="240" w:lineRule="auto"/>
                    <w:ind w:firstLine="0" w:firstLineChars="0"/>
                    <w:jc w:val="center"/>
                    <w:textAlignment w:val="auto"/>
                    <w:outlineLvl w:val="2"/>
                    <w:rPr>
                      <w:rFonts w:hint="eastAsia" w:ascii="Times New Roman" w:hAnsi="Times New Roman" w:eastAsia="宋体"/>
                      <w:bCs/>
                      <w:color w:val="auto"/>
                      <w:kern w:val="0"/>
                      <w:sz w:val="21"/>
                      <w:szCs w:val="21"/>
                      <w:highlight w:val="none"/>
                      <w:lang w:val="en-US" w:eastAsia="zh-CN"/>
                    </w:rPr>
                  </w:pPr>
                  <w:r>
                    <w:rPr>
                      <w:rFonts w:ascii="Times New Roman" w:hAnsi="Times New Roman" w:eastAsia="宋体"/>
                      <w:color w:val="auto"/>
                      <w:sz w:val="21"/>
                      <w:szCs w:val="21"/>
                      <w:highlight w:val="none"/>
                    </w:rPr>
                    <w:t>《环境空气质量标准》（GB3095-20</w:t>
                  </w:r>
                  <w:r>
                    <w:rPr>
                      <w:rFonts w:hint="eastAsia" w:ascii="Times New Roman" w:hAnsi="Times New Roman" w:eastAsia="宋体"/>
                      <w:color w:val="auto"/>
                      <w:sz w:val="21"/>
                      <w:szCs w:val="21"/>
                      <w:highlight w:val="none"/>
                      <w:lang w:val="en-US" w:eastAsia="zh-CN"/>
                    </w:rPr>
                    <w:t>26</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表2</w:t>
                  </w:r>
                  <w:r>
                    <w:rPr>
                      <w:rFonts w:ascii="Times New Roman" w:hAnsi="Times New Roman" w:eastAsia="宋体"/>
                      <w:color w:val="auto"/>
                      <w:sz w:val="21"/>
                      <w:szCs w:val="21"/>
                      <w:highlight w:val="none"/>
                    </w:rPr>
                    <w:t>二级标准</w:t>
                  </w:r>
                  <w:r>
                    <w:rPr>
                      <w:rFonts w:hint="eastAsia" w:ascii="Times New Roman" w:hAnsi="Times New Roman" w:eastAsia="宋体"/>
                      <w:color w:val="auto"/>
                      <w:sz w:val="21"/>
                      <w:szCs w:val="21"/>
                      <w:highlight w:val="none"/>
                      <w:lang w:val="en-US" w:eastAsia="zh-CN"/>
                    </w:rPr>
                    <w:t>要求</w:t>
                  </w:r>
                </w:p>
              </w:tc>
            </w:tr>
            <w:tr w14:paraId="5B2159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vMerge w:val="continue"/>
                  <w:tcBorders>
                    <w:tl2br w:val="nil"/>
                    <w:tr2bl w:val="nil"/>
                  </w:tcBorders>
                  <w:noWrap w:val="0"/>
                  <w:vAlign w:val="center"/>
                </w:tcPr>
                <w:p w14:paraId="5A1C971A">
                  <w:pPr>
                    <w:spacing w:line="240" w:lineRule="auto"/>
                    <w:ind w:firstLine="0" w:firstLineChars="0"/>
                    <w:jc w:val="center"/>
                    <w:rPr>
                      <w:rFonts w:ascii="Times New Roman" w:hAnsi="Times New Roman" w:eastAsia="宋体"/>
                      <w:bCs/>
                      <w:color w:val="auto"/>
                      <w:kern w:val="0"/>
                      <w:sz w:val="21"/>
                      <w:szCs w:val="21"/>
                      <w:highlight w:val="none"/>
                    </w:rPr>
                  </w:pPr>
                </w:p>
              </w:tc>
              <w:tc>
                <w:tcPr>
                  <w:tcW w:w="1330" w:type="dxa"/>
                  <w:tcBorders>
                    <w:tl2br w:val="nil"/>
                    <w:tr2bl w:val="nil"/>
                  </w:tcBorders>
                  <w:noWrap w:val="0"/>
                  <w:vAlign w:val="center"/>
                </w:tcPr>
                <w:p w14:paraId="7F776DED">
                  <w:pPr>
                    <w:spacing w:line="240" w:lineRule="auto"/>
                    <w:ind w:firstLine="0" w:firstLineChars="0"/>
                    <w:jc w:val="center"/>
                    <w:rPr>
                      <w:rFonts w:ascii="Times New Roman" w:hAnsi="Times New Roman" w:eastAsia="宋体"/>
                      <w:bCs/>
                      <w:color w:val="auto"/>
                      <w:kern w:val="0"/>
                      <w:sz w:val="21"/>
                      <w:szCs w:val="21"/>
                      <w:highlight w:val="none"/>
                    </w:rPr>
                  </w:pPr>
                  <w:r>
                    <w:rPr>
                      <w:rFonts w:ascii="Times New Roman" w:hAnsi="Times New Roman" w:eastAsia="宋体"/>
                      <w:color w:val="auto"/>
                      <w:sz w:val="21"/>
                      <w:szCs w:val="21"/>
                      <w:highlight w:val="none"/>
                    </w:rPr>
                    <w:t>24小时平均</w:t>
                  </w:r>
                </w:p>
              </w:tc>
              <w:tc>
                <w:tcPr>
                  <w:tcW w:w="2313" w:type="dxa"/>
                  <w:tcBorders>
                    <w:tl2br w:val="nil"/>
                    <w:tr2bl w:val="nil"/>
                  </w:tcBorders>
                  <w:noWrap w:val="0"/>
                  <w:vAlign w:val="center"/>
                </w:tcPr>
                <w:p w14:paraId="64DA72A6">
                  <w:pPr>
                    <w:spacing w:line="240" w:lineRule="auto"/>
                    <w:ind w:firstLine="0" w:firstLineChars="0"/>
                    <w:jc w:val="center"/>
                    <w:rPr>
                      <w:rFonts w:hint="default" w:ascii="Times New Roman" w:hAnsi="Times New Roman" w:eastAsia="宋体"/>
                      <w:bCs/>
                      <w:color w:val="auto"/>
                      <w:kern w:val="0"/>
                      <w:sz w:val="21"/>
                      <w:szCs w:val="21"/>
                      <w:highlight w:val="none"/>
                      <w:lang w:val="en-US" w:eastAsia="zh-CN"/>
                    </w:rPr>
                  </w:pPr>
                  <w:r>
                    <w:rPr>
                      <w:rFonts w:hint="eastAsia" w:ascii="Times New Roman" w:hAnsi="Times New Roman" w:eastAsia="宋体"/>
                      <w:color w:val="auto"/>
                      <w:sz w:val="21"/>
                      <w:szCs w:val="21"/>
                      <w:highlight w:val="none"/>
                      <w:lang w:val="en-US" w:eastAsia="zh-CN"/>
                    </w:rPr>
                    <w:t>0.3</w:t>
                  </w:r>
                </w:p>
              </w:tc>
              <w:tc>
                <w:tcPr>
                  <w:tcW w:w="3001" w:type="dxa"/>
                  <w:vMerge w:val="continue"/>
                  <w:tcBorders>
                    <w:tl2br w:val="nil"/>
                    <w:tr2bl w:val="nil"/>
                  </w:tcBorders>
                  <w:noWrap w:val="0"/>
                  <w:vAlign w:val="center"/>
                </w:tcPr>
                <w:p w14:paraId="73203D7D">
                  <w:pPr>
                    <w:keepNext/>
                    <w:keepLines/>
                    <w:widowControl/>
                    <w:spacing w:line="240" w:lineRule="auto"/>
                    <w:ind w:firstLine="0" w:firstLineChars="0"/>
                    <w:jc w:val="center"/>
                    <w:outlineLvl w:val="2"/>
                    <w:rPr>
                      <w:rFonts w:ascii="Times New Roman" w:hAnsi="Times New Roman" w:eastAsia="宋体"/>
                      <w:bCs/>
                      <w:color w:val="auto"/>
                      <w:kern w:val="0"/>
                      <w:sz w:val="21"/>
                      <w:szCs w:val="21"/>
                      <w:highlight w:val="none"/>
                    </w:rPr>
                  </w:pPr>
                </w:p>
              </w:tc>
            </w:tr>
            <w:tr w14:paraId="1A5C67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tcBorders>
                    <w:tl2br w:val="nil"/>
                    <w:tr2bl w:val="nil"/>
                  </w:tcBorders>
                  <w:noWrap w:val="0"/>
                  <w:vAlign w:val="center"/>
                </w:tcPr>
                <w:p w14:paraId="740D1CCE">
                  <w:pPr>
                    <w:keepNext/>
                    <w:keepLines/>
                    <w:widowControl/>
                    <w:spacing w:line="240" w:lineRule="auto"/>
                    <w:ind w:firstLine="0" w:firstLineChars="0"/>
                    <w:jc w:val="center"/>
                    <w:outlineLvl w:val="2"/>
                    <w:rPr>
                      <w:rFonts w:ascii="Times New Roman" w:hAnsi="Times New Roman" w:eastAsia="宋体"/>
                      <w:bCs/>
                      <w:color w:val="auto"/>
                      <w:kern w:val="0"/>
                      <w:sz w:val="21"/>
                      <w:szCs w:val="21"/>
                      <w:highlight w:val="none"/>
                    </w:rPr>
                  </w:pPr>
                  <w:r>
                    <w:rPr>
                      <w:rFonts w:ascii="Times New Roman" w:hAnsi="Times New Roman" w:eastAsia="宋体"/>
                      <w:bCs/>
                      <w:color w:val="auto"/>
                      <w:kern w:val="0"/>
                      <w:sz w:val="21"/>
                      <w:szCs w:val="21"/>
                      <w:highlight w:val="none"/>
                    </w:rPr>
                    <w:t>非甲</w:t>
                  </w:r>
                  <w:r>
                    <w:rPr>
                      <w:rFonts w:hint="eastAsia" w:ascii="Times New Roman" w:hAnsi="Times New Roman" w:eastAsia="宋体"/>
                      <w:bCs/>
                      <w:color w:val="auto"/>
                      <w:kern w:val="0"/>
                      <w:sz w:val="21"/>
                      <w:szCs w:val="21"/>
                      <w:highlight w:val="none"/>
                    </w:rPr>
                    <w:t>烷</w:t>
                  </w:r>
                  <w:r>
                    <w:rPr>
                      <w:rFonts w:ascii="Times New Roman" w:hAnsi="Times New Roman" w:eastAsia="宋体"/>
                      <w:bCs/>
                      <w:color w:val="auto"/>
                      <w:kern w:val="0"/>
                      <w:sz w:val="21"/>
                      <w:szCs w:val="21"/>
                      <w:highlight w:val="none"/>
                    </w:rPr>
                    <w:t>总烃</w:t>
                  </w:r>
                </w:p>
              </w:tc>
              <w:tc>
                <w:tcPr>
                  <w:tcW w:w="1330" w:type="dxa"/>
                  <w:tcBorders>
                    <w:tl2br w:val="nil"/>
                    <w:tr2bl w:val="nil"/>
                  </w:tcBorders>
                  <w:noWrap w:val="0"/>
                  <w:vAlign w:val="center"/>
                </w:tcPr>
                <w:p w14:paraId="3F3C203E">
                  <w:pPr>
                    <w:keepNext/>
                    <w:keepLines/>
                    <w:widowControl/>
                    <w:spacing w:line="240" w:lineRule="auto"/>
                    <w:ind w:firstLine="0" w:firstLineChars="0"/>
                    <w:jc w:val="center"/>
                    <w:outlineLvl w:val="2"/>
                    <w:rPr>
                      <w:rFonts w:ascii="Times New Roman" w:hAnsi="Times New Roman" w:eastAsia="宋体"/>
                      <w:bCs/>
                      <w:color w:val="auto"/>
                      <w:kern w:val="0"/>
                      <w:sz w:val="21"/>
                      <w:szCs w:val="21"/>
                      <w:highlight w:val="none"/>
                    </w:rPr>
                  </w:pPr>
                  <w:r>
                    <w:rPr>
                      <w:rFonts w:ascii="Times New Roman" w:hAnsi="Times New Roman" w:eastAsia="宋体"/>
                      <w:bCs/>
                      <w:color w:val="auto"/>
                      <w:kern w:val="0"/>
                      <w:sz w:val="21"/>
                      <w:szCs w:val="21"/>
                      <w:highlight w:val="none"/>
                    </w:rPr>
                    <w:t>1小时平均</w:t>
                  </w:r>
                </w:p>
              </w:tc>
              <w:tc>
                <w:tcPr>
                  <w:tcW w:w="2313" w:type="dxa"/>
                  <w:tcBorders>
                    <w:tl2br w:val="nil"/>
                    <w:tr2bl w:val="nil"/>
                  </w:tcBorders>
                  <w:noWrap w:val="0"/>
                  <w:vAlign w:val="center"/>
                </w:tcPr>
                <w:p w14:paraId="2E701E26">
                  <w:pPr>
                    <w:keepNext/>
                    <w:keepLines/>
                    <w:widowControl/>
                    <w:spacing w:line="240" w:lineRule="auto"/>
                    <w:ind w:firstLine="0" w:firstLineChars="0"/>
                    <w:jc w:val="center"/>
                    <w:outlineLvl w:val="2"/>
                    <w:rPr>
                      <w:rFonts w:ascii="Times New Roman" w:hAnsi="Times New Roman" w:eastAsia="宋体"/>
                      <w:bCs/>
                      <w:color w:val="auto"/>
                      <w:kern w:val="0"/>
                      <w:sz w:val="21"/>
                      <w:szCs w:val="21"/>
                      <w:highlight w:val="none"/>
                    </w:rPr>
                  </w:pPr>
                  <w:r>
                    <w:rPr>
                      <w:rFonts w:ascii="Times New Roman" w:hAnsi="Times New Roman" w:eastAsia="宋体"/>
                      <w:bCs/>
                      <w:color w:val="auto"/>
                      <w:kern w:val="0"/>
                      <w:sz w:val="21"/>
                      <w:szCs w:val="21"/>
                      <w:highlight w:val="none"/>
                    </w:rPr>
                    <w:t>2.0</w:t>
                  </w:r>
                </w:p>
              </w:tc>
              <w:tc>
                <w:tcPr>
                  <w:tcW w:w="3001" w:type="dxa"/>
                  <w:tcBorders>
                    <w:tl2br w:val="nil"/>
                    <w:tr2bl w:val="nil"/>
                  </w:tcBorders>
                  <w:noWrap w:val="0"/>
                  <w:vAlign w:val="center"/>
                </w:tcPr>
                <w:p w14:paraId="217FAD48">
                  <w:pPr>
                    <w:keepNext/>
                    <w:keepLines/>
                    <w:widowControl/>
                    <w:spacing w:line="240" w:lineRule="auto"/>
                    <w:ind w:firstLine="0" w:firstLineChars="0"/>
                    <w:jc w:val="center"/>
                    <w:outlineLvl w:val="2"/>
                    <w:rPr>
                      <w:rFonts w:ascii="Times New Roman" w:hAnsi="Times New Roman" w:eastAsia="宋体"/>
                      <w:bCs/>
                      <w:color w:val="auto"/>
                      <w:kern w:val="0"/>
                      <w:sz w:val="21"/>
                      <w:szCs w:val="21"/>
                      <w:highlight w:val="none"/>
                    </w:rPr>
                  </w:pPr>
                  <w:r>
                    <w:rPr>
                      <w:rFonts w:ascii="Times New Roman" w:hAnsi="Times New Roman" w:eastAsia="宋体"/>
                      <w:bCs/>
                      <w:color w:val="auto"/>
                      <w:kern w:val="0"/>
                      <w:sz w:val="21"/>
                      <w:szCs w:val="21"/>
                      <w:highlight w:val="none"/>
                    </w:rPr>
                    <w:t>《大气污染物综合排放标准详解》</w:t>
                  </w:r>
                  <w:r>
                    <w:rPr>
                      <w:rFonts w:hint="eastAsia" w:ascii="Times New Roman" w:hAnsi="Times New Roman" w:eastAsia="宋体"/>
                      <w:bCs/>
                      <w:color w:val="auto"/>
                      <w:kern w:val="0"/>
                      <w:sz w:val="21"/>
                      <w:szCs w:val="21"/>
                      <w:highlight w:val="none"/>
                      <w:lang w:eastAsia="zh-CN"/>
                    </w:rPr>
                    <w:t>（</w:t>
                  </w:r>
                  <w:r>
                    <w:rPr>
                      <w:rFonts w:ascii="Times New Roman" w:hAnsi="Times New Roman" w:eastAsia="宋体"/>
                      <w:bCs/>
                      <w:color w:val="auto"/>
                      <w:kern w:val="0"/>
                      <w:sz w:val="21"/>
                      <w:szCs w:val="21"/>
                      <w:highlight w:val="none"/>
                    </w:rPr>
                    <w:t>国家环境保护局科技标准司</w:t>
                  </w:r>
                  <w:r>
                    <w:rPr>
                      <w:rFonts w:hint="eastAsia" w:ascii="Times New Roman" w:hAnsi="Times New Roman" w:eastAsia="宋体"/>
                      <w:bCs/>
                      <w:color w:val="auto"/>
                      <w:kern w:val="0"/>
                      <w:sz w:val="21"/>
                      <w:szCs w:val="21"/>
                      <w:highlight w:val="none"/>
                      <w:lang w:eastAsia="zh-CN"/>
                    </w:rPr>
                    <w:t>）</w:t>
                  </w:r>
                  <w:r>
                    <w:rPr>
                      <w:rFonts w:ascii="Times New Roman" w:hAnsi="Times New Roman" w:eastAsia="宋体"/>
                      <w:bCs/>
                      <w:color w:val="auto"/>
                      <w:kern w:val="0"/>
                      <w:sz w:val="21"/>
                      <w:szCs w:val="21"/>
                      <w:highlight w:val="none"/>
                    </w:rPr>
                    <w:t>P244页中的限值要求</w:t>
                  </w:r>
                </w:p>
              </w:tc>
            </w:tr>
            <w:tr w14:paraId="1BEF14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tcBorders>
                    <w:tl2br w:val="nil"/>
                    <w:tr2bl w:val="nil"/>
                  </w:tcBorders>
                  <w:noWrap w:val="0"/>
                  <w:vAlign w:val="center"/>
                </w:tcPr>
                <w:p w14:paraId="37CE4E17">
                  <w:pPr>
                    <w:keepNext/>
                    <w:keepLines/>
                    <w:widowControl/>
                    <w:spacing w:line="240" w:lineRule="auto"/>
                    <w:ind w:firstLine="0" w:firstLineChars="0"/>
                    <w:jc w:val="center"/>
                    <w:outlineLvl w:val="2"/>
                    <w:rPr>
                      <w:rFonts w:hint="eastAsia" w:ascii="Times New Roman" w:hAnsi="Times New Roman" w:eastAsia="宋体"/>
                      <w:bCs/>
                      <w:color w:val="auto"/>
                      <w:kern w:val="0"/>
                      <w:sz w:val="21"/>
                      <w:szCs w:val="21"/>
                      <w:highlight w:val="none"/>
                      <w:lang w:val="en-US" w:eastAsia="zh-CN"/>
                    </w:rPr>
                  </w:pPr>
                  <w:r>
                    <w:rPr>
                      <w:rFonts w:hint="eastAsia"/>
                      <w:bCs/>
                      <w:color w:val="auto"/>
                      <w:kern w:val="0"/>
                      <w:sz w:val="21"/>
                      <w:szCs w:val="21"/>
                      <w:highlight w:val="none"/>
                      <w:lang w:val="en-US" w:eastAsia="zh-CN"/>
                    </w:rPr>
                    <w:t>二甲苯</w:t>
                  </w:r>
                </w:p>
              </w:tc>
              <w:tc>
                <w:tcPr>
                  <w:tcW w:w="1330" w:type="dxa"/>
                  <w:tcBorders>
                    <w:tl2br w:val="nil"/>
                    <w:tr2bl w:val="nil"/>
                  </w:tcBorders>
                  <w:noWrap w:val="0"/>
                  <w:vAlign w:val="center"/>
                </w:tcPr>
                <w:p w14:paraId="79133CE2">
                  <w:pPr>
                    <w:keepNext/>
                    <w:keepLines/>
                    <w:widowControl/>
                    <w:spacing w:line="240" w:lineRule="auto"/>
                    <w:ind w:firstLine="0" w:firstLineChars="0"/>
                    <w:jc w:val="center"/>
                    <w:outlineLvl w:val="2"/>
                    <w:rPr>
                      <w:rFonts w:hint="default" w:ascii="Times New Roman" w:hAnsi="Times New Roman" w:eastAsia="宋体"/>
                      <w:bCs/>
                      <w:color w:val="auto"/>
                      <w:kern w:val="0"/>
                      <w:sz w:val="21"/>
                      <w:szCs w:val="21"/>
                      <w:highlight w:val="none"/>
                      <w:lang w:val="en-US" w:eastAsia="zh-CN"/>
                    </w:rPr>
                  </w:pPr>
                  <w:r>
                    <w:rPr>
                      <w:rFonts w:hint="eastAsia"/>
                      <w:bCs/>
                      <w:color w:val="auto"/>
                      <w:kern w:val="0"/>
                      <w:sz w:val="21"/>
                      <w:szCs w:val="21"/>
                      <w:highlight w:val="none"/>
                      <w:lang w:val="en-US" w:eastAsia="zh-CN"/>
                    </w:rPr>
                    <w:t>1</w:t>
                  </w:r>
                  <w:r>
                    <w:rPr>
                      <w:rFonts w:ascii="Times New Roman" w:hAnsi="Times New Roman" w:eastAsia="宋体"/>
                      <w:bCs/>
                      <w:color w:val="auto"/>
                      <w:kern w:val="0"/>
                      <w:sz w:val="21"/>
                      <w:szCs w:val="21"/>
                      <w:highlight w:val="none"/>
                    </w:rPr>
                    <w:t>小时</w:t>
                  </w:r>
                  <w:r>
                    <w:rPr>
                      <w:rFonts w:hint="eastAsia"/>
                      <w:bCs/>
                      <w:color w:val="auto"/>
                      <w:kern w:val="0"/>
                      <w:sz w:val="21"/>
                      <w:szCs w:val="21"/>
                      <w:highlight w:val="none"/>
                      <w:lang w:val="en-US" w:eastAsia="zh-CN"/>
                    </w:rPr>
                    <w:t>平均</w:t>
                  </w:r>
                </w:p>
              </w:tc>
              <w:tc>
                <w:tcPr>
                  <w:tcW w:w="2313" w:type="dxa"/>
                  <w:tcBorders>
                    <w:tl2br w:val="nil"/>
                    <w:tr2bl w:val="nil"/>
                  </w:tcBorders>
                  <w:noWrap w:val="0"/>
                  <w:vAlign w:val="center"/>
                </w:tcPr>
                <w:p w14:paraId="2F4AE6AD">
                  <w:pPr>
                    <w:keepNext/>
                    <w:keepLines/>
                    <w:widowControl/>
                    <w:spacing w:line="240" w:lineRule="auto"/>
                    <w:ind w:firstLine="0" w:firstLineChars="0"/>
                    <w:jc w:val="center"/>
                    <w:outlineLvl w:val="2"/>
                    <w:rPr>
                      <w:rFonts w:hint="default" w:ascii="Times New Roman" w:hAnsi="Times New Roman" w:eastAsia="宋体"/>
                      <w:bCs/>
                      <w:color w:val="auto"/>
                      <w:kern w:val="0"/>
                      <w:sz w:val="21"/>
                      <w:szCs w:val="21"/>
                      <w:highlight w:val="none"/>
                      <w:lang w:val="en-US" w:eastAsia="zh-CN"/>
                    </w:rPr>
                  </w:pPr>
                  <w:r>
                    <w:rPr>
                      <w:rFonts w:hint="eastAsia"/>
                      <w:bCs/>
                      <w:color w:val="auto"/>
                      <w:kern w:val="0"/>
                      <w:sz w:val="21"/>
                      <w:szCs w:val="21"/>
                      <w:highlight w:val="none"/>
                      <w:lang w:val="en-US" w:eastAsia="zh-CN"/>
                    </w:rPr>
                    <w:t>0.2</w:t>
                  </w:r>
                </w:p>
              </w:tc>
              <w:tc>
                <w:tcPr>
                  <w:tcW w:w="3001" w:type="dxa"/>
                  <w:tcBorders>
                    <w:tl2br w:val="nil"/>
                    <w:tr2bl w:val="nil"/>
                  </w:tcBorders>
                  <w:noWrap w:val="0"/>
                  <w:vAlign w:val="center"/>
                </w:tcPr>
                <w:p w14:paraId="51D1C3AD">
                  <w:pPr>
                    <w:keepNext/>
                    <w:keepLines/>
                    <w:widowControl/>
                    <w:spacing w:line="240" w:lineRule="auto"/>
                    <w:ind w:firstLine="0" w:firstLineChars="0"/>
                    <w:jc w:val="center"/>
                    <w:outlineLvl w:val="2"/>
                    <w:rPr>
                      <w:rFonts w:ascii="Times New Roman" w:hAnsi="Times New Roman" w:eastAsia="宋体"/>
                      <w:bCs/>
                      <w:color w:val="auto"/>
                      <w:kern w:val="0"/>
                      <w:sz w:val="21"/>
                      <w:szCs w:val="21"/>
                      <w:highlight w:val="none"/>
                    </w:rPr>
                  </w:pPr>
                  <w:r>
                    <w:rPr>
                      <w:rFonts w:ascii="Times New Roman" w:hAnsi="Times New Roman" w:eastAsia="宋体" w:cs="Times New Roman"/>
                      <w:bCs/>
                      <w:color w:val="auto"/>
                      <w:spacing w:val="0"/>
                      <w:kern w:val="0"/>
                      <w:sz w:val="21"/>
                      <w:szCs w:val="21"/>
                      <w:highlight w:val="none"/>
                    </w:rPr>
                    <w:t>《</w:t>
                  </w:r>
                  <w:r>
                    <w:rPr>
                      <w:rFonts w:hint="eastAsia" w:cs="Times New Roman"/>
                      <w:bCs/>
                      <w:color w:val="auto"/>
                      <w:spacing w:val="0"/>
                      <w:kern w:val="0"/>
                      <w:sz w:val="21"/>
                      <w:szCs w:val="21"/>
                      <w:highlight w:val="none"/>
                      <w:lang w:eastAsia="zh-CN"/>
                    </w:rPr>
                    <w:t>环境影响评价技术导则 大气环境</w:t>
                  </w:r>
                  <w:r>
                    <w:rPr>
                      <w:rFonts w:ascii="Times New Roman" w:hAnsi="Times New Roman" w:eastAsia="宋体" w:cs="Times New Roman"/>
                      <w:bCs/>
                      <w:color w:val="auto"/>
                      <w:spacing w:val="0"/>
                      <w:kern w:val="0"/>
                      <w:sz w:val="21"/>
                      <w:szCs w:val="21"/>
                      <w:highlight w:val="none"/>
                    </w:rPr>
                    <w:t>》（HJ2.2-2018）附录D</w:t>
                  </w:r>
                </w:p>
              </w:tc>
            </w:tr>
            <w:tr w14:paraId="3D1AB2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tcBorders>
                    <w:tl2br w:val="nil"/>
                    <w:tr2bl w:val="nil"/>
                  </w:tcBorders>
                  <w:noWrap w:val="0"/>
                  <w:vAlign w:val="center"/>
                </w:tcPr>
                <w:p w14:paraId="4889AE00">
                  <w:pPr>
                    <w:keepNext/>
                    <w:keepLines/>
                    <w:widowControl/>
                    <w:spacing w:line="240" w:lineRule="auto"/>
                    <w:ind w:firstLine="0" w:firstLineChars="0"/>
                    <w:jc w:val="center"/>
                    <w:outlineLvl w:val="2"/>
                    <w:rPr>
                      <w:rFonts w:ascii="Times New Roman" w:hAnsi="Times New Roman" w:eastAsia="宋体"/>
                      <w:bCs/>
                      <w:color w:val="auto"/>
                      <w:kern w:val="0"/>
                      <w:sz w:val="21"/>
                      <w:szCs w:val="21"/>
                      <w:highlight w:val="none"/>
                    </w:rPr>
                  </w:pPr>
                  <w:r>
                    <w:rPr>
                      <w:rFonts w:ascii="Times New Roman" w:hAnsi="Times New Roman" w:eastAsia="宋体" w:cs="Times New Roman"/>
                      <w:caps w:val="0"/>
                      <w:color w:val="auto"/>
                      <w:spacing w:val="0"/>
                      <w:position w:val="0"/>
                      <w:szCs w:val="21"/>
                      <w:highlight w:val="none"/>
                    </w:rPr>
                    <w:t>乙酸</w:t>
                  </w:r>
                  <w:r>
                    <w:rPr>
                      <w:rFonts w:hint="eastAsia" w:cs="Times New Roman"/>
                      <w:caps w:val="0"/>
                      <w:color w:val="auto"/>
                      <w:spacing w:val="0"/>
                      <w:position w:val="0"/>
                      <w:szCs w:val="21"/>
                      <w:highlight w:val="none"/>
                      <w:lang w:val="en-US" w:eastAsia="zh-CN"/>
                    </w:rPr>
                    <w:t>乙</w:t>
                  </w:r>
                  <w:r>
                    <w:rPr>
                      <w:rFonts w:ascii="Times New Roman" w:hAnsi="Times New Roman" w:eastAsia="宋体" w:cs="Times New Roman"/>
                      <w:caps w:val="0"/>
                      <w:color w:val="auto"/>
                      <w:spacing w:val="0"/>
                      <w:position w:val="0"/>
                      <w:szCs w:val="21"/>
                      <w:highlight w:val="none"/>
                    </w:rPr>
                    <w:t>酯</w:t>
                  </w:r>
                </w:p>
              </w:tc>
              <w:tc>
                <w:tcPr>
                  <w:tcW w:w="1330" w:type="dxa"/>
                  <w:tcBorders>
                    <w:tl2br w:val="nil"/>
                    <w:tr2bl w:val="nil"/>
                  </w:tcBorders>
                  <w:noWrap w:val="0"/>
                  <w:vAlign w:val="center"/>
                </w:tcPr>
                <w:p w14:paraId="5CCE2AF1">
                  <w:pPr>
                    <w:keepNext/>
                    <w:keepLines/>
                    <w:widowControl/>
                    <w:spacing w:line="240" w:lineRule="auto"/>
                    <w:ind w:firstLine="0" w:firstLineChars="0"/>
                    <w:jc w:val="center"/>
                    <w:outlineLvl w:val="2"/>
                    <w:rPr>
                      <w:rFonts w:ascii="Times New Roman" w:hAnsi="Times New Roman" w:eastAsia="宋体"/>
                      <w:bCs/>
                      <w:color w:val="auto"/>
                      <w:kern w:val="0"/>
                      <w:sz w:val="21"/>
                      <w:szCs w:val="21"/>
                      <w:highlight w:val="none"/>
                    </w:rPr>
                  </w:pPr>
                  <w:r>
                    <w:rPr>
                      <w:rFonts w:hint="eastAsia" w:ascii="Times New Roman" w:hAnsi="Times New Roman" w:eastAsia="宋体" w:cs="Times New Roman"/>
                      <w:b w:val="0"/>
                      <w:bCs w:val="0"/>
                      <w:caps w:val="0"/>
                      <w:color w:val="auto"/>
                      <w:spacing w:val="0"/>
                      <w:position w:val="0"/>
                      <w:szCs w:val="21"/>
                      <w:highlight w:val="none"/>
                    </w:rPr>
                    <w:t>最大一次</w:t>
                  </w:r>
                </w:p>
              </w:tc>
              <w:tc>
                <w:tcPr>
                  <w:tcW w:w="2313" w:type="dxa"/>
                  <w:tcBorders>
                    <w:tl2br w:val="nil"/>
                    <w:tr2bl w:val="nil"/>
                  </w:tcBorders>
                  <w:noWrap w:val="0"/>
                  <w:vAlign w:val="center"/>
                </w:tcPr>
                <w:p w14:paraId="6354E879">
                  <w:pPr>
                    <w:keepNext/>
                    <w:keepLines/>
                    <w:widowControl/>
                    <w:spacing w:line="240" w:lineRule="auto"/>
                    <w:ind w:firstLine="0" w:firstLineChars="0"/>
                    <w:jc w:val="center"/>
                    <w:outlineLvl w:val="2"/>
                    <w:rPr>
                      <w:rFonts w:ascii="Times New Roman" w:hAnsi="Times New Roman" w:eastAsia="宋体"/>
                      <w:bCs/>
                      <w:color w:val="auto"/>
                      <w:kern w:val="0"/>
                      <w:sz w:val="21"/>
                      <w:szCs w:val="21"/>
                      <w:highlight w:val="none"/>
                    </w:rPr>
                  </w:pPr>
                  <w:r>
                    <w:rPr>
                      <w:rFonts w:hint="eastAsia" w:cs="Times New Roman"/>
                      <w:bCs/>
                      <w:color w:val="auto"/>
                      <w:spacing w:val="0"/>
                      <w:kern w:val="0"/>
                      <w:sz w:val="21"/>
                      <w:szCs w:val="21"/>
                      <w:highlight w:val="none"/>
                      <w:lang w:val="en-US" w:eastAsia="zh-CN"/>
                    </w:rPr>
                    <w:t>0.1</w:t>
                  </w:r>
                </w:p>
              </w:tc>
              <w:tc>
                <w:tcPr>
                  <w:tcW w:w="3001" w:type="dxa"/>
                  <w:vMerge w:val="restart"/>
                  <w:tcBorders>
                    <w:tl2br w:val="nil"/>
                    <w:tr2bl w:val="nil"/>
                  </w:tcBorders>
                  <w:noWrap w:val="0"/>
                  <w:vAlign w:val="center"/>
                </w:tcPr>
                <w:p w14:paraId="6EA456DA">
                  <w:pPr>
                    <w:keepNext/>
                    <w:keepLines/>
                    <w:widowControl/>
                    <w:spacing w:line="240" w:lineRule="auto"/>
                    <w:ind w:firstLine="0" w:firstLineChars="0"/>
                    <w:jc w:val="center"/>
                    <w:outlineLvl w:val="2"/>
                    <w:rPr>
                      <w:rFonts w:ascii="Times New Roman" w:hAnsi="Times New Roman" w:eastAsia="宋体"/>
                      <w:bCs/>
                      <w:color w:val="auto"/>
                      <w:kern w:val="0"/>
                      <w:sz w:val="21"/>
                      <w:szCs w:val="21"/>
                      <w:highlight w:val="none"/>
                    </w:rPr>
                  </w:pPr>
                  <w:r>
                    <w:rPr>
                      <w:rFonts w:hint="eastAsia" w:cs="Times New Roman"/>
                      <w:caps w:val="0"/>
                      <w:color w:val="auto"/>
                      <w:spacing w:val="0"/>
                      <w:position w:val="0"/>
                      <w:szCs w:val="21"/>
                      <w:highlight w:val="none"/>
                      <w:lang w:eastAsia="zh-CN"/>
                    </w:rPr>
                    <w:t>《</w:t>
                  </w:r>
                  <w:r>
                    <w:rPr>
                      <w:rFonts w:ascii="Times New Roman" w:hAnsi="Times New Roman" w:eastAsia="宋体" w:cs="Times New Roman"/>
                      <w:caps w:val="0"/>
                      <w:color w:val="auto"/>
                      <w:spacing w:val="0"/>
                      <w:position w:val="0"/>
                      <w:szCs w:val="21"/>
                      <w:highlight w:val="none"/>
                    </w:rPr>
                    <w:t>前苏联居住区大气中有害物质的最大允许浓度</w:t>
                  </w:r>
                  <w:r>
                    <w:rPr>
                      <w:rFonts w:hint="eastAsia" w:cs="Times New Roman"/>
                      <w:caps w:val="0"/>
                      <w:color w:val="auto"/>
                      <w:spacing w:val="0"/>
                      <w:position w:val="0"/>
                      <w:szCs w:val="21"/>
                      <w:highlight w:val="none"/>
                      <w:lang w:eastAsia="zh-CN"/>
                    </w:rPr>
                    <w:t>》</w:t>
                  </w:r>
                  <w:r>
                    <w:rPr>
                      <w:rFonts w:ascii="Times New Roman" w:hAnsi="Times New Roman" w:eastAsia="宋体" w:cs="Times New Roman"/>
                      <w:caps w:val="0"/>
                      <w:color w:val="auto"/>
                      <w:spacing w:val="0"/>
                      <w:position w:val="0"/>
                      <w:szCs w:val="21"/>
                      <w:highlight w:val="none"/>
                    </w:rPr>
                    <w:t>（CH245-71）</w:t>
                  </w:r>
                </w:p>
              </w:tc>
            </w:tr>
            <w:tr w14:paraId="52EF96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tcBorders>
                    <w:tl2br w:val="nil"/>
                    <w:tr2bl w:val="nil"/>
                  </w:tcBorders>
                  <w:noWrap w:val="0"/>
                  <w:vAlign w:val="center"/>
                </w:tcPr>
                <w:p w14:paraId="325A8A07">
                  <w:pPr>
                    <w:keepNext/>
                    <w:keepLines/>
                    <w:widowControl/>
                    <w:spacing w:line="240" w:lineRule="auto"/>
                    <w:ind w:firstLine="0" w:firstLineChars="0"/>
                    <w:jc w:val="center"/>
                    <w:outlineLvl w:val="2"/>
                    <w:rPr>
                      <w:rFonts w:ascii="Times New Roman" w:hAnsi="Times New Roman" w:eastAsia="宋体" w:cs="Times New Roman"/>
                      <w:caps w:val="0"/>
                      <w:color w:val="auto"/>
                      <w:spacing w:val="0"/>
                      <w:position w:val="0"/>
                      <w:szCs w:val="21"/>
                      <w:highlight w:val="none"/>
                    </w:rPr>
                  </w:pPr>
                  <w:r>
                    <w:rPr>
                      <w:rFonts w:ascii="Times New Roman" w:hAnsi="Times New Roman" w:eastAsia="宋体" w:cs="Times New Roman"/>
                      <w:caps w:val="0"/>
                      <w:color w:val="auto"/>
                      <w:spacing w:val="0"/>
                      <w:position w:val="0"/>
                      <w:szCs w:val="21"/>
                      <w:highlight w:val="none"/>
                    </w:rPr>
                    <w:t>乙酸</w:t>
                  </w:r>
                  <w:r>
                    <w:rPr>
                      <w:rFonts w:hint="eastAsia" w:ascii="Times New Roman" w:hAnsi="Times New Roman" w:eastAsia="宋体" w:cs="Times New Roman"/>
                      <w:caps w:val="0"/>
                      <w:color w:val="auto"/>
                      <w:spacing w:val="0"/>
                      <w:position w:val="0"/>
                      <w:szCs w:val="21"/>
                      <w:highlight w:val="none"/>
                      <w:lang w:val="en-US" w:eastAsia="zh-CN"/>
                    </w:rPr>
                    <w:t>丁</w:t>
                  </w:r>
                  <w:r>
                    <w:rPr>
                      <w:rFonts w:ascii="Times New Roman" w:hAnsi="Times New Roman" w:eastAsia="宋体" w:cs="Times New Roman"/>
                      <w:caps w:val="0"/>
                      <w:color w:val="auto"/>
                      <w:spacing w:val="0"/>
                      <w:position w:val="0"/>
                      <w:szCs w:val="21"/>
                      <w:highlight w:val="none"/>
                    </w:rPr>
                    <w:t>酯</w:t>
                  </w:r>
                </w:p>
              </w:tc>
              <w:tc>
                <w:tcPr>
                  <w:tcW w:w="1330" w:type="dxa"/>
                  <w:tcBorders>
                    <w:tl2br w:val="nil"/>
                    <w:tr2bl w:val="nil"/>
                  </w:tcBorders>
                  <w:noWrap w:val="0"/>
                  <w:vAlign w:val="center"/>
                </w:tcPr>
                <w:p w14:paraId="1DEE5A0A">
                  <w:pPr>
                    <w:keepNext/>
                    <w:keepLines/>
                    <w:widowControl/>
                    <w:spacing w:line="240" w:lineRule="auto"/>
                    <w:ind w:firstLine="0" w:firstLineChars="0"/>
                    <w:jc w:val="center"/>
                    <w:outlineLvl w:val="2"/>
                    <w:rPr>
                      <w:rFonts w:hint="eastAsia" w:ascii="Times New Roman" w:hAnsi="Times New Roman" w:eastAsia="宋体" w:cs="Times New Roman"/>
                      <w:b w:val="0"/>
                      <w:bCs w:val="0"/>
                      <w:caps w:val="0"/>
                      <w:color w:val="auto"/>
                      <w:spacing w:val="0"/>
                      <w:position w:val="0"/>
                      <w:szCs w:val="21"/>
                      <w:highlight w:val="none"/>
                    </w:rPr>
                  </w:pPr>
                  <w:r>
                    <w:rPr>
                      <w:rFonts w:hint="eastAsia" w:ascii="Times New Roman" w:hAnsi="Times New Roman" w:eastAsia="宋体" w:cs="Times New Roman"/>
                      <w:b w:val="0"/>
                      <w:bCs w:val="0"/>
                      <w:caps w:val="0"/>
                      <w:color w:val="auto"/>
                      <w:spacing w:val="0"/>
                      <w:position w:val="0"/>
                      <w:szCs w:val="21"/>
                      <w:highlight w:val="none"/>
                    </w:rPr>
                    <w:t>最大一次</w:t>
                  </w:r>
                </w:p>
              </w:tc>
              <w:tc>
                <w:tcPr>
                  <w:tcW w:w="2313" w:type="dxa"/>
                  <w:tcBorders>
                    <w:tl2br w:val="nil"/>
                    <w:tr2bl w:val="nil"/>
                  </w:tcBorders>
                  <w:noWrap w:val="0"/>
                  <w:vAlign w:val="center"/>
                </w:tcPr>
                <w:p w14:paraId="2E7F29BD">
                  <w:pPr>
                    <w:keepNext/>
                    <w:keepLines/>
                    <w:widowControl/>
                    <w:spacing w:line="240" w:lineRule="auto"/>
                    <w:ind w:firstLine="0" w:firstLineChars="0"/>
                    <w:jc w:val="center"/>
                    <w:outlineLvl w:val="2"/>
                    <w:rPr>
                      <w:rFonts w:hint="eastAsia"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0.1</w:t>
                  </w:r>
                </w:p>
              </w:tc>
              <w:tc>
                <w:tcPr>
                  <w:tcW w:w="3001" w:type="dxa"/>
                  <w:vMerge w:val="continue"/>
                  <w:tcBorders>
                    <w:tl2br w:val="nil"/>
                    <w:tr2bl w:val="nil"/>
                  </w:tcBorders>
                  <w:noWrap w:val="0"/>
                  <w:vAlign w:val="center"/>
                </w:tcPr>
                <w:p w14:paraId="40D0946F">
                  <w:pPr>
                    <w:keepNext/>
                    <w:keepLines/>
                    <w:widowControl/>
                    <w:spacing w:line="240" w:lineRule="auto"/>
                    <w:ind w:firstLine="0" w:firstLineChars="0"/>
                    <w:jc w:val="center"/>
                    <w:outlineLvl w:val="2"/>
                    <w:rPr>
                      <w:rFonts w:ascii="Times New Roman" w:hAnsi="Times New Roman" w:eastAsia="宋体" w:cs="Times New Roman"/>
                      <w:caps w:val="0"/>
                      <w:color w:val="auto"/>
                      <w:spacing w:val="0"/>
                      <w:position w:val="0"/>
                      <w:szCs w:val="21"/>
                      <w:highlight w:val="none"/>
                    </w:rPr>
                  </w:pPr>
                </w:p>
              </w:tc>
            </w:tr>
            <w:tr w14:paraId="27054C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4" w:type="dxa"/>
                  <w:gridSpan w:val="4"/>
                  <w:tcBorders>
                    <w:tl2br w:val="nil"/>
                    <w:tr2bl w:val="nil"/>
                  </w:tcBorders>
                  <w:noWrap w:val="0"/>
                  <w:vAlign w:val="center"/>
                </w:tcPr>
                <w:p w14:paraId="65EECF72">
                  <w:pPr>
                    <w:keepNext/>
                    <w:keepLines/>
                    <w:widowControl/>
                    <w:spacing w:line="240" w:lineRule="auto"/>
                    <w:ind w:firstLine="0" w:firstLineChars="0"/>
                    <w:outlineLvl w:val="2"/>
                    <w:rPr>
                      <w:rFonts w:ascii="Times New Roman" w:hAnsi="Times New Roman" w:eastAsia="宋体"/>
                      <w:bCs/>
                      <w:color w:val="auto"/>
                      <w:kern w:val="0"/>
                      <w:sz w:val="21"/>
                      <w:szCs w:val="21"/>
                      <w:highlight w:val="none"/>
                    </w:rPr>
                  </w:pPr>
                  <w:r>
                    <w:rPr>
                      <w:rFonts w:hint="eastAsia" w:ascii="Times New Roman" w:hAnsi="Times New Roman" w:eastAsia="宋体"/>
                      <w:bCs/>
                      <w:color w:val="auto"/>
                      <w:kern w:val="0"/>
                      <w:sz w:val="18"/>
                      <w:szCs w:val="18"/>
                      <w:highlight w:val="none"/>
                    </w:rPr>
                    <w:t>备注：本次评价以非甲烷总烃作为挥发性有机物的综合性控制指标。</w:t>
                  </w:r>
                </w:p>
              </w:tc>
            </w:tr>
          </w:tbl>
          <w:p w14:paraId="2A184F8C">
            <w:pPr>
              <w:pStyle w:val="4"/>
              <w:keepNext/>
              <w:keepLines/>
              <w:pageBreakBefore w:val="0"/>
              <w:widowControl w:val="0"/>
              <w:kinsoku/>
              <w:wordWrap/>
              <w:overflowPunct/>
              <w:topLinePunct w:val="0"/>
              <w:autoSpaceDE/>
              <w:autoSpaceDN/>
              <w:bidi w:val="0"/>
              <w:adjustRightInd/>
              <w:snapToGrid/>
              <w:spacing w:before="157" w:beforeLines="50" w:after="0" w:afterLines="0" w:line="360" w:lineRule="auto"/>
              <w:ind w:firstLine="482" w:firstLineChars="200"/>
              <w:textAlignment w:val="auto"/>
              <w:rPr>
                <w:rFonts w:hint="eastAsia" w:ascii="Times New Roman" w:hAnsi="Times New Roman" w:eastAsia="宋体" w:cs="Times New Roman"/>
                <w:b/>
                <w:bCs/>
                <w:color w:val="auto"/>
                <w:spacing w:val="0"/>
                <w:sz w:val="24"/>
                <w:szCs w:val="24"/>
                <w:highlight w:val="none"/>
              </w:rPr>
            </w:pPr>
            <w:r>
              <w:rPr>
                <w:rFonts w:hint="eastAsia" w:ascii="Times New Roman" w:hAnsi="Times New Roman" w:eastAsia="宋体" w:cs="Times New Roman"/>
                <w:color w:val="auto"/>
                <w:spacing w:val="0"/>
                <w:sz w:val="24"/>
                <w:szCs w:val="24"/>
                <w:highlight w:val="none"/>
                <w:lang w:val="en-US" w:eastAsia="zh-CN"/>
              </w:rPr>
              <w:t>3.1.2</w:t>
            </w:r>
            <w:r>
              <w:rPr>
                <w:rFonts w:ascii="Times New Roman" w:hAnsi="Times New Roman" w:eastAsia="宋体" w:cs="Times New Roman"/>
                <w:color w:val="auto"/>
                <w:spacing w:val="0"/>
                <w:sz w:val="24"/>
                <w:szCs w:val="24"/>
                <w:highlight w:val="none"/>
              </w:rPr>
              <w:t>水环境</w:t>
            </w:r>
          </w:p>
          <w:p w14:paraId="1D881E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sz w:val="24"/>
                <w:highlight w:val="none"/>
              </w:rPr>
              <w:t>本项目周边水体</w:t>
            </w:r>
            <w:r>
              <w:rPr>
                <w:rFonts w:hint="eastAsia" w:cs="Times New Roman"/>
                <w:color w:val="auto"/>
                <w:spacing w:val="0"/>
                <w:sz w:val="24"/>
                <w:highlight w:val="none"/>
                <w:lang w:val="en-US" w:eastAsia="zh-CN"/>
              </w:rPr>
              <w:t>为三叉溪，汇入</w:t>
            </w:r>
            <w:r>
              <w:rPr>
                <w:rFonts w:hint="default" w:ascii="Times New Roman" w:hAnsi="Times New Roman" w:eastAsia="宋体" w:cs="Times New Roman"/>
                <w:color w:val="auto"/>
                <w:spacing w:val="0"/>
                <w:sz w:val="24"/>
                <w:highlight w:val="none"/>
              </w:rPr>
              <w:t>荆溪，所处荆溪</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关东汇合处至入闽江口</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断面</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本项目污水经预处理后排入市政污水管网，送往闽侯县城关污水处理厂进行处理，污水处理厂尾水排入安平浦向南侧汇入闽江。安坪浦属于闽侯县内河，根据福建省人民政府闽政文〔2006〕133号批准《福州市地表水环境功能区划定方案》，闽侯内河水体主要功能为一般景观用水，环境功能区划为Ⅴ类，水质执行《地表水环境质量标准》</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GB3838-2002</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中Ⅴ类水质标准；荆溪</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关东汇合处至入闽江口</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断面水体主要功能为农业用水、工业用水，环境功能区划为Ⅳ类，水质执行《地表水环境质量标准》</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GB3838-2002</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中Ⅳ类水质标准；根据福建省人民政府闽政文〔2006〕133号批准《福州市地表水环境功能区划定方案》及闽政文〔2017〕48号福建省人民政府关于调整闽侯县自来水公司水源保护区的批复，项目最终纳污水域所处闽江</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闽侯县自来水公司叶洋泵站取水口下游300m至侯官断面</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乌龙江、北港分流处</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断面，该断面水体主要功能为渔业用水、农业用水，环境功能类别为Ⅲ类，详见表3</w:t>
            </w:r>
            <w:r>
              <w:rPr>
                <w:rFonts w:hint="eastAsia" w:ascii="Times New Roman" w:hAnsi="Times New Roman" w:eastAsia="宋体" w:cs="Times New Roman"/>
                <w:color w:val="auto"/>
                <w:spacing w:val="0"/>
                <w:sz w:val="24"/>
                <w:highlight w:val="none"/>
                <w:lang w:val="en-US" w:eastAsia="zh-CN"/>
              </w:rPr>
              <w:t>.1-</w:t>
            </w:r>
            <w:r>
              <w:rPr>
                <w:rFonts w:hint="eastAsia" w:ascii="Times New Roman" w:hAnsi="Times New Roman" w:eastAsia="宋体" w:cs="Times New Roman"/>
                <w:color w:val="auto"/>
                <w:spacing w:val="0"/>
                <w:position w:val="0"/>
                <w:sz w:val="24"/>
                <w:szCs w:val="24"/>
                <w:highlight w:val="none"/>
                <w:lang w:val="en-US" w:eastAsia="zh-CN"/>
              </w:rPr>
              <w:t>3</w:t>
            </w:r>
            <w:r>
              <w:rPr>
                <w:rFonts w:ascii="Times New Roman" w:hAnsi="Times New Roman" w:eastAsia="宋体" w:cs="Times New Roman"/>
                <w:color w:val="auto"/>
                <w:spacing w:val="0"/>
                <w:position w:val="0"/>
                <w:sz w:val="24"/>
                <w:szCs w:val="24"/>
                <w:highlight w:val="none"/>
              </w:rPr>
              <w:t>。</w:t>
            </w:r>
          </w:p>
          <w:p w14:paraId="49B4E19D">
            <w:pPr>
              <w:pStyle w:val="69"/>
              <w:rPr>
                <w:rFonts w:ascii="Times New Roman" w:hAnsi="Times New Roman" w:eastAsia="宋体" w:cs="Times New Roman"/>
                <w:color w:val="auto"/>
                <w:spacing w:val="0"/>
                <w:position w:val="0"/>
                <w:highlight w:val="none"/>
              </w:rPr>
            </w:pPr>
            <w:r>
              <w:rPr>
                <w:rFonts w:ascii="Times New Roman" w:hAnsi="Times New Roman" w:eastAsia="宋体" w:cs="Times New Roman"/>
                <w:color w:val="auto"/>
                <w:spacing w:val="0"/>
                <w:position w:val="0"/>
                <w:highlight w:val="none"/>
              </w:rPr>
              <w:t>表 3</w:t>
            </w:r>
            <w:r>
              <w:rPr>
                <w:rFonts w:hint="eastAsia" w:ascii="Times New Roman" w:hAnsi="Times New Roman" w:eastAsia="宋体" w:cs="Times New Roman"/>
                <w:color w:val="auto"/>
                <w:spacing w:val="0"/>
                <w:position w:val="0"/>
                <w:highlight w:val="none"/>
                <w:lang w:val="en-US" w:eastAsia="zh-CN"/>
              </w:rPr>
              <w:t>.1-3</w:t>
            </w:r>
            <w:r>
              <w:rPr>
                <w:rFonts w:ascii="Times New Roman" w:hAnsi="Times New Roman" w:eastAsia="宋体" w:cs="Times New Roman"/>
                <w:color w:val="auto"/>
                <w:spacing w:val="0"/>
                <w:position w:val="0"/>
                <w:highlight w:val="none"/>
              </w:rPr>
              <w:t xml:space="preserve"> 《地表水环境质量标准》</w:t>
            </w:r>
            <w:r>
              <w:rPr>
                <w:rFonts w:hint="eastAsia" w:ascii="Times New Roman" w:hAnsi="Times New Roman" w:eastAsia="宋体" w:cs="Times New Roman"/>
                <w:color w:val="auto"/>
                <w:spacing w:val="0"/>
                <w:position w:val="0"/>
                <w:highlight w:val="none"/>
                <w:lang w:eastAsia="zh-CN"/>
              </w:rPr>
              <w:t>（</w:t>
            </w:r>
            <w:r>
              <w:rPr>
                <w:rFonts w:ascii="Times New Roman" w:hAnsi="Times New Roman" w:eastAsia="宋体" w:cs="Times New Roman"/>
                <w:color w:val="auto"/>
                <w:spacing w:val="0"/>
                <w:position w:val="0"/>
                <w:highlight w:val="none"/>
              </w:rPr>
              <w:t>GB3838-2002</w:t>
            </w:r>
            <w:r>
              <w:rPr>
                <w:rFonts w:hint="eastAsia" w:ascii="Times New Roman" w:hAnsi="Times New Roman" w:eastAsia="宋体" w:cs="Times New Roman"/>
                <w:color w:val="auto"/>
                <w:spacing w:val="0"/>
                <w:position w:val="0"/>
                <w:highlight w:val="none"/>
                <w:lang w:eastAsia="zh-CN"/>
              </w:rPr>
              <w:t>）（</w:t>
            </w:r>
            <w:r>
              <w:rPr>
                <w:rFonts w:ascii="Times New Roman" w:hAnsi="Times New Roman" w:eastAsia="宋体" w:cs="Times New Roman"/>
                <w:color w:val="auto"/>
                <w:spacing w:val="0"/>
                <w:position w:val="0"/>
                <w:highlight w:val="none"/>
              </w:rPr>
              <w:t>摘录</w:t>
            </w:r>
            <w:r>
              <w:rPr>
                <w:rFonts w:hint="eastAsia" w:ascii="Times New Roman" w:hAnsi="Times New Roman" w:eastAsia="宋体" w:cs="Times New Roman"/>
                <w:color w:val="auto"/>
                <w:spacing w:val="0"/>
                <w:position w:val="0"/>
                <w:highlight w:val="none"/>
                <w:lang w:eastAsia="zh-CN"/>
              </w:rPr>
              <w:t>）</w:t>
            </w:r>
            <w:r>
              <w:rPr>
                <w:rFonts w:ascii="Times New Roman" w:hAnsi="Times New Roman" w:eastAsia="宋体" w:cs="Times New Roman"/>
                <w:color w:val="auto"/>
                <w:spacing w:val="0"/>
                <w:position w:val="0"/>
                <w:highlight w:val="none"/>
              </w:rPr>
              <w:t xml:space="preserve">  单位</w:t>
            </w:r>
            <w:r>
              <w:rPr>
                <w:rFonts w:hint="eastAsia" w:ascii="Times New Roman" w:hAnsi="Times New Roman" w:eastAsia="宋体" w:cs="Times New Roman"/>
                <w:color w:val="auto"/>
                <w:spacing w:val="0"/>
                <w:position w:val="0"/>
                <w:highlight w:val="none"/>
                <w:lang w:eastAsia="zh-CN"/>
              </w:rPr>
              <w:t>：</w:t>
            </w:r>
            <w:r>
              <w:rPr>
                <w:rFonts w:ascii="Times New Roman" w:hAnsi="Times New Roman" w:eastAsia="宋体" w:cs="Times New Roman"/>
                <w:color w:val="auto"/>
                <w:spacing w:val="0"/>
                <w:position w:val="0"/>
                <w:highlight w:val="none"/>
              </w:rPr>
              <w:t>mg/L</w:t>
            </w:r>
          </w:p>
          <w:tbl>
            <w:tblPr>
              <w:tblStyle w:val="88"/>
              <w:tblW w:w="5000" w:type="pct"/>
              <w:jc w:val="center"/>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58"/>
              <w:gridCol w:w="2567"/>
              <w:gridCol w:w="1185"/>
              <w:gridCol w:w="1187"/>
              <w:gridCol w:w="1186"/>
              <w:gridCol w:w="1190"/>
            </w:tblGrid>
            <w:tr w14:paraId="6178E1E3">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78" w:type="dxa"/>
                  <w:tcBorders>
                    <w:tl2br w:val="nil"/>
                    <w:tr2bl w:val="nil"/>
                  </w:tcBorders>
                  <w:shd w:val="clear" w:color="auto" w:fill="auto"/>
                  <w:noWrap w:val="0"/>
                  <w:vAlign w:val="center"/>
                </w:tcPr>
                <w:p w14:paraId="06920EAD">
                  <w:pPr>
                    <w:pStyle w:val="68"/>
                    <w:autoSpaceDE w:val="0"/>
                    <w:autoSpaceDN w:val="0"/>
                    <w:rPr>
                      <w:rFonts w:ascii="Times New Roman" w:hAnsi="Times New Roman" w:eastAsia="宋体" w:cs="Times New Roman"/>
                      <w:b/>
                      <w:bCs/>
                      <w:color w:val="auto"/>
                      <w:spacing w:val="0"/>
                      <w:position w:val="0"/>
                      <w:sz w:val="21"/>
                      <w:szCs w:val="21"/>
                      <w:highlight w:val="none"/>
                      <w:lang w:eastAsia="en-US"/>
                    </w:rPr>
                  </w:pPr>
                  <w:r>
                    <w:rPr>
                      <w:rFonts w:ascii="Times New Roman" w:hAnsi="Times New Roman" w:eastAsia="宋体" w:cs="Times New Roman"/>
                      <w:b/>
                      <w:bCs/>
                      <w:color w:val="auto"/>
                      <w:spacing w:val="0"/>
                      <w:position w:val="0"/>
                      <w:sz w:val="21"/>
                      <w:szCs w:val="21"/>
                      <w:highlight w:val="none"/>
                      <w:lang w:eastAsia="en-US"/>
                    </w:rPr>
                    <w:t>序号</w:t>
                  </w:r>
                </w:p>
              </w:tc>
              <w:tc>
                <w:tcPr>
                  <w:tcW w:w="2645" w:type="dxa"/>
                  <w:tcBorders>
                    <w:tl2br w:val="nil"/>
                    <w:tr2bl w:val="nil"/>
                  </w:tcBorders>
                  <w:shd w:val="clear" w:color="auto" w:fill="auto"/>
                  <w:noWrap w:val="0"/>
                  <w:vAlign w:val="center"/>
                </w:tcPr>
                <w:p w14:paraId="71762EEE">
                  <w:pPr>
                    <w:pStyle w:val="68"/>
                    <w:autoSpaceDE w:val="0"/>
                    <w:autoSpaceDN w:val="0"/>
                    <w:rPr>
                      <w:rFonts w:ascii="Times New Roman" w:hAnsi="Times New Roman" w:eastAsia="宋体" w:cs="Times New Roman"/>
                      <w:b/>
                      <w:bCs/>
                      <w:color w:val="auto"/>
                      <w:spacing w:val="0"/>
                      <w:position w:val="0"/>
                      <w:sz w:val="21"/>
                      <w:szCs w:val="21"/>
                      <w:highlight w:val="none"/>
                      <w:lang w:eastAsia="en-US"/>
                    </w:rPr>
                  </w:pPr>
                  <w:r>
                    <w:rPr>
                      <w:rFonts w:ascii="Times New Roman" w:hAnsi="Times New Roman" w:eastAsia="宋体" w:cs="Times New Roman"/>
                      <w:b/>
                      <w:bCs/>
                      <w:color w:val="auto"/>
                      <w:spacing w:val="0"/>
                      <w:position w:val="0"/>
                      <w:sz w:val="21"/>
                      <w:szCs w:val="21"/>
                      <w:highlight w:val="none"/>
                      <w:lang w:eastAsia="en-US"/>
                    </w:rPr>
                    <w:t>项目</w:t>
                  </w:r>
                </w:p>
              </w:tc>
              <w:tc>
                <w:tcPr>
                  <w:tcW w:w="1222" w:type="dxa"/>
                  <w:tcBorders>
                    <w:tl2br w:val="nil"/>
                    <w:tr2bl w:val="nil"/>
                  </w:tcBorders>
                  <w:shd w:val="clear" w:color="auto" w:fill="auto"/>
                  <w:noWrap w:val="0"/>
                  <w:vAlign w:val="center"/>
                </w:tcPr>
                <w:p w14:paraId="21A5FA64">
                  <w:pPr>
                    <w:pStyle w:val="68"/>
                    <w:autoSpaceDE w:val="0"/>
                    <w:autoSpaceDN w:val="0"/>
                    <w:rPr>
                      <w:rFonts w:ascii="Times New Roman" w:hAnsi="Times New Roman" w:eastAsia="宋体" w:cs="Times New Roman"/>
                      <w:b/>
                      <w:bCs/>
                      <w:color w:val="auto"/>
                      <w:spacing w:val="0"/>
                      <w:position w:val="0"/>
                      <w:sz w:val="21"/>
                      <w:szCs w:val="21"/>
                      <w:highlight w:val="none"/>
                      <w:lang w:eastAsia="en-US"/>
                    </w:rPr>
                  </w:pPr>
                  <w:r>
                    <w:rPr>
                      <w:rFonts w:hint="eastAsia" w:ascii="Times New Roman" w:hAnsi="Times New Roman" w:eastAsia="宋体" w:cs="Times New Roman"/>
                      <w:b/>
                      <w:bCs/>
                      <w:color w:val="auto"/>
                      <w:spacing w:val="0"/>
                      <w:position w:val="0"/>
                      <w:sz w:val="21"/>
                      <w:szCs w:val="21"/>
                      <w:highlight w:val="none"/>
                      <w:lang w:eastAsia="en-US"/>
                    </w:rPr>
                    <w:t>Ⅱ</w:t>
                  </w:r>
                </w:p>
              </w:tc>
              <w:tc>
                <w:tcPr>
                  <w:tcW w:w="1224" w:type="dxa"/>
                  <w:tcBorders>
                    <w:tl2br w:val="nil"/>
                    <w:tr2bl w:val="nil"/>
                  </w:tcBorders>
                  <w:shd w:val="clear" w:color="auto" w:fill="D7D7D7"/>
                  <w:noWrap w:val="0"/>
                  <w:vAlign w:val="center"/>
                </w:tcPr>
                <w:p w14:paraId="34621C67">
                  <w:pPr>
                    <w:pStyle w:val="68"/>
                    <w:autoSpaceDE w:val="0"/>
                    <w:autoSpaceDN w:val="0"/>
                    <w:rPr>
                      <w:rFonts w:ascii="Times New Roman" w:hAnsi="Times New Roman" w:eastAsia="宋体" w:cs="Times New Roman"/>
                      <w:b/>
                      <w:bCs/>
                      <w:color w:val="auto"/>
                      <w:spacing w:val="0"/>
                      <w:position w:val="0"/>
                      <w:sz w:val="21"/>
                      <w:szCs w:val="21"/>
                      <w:highlight w:val="none"/>
                      <w:lang w:eastAsia="en-US"/>
                    </w:rPr>
                  </w:pPr>
                  <w:r>
                    <w:rPr>
                      <w:rFonts w:hint="eastAsia" w:ascii="Times New Roman" w:hAnsi="Times New Roman" w:eastAsia="宋体" w:cs="Times New Roman"/>
                      <w:b/>
                      <w:bCs/>
                      <w:color w:val="auto"/>
                      <w:spacing w:val="0"/>
                      <w:position w:val="0"/>
                      <w:sz w:val="21"/>
                      <w:szCs w:val="21"/>
                      <w:highlight w:val="none"/>
                      <w:lang w:eastAsia="en-US"/>
                    </w:rPr>
                    <w:t>Ⅲ</w:t>
                  </w:r>
                </w:p>
              </w:tc>
              <w:tc>
                <w:tcPr>
                  <w:tcW w:w="1223" w:type="dxa"/>
                  <w:tcBorders>
                    <w:tl2br w:val="nil"/>
                    <w:tr2bl w:val="nil"/>
                  </w:tcBorders>
                  <w:shd w:val="clear" w:color="auto" w:fill="D7D7D7" w:themeFill="background1" w:themeFillShade="D8"/>
                  <w:noWrap w:val="0"/>
                  <w:vAlign w:val="center"/>
                </w:tcPr>
                <w:p w14:paraId="33544BDF">
                  <w:pPr>
                    <w:pStyle w:val="68"/>
                    <w:autoSpaceDE w:val="0"/>
                    <w:autoSpaceDN w:val="0"/>
                    <w:rPr>
                      <w:rFonts w:ascii="Times New Roman" w:hAnsi="Times New Roman" w:eastAsia="宋体" w:cs="Times New Roman"/>
                      <w:b/>
                      <w:bCs/>
                      <w:color w:val="auto"/>
                      <w:spacing w:val="0"/>
                      <w:position w:val="0"/>
                      <w:sz w:val="21"/>
                      <w:szCs w:val="21"/>
                      <w:highlight w:val="none"/>
                      <w:lang w:eastAsia="en-US"/>
                    </w:rPr>
                  </w:pPr>
                  <w:r>
                    <w:rPr>
                      <w:rFonts w:hint="eastAsia" w:ascii="Times New Roman" w:hAnsi="Times New Roman" w:eastAsia="宋体" w:cs="Times New Roman"/>
                      <w:b/>
                      <w:bCs/>
                      <w:color w:val="auto"/>
                      <w:spacing w:val="0"/>
                      <w:position w:val="0"/>
                      <w:sz w:val="21"/>
                      <w:szCs w:val="21"/>
                      <w:highlight w:val="none"/>
                      <w:lang w:eastAsia="en-US"/>
                    </w:rPr>
                    <w:t>Ⅳ</w:t>
                  </w:r>
                </w:p>
              </w:tc>
              <w:tc>
                <w:tcPr>
                  <w:tcW w:w="1226" w:type="dxa"/>
                  <w:tcBorders>
                    <w:tl2br w:val="nil"/>
                    <w:tr2bl w:val="nil"/>
                  </w:tcBorders>
                  <w:shd w:val="clear" w:color="auto" w:fill="D7D7D7"/>
                  <w:noWrap w:val="0"/>
                  <w:vAlign w:val="center"/>
                </w:tcPr>
                <w:p w14:paraId="751FB589">
                  <w:pPr>
                    <w:pStyle w:val="68"/>
                    <w:autoSpaceDE w:val="0"/>
                    <w:autoSpaceDN w:val="0"/>
                    <w:rPr>
                      <w:rFonts w:ascii="Times New Roman" w:hAnsi="Times New Roman" w:eastAsia="宋体" w:cs="Times New Roman"/>
                      <w:b/>
                      <w:bCs/>
                      <w:color w:val="auto"/>
                      <w:spacing w:val="0"/>
                      <w:position w:val="0"/>
                      <w:sz w:val="21"/>
                      <w:szCs w:val="21"/>
                      <w:highlight w:val="none"/>
                      <w:lang w:eastAsia="en-US"/>
                    </w:rPr>
                  </w:pPr>
                  <w:r>
                    <w:rPr>
                      <w:rFonts w:hint="eastAsia" w:ascii="Times New Roman" w:hAnsi="Times New Roman" w:eastAsia="宋体" w:cs="Times New Roman"/>
                      <w:b/>
                      <w:bCs/>
                      <w:color w:val="auto"/>
                      <w:spacing w:val="0"/>
                      <w:position w:val="0"/>
                      <w:sz w:val="21"/>
                      <w:szCs w:val="21"/>
                      <w:highlight w:val="none"/>
                      <w:lang w:eastAsia="en-US"/>
                    </w:rPr>
                    <w:t>Ⅴ</w:t>
                  </w:r>
                </w:p>
              </w:tc>
            </w:tr>
            <w:tr w14:paraId="0D363FD1">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78" w:type="dxa"/>
                  <w:tcBorders>
                    <w:tl2br w:val="nil"/>
                    <w:tr2bl w:val="nil"/>
                  </w:tcBorders>
                  <w:shd w:val="clear" w:color="auto" w:fill="auto"/>
                  <w:noWrap w:val="0"/>
                  <w:vAlign w:val="center"/>
                </w:tcPr>
                <w:p w14:paraId="2F21AF06">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1</w:t>
                  </w:r>
                </w:p>
              </w:tc>
              <w:tc>
                <w:tcPr>
                  <w:tcW w:w="2645" w:type="dxa"/>
                  <w:tcBorders>
                    <w:tl2br w:val="nil"/>
                    <w:tr2bl w:val="nil"/>
                  </w:tcBorders>
                  <w:shd w:val="clear" w:color="auto" w:fill="auto"/>
                  <w:noWrap w:val="0"/>
                  <w:vAlign w:val="center"/>
                </w:tcPr>
                <w:p w14:paraId="5BE6FD53">
                  <w:pPr>
                    <w:pStyle w:val="68"/>
                    <w:autoSpaceDE w:val="0"/>
                    <w:autoSpaceDN w:val="0"/>
                    <w:rPr>
                      <w:rFonts w:hint="eastAsia"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en-US"/>
                    </w:rPr>
                    <w:t>水温</w:t>
                  </w:r>
                  <w:r>
                    <w:rPr>
                      <w:rFonts w:hint="eastAsia" w:ascii="Times New Roman" w:hAnsi="Times New Roman" w:eastAsia="宋体" w:cs="Times New Roman"/>
                      <w:b w:val="0"/>
                      <w:bCs w:val="0"/>
                      <w:color w:val="auto"/>
                      <w:spacing w:val="0"/>
                      <w:position w:val="0"/>
                      <w:sz w:val="21"/>
                      <w:szCs w:val="21"/>
                      <w:highlight w:val="none"/>
                      <w:lang w:eastAsia="zh-CN"/>
                    </w:rPr>
                    <w:t>（</w:t>
                  </w:r>
                  <w:r>
                    <w:rPr>
                      <w:rFonts w:hint="eastAsia" w:ascii="Times New Roman" w:hAnsi="Times New Roman" w:eastAsia="宋体" w:cs="Times New Roman"/>
                      <w:b w:val="0"/>
                      <w:bCs w:val="0"/>
                      <w:color w:val="auto"/>
                      <w:spacing w:val="0"/>
                      <w:position w:val="0"/>
                      <w:sz w:val="21"/>
                      <w:szCs w:val="21"/>
                      <w:highlight w:val="none"/>
                      <w:lang w:val="en-US" w:eastAsia="zh-CN"/>
                    </w:rPr>
                    <w:t>℃</w:t>
                  </w:r>
                  <w:r>
                    <w:rPr>
                      <w:rFonts w:hint="eastAsia" w:ascii="Times New Roman" w:hAnsi="Times New Roman" w:eastAsia="宋体" w:cs="Times New Roman"/>
                      <w:b w:val="0"/>
                      <w:bCs w:val="0"/>
                      <w:color w:val="auto"/>
                      <w:spacing w:val="0"/>
                      <w:position w:val="0"/>
                      <w:sz w:val="21"/>
                      <w:szCs w:val="21"/>
                      <w:highlight w:val="none"/>
                      <w:lang w:eastAsia="zh-CN"/>
                    </w:rPr>
                    <w:t>）</w:t>
                  </w:r>
                </w:p>
              </w:tc>
              <w:tc>
                <w:tcPr>
                  <w:tcW w:w="4895" w:type="dxa"/>
                  <w:gridSpan w:val="4"/>
                  <w:tcBorders>
                    <w:tl2br w:val="nil"/>
                    <w:tr2bl w:val="nil"/>
                  </w:tcBorders>
                  <w:shd w:val="clear" w:color="auto" w:fill="D7D7D7" w:themeFill="background1" w:themeFillShade="D8"/>
                  <w:noWrap w:val="0"/>
                  <w:vAlign w:val="center"/>
                </w:tcPr>
                <w:p w14:paraId="4C008681">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认为造成的环境水温变化应控制在</w:t>
                  </w:r>
                  <w:r>
                    <w:rPr>
                      <w:rFonts w:hint="eastAsia" w:ascii="Times New Roman" w:hAnsi="Times New Roman" w:eastAsia="宋体" w:cs="Times New Roman"/>
                      <w:b w:val="0"/>
                      <w:bCs w:val="0"/>
                      <w:color w:val="auto"/>
                      <w:spacing w:val="0"/>
                      <w:position w:val="0"/>
                      <w:sz w:val="21"/>
                      <w:szCs w:val="21"/>
                      <w:highlight w:val="none"/>
                      <w:lang w:eastAsia="zh-CN"/>
                    </w:rPr>
                    <w:t>：</w:t>
                  </w:r>
                </w:p>
                <w:p w14:paraId="007F96EA">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周平均最大温升≤1；周平均最大温降≤2</w:t>
                  </w:r>
                </w:p>
              </w:tc>
            </w:tr>
            <w:tr w14:paraId="4C318794">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78" w:type="dxa"/>
                  <w:tcBorders>
                    <w:tl2br w:val="nil"/>
                    <w:tr2bl w:val="nil"/>
                  </w:tcBorders>
                  <w:shd w:val="clear" w:color="auto" w:fill="auto"/>
                  <w:noWrap w:val="0"/>
                  <w:vAlign w:val="center"/>
                </w:tcPr>
                <w:p w14:paraId="4FBD70E2">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2</w:t>
                  </w:r>
                </w:p>
              </w:tc>
              <w:tc>
                <w:tcPr>
                  <w:tcW w:w="2645" w:type="dxa"/>
                  <w:tcBorders>
                    <w:tl2br w:val="nil"/>
                    <w:tr2bl w:val="nil"/>
                  </w:tcBorders>
                  <w:shd w:val="clear" w:color="auto" w:fill="auto"/>
                  <w:noWrap w:val="0"/>
                  <w:vAlign w:val="center"/>
                </w:tcPr>
                <w:p w14:paraId="0449298F">
                  <w:pPr>
                    <w:pStyle w:val="68"/>
                    <w:autoSpaceDE w:val="0"/>
                    <w:autoSpaceDN w:val="0"/>
                    <w:rPr>
                      <w:rFonts w:hint="eastAsia"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en-US"/>
                    </w:rPr>
                    <w:t>pH</w:t>
                  </w:r>
                  <w:r>
                    <w:rPr>
                      <w:rFonts w:hint="eastAsia" w:ascii="Times New Roman" w:hAnsi="Times New Roman" w:eastAsia="宋体" w:cs="Times New Roman"/>
                      <w:b w:val="0"/>
                      <w:bCs w:val="0"/>
                      <w:color w:val="auto"/>
                      <w:spacing w:val="0"/>
                      <w:position w:val="0"/>
                      <w:sz w:val="21"/>
                      <w:szCs w:val="21"/>
                      <w:highlight w:val="none"/>
                      <w:lang w:eastAsia="zh-CN"/>
                    </w:rPr>
                    <w:t>（</w:t>
                  </w:r>
                  <w:r>
                    <w:rPr>
                      <w:rFonts w:ascii="Times New Roman" w:hAnsi="Times New Roman" w:eastAsia="宋体" w:cs="Times New Roman"/>
                      <w:b w:val="0"/>
                      <w:bCs w:val="0"/>
                      <w:color w:val="auto"/>
                      <w:spacing w:val="0"/>
                      <w:position w:val="0"/>
                      <w:sz w:val="21"/>
                      <w:szCs w:val="21"/>
                      <w:highlight w:val="none"/>
                      <w:lang w:eastAsia="en-US"/>
                    </w:rPr>
                    <w:t>无量纲</w:t>
                  </w:r>
                  <w:r>
                    <w:rPr>
                      <w:rFonts w:hint="eastAsia" w:ascii="Times New Roman" w:hAnsi="Times New Roman" w:eastAsia="宋体" w:cs="Times New Roman"/>
                      <w:b w:val="0"/>
                      <w:bCs w:val="0"/>
                      <w:color w:val="auto"/>
                      <w:spacing w:val="0"/>
                      <w:position w:val="0"/>
                      <w:sz w:val="21"/>
                      <w:szCs w:val="21"/>
                      <w:highlight w:val="none"/>
                      <w:lang w:eastAsia="zh-CN"/>
                    </w:rPr>
                    <w:t>）</w:t>
                  </w:r>
                </w:p>
              </w:tc>
              <w:tc>
                <w:tcPr>
                  <w:tcW w:w="4895" w:type="dxa"/>
                  <w:gridSpan w:val="4"/>
                  <w:tcBorders>
                    <w:tl2br w:val="nil"/>
                    <w:tr2bl w:val="nil"/>
                  </w:tcBorders>
                  <w:shd w:val="clear" w:color="auto" w:fill="D7D7D7" w:themeFill="background1" w:themeFillShade="D8"/>
                  <w:noWrap w:val="0"/>
                  <w:vAlign w:val="center"/>
                </w:tcPr>
                <w:p w14:paraId="1586DB41">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6</w:t>
                  </w:r>
                  <w:r>
                    <w:rPr>
                      <w:rFonts w:hint="default" w:ascii="Times New Roman" w:hAnsi="Times New Roman" w:eastAsia="宋体" w:cs="Times New Roman"/>
                      <w:b w:val="0"/>
                      <w:bCs w:val="0"/>
                      <w:color w:val="auto"/>
                      <w:spacing w:val="0"/>
                      <w:position w:val="0"/>
                      <w:sz w:val="21"/>
                      <w:szCs w:val="21"/>
                      <w:highlight w:val="none"/>
                      <w:lang w:eastAsia="en-US"/>
                    </w:rPr>
                    <w:t>～</w:t>
                  </w:r>
                  <w:r>
                    <w:rPr>
                      <w:rFonts w:ascii="Times New Roman" w:hAnsi="Times New Roman" w:eastAsia="宋体" w:cs="Times New Roman"/>
                      <w:b w:val="0"/>
                      <w:bCs w:val="0"/>
                      <w:color w:val="auto"/>
                      <w:spacing w:val="0"/>
                      <w:position w:val="0"/>
                      <w:sz w:val="21"/>
                      <w:szCs w:val="21"/>
                      <w:highlight w:val="none"/>
                      <w:lang w:eastAsia="en-US"/>
                    </w:rPr>
                    <w:t>9</w:t>
                  </w:r>
                </w:p>
              </w:tc>
            </w:tr>
            <w:tr w14:paraId="092415BF">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78" w:type="dxa"/>
                  <w:tcBorders>
                    <w:tl2br w:val="nil"/>
                    <w:tr2bl w:val="nil"/>
                  </w:tcBorders>
                  <w:shd w:val="clear" w:color="auto" w:fill="auto"/>
                  <w:noWrap w:val="0"/>
                  <w:vAlign w:val="center"/>
                </w:tcPr>
                <w:p w14:paraId="1DD236A8">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3</w:t>
                  </w:r>
                </w:p>
              </w:tc>
              <w:tc>
                <w:tcPr>
                  <w:tcW w:w="2645" w:type="dxa"/>
                  <w:tcBorders>
                    <w:tl2br w:val="nil"/>
                    <w:tr2bl w:val="nil"/>
                  </w:tcBorders>
                  <w:shd w:val="clear" w:color="auto" w:fill="auto"/>
                  <w:noWrap w:val="0"/>
                  <w:vAlign w:val="center"/>
                </w:tcPr>
                <w:p w14:paraId="4E670B33">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溶解氧</w:t>
                  </w:r>
                  <w:r>
                    <w:rPr>
                      <w:rFonts w:hint="eastAsia" w:ascii="Times New Roman" w:hAnsi="Times New Roman" w:eastAsia="宋体" w:cs="Times New Roman"/>
                      <w:b w:val="0"/>
                      <w:bCs w:val="0"/>
                      <w:color w:val="auto"/>
                      <w:spacing w:val="0"/>
                      <w:position w:val="0"/>
                      <w:sz w:val="21"/>
                      <w:szCs w:val="21"/>
                      <w:highlight w:val="none"/>
                      <w:lang w:eastAsia="zh-CN"/>
                    </w:rPr>
                    <w:t>（</w:t>
                  </w:r>
                  <w:r>
                    <w:rPr>
                      <w:rFonts w:ascii="Times New Roman" w:hAnsi="Times New Roman" w:eastAsia="宋体" w:cs="Times New Roman"/>
                      <w:b w:val="0"/>
                      <w:bCs w:val="0"/>
                      <w:color w:val="auto"/>
                      <w:spacing w:val="0"/>
                      <w:position w:val="0"/>
                      <w:sz w:val="21"/>
                      <w:szCs w:val="21"/>
                      <w:highlight w:val="none"/>
                      <w:lang w:eastAsia="en-US"/>
                    </w:rPr>
                    <w:t>DO</w:t>
                  </w:r>
                  <w:r>
                    <w:rPr>
                      <w:rFonts w:hint="eastAsia" w:ascii="Times New Roman" w:hAnsi="Times New Roman" w:eastAsia="宋体" w:cs="Times New Roman"/>
                      <w:b w:val="0"/>
                      <w:bCs w:val="0"/>
                      <w:color w:val="auto"/>
                      <w:spacing w:val="0"/>
                      <w:position w:val="0"/>
                      <w:sz w:val="21"/>
                      <w:szCs w:val="21"/>
                      <w:highlight w:val="none"/>
                      <w:lang w:eastAsia="zh-CN"/>
                    </w:rPr>
                    <w:t>）</w:t>
                  </w:r>
                  <w:r>
                    <w:rPr>
                      <w:rFonts w:hint="default" w:ascii="Times New Roman" w:hAnsi="Times New Roman" w:eastAsia="宋体" w:cs="Times New Roman"/>
                      <w:b w:val="0"/>
                      <w:bCs w:val="0"/>
                      <w:color w:val="auto"/>
                      <w:spacing w:val="0"/>
                      <w:position w:val="0"/>
                      <w:sz w:val="21"/>
                      <w:szCs w:val="21"/>
                      <w:highlight w:val="none"/>
                      <w:lang w:eastAsia="en-US"/>
                    </w:rPr>
                    <w:t>＞</w:t>
                  </w:r>
                </w:p>
              </w:tc>
              <w:tc>
                <w:tcPr>
                  <w:tcW w:w="1222" w:type="dxa"/>
                  <w:tcBorders>
                    <w:tl2br w:val="nil"/>
                    <w:tr2bl w:val="nil"/>
                  </w:tcBorders>
                  <w:shd w:val="clear" w:color="auto" w:fill="auto"/>
                  <w:noWrap w:val="0"/>
                  <w:vAlign w:val="center"/>
                </w:tcPr>
                <w:p w14:paraId="52D82FCC">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6</w:t>
                  </w:r>
                </w:p>
              </w:tc>
              <w:tc>
                <w:tcPr>
                  <w:tcW w:w="1224" w:type="dxa"/>
                  <w:tcBorders>
                    <w:tl2br w:val="nil"/>
                    <w:tr2bl w:val="nil"/>
                  </w:tcBorders>
                  <w:shd w:val="clear" w:color="auto" w:fill="D7D7D7"/>
                  <w:noWrap w:val="0"/>
                  <w:vAlign w:val="center"/>
                </w:tcPr>
                <w:p w14:paraId="5539975A">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5</w:t>
                  </w:r>
                </w:p>
              </w:tc>
              <w:tc>
                <w:tcPr>
                  <w:tcW w:w="1223" w:type="dxa"/>
                  <w:tcBorders>
                    <w:tl2br w:val="nil"/>
                    <w:tr2bl w:val="nil"/>
                  </w:tcBorders>
                  <w:shd w:val="clear" w:color="auto" w:fill="D7D7D7" w:themeFill="background1" w:themeFillShade="D8"/>
                  <w:noWrap w:val="0"/>
                  <w:vAlign w:val="center"/>
                </w:tcPr>
                <w:p w14:paraId="4A77B833">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3</w:t>
                  </w:r>
                </w:p>
              </w:tc>
              <w:tc>
                <w:tcPr>
                  <w:tcW w:w="1226" w:type="dxa"/>
                  <w:tcBorders>
                    <w:tl2br w:val="nil"/>
                    <w:tr2bl w:val="nil"/>
                  </w:tcBorders>
                  <w:shd w:val="clear" w:color="auto" w:fill="D7D7D7"/>
                  <w:noWrap w:val="0"/>
                  <w:vAlign w:val="center"/>
                </w:tcPr>
                <w:p w14:paraId="3E553FBE">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2</w:t>
                  </w:r>
                </w:p>
              </w:tc>
            </w:tr>
            <w:tr w14:paraId="40B24204">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78" w:type="dxa"/>
                  <w:tcBorders>
                    <w:tl2br w:val="nil"/>
                    <w:tr2bl w:val="nil"/>
                  </w:tcBorders>
                  <w:shd w:val="clear" w:color="auto" w:fill="auto"/>
                  <w:noWrap w:val="0"/>
                  <w:vAlign w:val="center"/>
                </w:tcPr>
                <w:p w14:paraId="4082BDC1">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4</w:t>
                  </w:r>
                </w:p>
              </w:tc>
              <w:tc>
                <w:tcPr>
                  <w:tcW w:w="2645" w:type="dxa"/>
                  <w:tcBorders>
                    <w:tl2br w:val="nil"/>
                    <w:tr2bl w:val="nil"/>
                  </w:tcBorders>
                  <w:shd w:val="clear" w:color="auto" w:fill="auto"/>
                  <w:noWrap w:val="0"/>
                  <w:vAlign w:val="center"/>
                </w:tcPr>
                <w:p w14:paraId="030ED76E">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高锰酸盐指数≤</w:t>
                  </w:r>
                </w:p>
              </w:tc>
              <w:tc>
                <w:tcPr>
                  <w:tcW w:w="1222" w:type="dxa"/>
                  <w:tcBorders>
                    <w:tl2br w:val="nil"/>
                    <w:tr2bl w:val="nil"/>
                  </w:tcBorders>
                  <w:shd w:val="clear" w:color="auto" w:fill="auto"/>
                  <w:noWrap w:val="0"/>
                  <w:vAlign w:val="center"/>
                </w:tcPr>
                <w:p w14:paraId="2AC2AABE">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4</w:t>
                  </w:r>
                </w:p>
              </w:tc>
              <w:tc>
                <w:tcPr>
                  <w:tcW w:w="1224" w:type="dxa"/>
                  <w:tcBorders>
                    <w:tl2br w:val="nil"/>
                    <w:tr2bl w:val="nil"/>
                  </w:tcBorders>
                  <w:shd w:val="clear" w:color="auto" w:fill="D7D7D7"/>
                  <w:noWrap w:val="0"/>
                  <w:vAlign w:val="center"/>
                </w:tcPr>
                <w:p w14:paraId="7D7630F7">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6</w:t>
                  </w:r>
                </w:p>
              </w:tc>
              <w:tc>
                <w:tcPr>
                  <w:tcW w:w="1223" w:type="dxa"/>
                  <w:tcBorders>
                    <w:tl2br w:val="nil"/>
                    <w:tr2bl w:val="nil"/>
                  </w:tcBorders>
                  <w:shd w:val="clear" w:color="auto" w:fill="D7D7D7" w:themeFill="background1" w:themeFillShade="D8"/>
                  <w:noWrap w:val="0"/>
                  <w:vAlign w:val="center"/>
                </w:tcPr>
                <w:p w14:paraId="687AF43C">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10</w:t>
                  </w:r>
                </w:p>
              </w:tc>
              <w:tc>
                <w:tcPr>
                  <w:tcW w:w="1226" w:type="dxa"/>
                  <w:tcBorders>
                    <w:tl2br w:val="nil"/>
                    <w:tr2bl w:val="nil"/>
                  </w:tcBorders>
                  <w:shd w:val="clear" w:color="auto" w:fill="D7D7D7"/>
                  <w:noWrap w:val="0"/>
                  <w:vAlign w:val="center"/>
                </w:tcPr>
                <w:p w14:paraId="06FA9E25">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15</w:t>
                  </w:r>
                </w:p>
              </w:tc>
            </w:tr>
            <w:tr w14:paraId="667A98C1">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78" w:type="dxa"/>
                  <w:tcBorders>
                    <w:tl2br w:val="nil"/>
                    <w:tr2bl w:val="nil"/>
                  </w:tcBorders>
                  <w:shd w:val="clear" w:color="auto" w:fill="auto"/>
                  <w:noWrap w:val="0"/>
                  <w:vAlign w:val="center"/>
                </w:tcPr>
                <w:p w14:paraId="586197AE">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5</w:t>
                  </w:r>
                </w:p>
              </w:tc>
              <w:tc>
                <w:tcPr>
                  <w:tcW w:w="2645" w:type="dxa"/>
                  <w:tcBorders>
                    <w:tl2br w:val="nil"/>
                    <w:tr2bl w:val="nil"/>
                  </w:tcBorders>
                  <w:shd w:val="clear" w:color="auto" w:fill="auto"/>
                  <w:noWrap w:val="0"/>
                  <w:vAlign w:val="center"/>
                </w:tcPr>
                <w:p w14:paraId="53285832">
                  <w:pPr>
                    <w:pStyle w:val="68"/>
                    <w:autoSpaceDE w:val="0"/>
                    <w:autoSpaceDN w:val="0"/>
                    <w:rPr>
                      <w:rFonts w:ascii="Times New Roman" w:hAnsi="Times New Roman" w:eastAsia="宋体" w:cs="Times New Roman"/>
                      <w:b w:val="0"/>
                      <w:bCs w:val="0"/>
                      <w:color w:val="auto"/>
                      <w:spacing w:val="0"/>
                      <w:position w:val="0"/>
                      <w:sz w:val="21"/>
                      <w:szCs w:val="21"/>
                      <w:highlight w:val="none"/>
                      <w:lang w:eastAsia="en-US"/>
                    </w:rPr>
                  </w:pPr>
                  <w:r>
                    <w:rPr>
                      <w:rFonts w:ascii="Times New Roman" w:hAnsi="Times New Roman" w:eastAsia="宋体" w:cs="Times New Roman"/>
                      <w:b w:val="0"/>
                      <w:bCs w:val="0"/>
                      <w:color w:val="auto"/>
                      <w:spacing w:val="0"/>
                      <w:position w:val="0"/>
                      <w:sz w:val="21"/>
                      <w:szCs w:val="21"/>
                      <w:highlight w:val="none"/>
                      <w:lang w:eastAsia="en-US"/>
                    </w:rPr>
                    <w:t>五日生化需氧量</w:t>
                  </w:r>
                  <w:r>
                    <w:rPr>
                      <w:rFonts w:hint="eastAsia" w:ascii="Times New Roman" w:hAnsi="Times New Roman" w:eastAsia="宋体" w:cs="Times New Roman"/>
                      <w:b w:val="0"/>
                      <w:bCs w:val="0"/>
                      <w:color w:val="auto"/>
                      <w:spacing w:val="0"/>
                      <w:position w:val="0"/>
                      <w:sz w:val="21"/>
                      <w:szCs w:val="21"/>
                      <w:highlight w:val="none"/>
                      <w:lang w:eastAsia="zh-CN"/>
                    </w:rPr>
                    <w:t>（</w:t>
                  </w:r>
                  <w:r>
                    <w:rPr>
                      <w:rFonts w:ascii="Times New Roman" w:hAnsi="Times New Roman" w:eastAsia="宋体" w:cs="Times New Roman"/>
                      <w:b w:val="0"/>
                      <w:bCs w:val="0"/>
                      <w:color w:val="auto"/>
                      <w:spacing w:val="0"/>
                      <w:position w:val="0"/>
                      <w:sz w:val="21"/>
                      <w:szCs w:val="21"/>
                      <w:highlight w:val="none"/>
                      <w:lang w:eastAsia="en-US"/>
                    </w:rPr>
                    <w:t>BOD</w:t>
                  </w:r>
                  <w:r>
                    <w:rPr>
                      <w:rFonts w:ascii="Times New Roman" w:hAnsi="Times New Roman" w:eastAsia="宋体" w:cs="Times New Roman"/>
                      <w:b w:val="0"/>
                      <w:bCs w:val="0"/>
                      <w:color w:val="auto"/>
                      <w:spacing w:val="0"/>
                      <w:position w:val="0"/>
                      <w:sz w:val="21"/>
                      <w:szCs w:val="21"/>
                      <w:highlight w:val="none"/>
                      <w:vertAlign w:val="subscript"/>
                      <w:lang w:eastAsia="en-US"/>
                    </w:rPr>
                    <w:t>5</w:t>
                  </w:r>
                  <w:r>
                    <w:rPr>
                      <w:rFonts w:hint="eastAsia" w:ascii="Times New Roman" w:hAnsi="Times New Roman" w:eastAsia="宋体" w:cs="Times New Roman"/>
                      <w:b w:val="0"/>
                      <w:bCs w:val="0"/>
                      <w:color w:val="auto"/>
                      <w:spacing w:val="0"/>
                      <w:position w:val="0"/>
                      <w:sz w:val="21"/>
                      <w:szCs w:val="21"/>
                      <w:highlight w:val="none"/>
                      <w:lang w:eastAsia="zh-CN"/>
                    </w:rPr>
                    <w:t>）</w:t>
                  </w:r>
                  <w:r>
                    <w:rPr>
                      <w:rFonts w:ascii="Times New Roman" w:hAnsi="Times New Roman" w:eastAsia="宋体" w:cs="Times New Roman"/>
                      <w:b w:val="0"/>
                      <w:bCs w:val="0"/>
                      <w:color w:val="auto"/>
                      <w:spacing w:val="0"/>
                      <w:position w:val="0"/>
                      <w:sz w:val="21"/>
                      <w:szCs w:val="21"/>
                      <w:highlight w:val="none"/>
                      <w:lang w:eastAsia="en-US"/>
                    </w:rPr>
                    <w:t>≤</w:t>
                  </w:r>
                </w:p>
              </w:tc>
              <w:tc>
                <w:tcPr>
                  <w:tcW w:w="1222" w:type="dxa"/>
                  <w:tcBorders>
                    <w:tl2br w:val="nil"/>
                    <w:tr2bl w:val="nil"/>
                  </w:tcBorders>
                  <w:shd w:val="clear" w:color="auto" w:fill="auto"/>
                  <w:noWrap w:val="0"/>
                  <w:vAlign w:val="center"/>
                </w:tcPr>
                <w:p w14:paraId="1B75916B">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3</w:t>
                  </w:r>
                </w:p>
              </w:tc>
              <w:tc>
                <w:tcPr>
                  <w:tcW w:w="1224" w:type="dxa"/>
                  <w:tcBorders>
                    <w:tl2br w:val="nil"/>
                    <w:tr2bl w:val="nil"/>
                  </w:tcBorders>
                  <w:shd w:val="clear" w:color="auto" w:fill="D7D7D7"/>
                  <w:noWrap w:val="0"/>
                  <w:vAlign w:val="center"/>
                </w:tcPr>
                <w:p w14:paraId="5ADCB1EC">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4</w:t>
                  </w:r>
                </w:p>
              </w:tc>
              <w:tc>
                <w:tcPr>
                  <w:tcW w:w="1223" w:type="dxa"/>
                  <w:tcBorders>
                    <w:tl2br w:val="nil"/>
                    <w:tr2bl w:val="nil"/>
                  </w:tcBorders>
                  <w:shd w:val="clear" w:color="auto" w:fill="D7D7D7" w:themeFill="background1" w:themeFillShade="D8"/>
                  <w:noWrap w:val="0"/>
                  <w:vAlign w:val="center"/>
                </w:tcPr>
                <w:p w14:paraId="0BDBAF93">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6</w:t>
                  </w:r>
                </w:p>
              </w:tc>
              <w:tc>
                <w:tcPr>
                  <w:tcW w:w="1226" w:type="dxa"/>
                  <w:tcBorders>
                    <w:tl2br w:val="nil"/>
                    <w:tr2bl w:val="nil"/>
                  </w:tcBorders>
                  <w:shd w:val="clear" w:color="auto" w:fill="D7D7D7"/>
                  <w:noWrap w:val="0"/>
                  <w:vAlign w:val="center"/>
                </w:tcPr>
                <w:p w14:paraId="738CA98C">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10</w:t>
                  </w:r>
                </w:p>
              </w:tc>
            </w:tr>
            <w:tr w14:paraId="4F9BEDEB">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78" w:type="dxa"/>
                  <w:tcBorders>
                    <w:tl2br w:val="nil"/>
                    <w:tr2bl w:val="nil"/>
                  </w:tcBorders>
                  <w:shd w:val="clear" w:color="auto" w:fill="auto"/>
                  <w:noWrap w:val="0"/>
                  <w:vAlign w:val="center"/>
                </w:tcPr>
                <w:p w14:paraId="547830F5">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6</w:t>
                  </w:r>
                </w:p>
              </w:tc>
              <w:tc>
                <w:tcPr>
                  <w:tcW w:w="2645" w:type="dxa"/>
                  <w:tcBorders>
                    <w:tl2br w:val="nil"/>
                    <w:tr2bl w:val="nil"/>
                  </w:tcBorders>
                  <w:shd w:val="clear" w:color="auto" w:fill="auto"/>
                  <w:noWrap w:val="0"/>
                  <w:vAlign w:val="center"/>
                </w:tcPr>
                <w:p w14:paraId="118768AF">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氨氮</w:t>
                  </w:r>
                  <w:r>
                    <w:rPr>
                      <w:rFonts w:hint="eastAsia" w:ascii="Times New Roman" w:hAnsi="Times New Roman" w:eastAsia="宋体" w:cs="Times New Roman"/>
                      <w:b w:val="0"/>
                      <w:bCs w:val="0"/>
                      <w:color w:val="auto"/>
                      <w:spacing w:val="0"/>
                      <w:position w:val="0"/>
                      <w:sz w:val="21"/>
                      <w:szCs w:val="21"/>
                      <w:highlight w:val="none"/>
                      <w:lang w:eastAsia="zh-CN"/>
                    </w:rPr>
                    <w:t>（</w:t>
                  </w:r>
                  <w:r>
                    <w:rPr>
                      <w:rFonts w:ascii="Times New Roman" w:hAnsi="Times New Roman" w:eastAsia="宋体" w:cs="Times New Roman"/>
                      <w:b w:val="0"/>
                      <w:bCs w:val="0"/>
                      <w:color w:val="auto"/>
                      <w:spacing w:val="0"/>
                      <w:position w:val="0"/>
                      <w:sz w:val="21"/>
                      <w:szCs w:val="21"/>
                      <w:highlight w:val="none"/>
                      <w:lang w:eastAsia="zh-CN"/>
                    </w:rPr>
                    <w:t>NH</w:t>
                  </w:r>
                  <w:r>
                    <w:rPr>
                      <w:rFonts w:ascii="Times New Roman" w:hAnsi="Times New Roman" w:eastAsia="宋体" w:cs="Times New Roman"/>
                      <w:b w:val="0"/>
                      <w:bCs w:val="0"/>
                      <w:color w:val="auto"/>
                      <w:spacing w:val="0"/>
                      <w:position w:val="0"/>
                      <w:sz w:val="21"/>
                      <w:szCs w:val="21"/>
                      <w:highlight w:val="none"/>
                      <w:vertAlign w:val="subscript"/>
                      <w:lang w:eastAsia="zh-CN"/>
                    </w:rPr>
                    <w:t>3</w:t>
                  </w:r>
                  <w:r>
                    <w:rPr>
                      <w:rFonts w:ascii="Times New Roman" w:hAnsi="Times New Roman" w:eastAsia="宋体" w:cs="Times New Roman"/>
                      <w:b w:val="0"/>
                      <w:bCs w:val="0"/>
                      <w:color w:val="auto"/>
                      <w:spacing w:val="0"/>
                      <w:position w:val="0"/>
                      <w:sz w:val="21"/>
                      <w:szCs w:val="21"/>
                      <w:highlight w:val="none"/>
                      <w:lang w:eastAsia="zh-CN"/>
                    </w:rPr>
                    <w:t>-N</w:t>
                  </w:r>
                  <w:r>
                    <w:rPr>
                      <w:rFonts w:hint="eastAsia" w:ascii="Times New Roman" w:hAnsi="Times New Roman" w:eastAsia="宋体" w:cs="Times New Roman"/>
                      <w:b w:val="0"/>
                      <w:bCs w:val="0"/>
                      <w:color w:val="auto"/>
                      <w:spacing w:val="0"/>
                      <w:position w:val="0"/>
                      <w:sz w:val="21"/>
                      <w:szCs w:val="21"/>
                      <w:highlight w:val="none"/>
                      <w:lang w:eastAsia="zh-CN"/>
                    </w:rPr>
                    <w:t>）</w:t>
                  </w:r>
                  <w:r>
                    <w:rPr>
                      <w:rFonts w:ascii="Times New Roman" w:hAnsi="Times New Roman" w:eastAsia="宋体" w:cs="Times New Roman"/>
                      <w:b w:val="0"/>
                      <w:bCs w:val="0"/>
                      <w:color w:val="auto"/>
                      <w:spacing w:val="0"/>
                      <w:position w:val="0"/>
                      <w:sz w:val="21"/>
                      <w:szCs w:val="21"/>
                      <w:highlight w:val="none"/>
                      <w:lang w:eastAsia="zh-CN"/>
                    </w:rPr>
                    <w:t>≤</w:t>
                  </w:r>
                </w:p>
              </w:tc>
              <w:tc>
                <w:tcPr>
                  <w:tcW w:w="1222" w:type="dxa"/>
                  <w:tcBorders>
                    <w:tl2br w:val="nil"/>
                    <w:tr2bl w:val="nil"/>
                  </w:tcBorders>
                  <w:shd w:val="clear" w:color="auto" w:fill="auto"/>
                  <w:noWrap w:val="0"/>
                  <w:vAlign w:val="center"/>
                </w:tcPr>
                <w:p w14:paraId="061919C7">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0.5</w:t>
                  </w:r>
                </w:p>
              </w:tc>
              <w:tc>
                <w:tcPr>
                  <w:tcW w:w="1224" w:type="dxa"/>
                  <w:tcBorders>
                    <w:tl2br w:val="nil"/>
                    <w:tr2bl w:val="nil"/>
                  </w:tcBorders>
                  <w:shd w:val="clear" w:color="auto" w:fill="D7D7D7"/>
                  <w:noWrap w:val="0"/>
                  <w:vAlign w:val="center"/>
                </w:tcPr>
                <w:p w14:paraId="22787E1B">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1.0</w:t>
                  </w:r>
                </w:p>
              </w:tc>
              <w:tc>
                <w:tcPr>
                  <w:tcW w:w="1223" w:type="dxa"/>
                  <w:tcBorders>
                    <w:tl2br w:val="nil"/>
                    <w:tr2bl w:val="nil"/>
                  </w:tcBorders>
                  <w:shd w:val="clear" w:color="auto" w:fill="D7D7D7" w:themeFill="background1" w:themeFillShade="D8"/>
                  <w:noWrap w:val="0"/>
                  <w:vAlign w:val="center"/>
                </w:tcPr>
                <w:p w14:paraId="252DEB09">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1.5</w:t>
                  </w:r>
                </w:p>
              </w:tc>
              <w:tc>
                <w:tcPr>
                  <w:tcW w:w="1226" w:type="dxa"/>
                  <w:tcBorders>
                    <w:tl2br w:val="nil"/>
                    <w:tr2bl w:val="nil"/>
                  </w:tcBorders>
                  <w:shd w:val="clear" w:color="auto" w:fill="D7D7D7"/>
                  <w:noWrap w:val="0"/>
                  <w:vAlign w:val="center"/>
                </w:tcPr>
                <w:p w14:paraId="10C0ACF3">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2.0</w:t>
                  </w:r>
                </w:p>
              </w:tc>
            </w:tr>
            <w:tr w14:paraId="2FC193AB">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78" w:type="dxa"/>
                  <w:tcBorders>
                    <w:tl2br w:val="nil"/>
                    <w:tr2bl w:val="nil"/>
                  </w:tcBorders>
                  <w:shd w:val="clear" w:color="auto" w:fill="auto"/>
                  <w:noWrap w:val="0"/>
                  <w:vAlign w:val="center"/>
                </w:tcPr>
                <w:p w14:paraId="42B37089">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7</w:t>
                  </w:r>
                </w:p>
              </w:tc>
              <w:tc>
                <w:tcPr>
                  <w:tcW w:w="2645" w:type="dxa"/>
                  <w:tcBorders>
                    <w:tl2br w:val="nil"/>
                    <w:tr2bl w:val="nil"/>
                  </w:tcBorders>
                  <w:shd w:val="clear" w:color="auto" w:fill="auto"/>
                  <w:noWrap w:val="0"/>
                  <w:vAlign w:val="center"/>
                </w:tcPr>
                <w:p w14:paraId="203D7E25">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石油类≤</w:t>
                  </w:r>
                </w:p>
              </w:tc>
              <w:tc>
                <w:tcPr>
                  <w:tcW w:w="1222" w:type="dxa"/>
                  <w:tcBorders>
                    <w:tl2br w:val="nil"/>
                    <w:tr2bl w:val="nil"/>
                  </w:tcBorders>
                  <w:shd w:val="clear" w:color="auto" w:fill="auto"/>
                  <w:noWrap w:val="0"/>
                  <w:vAlign w:val="center"/>
                </w:tcPr>
                <w:p w14:paraId="4E4F3551">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0.05</w:t>
                  </w:r>
                </w:p>
              </w:tc>
              <w:tc>
                <w:tcPr>
                  <w:tcW w:w="1224" w:type="dxa"/>
                  <w:tcBorders>
                    <w:tl2br w:val="nil"/>
                    <w:tr2bl w:val="nil"/>
                  </w:tcBorders>
                  <w:shd w:val="clear" w:color="auto" w:fill="D7D7D7"/>
                  <w:noWrap w:val="0"/>
                  <w:vAlign w:val="center"/>
                </w:tcPr>
                <w:p w14:paraId="664A7505">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0.05</w:t>
                  </w:r>
                </w:p>
              </w:tc>
              <w:tc>
                <w:tcPr>
                  <w:tcW w:w="1223" w:type="dxa"/>
                  <w:tcBorders>
                    <w:tl2br w:val="nil"/>
                    <w:tr2bl w:val="nil"/>
                  </w:tcBorders>
                  <w:shd w:val="clear" w:color="auto" w:fill="D7D7D7" w:themeFill="background1" w:themeFillShade="D8"/>
                  <w:noWrap w:val="0"/>
                  <w:vAlign w:val="center"/>
                </w:tcPr>
                <w:p w14:paraId="39C57090">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0.5</w:t>
                  </w:r>
                </w:p>
              </w:tc>
              <w:tc>
                <w:tcPr>
                  <w:tcW w:w="1226" w:type="dxa"/>
                  <w:tcBorders>
                    <w:tl2br w:val="nil"/>
                    <w:tr2bl w:val="nil"/>
                  </w:tcBorders>
                  <w:shd w:val="clear" w:color="auto" w:fill="D7D7D7"/>
                  <w:noWrap w:val="0"/>
                  <w:vAlign w:val="center"/>
                </w:tcPr>
                <w:p w14:paraId="42C05B7C">
                  <w:pPr>
                    <w:pStyle w:val="68"/>
                    <w:autoSpaceDE w:val="0"/>
                    <w:autoSpaceDN w:val="0"/>
                    <w:rPr>
                      <w:rFonts w:ascii="Times New Roman" w:hAnsi="Times New Roman" w:eastAsia="宋体" w:cs="Times New Roman"/>
                      <w:b w:val="0"/>
                      <w:bCs w:val="0"/>
                      <w:color w:val="auto"/>
                      <w:spacing w:val="0"/>
                      <w:position w:val="0"/>
                      <w:sz w:val="21"/>
                      <w:szCs w:val="21"/>
                      <w:highlight w:val="none"/>
                      <w:lang w:eastAsia="zh-CN"/>
                    </w:rPr>
                  </w:pPr>
                  <w:r>
                    <w:rPr>
                      <w:rFonts w:ascii="Times New Roman" w:hAnsi="Times New Roman" w:eastAsia="宋体" w:cs="Times New Roman"/>
                      <w:b w:val="0"/>
                      <w:bCs w:val="0"/>
                      <w:color w:val="auto"/>
                      <w:spacing w:val="0"/>
                      <w:position w:val="0"/>
                      <w:sz w:val="21"/>
                      <w:szCs w:val="21"/>
                      <w:highlight w:val="none"/>
                      <w:lang w:eastAsia="zh-CN"/>
                    </w:rPr>
                    <w:t>1.0</w:t>
                  </w:r>
                </w:p>
              </w:tc>
            </w:tr>
            <w:tr w14:paraId="06120828">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678" w:type="dxa"/>
                  <w:tcBorders>
                    <w:tl2br w:val="nil"/>
                    <w:tr2bl w:val="nil"/>
                  </w:tcBorders>
                  <w:shd w:val="clear" w:color="auto" w:fill="auto"/>
                  <w:noWrap w:val="0"/>
                  <w:vAlign w:val="center"/>
                </w:tcPr>
                <w:p w14:paraId="7AECBA94">
                  <w:pPr>
                    <w:pStyle w:val="68"/>
                    <w:autoSpaceDE w:val="0"/>
                    <w:autoSpaceDN w:val="0"/>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lang w:val="en-US" w:eastAsia="zh-CN"/>
                    </w:rPr>
                    <w:t>8</w:t>
                  </w:r>
                </w:p>
              </w:tc>
              <w:tc>
                <w:tcPr>
                  <w:tcW w:w="2645" w:type="dxa"/>
                  <w:tcBorders>
                    <w:tl2br w:val="nil"/>
                    <w:tr2bl w:val="nil"/>
                  </w:tcBorders>
                  <w:shd w:val="clear" w:color="auto" w:fill="auto"/>
                  <w:noWrap w:val="0"/>
                  <w:vAlign w:val="center"/>
                </w:tcPr>
                <w:p w14:paraId="4FFF76B3">
                  <w:pPr>
                    <w:pStyle w:val="68"/>
                    <w:autoSpaceDE w:val="0"/>
                    <w:autoSpaceDN w:val="0"/>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lang w:val="en-US" w:eastAsia="zh-CN"/>
                    </w:rPr>
                    <w:t>总磷</w:t>
                  </w:r>
                  <w:r>
                    <w:rPr>
                      <w:rFonts w:ascii="Times New Roman" w:hAnsi="Times New Roman" w:eastAsia="宋体" w:cs="Times New Roman"/>
                      <w:b w:val="0"/>
                      <w:bCs w:val="0"/>
                      <w:color w:val="auto"/>
                      <w:spacing w:val="0"/>
                      <w:position w:val="0"/>
                      <w:sz w:val="21"/>
                      <w:szCs w:val="21"/>
                      <w:highlight w:val="none"/>
                      <w:lang w:eastAsia="zh-CN"/>
                    </w:rPr>
                    <w:t>≤</w:t>
                  </w:r>
                </w:p>
              </w:tc>
              <w:tc>
                <w:tcPr>
                  <w:tcW w:w="1222" w:type="dxa"/>
                  <w:tcBorders>
                    <w:tl2br w:val="nil"/>
                    <w:tr2bl w:val="nil"/>
                  </w:tcBorders>
                  <w:shd w:val="clear" w:color="auto" w:fill="auto"/>
                  <w:noWrap w:val="0"/>
                  <w:vAlign w:val="center"/>
                </w:tcPr>
                <w:p w14:paraId="17072B48">
                  <w:pPr>
                    <w:pStyle w:val="68"/>
                    <w:autoSpaceDE w:val="0"/>
                    <w:autoSpaceDN w:val="0"/>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lang w:val="en-US" w:eastAsia="zh-CN"/>
                    </w:rPr>
                    <w:t>0.1</w:t>
                  </w:r>
                </w:p>
              </w:tc>
              <w:tc>
                <w:tcPr>
                  <w:tcW w:w="1224" w:type="dxa"/>
                  <w:tcBorders>
                    <w:tl2br w:val="nil"/>
                    <w:tr2bl w:val="nil"/>
                  </w:tcBorders>
                  <w:shd w:val="clear" w:color="auto" w:fill="D7D7D7"/>
                  <w:noWrap w:val="0"/>
                  <w:vAlign w:val="center"/>
                </w:tcPr>
                <w:p w14:paraId="7AAAB28B">
                  <w:pPr>
                    <w:pStyle w:val="68"/>
                    <w:autoSpaceDE w:val="0"/>
                    <w:autoSpaceDN w:val="0"/>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lang w:val="en-US" w:eastAsia="zh-CN"/>
                    </w:rPr>
                    <w:t>0.2</w:t>
                  </w:r>
                </w:p>
              </w:tc>
              <w:tc>
                <w:tcPr>
                  <w:tcW w:w="1223" w:type="dxa"/>
                  <w:tcBorders>
                    <w:tl2br w:val="nil"/>
                    <w:tr2bl w:val="nil"/>
                  </w:tcBorders>
                  <w:shd w:val="clear" w:color="auto" w:fill="D7D7D7" w:themeFill="background1" w:themeFillShade="D8"/>
                  <w:noWrap w:val="0"/>
                  <w:vAlign w:val="center"/>
                </w:tcPr>
                <w:p w14:paraId="3EEEF39E">
                  <w:pPr>
                    <w:pStyle w:val="68"/>
                    <w:autoSpaceDE w:val="0"/>
                    <w:autoSpaceDN w:val="0"/>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lang w:val="en-US" w:eastAsia="zh-CN"/>
                    </w:rPr>
                    <w:t>0.3</w:t>
                  </w:r>
                </w:p>
              </w:tc>
              <w:tc>
                <w:tcPr>
                  <w:tcW w:w="1226" w:type="dxa"/>
                  <w:tcBorders>
                    <w:tl2br w:val="nil"/>
                    <w:tr2bl w:val="nil"/>
                  </w:tcBorders>
                  <w:shd w:val="clear" w:color="auto" w:fill="D7D7D7"/>
                  <w:noWrap w:val="0"/>
                  <w:vAlign w:val="center"/>
                </w:tcPr>
                <w:p w14:paraId="6D1781C9">
                  <w:pPr>
                    <w:pStyle w:val="68"/>
                    <w:autoSpaceDE w:val="0"/>
                    <w:autoSpaceDN w:val="0"/>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lang w:val="en-US" w:eastAsia="zh-CN"/>
                    </w:rPr>
                    <w:t>0.4</w:t>
                  </w:r>
                </w:p>
              </w:tc>
            </w:tr>
          </w:tbl>
          <w:p w14:paraId="3888A990">
            <w:pPr>
              <w:keepNext w:val="0"/>
              <w:keepLines w:val="0"/>
              <w:pageBreakBefore w:val="0"/>
              <w:widowControl/>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3.1.3声环境</w:t>
            </w:r>
          </w:p>
          <w:p w14:paraId="3BE64E73">
            <w:pPr>
              <w:keepNext w:val="0"/>
              <w:keepLines w:val="0"/>
              <w:pageBreakBefore w:val="0"/>
              <w:widowControl/>
              <w:suppressLineNumbers w:val="0"/>
              <w:kinsoku/>
              <w:wordWrap/>
              <w:overflowPunct w:val="0"/>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highlight w:val="none"/>
                <w:lang w:val="en-US" w:eastAsia="zh-CN" w:bidi="ar"/>
              </w:rPr>
            </w:pPr>
            <w:r>
              <w:rPr>
                <w:rFonts w:hint="default" w:ascii="Times New Roman" w:hAnsi="Times New Roman" w:eastAsia="宋体" w:cs="Times New Roman"/>
                <w:color w:val="auto"/>
                <w:spacing w:val="0"/>
                <w:sz w:val="24"/>
                <w:highlight w:val="none"/>
              </w:rPr>
              <w:t>项目位于闽侯经济技术开发区内，以工业生产、仓储物流为主要功能，根据《声环境功能区划分技术规范》(GB/T15190-2014)等可知，项目所在区域声环境为3类功能区，声环境功能执行《声环境质量标准》</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GB3096-2008</w:t>
            </w:r>
            <w:r>
              <w:rPr>
                <w:rFonts w:hint="eastAsia"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表1中3类标准，</w:t>
            </w:r>
            <w:r>
              <w:rPr>
                <w:color w:val="auto"/>
                <w:sz w:val="24"/>
                <w:szCs w:val="24"/>
                <w:highlight w:val="none"/>
              </w:rPr>
              <w:t>即昼间≤65dB</w:t>
            </w:r>
            <w:r>
              <w:rPr>
                <w:rFonts w:hint="eastAsia"/>
                <w:color w:val="auto"/>
                <w:sz w:val="24"/>
                <w:szCs w:val="24"/>
                <w:highlight w:val="none"/>
              </w:rPr>
              <w:t>（</w:t>
            </w:r>
            <w:r>
              <w:rPr>
                <w:color w:val="auto"/>
                <w:sz w:val="24"/>
                <w:szCs w:val="24"/>
                <w:highlight w:val="none"/>
              </w:rPr>
              <w:t>A</w:t>
            </w:r>
            <w:r>
              <w:rPr>
                <w:rFonts w:hint="eastAsia"/>
                <w:color w:val="auto"/>
                <w:sz w:val="24"/>
                <w:szCs w:val="24"/>
                <w:highlight w:val="none"/>
              </w:rPr>
              <w:t>）</w:t>
            </w:r>
            <w:r>
              <w:rPr>
                <w:color w:val="auto"/>
                <w:sz w:val="24"/>
                <w:szCs w:val="24"/>
                <w:highlight w:val="none"/>
              </w:rPr>
              <w:t>、夜间≤55dB</w:t>
            </w:r>
            <w:r>
              <w:rPr>
                <w:rFonts w:hint="eastAsia"/>
                <w:color w:val="auto"/>
                <w:sz w:val="24"/>
                <w:szCs w:val="24"/>
                <w:highlight w:val="none"/>
              </w:rPr>
              <w:t>（</w:t>
            </w:r>
            <w:r>
              <w:rPr>
                <w:color w:val="auto"/>
                <w:sz w:val="24"/>
                <w:szCs w:val="24"/>
                <w:highlight w:val="none"/>
              </w:rPr>
              <w:t>A</w:t>
            </w:r>
            <w:r>
              <w:rPr>
                <w:rFonts w:hint="eastAsia"/>
                <w:color w:val="auto"/>
                <w:sz w:val="24"/>
                <w:szCs w:val="24"/>
                <w:highlight w:val="none"/>
              </w:rPr>
              <w:t>）</w:t>
            </w:r>
            <w:r>
              <w:rPr>
                <w:color w:val="auto"/>
                <w:sz w:val="24"/>
                <w:szCs w:val="24"/>
                <w:highlight w:val="none"/>
              </w:rPr>
              <w:t>，</w:t>
            </w:r>
            <w:r>
              <w:rPr>
                <w:rFonts w:hint="default" w:ascii="Times New Roman" w:hAnsi="Times New Roman" w:eastAsia="宋体" w:cs="Times New Roman"/>
                <w:color w:val="auto"/>
                <w:spacing w:val="0"/>
                <w:sz w:val="24"/>
                <w:highlight w:val="none"/>
              </w:rPr>
              <w:t>具体详见</w:t>
            </w:r>
            <w:r>
              <w:rPr>
                <w:rFonts w:hint="default" w:ascii="Times New Roman" w:hAnsi="Times New Roman" w:eastAsia="宋体" w:cs="Times New Roman"/>
                <w:color w:val="auto"/>
                <w:spacing w:val="0"/>
                <w:kern w:val="0"/>
                <w:position w:val="0"/>
                <w:sz w:val="24"/>
                <w:szCs w:val="24"/>
                <w:highlight w:val="none"/>
                <w:lang w:val="en-US" w:eastAsia="zh-CN" w:bidi="ar"/>
              </w:rPr>
              <w:t>表</w:t>
            </w:r>
            <w:r>
              <w:rPr>
                <w:rFonts w:hint="eastAsia" w:ascii="Times New Roman" w:hAnsi="Times New Roman" w:eastAsia="宋体" w:cs="Times New Roman"/>
                <w:color w:val="auto"/>
                <w:spacing w:val="0"/>
                <w:kern w:val="0"/>
                <w:position w:val="0"/>
                <w:sz w:val="24"/>
                <w:szCs w:val="24"/>
                <w:highlight w:val="none"/>
                <w:lang w:val="en-US" w:eastAsia="zh-CN" w:bidi="ar"/>
              </w:rPr>
              <w:t>3.1-4。</w:t>
            </w:r>
          </w:p>
          <w:p w14:paraId="18D7756D">
            <w:pPr>
              <w:pStyle w:val="73"/>
              <w:spacing w:before="48"/>
              <w:rPr>
                <w:rFonts w:hint="eastAsia"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rPr>
              <w:t>表3</w:t>
            </w:r>
            <w:r>
              <w:rPr>
                <w:rFonts w:hint="eastAsia" w:ascii="Times New Roman" w:hAnsi="Times New Roman" w:eastAsia="宋体" w:cs="Times New Roman"/>
                <w:color w:val="auto"/>
                <w:spacing w:val="0"/>
                <w:highlight w:val="none"/>
                <w:lang w:val="en-US" w:eastAsia="zh-CN"/>
              </w:rPr>
              <w:t>.1-4</w:t>
            </w:r>
            <w:r>
              <w:rPr>
                <w:rFonts w:ascii="Times New Roman" w:hAnsi="Times New Roman" w:eastAsia="宋体" w:cs="Times New Roman"/>
                <w:color w:val="auto"/>
                <w:spacing w:val="0"/>
                <w:highlight w:val="none"/>
              </w:rPr>
              <w:t xml:space="preserve"> 《声环境质量标准》</w:t>
            </w:r>
            <w:r>
              <w:rPr>
                <w:rFonts w:hint="eastAsia" w:ascii="Times New Roman" w:hAnsi="Times New Roman" w:eastAsia="宋体" w:cs="Times New Roman"/>
                <w:color w:val="auto"/>
                <w:spacing w:val="0"/>
                <w:highlight w:val="none"/>
                <w:lang w:eastAsia="zh-CN"/>
              </w:rPr>
              <w:t>（</w:t>
            </w:r>
            <w:r>
              <w:rPr>
                <w:rFonts w:ascii="Times New Roman" w:hAnsi="Times New Roman" w:eastAsia="宋体" w:cs="Times New Roman"/>
                <w:color w:val="auto"/>
                <w:spacing w:val="0"/>
                <w:highlight w:val="none"/>
              </w:rPr>
              <w:t>GB3096-2008</w:t>
            </w:r>
            <w:r>
              <w:rPr>
                <w:rFonts w:hint="eastAsia" w:ascii="Times New Roman" w:hAnsi="Times New Roman" w:eastAsia="宋体" w:cs="Times New Roman"/>
                <w:color w:val="auto"/>
                <w:spacing w:val="0"/>
                <w:highlight w:val="none"/>
                <w:lang w:eastAsia="zh-CN"/>
              </w:rPr>
              <w:t>）（</w:t>
            </w:r>
            <w:r>
              <w:rPr>
                <w:rFonts w:ascii="Times New Roman" w:hAnsi="Times New Roman" w:eastAsia="宋体" w:cs="Times New Roman"/>
                <w:color w:val="auto"/>
                <w:spacing w:val="0"/>
                <w:highlight w:val="none"/>
              </w:rPr>
              <w:t>摘录</w:t>
            </w:r>
            <w:r>
              <w:rPr>
                <w:rFonts w:hint="eastAsia" w:ascii="Times New Roman" w:hAnsi="Times New Roman" w:eastAsia="宋体" w:cs="Times New Roman"/>
                <w:color w:val="auto"/>
                <w:spacing w:val="0"/>
                <w:highlight w:val="none"/>
                <w:lang w:eastAsia="zh-CN"/>
              </w:rPr>
              <w:t>）</w:t>
            </w:r>
            <w:r>
              <w:rPr>
                <w:rFonts w:ascii="Times New Roman" w:hAnsi="Times New Roman" w:eastAsia="宋体" w:cs="Times New Roman"/>
                <w:color w:val="auto"/>
                <w:spacing w:val="0"/>
                <w:highlight w:val="none"/>
              </w:rPr>
              <w:tab/>
            </w:r>
            <w:r>
              <w:rPr>
                <w:rFonts w:ascii="Times New Roman" w:hAnsi="Times New Roman" w:eastAsia="宋体" w:cs="Times New Roman"/>
                <w:color w:val="auto"/>
                <w:spacing w:val="0"/>
                <w:highlight w:val="none"/>
              </w:rPr>
              <w:t>单位</w:t>
            </w:r>
            <w:r>
              <w:rPr>
                <w:rFonts w:hint="eastAsia" w:ascii="Times New Roman" w:hAnsi="Times New Roman" w:eastAsia="宋体" w:cs="Times New Roman"/>
                <w:color w:val="auto"/>
                <w:spacing w:val="0"/>
                <w:highlight w:val="none"/>
                <w:lang w:eastAsia="zh-CN"/>
              </w:rPr>
              <w:t>：</w:t>
            </w:r>
            <w:r>
              <w:rPr>
                <w:rFonts w:ascii="Times New Roman" w:hAnsi="Times New Roman" w:eastAsia="宋体" w:cs="Times New Roman"/>
                <w:color w:val="auto"/>
                <w:spacing w:val="0"/>
                <w:highlight w:val="none"/>
              </w:rPr>
              <w:t>dB</w:t>
            </w:r>
            <w:r>
              <w:rPr>
                <w:rFonts w:hint="eastAsia" w:ascii="Times New Roman" w:hAnsi="Times New Roman" w:eastAsia="宋体" w:cs="Times New Roman"/>
                <w:color w:val="auto"/>
                <w:spacing w:val="0"/>
                <w:highlight w:val="none"/>
                <w:lang w:eastAsia="zh-CN"/>
              </w:rPr>
              <w:t>（</w:t>
            </w:r>
            <w:r>
              <w:rPr>
                <w:rFonts w:ascii="Times New Roman" w:hAnsi="Times New Roman" w:eastAsia="宋体" w:cs="Times New Roman"/>
                <w:color w:val="auto"/>
                <w:spacing w:val="0"/>
                <w:highlight w:val="none"/>
              </w:rPr>
              <w:t>A</w:t>
            </w:r>
            <w:r>
              <w:rPr>
                <w:rFonts w:hint="eastAsia" w:ascii="Times New Roman" w:hAnsi="Times New Roman" w:eastAsia="宋体" w:cs="Times New Roman"/>
                <w:color w:val="auto"/>
                <w:spacing w:val="0"/>
                <w:highlight w:val="none"/>
                <w:lang w:eastAsia="zh-CN"/>
              </w:rPr>
              <w:t>）</w:t>
            </w:r>
          </w:p>
          <w:tbl>
            <w:tblPr>
              <w:tblStyle w:val="88"/>
              <w:tblW w:w="5000" w:type="pct"/>
              <w:jc w:val="center"/>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940"/>
              <w:gridCol w:w="2525"/>
              <w:gridCol w:w="2509"/>
            </w:tblGrid>
            <w:tr w14:paraId="069C56B7">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940" w:type="dxa"/>
                  <w:vMerge w:val="restart"/>
                  <w:tcBorders>
                    <w:tl2br w:val="single" w:color="000000" w:sz="4" w:space="0"/>
                  </w:tcBorders>
                  <w:noWrap w:val="0"/>
                  <w:vAlign w:val="center"/>
                </w:tcPr>
                <w:p w14:paraId="1B21FD7D">
                  <w:pPr>
                    <w:pStyle w:val="68"/>
                    <w:autoSpaceDE w:val="0"/>
                    <w:autoSpaceDN w:val="0"/>
                    <w:ind w:right="420"/>
                    <w:jc w:val="right"/>
                    <w:rPr>
                      <w:rFonts w:ascii="Times New Roman" w:hAnsi="Times New Roman" w:eastAsia="宋体" w:cs="Times New Roman"/>
                      <w:b/>
                      <w:bCs/>
                      <w:color w:val="auto"/>
                      <w:spacing w:val="0"/>
                      <w:sz w:val="21"/>
                      <w:szCs w:val="21"/>
                      <w:highlight w:val="none"/>
                      <w:lang w:eastAsia="zh-CN"/>
                    </w:rPr>
                  </w:pPr>
                  <w:r>
                    <w:rPr>
                      <w:rFonts w:ascii="Times New Roman" w:hAnsi="Times New Roman" w:eastAsia="宋体" w:cs="Times New Roman"/>
                      <w:b/>
                      <w:bCs/>
                      <w:color w:val="auto"/>
                      <w:spacing w:val="0"/>
                      <w:sz w:val="21"/>
                      <w:szCs w:val="21"/>
                      <w:highlight w:val="none"/>
                      <w:lang w:eastAsia="zh-CN"/>
                    </w:rPr>
                    <w:t>时段</w:t>
                  </w:r>
                </w:p>
                <w:p w14:paraId="453E5098">
                  <w:pPr>
                    <w:pStyle w:val="68"/>
                    <w:autoSpaceDE w:val="0"/>
                    <w:autoSpaceDN w:val="0"/>
                    <w:jc w:val="left"/>
                    <w:rPr>
                      <w:rFonts w:ascii="Times New Roman" w:hAnsi="Times New Roman" w:eastAsia="宋体" w:cs="Times New Roman"/>
                      <w:b/>
                      <w:bCs/>
                      <w:color w:val="auto"/>
                      <w:spacing w:val="0"/>
                      <w:sz w:val="21"/>
                      <w:szCs w:val="21"/>
                      <w:highlight w:val="none"/>
                      <w:lang w:eastAsia="zh-CN"/>
                    </w:rPr>
                  </w:pPr>
                  <w:r>
                    <w:rPr>
                      <w:rFonts w:ascii="Times New Roman" w:hAnsi="Times New Roman" w:eastAsia="宋体" w:cs="Times New Roman"/>
                      <w:b/>
                      <w:bCs/>
                      <w:color w:val="auto"/>
                      <w:spacing w:val="0"/>
                      <w:sz w:val="21"/>
                      <w:szCs w:val="21"/>
                      <w:highlight w:val="none"/>
                      <w:lang w:eastAsia="zh-CN"/>
                    </w:rPr>
                    <w:t>声环境功能类别</w:t>
                  </w:r>
                </w:p>
              </w:tc>
              <w:tc>
                <w:tcPr>
                  <w:tcW w:w="5034" w:type="dxa"/>
                  <w:gridSpan w:val="2"/>
                  <w:tcBorders>
                    <w:tl2br w:val="nil"/>
                    <w:tr2bl w:val="nil"/>
                  </w:tcBorders>
                  <w:noWrap w:val="0"/>
                  <w:vAlign w:val="center"/>
                </w:tcPr>
                <w:p w14:paraId="75267B3C">
                  <w:pPr>
                    <w:pStyle w:val="68"/>
                    <w:autoSpaceDE w:val="0"/>
                    <w:autoSpaceDN w:val="0"/>
                    <w:rPr>
                      <w:rFonts w:ascii="Times New Roman" w:hAnsi="Times New Roman" w:eastAsia="宋体" w:cs="Times New Roman"/>
                      <w:b/>
                      <w:bCs/>
                      <w:color w:val="auto"/>
                      <w:spacing w:val="0"/>
                      <w:sz w:val="21"/>
                      <w:szCs w:val="21"/>
                      <w:highlight w:val="none"/>
                      <w:lang w:eastAsia="zh-CN"/>
                    </w:rPr>
                  </w:pPr>
                  <w:r>
                    <w:rPr>
                      <w:rFonts w:ascii="Times New Roman" w:hAnsi="Times New Roman" w:eastAsia="宋体" w:cs="Times New Roman"/>
                      <w:b/>
                      <w:bCs/>
                      <w:color w:val="auto"/>
                      <w:spacing w:val="0"/>
                      <w:sz w:val="21"/>
                      <w:szCs w:val="21"/>
                      <w:highlight w:val="none"/>
                      <w:lang w:eastAsia="zh-CN"/>
                    </w:rPr>
                    <w:t>环境噪声限值</w:t>
                  </w:r>
                </w:p>
              </w:tc>
            </w:tr>
            <w:tr w14:paraId="68DE80EE">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940" w:type="dxa"/>
                  <w:vMerge w:val="continue"/>
                  <w:tcBorders>
                    <w:tl2br w:val="nil"/>
                    <w:tr2bl w:val="nil"/>
                  </w:tcBorders>
                  <w:noWrap w:val="0"/>
                  <w:vAlign w:val="center"/>
                </w:tcPr>
                <w:p w14:paraId="32480629">
                  <w:pPr>
                    <w:pStyle w:val="68"/>
                    <w:autoSpaceDE w:val="0"/>
                    <w:autoSpaceDN w:val="0"/>
                    <w:rPr>
                      <w:rFonts w:ascii="Times New Roman" w:hAnsi="Times New Roman" w:eastAsia="宋体" w:cs="Times New Roman"/>
                      <w:b/>
                      <w:bCs/>
                      <w:color w:val="auto"/>
                      <w:spacing w:val="0"/>
                      <w:sz w:val="21"/>
                      <w:szCs w:val="21"/>
                      <w:highlight w:val="none"/>
                      <w:lang w:eastAsia="zh-CN"/>
                    </w:rPr>
                  </w:pPr>
                </w:p>
              </w:tc>
              <w:tc>
                <w:tcPr>
                  <w:tcW w:w="2525" w:type="dxa"/>
                  <w:tcBorders>
                    <w:tl2br w:val="nil"/>
                    <w:tr2bl w:val="nil"/>
                  </w:tcBorders>
                  <w:noWrap w:val="0"/>
                  <w:vAlign w:val="center"/>
                </w:tcPr>
                <w:p w14:paraId="2819D5D5">
                  <w:pPr>
                    <w:pStyle w:val="68"/>
                    <w:keepNext w:val="0"/>
                    <w:keepLines w:val="0"/>
                    <w:pageBreakBefore w:val="0"/>
                    <w:kinsoku/>
                    <w:wordWrap/>
                    <w:overflowPunct/>
                    <w:topLinePunct w:val="0"/>
                    <w:autoSpaceDE w:val="0"/>
                    <w:autoSpaceDN w:val="0"/>
                    <w:bidi w:val="0"/>
                    <w:adjustRightInd/>
                    <w:spacing w:line="240" w:lineRule="auto"/>
                    <w:jc w:val="center"/>
                    <w:textAlignment w:val="auto"/>
                    <w:rPr>
                      <w:rFonts w:ascii="Times New Roman" w:hAnsi="Times New Roman" w:eastAsia="宋体" w:cs="Times New Roman"/>
                      <w:b/>
                      <w:bCs/>
                      <w:color w:val="auto"/>
                      <w:spacing w:val="0"/>
                      <w:sz w:val="21"/>
                      <w:szCs w:val="21"/>
                      <w:highlight w:val="none"/>
                      <w:lang w:eastAsia="zh-CN"/>
                    </w:rPr>
                  </w:pPr>
                  <w:r>
                    <w:rPr>
                      <w:rFonts w:ascii="Times New Roman" w:hAnsi="Times New Roman" w:eastAsia="宋体" w:cs="Times New Roman"/>
                      <w:b/>
                      <w:bCs/>
                      <w:color w:val="auto"/>
                      <w:spacing w:val="0"/>
                      <w:sz w:val="21"/>
                      <w:szCs w:val="21"/>
                      <w:highlight w:val="none"/>
                      <w:lang w:eastAsia="zh-CN"/>
                    </w:rPr>
                    <w:t>昼间</w:t>
                  </w:r>
                </w:p>
              </w:tc>
              <w:tc>
                <w:tcPr>
                  <w:tcW w:w="2509" w:type="dxa"/>
                  <w:tcBorders>
                    <w:tl2br w:val="nil"/>
                    <w:tr2bl w:val="nil"/>
                  </w:tcBorders>
                  <w:noWrap w:val="0"/>
                  <w:vAlign w:val="center"/>
                </w:tcPr>
                <w:p w14:paraId="1D1FDCCD">
                  <w:pPr>
                    <w:pStyle w:val="68"/>
                    <w:keepNext w:val="0"/>
                    <w:keepLines w:val="0"/>
                    <w:pageBreakBefore w:val="0"/>
                    <w:kinsoku/>
                    <w:wordWrap/>
                    <w:overflowPunct/>
                    <w:topLinePunct w:val="0"/>
                    <w:autoSpaceDE w:val="0"/>
                    <w:autoSpaceDN w:val="0"/>
                    <w:bidi w:val="0"/>
                    <w:adjustRightInd/>
                    <w:spacing w:line="240" w:lineRule="auto"/>
                    <w:jc w:val="center"/>
                    <w:textAlignment w:val="auto"/>
                    <w:rPr>
                      <w:rFonts w:ascii="Times New Roman" w:hAnsi="Times New Roman" w:eastAsia="宋体" w:cs="Times New Roman"/>
                      <w:b/>
                      <w:bCs/>
                      <w:color w:val="auto"/>
                      <w:spacing w:val="0"/>
                      <w:sz w:val="21"/>
                      <w:szCs w:val="21"/>
                      <w:highlight w:val="none"/>
                      <w:lang w:eastAsia="zh-CN"/>
                    </w:rPr>
                  </w:pPr>
                  <w:r>
                    <w:rPr>
                      <w:rFonts w:ascii="Times New Roman" w:hAnsi="Times New Roman" w:eastAsia="宋体" w:cs="Times New Roman"/>
                      <w:b/>
                      <w:bCs/>
                      <w:color w:val="auto"/>
                      <w:spacing w:val="0"/>
                      <w:sz w:val="21"/>
                      <w:szCs w:val="21"/>
                      <w:highlight w:val="none"/>
                      <w:lang w:eastAsia="zh-CN"/>
                    </w:rPr>
                    <w:t>夜间</w:t>
                  </w:r>
                </w:p>
              </w:tc>
            </w:tr>
            <w:tr w14:paraId="3B5F8CEF">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940" w:type="dxa"/>
                  <w:tcBorders>
                    <w:tl2br w:val="nil"/>
                    <w:tr2bl w:val="nil"/>
                  </w:tcBorders>
                  <w:noWrap w:val="0"/>
                  <w:vAlign w:val="center"/>
                </w:tcPr>
                <w:p w14:paraId="479A2C6E">
                  <w:pPr>
                    <w:autoSpaceDE w:val="0"/>
                    <w:autoSpaceDN w:val="0"/>
                    <w:adjustRightInd w:val="0"/>
                    <w:snapToGrid w:val="0"/>
                    <w:spacing w:line="340" w:lineRule="exact"/>
                    <w:ind w:firstLine="0" w:firstLineChars="0"/>
                    <w:jc w:val="center"/>
                    <w:rPr>
                      <w:rFonts w:ascii="Times New Roman" w:hAnsi="Times New Roman" w:eastAsia="宋体" w:cs="Times New Roman"/>
                      <w:b w:val="0"/>
                      <w:bCs w:val="0"/>
                      <w:color w:val="auto"/>
                      <w:spacing w:val="0"/>
                      <w:sz w:val="21"/>
                      <w:szCs w:val="21"/>
                      <w:highlight w:val="none"/>
                      <w:lang w:eastAsia="zh-CN"/>
                    </w:rPr>
                  </w:pPr>
                  <w:r>
                    <w:rPr>
                      <w:rFonts w:hint="eastAsia" w:ascii="Times New Roman" w:hAnsi="Times New Roman" w:eastAsia="宋体"/>
                      <w:color w:val="auto"/>
                      <w:sz w:val="21"/>
                      <w:szCs w:val="21"/>
                      <w:highlight w:val="none"/>
                    </w:rPr>
                    <w:t>3</w:t>
                  </w:r>
                  <w:r>
                    <w:rPr>
                      <w:rFonts w:ascii="Times New Roman" w:hAnsi="Times New Roman" w:eastAsia="宋体"/>
                      <w:color w:val="auto"/>
                      <w:sz w:val="21"/>
                      <w:szCs w:val="21"/>
                      <w:highlight w:val="none"/>
                    </w:rPr>
                    <w:t>类</w:t>
                  </w:r>
                </w:p>
              </w:tc>
              <w:tc>
                <w:tcPr>
                  <w:tcW w:w="2525" w:type="dxa"/>
                  <w:tcBorders>
                    <w:tl2br w:val="nil"/>
                    <w:tr2bl w:val="nil"/>
                  </w:tcBorders>
                  <w:noWrap w:val="0"/>
                  <w:vAlign w:val="center"/>
                </w:tcPr>
                <w:p w14:paraId="62F032DC">
                  <w:pPr>
                    <w:autoSpaceDE w:val="0"/>
                    <w:autoSpaceDN w:val="0"/>
                    <w:adjustRightInd w:val="0"/>
                    <w:snapToGrid w:val="0"/>
                    <w:spacing w:line="340" w:lineRule="exact"/>
                    <w:ind w:firstLine="0" w:firstLineChars="0"/>
                    <w:jc w:val="center"/>
                    <w:rPr>
                      <w:rFonts w:hint="eastAsia"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olor w:val="auto"/>
                      <w:sz w:val="21"/>
                      <w:szCs w:val="21"/>
                      <w:highlight w:val="none"/>
                    </w:rPr>
                    <w:t>65</w:t>
                  </w:r>
                </w:p>
              </w:tc>
              <w:tc>
                <w:tcPr>
                  <w:tcW w:w="2509" w:type="dxa"/>
                  <w:tcBorders>
                    <w:tl2br w:val="nil"/>
                    <w:tr2bl w:val="nil"/>
                  </w:tcBorders>
                  <w:noWrap w:val="0"/>
                  <w:vAlign w:val="center"/>
                </w:tcPr>
                <w:p w14:paraId="3C33CC34">
                  <w:pPr>
                    <w:autoSpaceDE w:val="0"/>
                    <w:autoSpaceDN w:val="0"/>
                    <w:adjustRightInd w:val="0"/>
                    <w:snapToGrid w:val="0"/>
                    <w:spacing w:line="340" w:lineRule="exact"/>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ascii="Times New Roman" w:hAnsi="Times New Roman" w:eastAsia="宋体"/>
                      <w:color w:val="auto"/>
                      <w:sz w:val="21"/>
                      <w:szCs w:val="21"/>
                      <w:highlight w:val="none"/>
                    </w:rPr>
                    <w:t>5</w:t>
                  </w:r>
                  <w:r>
                    <w:rPr>
                      <w:rFonts w:hint="eastAsia" w:ascii="Times New Roman" w:hAnsi="Times New Roman" w:eastAsia="宋体"/>
                      <w:color w:val="auto"/>
                      <w:sz w:val="21"/>
                      <w:szCs w:val="21"/>
                      <w:highlight w:val="none"/>
                    </w:rPr>
                    <w:t>5</w:t>
                  </w:r>
                </w:p>
              </w:tc>
            </w:tr>
          </w:tbl>
          <w:p w14:paraId="6AF89B89">
            <w:pPr>
              <w:pStyle w:val="4"/>
              <w:keepNext/>
              <w:keepLines/>
              <w:pageBreakBefore w:val="0"/>
              <w:widowControl w:val="0"/>
              <w:kinsoku/>
              <w:wordWrap/>
              <w:overflowPunct/>
              <w:topLinePunct w:val="0"/>
              <w:autoSpaceDE/>
              <w:autoSpaceDN/>
              <w:bidi w:val="0"/>
              <w:adjustRightInd/>
              <w:snapToGrid/>
              <w:spacing w:before="157" w:beforeLines="50" w:after="0" w:line="360" w:lineRule="auto"/>
              <w:ind w:firstLine="482"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3.1.4生态环境</w:t>
            </w:r>
          </w:p>
          <w:p w14:paraId="381D7F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bCs/>
                <w:color w:val="auto"/>
                <w:spacing w:val="0"/>
                <w:sz w:val="24"/>
                <w:szCs w:val="24"/>
                <w:highlight w:val="none"/>
              </w:rPr>
            </w:pPr>
            <w:r>
              <w:rPr>
                <w:rFonts w:hint="eastAsia" w:ascii="Times New Roman" w:hAnsi="Times New Roman" w:eastAsia="宋体" w:cs="Times New Roman"/>
                <w:color w:val="auto"/>
                <w:spacing w:val="0"/>
                <w:kern w:val="0"/>
                <w:sz w:val="24"/>
                <w:szCs w:val="24"/>
                <w:highlight w:val="none"/>
                <w:lang w:val="en-US" w:eastAsia="zh-CN" w:bidi="ar"/>
              </w:rPr>
              <w:t>本项目用地范围内无生态环境保护目标，故根据“关于印发《建设项目环境影响报告表》内容、格式及编制技术指南的通知”（环办环评【</w:t>
            </w:r>
            <w:r>
              <w:rPr>
                <w:rFonts w:hint="default" w:ascii="Times New Roman" w:hAnsi="Times New Roman" w:eastAsia="宋体" w:cs="Times New Roman"/>
                <w:color w:val="auto"/>
                <w:spacing w:val="0"/>
                <w:kern w:val="0"/>
                <w:sz w:val="24"/>
                <w:szCs w:val="24"/>
                <w:highlight w:val="none"/>
                <w:lang w:val="en-US" w:eastAsia="zh-CN" w:bidi="ar"/>
              </w:rPr>
              <w:t>2020</w:t>
            </w:r>
            <w:r>
              <w:rPr>
                <w:rFonts w:hint="eastAsia" w:ascii="Times New Roman" w:hAnsi="Times New Roman" w:eastAsia="宋体"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33</w:t>
            </w:r>
            <w:r>
              <w:rPr>
                <w:rFonts w:hint="eastAsia" w:ascii="Times New Roman" w:hAnsi="Times New Roman" w:eastAsia="宋体" w:cs="Times New Roman"/>
                <w:color w:val="auto"/>
                <w:spacing w:val="0"/>
                <w:kern w:val="0"/>
                <w:sz w:val="24"/>
                <w:szCs w:val="24"/>
                <w:highlight w:val="none"/>
                <w:lang w:val="en-US" w:eastAsia="zh-CN" w:bidi="ar"/>
              </w:rPr>
              <w:t>号），原则上不开展生态环境现状调查</w:t>
            </w:r>
            <w:r>
              <w:rPr>
                <w:rFonts w:hint="eastAsia" w:ascii="Times New Roman" w:hAnsi="Times New Roman" w:eastAsia="宋体" w:cs="Times New Roman"/>
                <w:color w:val="auto"/>
                <w:spacing w:val="0"/>
                <w:sz w:val="24"/>
                <w:szCs w:val="24"/>
                <w:highlight w:val="none"/>
                <w:lang w:val="en-US" w:eastAsia="zh-CN"/>
              </w:rPr>
              <w:t>。</w:t>
            </w:r>
          </w:p>
          <w:p w14:paraId="5FBD692A">
            <w:pPr>
              <w:pStyle w:val="3"/>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3.2环境质量现状</w:t>
            </w:r>
          </w:p>
          <w:p w14:paraId="19BA9F85">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firstLine="482"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3.2.1大气环境质量现状</w:t>
            </w:r>
          </w:p>
          <w:p w14:paraId="266F0572">
            <w:pPr>
              <w:pStyle w:val="140"/>
              <w:adjustRightInd w:val="0"/>
              <w:snapToGrid w:val="0"/>
              <w:ind w:firstLine="48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区域环境空气质量现状</w:t>
            </w:r>
          </w:p>
          <w:p w14:paraId="2E310D2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w:t>
            </w:r>
            <w:r>
              <w:rPr>
                <w:rFonts w:ascii="Times New Roman" w:hAnsi="Times New Roman" w:eastAsia="宋体" w:cs="Times New Roman"/>
                <w:color w:val="auto"/>
                <w:sz w:val="24"/>
                <w:szCs w:val="24"/>
                <w:highlight w:val="none"/>
              </w:rPr>
              <w:t>环境质量现状</w:t>
            </w:r>
          </w:p>
          <w:p w14:paraId="15F9005F">
            <w:pPr>
              <w:overflowPunct w:val="0"/>
              <w:spacing w:line="360" w:lineRule="auto"/>
              <w:ind w:firstLine="480" w:firstLineChars="200"/>
              <w:rPr>
                <w:rFonts w:hint="eastAsia"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sz w:val="24"/>
                <w:highlight w:val="none"/>
              </w:rPr>
              <w:t>基本污染物</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kern w:val="0"/>
                <w:sz w:val="24"/>
                <w:highlight w:val="none"/>
                <w:lang w:bidi="ar"/>
              </w:rPr>
              <w:t>根据《202</w:t>
            </w:r>
            <w:r>
              <w:rPr>
                <w:rFonts w:hint="eastAsia" w:ascii="Times New Roman" w:hAnsi="Times New Roman" w:eastAsia="宋体" w:cs="Times New Roman"/>
                <w:color w:val="auto"/>
                <w:kern w:val="0"/>
                <w:sz w:val="24"/>
                <w:highlight w:val="none"/>
                <w:lang w:val="en-US" w:eastAsia="zh-CN" w:bidi="ar"/>
              </w:rPr>
              <w:t>4年</w:t>
            </w:r>
            <w:r>
              <w:rPr>
                <w:rFonts w:hint="eastAsia" w:ascii="Times New Roman" w:hAnsi="Times New Roman" w:eastAsia="宋体" w:cs="Times New Roman"/>
                <w:color w:val="auto"/>
                <w:kern w:val="0"/>
                <w:sz w:val="24"/>
                <w:highlight w:val="none"/>
                <w:lang w:bidi="ar"/>
              </w:rPr>
              <w:t>福州市环境状况公报》</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福</w:t>
            </w:r>
            <w:r>
              <w:rPr>
                <w:rFonts w:ascii="Times New Roman" w:hAnsi="Times New Roman" w:eastAsia="宋体" w:cs="Times New Roman"/>
                <w:color w:val="auto"/>
                <w:sz w:val="24"/>
                <w:highlight w:val="none"/>
              </w:rPr>
              <w:t>州市生态环境局</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202</w:t>
            </w:r>
            <w:r>
              <w:rPr>
                <w:rFonts w:hint="eastAsia" w:ascii="Times New Roman" w:hAnsi="Times New Roman" w:eastAsia="宋体" w:cs="Times New Roman"/>
                <w:color w:val="auto"/>
                <w:sz w:val="24"/>
                <w:highlight w:val="none"/>
                <w:lang w:val="en-US" w:eastAsia="zh-CN"/>
              </w:rPr>
              <w:t>5</w:t>
            </w:r>
            <w:r>
              <w:rPr>
                <w:rFonts w:ascii="Times New Roman" w:hAnsi="Times New Roman" w:eastAsia="宋体" w:cs="Times New Roman"/>
                <w:color w:val="auto"/>
                <w:sz w:val="24"/>
                <w:highlight w:val="none"/>
              </w:rPr>
              <w:t>年6月</w:t>
            </w:r>
            <w:r>
              <w:rPr>
                <w:rFonts w:hint="eastAsia" w:ascii="Times New Roman" w:hAnsi="Times New Roman" w:eastAsia="宋体" w:cs="Times New Roman"/>
                <w:color w:val="auto"/>
                <w:sz w:val="24"/>
                <w:highlight w:val="none"/>
                <w:lang w:val="en-US" w:eastAsia="zh-CN"/>
              </w:rPr>
              <w:t>3</w:t>
            </w:r>
            <w:r>
              <w:rPr>
                <w:rFonts w:ascii="Times New Roman" w:hAnsi="Times New Roman" w:eastAsia="宋体" w:cs="Times New Roman"/>
                <w:color w:val="auto"/>
                <w:sz w:val="24"/>
                <w:highlight w:val="none"/>
              </w:rPr>
              <w:t>日</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2024年，福州市空气质量优良率98.1%，与上年持平，其中一级</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优</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205天，二级</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良</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154天。2024年福州市环境空气质量综合指数为2.393，在全国168个重点城市中排名第五。</w:t>
            </w:r>
          </w:p>
          <w:p w14:paraId="1E5F0B45">
            <w:pPr>
              <w:pStyle w:val="37"/>
              <w:keepNext w:val="0"/>
              <w:keepLines w:val="0"/>
              <w:pageBreakBefore w:val="0"/>
              <w:widowControl w:val="0"/>
              <w:kinsoku/>
              <w:wordWrap/>
              <w:overflowPunct w:val="0"/>
              <w:topLinePunct w:val="0"/>
              <w:autoSpaceDE/>
              <w:autoSpaceDN/>
              <w:bidi w:val="0"/>
              <w:adjustRightInd/>
              <w:snapToGrid/>
              <w:spacing w:after="0"/>
              <w:ind w:left="0" w:leftChars="0"/>
              <w:jc w:val="both"/>
              <w:textAlignment w:val="auto"/>
              <w:rPr>
                <w:rFonts w:hint="eastAsia" w:cs="Times New Roman"/>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bidi="ar"/>
              </w:rPr>
              <w:t>按照《环境空气质量标准》（GB 3095-2012）及其修改单（《环境空气质量标准》（GB 3095-2026））和《环境空气质量指数</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AQI</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技术规定》</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HJ633-20</w:t>
            </w:r>
            <w:r>
              <w:rPr>
                <w:rFonts w:hint="eastAsia" w:ascii="Times New Roman" w:hAnsi="Times New Roman" w:eastAsia="宋体" w:cs="Times New Roman"/>
                <w:color w:val="auto"/>
                <w:kern w:val="0"/>
                <w:sz w:val="24"/>
                <w:highlight w:val="none"/>
                <w:lang w:val="en-US" w:eastAsia="zh-CN" w:bidi="ar"/>
              </w:rPr>
              <w:t>26</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评价</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202</w:t>
            </w:r>
            <w:r>
              <w:rPr>
                <w:rFonts w:hint="eastAsia" w:ascii="Times New Roman" w:hAnsi="Times New Roman" w:eastAsia="宋体" w:cs="Times New Roman"/>
                <w:color w:val="auto"/>
                <w:kern w:val="0"/>
                <w:sz w:val="24"/>
                <w:highlight w:val="none"/>
                <w:lang w:val="en-US" w:eastAsia="zh-CN" w:bidi="ar"/>
              </w:rPr>
              <w:t>4</w:t>
            </w:r>
            <w:r>
              <w:rPr>
                <w:rFonts w:hint="eastAsia" w:ascii="Times New Roman" w:hAnsi="Times New Roman" w:eastAsia="宋体" w:cs="Times New Roman"/>
                <w:color w:val="auto"/>
                <w:kern w:val="0"/>
                <w:sz w:val="24"/>
                <w:highlight w:val="none"/>
                <w:lang w:bidi="ar"/>
              </w:rPr>
              <w:t>年</w:t>
            </w:r>
            <w:r>
              <w:rPr>
                <w:rFonts w:ascii="宋体" w:hAnsi="宋体" w:eastAsia="宋体" w:cs="宋体"/>
                <w:color w:val="auto"/>
                <w:sz w:val="24"/>
                <w:szCs w:val="24"/>
                <w:highlight w:val="none"/>
              </w:rPr>
              <w:t>县（市）区环境空气质量最好的是永泰县</w:t>
            </w:r>
            <w:r>
              <w:rPr>
                <w:rFonts w:hint="eastAsia" w:ascii="宋体" w:hAnsi="宋体" w:eastAsia="宋体" w:cs="宋体"/>
                <w:color w:val="auto"/>
                <w:sz w:val="24"/>
                <w:szCs w:val="24"/>
                <w:highlight w:val="none"/>
                <w:lang w:eastAsia="zh-CN"/>
              </w:rPr>
              <w:t>，</w:t>
            </w:r>
            <w:r>
              <w:rPr>
                <w:rFonts w:hint="eastAsia" w:ascii="Times New Roman" w:hAnsi="Times New Roman" w:eastAsia="宋体" w:cs="Times New Roman"/>
                <w:color w:val="auto"/>
                <w:kern w:val="0"/>
                <w:sz w:val="24"/>
                <w:highlight w:val="none"/>
                <w:lang w:bidi="ar"/>
              </w:rPr>
              <w:t>全市1</w:t>
            </w:r>
            <w:r>
              <w:rPr>
                <w:rFonts w:hint="eastAsia" w:ascii="Times New Roman" w:hAnsi="Times New Roman" w:eastAsia="宋体" w:cs="Times New Roman"/>
                <w:color w:val="auto"/>
                <w:kern w:val="0"/>
                <w:sz w:val="24"/>
                <w:highlight w:val="none"/>
                <w:lang w:val="en-US" w:eastAsia="zh-CN" w:bidi="ar"/>
              </w:rPr>
              <w:t>3</w:t>
            </w:r>
            <w:r>
              <w:rPr>
                <w:rFonts w:hint="eastAsia" w:ascii="Times New Roman" w:hAnsi="Times New Roman" w:eastAsia="宋体" w:cs="Times New Roman"/>
                <w:color w:val="auto"/>
                <w:kern w:val="0"/>
                <w:sz w:val="24"/>
                <w:highlight w:val="none"/>
                <w:lang w:bidi="ar"/>
              </w:rPr>
              <w:t>个县</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市</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区环境空气质量达标天数比例范围</w:t>
            </w:r>
            <w:r>
              <w:rPr>
                <w:rFonts w:hint="eastAsia" w:cs="Times New Roman"/>
                <w:color w:val="auto"/>
                <w:kern w:val="0"/>
                <w:sz w:val="24"/>
                <w:highlight w:val="none"/>
                <w:lang w:val="en-US" w:eastAsia="zh-CN" w:bidi="ar"/>
              </w:rPr>
              <w:t>97.8</w:t>
            </w:r>
            <w:r>
              <w:rPr>
                <w:rFonts w:hint="eastAsia" w:cs="Times New Roman"/>
                <w:color w:val="auto"/>
                <w:kern w:val="0"/>
                <w:sz w:val="24"/>
                <w:highlight w:val="none"/>
                <w:lang w:eastAsia="zh-CN" w:bidi="ar"/>
              </w:rPr>
              <w:t>%～100%，</w:t>
            </w:r>
            <w:r>
              <w:rPr>
                <w:rFonts w:hint="eastAsia" w:ascii="Times New Roman" w:hAnsi="Times New Roman" w:eastAsia="宋体" w:cs="Times New Roman"/>
                <w:color w:val="auto"/>
                <w:kern w:val="0"/>
                <w:sz w:val="24"/>
                <w:highlight w:val="none"/>
                <w:lang w:bidi="ar"/>
              </w:rPr>
              <w:t>环境空气质量综合指数范围为</w:t>
            </w:r>
            <w:r>
              <w:rPr>
                <w:rFonts w:hint="eastAsia" w:ascii="Times New Roman" w:hAnsi="Times New Roman" w:eastAsia="宋体" w:cs="Times New Roman"/>
                <w:color w:val="auto"/>
                <w:kern w:val="0"/>
                <w:sz w:val="24"/>
                <w:highlight w:val="none"/>
                <w:lang w:val="en-US" w:eastAsia="zh-CN" w:bidi="ar"/>
              </w:rPr>
              <w:t>1.85~2.30，</w:t>
            </w:r>
            <w:r>
              <w:rPr>
                <w:rFonts w:hint="eastAsia" w:cs="Times New Roman"/>
                <w:color w:val="auto"/>
                <w:kern w:val="0"/>
                <w:sz w:val="24"/>
                <w:highlight w:val="none"/>
                <w:lang w:val="en-US" w:eastAsia="zh-CN" w:bidi="ar"/>
              </w:rPr>
              <w:t>详见下图3-1。</w:t>
            </w:r>
          </w:p>
          <w:p w14:paraId="07C1DB99">
            <w:pPr>
              <w:pStyle w:val="3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cs="Times New Roman"/>
                <w:color w:val="auto"/>
                <w:kern w:val="0"/>
                <w:sz w:val="24"/>
                <w:highlight w:val="none"/>
                <w:lang w:val="en-US" w:eastAsia="zh-CN" w:bidi="ar"/>
              </w:rPr>
            </w:pPr>
            <w:r>
              <w:rPr>
                <w:color w:val="auto"/>
                <w:highlight w:val="none"/>
              </w:rPr>
              <w:drawing>
                <wp:inline distT="0" distB="0" distL="114300" distR="114300">
                  <wp:extent cx="5063490" cy="1696085"/>
                  <wp:effectExtent l="0" t="0" r="3810" b="18415"/>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17"/>
                          <a:stretch>
                            <a:fillRect/>
                          </a:stretch>
                        </pic:blipFill>
                        <pic:spPr>
                          <a:xfrm>
                            <a:off x="0" y="0"/>
                            <a:ext cx="5063490" cy="1696085"/>
                          </a:xfrm>
                          <a:prstGeom prst="rect">
                            <a:avLst/>
                          </a:prstGeom>
                          <a:noFill/>
                          <a:ln>
                            <a:noFill/>
                          </a:ln>
                        </pic:spPr>
                      </pic:pic>
                    </a:graphicData>
                  </a:graphic>
                </wp:inline>
              </w:drawing>
            </w:r>
          </w:p>
          <w:p w14:paraId="079D60F3">
            <w:pPr>
              <w:overflowPunct w:val="0"/>
              <w:spacing w:line="360" w:lineRule="auto"/>
              <w:jc w:val="center"/>
              <w:rPr>
                <w:rFonts w:hint="eastAsia" w:ascii="Times New Roman" w:hAnsi="Times New Roman" w:eastAsia="宋体" w:cs="Times New Roman"/>
                <w:b/>
                <w:bCs/>
                <w:color w:val="auto"/>
                <w:kern w:val="0"/>
                <w:sz w:val="24"/>
                <w:highlight w:val="none"/>
                <w:lang w:val="en-US" w:eastAsia="zh-CN" w:bidi="ar"/>
              </w:rPr>
            </w:pPr>
            <w:r>
              <w:rPr>
                <w:rFonts w:hint="eastAsia" w:cs="Times New Roman"/>
                <w:b/>
                <w:bCs/>
                <w:color w:val="auto"/>
                <w:sz w:val="24"/>
                <w:highlight w:val="none"/>
                <w:lang w:val="en-US" w:eastAsia="zh-CN"/>
              </w:rPr>
              <w:t>图3-1  2024年福州市各县（市）区环境空气指标</w:t>
            </w:r>
          </w:p>
          <w:p w14:paraId="5B5B17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ascii="Times New Roman" w:hAnsi="Times New Roman" w:eastAsia="宋体" w:cs="Times New Roman"/>
                <w:color w:val="auto"/>
                <w:sz w:val="24"/>
                <w:szCs w:val="24"/>
                <w:highlight w:val="none"/>
              </w:rPr>
              <w:fldChar w:fldCharType="begin"/>
            </w:r>
            <w:r>
              <w:rPr>
                <w:rFonts w:ascii="Times New Roman" w:hAnsi="Times New Roman" w:eastAsia="宋体" w:cs="Times New Roman"/>
                <w:color w:val="auto"/>
                <w:sz w:val="24"/>
                <w:szCs w:val="24"/>
                <w:highlight w:val="none"/>
              </w:rPr>
              <w:instrText xml:space="preserve"> = 2 \* GB3 \* MERGEFORMAT </w:instrText>
            </w:r>
            <w:r>
              <w:rPr>
                <w:rFonts w:ascii="Times New Roman" w:hAnsi="Times New Roman" w:eastAsia="宋体" w:cs="Times New Roman"/>
                <w:color w:val="auto"/>
                <w:sz w:val="24"/>
                <w:szCs w:val="24"/>
                <w:highlight w:val="none"/>
              </w:rPr>
              <w:fldChar w:fldCharType="separate"/>
            </w:r>
            <w:r>
              <w:rPr>
                <w:color w:val="auto"/>
                <w:sz w:val="24"/>
                <w:szCs w:val="24"/>
                <w:highlight w:val="none"/>
              </w:rPr>
              <w:t>②</w:t>
            </w:r>
            <w:r>
              <w:rPr>
                <w:rFonts w:ascii="Times New Roman" w:hAnsi="Times New Roman" w:eastAsia="宋体" w:cs="Times New Roman"/>
                <w:color w:val="auto"/>
                <w:sz w:val="24"/>
                <w:szCs w:val="24"/>
                <w:highlight w:val="none"/>
              </w:rPr>
              <w:fldChar w:fldCharType="end"/>
            </w:r>
            <w:r>
              <w:rPr>
                <w:rFonts w:hint="eastAsia" w:cs="Times New Roman"/>
                <w:color w:val="auto"/>
                <w:sz w:val="24"/>
                <w:highlight w:val="none"/>
                <w:lang w:val="en-US" w:eastAsia="zh-CN"/>
              </w:rPr>
              <w:t>特征污染物</w:t>
            </w:r>
          </w:p>
          <w:p w14:paraId="5028A080">
            <w:pPr>
              <w:pStyle w:val="63"/>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482"/>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val="0"/>
                <w:bCs w:val="0"/>
                <w:color w:val="auto"/>
                <w:sz w:val="24"/>
                <w:szCs w:val="24"/>
                <w:highlight w:val="none"/>
                <w:shd w:val="clear" w:color="auto" w:fill="auto"/>
                <w:lang w:val="en-US" w:eastAsia="zh-CN"/>
              </w:rPr>
              <w:t>为了了解该项目区域大气特征</w:t>
            </w:r>
            <w:r>
              <w:rPr>
                <w:rFonts w:hint="eastAsia" w:ascii="Times New Roman" w:hAnsi="Times New Roman" w:eastAsia="宋体" w:cs="Times New Roman"/>
                <w:b w:val="0"/>
                <w:bCs w:val="0"/>
                <w:color w:val="auto"/>
                <w:sz w:val="24"/>
                <w:szCs w:val="24"/>
                <w:highlight w:val="none"/>
                <w:shd w:val="clear" w:color="auto" w:fill="auto"/>
                <w:lang w:val="en-US" w:eastAsia="zh-CN"/>
              </w:rPr>
              <w:t>颗粒物</w:t>
            </w:r>
            <w:r>
              <w:rPr>
                <w:rFonts w:hint="default" w:ascii="Times New Roman" w:hAnsi="Times New Roman" w:eastAsia="宋体" w:cs="Times New Roman"/>
                <w:b w:val="0"/>
                <w:bCs w:val="0"/>
                <w:color w:val="auto"/>
                <w:sz w:val="24"/>
                <w:szCs w:val="24"/>
                <w:highlight w:val="none"/>
                <w:shd w:val="clear" w:color="auto" w:fill="auto"/>
                <w:lang w:val="en-US" w:eastAsia="zh-CN"/>
              </w:rPr>
              <w:t>的环境质量现状</w:t>
            </w:r>
            <w:r>
              <w:rPr>
                <w:rFonts w:hint="eastAsia" w:ascii="Times New Roman" w:hAnsi="Times New Roman" w:eastAsia="宋体" w:cs="Times New Roman"/>
                <w:b w:val="0"/>
                <w:bCs w:val="0"/>
                <w:color w:val="auto"/>
                <w:sz w:val="24"/>
                <w:szCs w:val="24"/>
                <w:highlight w:val="none"/>
                <w:shd w:val="clear" w:color="auto" w:fill="auto"/>
                <w:lang w:val="en-US" w:eastAsia="zh-CN"/>
              </w:rPr>
              <w:t>，</w:t>
            </w:r>
            <w:r>
              <w:rPr>
                <w:rFonts w:hint="default" w:ascii="Times New Roman" w:hAnsi="Times New Roman" w:eastAsia="宋体" w:cs="Times New Roman"/>
                <w:b w:val="0"/>
                <w:bCs w:val="0"/>
                <w:color w:val="auto"/>
                <w:sz w:val="24"/>
                <w:szCs w:val="24"/>
                <w:highlight w:val="none"/>
                <w:shd w:val="clear" w:color="auto" w:fill="auto"/>
                <w:lang w:val="en-US" w:eastAsia="zh-CN"/>
              </w:rPr>
              <w:t>本项目</w:t>
            </w:r>
            <w:r>
              <w:rPr>
                <w:rFonts w:hint="default" w:ascii="Times New Roman" w:hAnsi="Times New Roman" w:eastAsia="宋体" w:cs="Times New Roman"/>
                <w:b w:val="0"/>
                <w:bCs w:val="0"/>
                <w:color w:val="auto"/>
                <w:sz w:val="24"/>
                <w:szCs w:val="24"/>
                <w:highlight w:val="none"/>
                <w:lang w:eastAsia="zh-CN"/>
              </w:rPr>
              <w:t>引用</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于</w:t>
            </w:r>
            <w:r>
              <w:rPr>
                <w:rFonts w:hint="eastAsia" w:cs="Times New Roman"/>
                <w:b w:val="0"/>
                <w:bCs w:val="0"/>
                <w:color w:val="auto"/>
                <w:sz w:val="24"/>
                <w:szCs w:val="24"/>
                <w:highlight w:val="none"/>
                <w:shd w:val="clear" w:color="auto" w:fill="auto"/>
                <w:lang w:val="en-US" w:eastAsia="zh-CN"/>
              </w:rPr>
              <w:t>****</w:t>
            </w:r>
            <w:r>
              <w:rPr>
                <w:rFonts w:hint="default" w:ascii="Times New Roman" w:hAnsi="Times New Roman" w:eastAsia="宋体" w:cs="Times New Roman"/>
                <w:b w:val="0"/>
                <w:bCs w:val="0"/>
                <w:color w:val="auto"/>
                <w:sz w:val="24"/>
                <w:szCs w:val="24"/>
                <w:highlight w:val="none"/>
                <w:shd w:val="clear" w:color="auto" w:fill="auto"/>
                <w:lang w:val="en-US" w:eastAsia="zh-CN"/>
              </w:rPr>
              <w:t>年</w:t>
            </w:r>
            <w:r>
              <w:rPr>
                <w:rFonts w:hint="eastAsia" w:cs="Times New Roman"/>
                <w:b w:val="0"/>
                <w:bCs w:val="0"/>
                <w:color w:val="auto"/>
                <w:sz w:val="24"/>
                <w:szCs w:val="24"/>
                <w:highlight w:val="none"/>
                <w:shd w:val="clear" w:color="auto" w:fill="auto"/>
                <w:lang w:val="en-US" w:eastAsia="zh-CN"/>
              </w:rPr>
              <w:t>**</w:t>
            </w:r>
            <w:r>
              <w:rPr>
                <w:rFonts w:hint="default" w:ascii="Times New Roman" w:hAnsi="Times New Roman" w:eastAsia="宋体" w:cs="Times New Roman"/>
                <w:b w:val="0"/>
                <w:bCs w:val="0"/>
                <w:color w:val="auto"/>
                <w:sz w:val="24"/>
                <w:szCs w:val="24"/>
                <w:highlight w:val="none"/>
                <w:shd w:val="clear" w:color="auto" w:fill="auto"/>
                <w:lang w:val="en-US" w:eastAsia="zh-CN"/>
              </w:rPr>
              <w:t>月</w:t>
            </w:r>
            <w:r>
              <w:rPr>
                <w:rFonts w:hint="eastAsia" w:cs="Times New Roman"/>
                <w:b w:val="0"/>
                <w:bCs w:val="0"/>
                <w:color w:val="auto"/>
                <w:sz w:val="24"/>
                <w:szCs w:val="24"/>
                <w:highlight w:val="none"/>
                <w:shd w:val="clear" w:color="auto" w:fill="auto"/>
                <w:lang w:val="en-US" w:eastAsia="zh-CN"/>
              </w:rPr>
              <w:t>**</w:t>
            </w:r>
            <w:r>
              <w:rPr>
                <w:rFonts w:hint="default" w:ascii="Times New Roman" w:hAnsi="Times New Roman" w:eastAsia="宋体" w:cs="Times New Roman"/>
                <w:b w:val="0"/>
                <w:bCs w:val="0"/>
                <w:color w:val="auto"/>
                <w:sz w:val="24"/>
                <w:szCs w:val="24"/>
                <w:highlight w:val="none"/>
                <w:shd w:val="clear" w:color="auto" w:fill="auto"/>
                <w:lang w:val="en-US" w:eastAsia="zh-CN"/>
              </w:rPr>
              <w:t>日至</w:t>
            </w:r>
            <w:r>
              <w:rPr>
                <w:rFonts w:hint="eastAsia" w:cs="Times New Roman"/>
                <w:b w:val="0"/>
                <w:bCs w:val="0"/>
                <w:color w:val="auto"/>
                <w:sz w:val="24"/>
                <w:szCs w:val="24"/>
                <w:highlight w:val="none"/>
                <w:shd w:val="clear" w:color="auto" w:fill="auto"/>
                <w:lang w:val="en-US" w:eastAsia="zh-CN"/>
              </w:rPr>
              <w:t>****</w:t>
            </w:r>
            <w:r>
              <w:rPr>
                <w:rFonts w:hint="default" w:ascii="Times New Roman" w:hAnsi="Times New Roman" w:eastAsia="宋体" w:cs="Times New Roman"/>
                <w:b w:val="0"/>
                <w:bCs w:val="0"/>
                <w:color w:val="auto"/>
                <w:sz w:val="24"/>
                <w:szCs w:val="24"/>
                <w:highlight w:val="none"/>
                <w:shd w:val="clear" w:color="auto" w:fill="auto"/>
                <w:lang w:val="en-US" w:eastAsia="zh-CN"/>
              </w:rPr>
              <w:t>年</w:t>
            </w:r>
            <w:r>
              <w:rPr>
                <w:rFonts w:hint="eastAsia" w:cs="Times New Roman"/>
                <w:b w:val="0"/>
                <w:bCs w:val="0"/>
                <w:color w:val="auto"/>
                <w:sz w:val="24"/>
                <w:szCs w:val="24"/>
                <w:highlight w:val="none"/>
                <w:shd w:val="clear" w:color="auto" w:fill="auto"/>
                <w:lang w:val="en-US" w:eastAsia="zh-CN"/>
              </w:rPr>
              <w:t>**</w:t>
            </w:r>
            <w:r>
              <w:rPr>
                <w:rFonts w:hint="default" w:ascii="Times New Roman" w:hAnsi="Times New Roman" w:eastAsia="宋体" w:cs="Times New Roman"/>
                <w:b w:val="0"/>
                <w:bCs w:val="0"/>
                <w:color w:val="auto"/>
                <w:sz w:val="24"/>
                <w:szCs w:val="24"/>
                <w:highlight w:val="none"/>
                <w:shd w:val="clear" w:color="auto" w:fill="auto"/>
                <w:lang w:val="en-US" w:eastAsia="zh-CN"/>
              </w:rPr>
              <w:t>月</w:t>
            </w:r>
            <w:r>
              <w:rPr>
                <w:rFonts w:hint="eastAsia" w:cs="Times New Roman"/>
                <w:b w:val="0"/>
                <w:bCs w:val="0"/>
                <w:color w:val="auto"/>
                <w:sz w:val="24"/>
                <w:szCs w:val="24"/>
                <w:highlight w:val="none"/>
                <w:shd w:val="clear" w:color="auto" w:fill="auto"/>
                <w:lang w:val="en-US" w:eastAsia="zh-CN"/>
              </w:rPr>
              <w:t>**</w:t>
            </w:r>
            <w:r>
              <w:rPr>
                <w:rFonts w:hint="default" w:ascii="Times New Roman" w:hAnsi="Times New Roman" w:eastAsia="宋体" w:cs="Times New Roman"/>
                <w:b w:val="0"/>
                <w:bCs w:val="0"/>
                <w:color w:val="auto"/>
                <w:sz w:val="24"/>
                <w:szCs w:val="24"/>
                <w:highlight w:val="none"/>
                <w:shd w:val="clear" w:color="auto" w:fill="auto"/>
                <w:lang w:val="en-US" w:eastAsia="zh-CN"/>
              </w:rPr>
              <w:t>日委托</w:t>
            </w:r>
            <w:r>
              <w:rPr>
                <w:rFonts w:hint="eastAsia" w:cs="Times New Roman"/>
                <w:b w:val="0"/>
                <w:bCs w:val="0"/>
                <w:color w:val="auto"/>
                <w:sz w:val="24"/>
                <w:szCs w:val="24"/>
                <w:highlight w:val="none"/>
                <w:shd w:val="clear" w:color="auto" w:fill="auto"/>
                <w:lang w:val="en-US" w:eastAsia="zh-CN"/>
              </w:rPr>
              <w:t>***********</w:t>
            </w:r>
            <w:r>
              <w:rPr>
                <w:rFonts w:hint="default" w:ascii="Times New Roman" w:hAnsi="Times New Roman" w:eastAsia="宋体" w:cs="Times New Roman"/>
                <w:b w:val="0"/>
                <w:bCs w:val="0"/>
                <w:color w:val="auto"/>
                <w:sz w:val="24"/>
                <w:szCs w:val="24"/>
                <w:highlight w:val="none"/>
                <w:shd w:val="clear" w:color="auto" w:fill="auto"/>
                <w:lang w:val="en-US" w:eastAsia="zh-CN"/>
              </w:rPr>
              <w:t>对</w:t>
            </w:r>
            <w:r>
              <w:rPr>
                <w:color w:val="auto"/>
                <w:highlight w:val="none"/>
              </w:rPr>
              <w:t>其厂区</w:t>
            </w:r>
            <w:r>
              <w:rPr>
                <w:rFonts w:hint="eastAsia"/>
                <w:color w:val="auto"/>
                <w:highlight w:val="none"/>
                <w:lang w:val="en-US" w:eastAsia="zh-CN"/>
              </w:rPr>
              <w:t>**</w:t>
            </w:r>
            <w:r>
              <w:rPr>
                <w:color w:val="auto"/>
                <w:highlight w:val="none"/>
              </w:rPr>
              <w:t>侧</w:t>
            </w:r>
            <w:r>
              <w:rPr>
                <w:rFonts w:hint="eastAsia"/>
                <w:color w:val="auto"/>
                <w:highlight w:val="none"/>
                <w:lang w:val="en-US" w:eastAsia="zh-CN"/>
              </w:rPr>
              <w:t>****</w:t>
            </w:r>
            <w:r>
              <w:rPr>
                <w:rFonts w:hint="default" w:ascii="Times New Roman" w:hAnsi="Times New Roman" w:eastAsia="宋体" w:cs="Times New Roman"/>
                <w:b w:val="0"/>
                <w:bCs w:val="0"/>
                <w:color w:val="auto"/>
                <w:sz w:val="24"/>
                <w:szCs w:val="24"/>
                <w:highlight w:val="none"/>
                <w:lang w:eastAsia="zh-CN"/>
              </w:rPr>
              <w:t>周围现状环境的</w:t>
            </w:r>
            <w:r>
              <w:rPr>
                <w:rFonts w:hint="eastAsia" w:ascii="Times New Roman" w:hAnsi="Times New Roman" w:eastAsia="宋体" w:cs="Times New Roman"/>
                <w:b w:val="0"/>
                <w:bCs w:val="0"/>
                <w:color w:val="auto"/>
                <w:sz w:val="24"/>
                <w:szCs w:val="24"/>
                <w:highlight w:val="none"/>
                <w:shd w:val="clear" w:color="auto" w:fill="auto"/>
                <w:lang w:val="en-US" w:eastAsia="zh-CN"/>
              </w:rPr>
              <w:t>颗粒物</w:t>
            </w:r>
            <w:r>
              <w:rPr>
                <w:rFonts w:hint="default" w:ascii="Times New Roman" w:hAnsi="Times New Roman" w:eastAsia="宋体" w:cs="Times New Roman"/>
                <w:b w:val="0"/>
                <w:bCs w:val="0"/>
                <w:color w:val="auto"/>
                <w:sz w:val="24"/>
                <w:szCs w:val="24"/>
                <w:highlight w:val="none"/>
                <w:shd w:val="clear" w:color="auto" w:fill="auto"/>
                <w:lang w:val="en-US" w:eastAsia="zh-CN"/>
              </w:rPr>
              <w:t>环境</w:t>
            </w:r>
            <w:r>
              <w:rPr>
                <w:rFonts w:hint="eastAsia" w:ascii="Times New Roman" w:hAnsi="Times New Roman" w:eastAsia="宋体" w:cs="Times New Roman"/>
                <w:b w:val="0"/>
                <w:bCs w:val="0"/>
                <w:color w:val="auto"/>
                <w:sz w:val="24"/>
                <w:szCs w:val="24"/>
                <w:highlight w:val="none"/>
                <w:shd w:val="clear" w:color="auto" w:fill="auto"/>
                <w:lang w:val="en-US" w:eastAsia="zh-CN"/>
              </w:rPr>
              <w:t>质量</w:t>
            </w:r>
            <w:r>
              <w:rPr>
                <w:rFonts w:hint="default" w:ascii="Times New Roman" w:hAnsi="Times New Roman" w:eastAsia="宋体" w:cs="Times New Roman"/>
                <w:b w:val="0"/>
                <w:bCs w:val="0"/>
                <w:color w:val="auto"/>
                <w:sz w:val="24"/>
                <w:szCs w:val="24"/>
                <w:highlight w:val="none"/>
                <w:shd w:val="clear" w:color="auto" w:fill="auto"/>
                <w:lang w:val="en-US" w:eastAsia="zh-CN"/>
              </w:rPr>
              <w:t>现状</w:t>
            </w:r>
            <w:r>
              <w:rPr>
                <w:rFonts w:hint="eastAsia" w:ascii="Times New Roman" w:hAnsi="Times New Roman" w:eastAsia="宋体" w:cs="Times New Roman"/>
                <w:b w:val="0"/>
                <w:bCs w:val="0"/>
                <w:color w:val="auto"/>
                <w:sz w:val="24"/>
                <w:szCs w:val="24"/>
                <w:highlight w:val="none"/>
                <w:shd w:val="clear" w:color="auto" w:fill="auto"/>
                <w:lang w:val="en-US" w:eastAsia="zh-CN"/>
              </w:rPr>
              <w:t>的</w:t>
            </w:r>
            <w:r>
              <w:rPr>
                <w:rFonts w:hint="default" w:ascii="Times New Roman" w:hAnsi="Times New Roman" w:eastAsia="宋体" w:cs="Times New Roman"/>
                <w:b w:val="0"/>
                <w:bCs w:val="0"/>
                <w:color w:val="auto"/>
                <w:sz w:val="24"/>
                <w:szCs w:val="24"/>
                <w:highlight w:val="none"/>
                <w:shd w:val="clear" w:color="auto" w:fill="auto"/>
                <w:lang w:val="en-US" w:eastAsia="zh-CN"/>
              </w:rPr>
              <w:t>监测</w:t>
            </w:r>
            <w:r>
              <w:rPr>
                <w:rFonts w:hint="eastAsia" w:ascii="Times New Roman" w:hAnsi="Times New Roman" w:eastAsia="宋体" w:cs="Times New Roman"/>
                <w:b w:val="0"/>
                <w:bCs w:val="0"/>
                <w:color w:val="auto"/>
                <w:sz w:val="24"/>
                <w:szCs w:val="24"/>
                <w:highlight w:val="none"/>
                <w:shd w:val="clear" w:color="auto" w:fill="auto"/>
                <w:lang w:val="en-US" w:eastAsia="zh-CN"/>
              </w:rPr>
              <w:t>结果（详见附件</w:t>
            </w:r>
            <w:r>
              <w:rPr>
                <w:rFonts w:hint="eastAsia" w:cs="Times New Roman"/>
                <w:b w:val="0"/>
                <w:bCs w:val="0"/>
                <w:color w:val="auto"/>
                <w:sz w:val="24"/>
                <w:szCs w:val="24"/>
                <w:highlight w:val="none"/>
                <w:shd w:val="clear" w:color="auto" w:fill="auto"/>
                <w:lang w:val="en-US" w:eastAsia="zh-CN"/>
              </w:rPr>
              <w:t>14</w:t>
            </w:r>
            <w:r>
              <w:rPr>
                <w:rFonts w:hint="eastAsia" w:ascii="Times New Roman" w:hAnsi="Times New Roman" w:eastAsia="宋体" w:cs="Times New Roman"/>
                <w:b w:val="0"/>
                <w:bCs w:val="0"/>
                <w:color w:val="auto"/>
                <w:sz w:val="24"/>
                <w:szCs w:val="24"/>
                <w:highlight w:val="none"/>
                <w:shd w:val="clear" w:color="auto" w:fill="auto"/>
                <w:lang w:val="en-US" w:eastAsia="zh-CN"/>
              </w:rPr>
              <w:t>），</w:t>
            </w:r>
            <w:r>
              <w:rPr>
                <w:rFonts w:hint="default" w:ascii="Times New Roman" w:hAnsi="Times New Roman" w:eastAsia="宋体" w:cs="Times New Roman"/>
                <w:color w:val="auto"/>
                <w:kern w:val="0"/>
                <w:highlight w:val="none"/>
                <w:lang w:eastAsia="zh-CN"/>
              </w:rPr>
              <w:t>监测数据</w:t>
            </w:r>
            <w:r>
              <w:rPr>
                <w:rFonts w:hint="default" w:ascii="Times New Roman" w:hAnsi="Times New Roman" w:eastAsia="宋体" w:cs="Times New Roman"/>
                <w:color w:val="auto"/>
                <w:kern w:val="0"/>
                <w:highlight w:val="none"/>
              </w:rPr>
              <w:t>均属于近期</w:t>
            </w:r>
            <w:r>
              <w:rPr>
                <w:rFonts w:hint="eastAsia"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rPr>
              <w:t>近三年内</w:t>
            </w:r>
            <w:r>
              <w:rPr>
                <w:rFonts w:hint="eastAsia"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rPr>
              <w:t>的监测数据</w:t>
            </w:r>
            <w:r>
              <w:rPr>
                <w:rFonts w:hint="eastAsia" w:ascii="Times New Roman" w:hAnsi="Times New Roman" w:eastAsia="宋体" w:cs="Times New Roman"/>
                <w:color w:val="auto"/>
                <w:kern w:val="0"/>
                <w:highlight w:val="none"/>
                <w:lang w:eastAsia="zh-CN"/>
              </w:rPr>
              <w:t>，且</w:t>
            </w:r>
            <w:r>
              <w:rPr>
                <w:rFonts w:hint="default" w:ascii="Times New Roman" w:hAnsi="Times New Roman" w:eastAsia="宋体" w:cs="Times New Roman"/>
                <w:color w:val="auto"/>
                <w:sz w:val="24"/>
                <w:szCs w:val="24"/>
                <w:highlight w:val="none"/>
                <w:lang w:val="en-US" w:eastAsia="zh-CN"/>
              </w:rPr>
              <w:t>引用的监测点位与本项目的相对距离</w:t>
            </w:r>
            <w:r>
              <w:rPr>
                <w:rFonts w:hint="eastAsia"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3308</w:t>
            </w:r>
            <w:r>
              <w:rPr>
                <w:rFonts w:hint="eastAsia"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lang w:val="en-US" w:eastAsia="zh-CN"/>
              </w:rPr>
              <w:t>在5</w:t>
            </w:r>
            <w:r>
              <w:rPr>
                <w:rFonts w:hint="eastAsia"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m范围内</w:t>
            </w:r>
            <w:r>
              <w:rPr>
                <w:rFonts w:hint="eastAsia" w:ascii="Times New Roman" w:hAnsi="Times New Roman" w:eastAsia="宋体" w:cs="Times New Roman"/>
                <w:color w:val="auto"/>
                <w:sz w:val="24"/>
                <w:szCs w:val="24"/>
                <w:highlight w:val="none"/>
                <w:lang w:val="en-US" w:eastAsia="zh-CN"/>
              </w:rPr>
              <w:t>，因此</w:t>
            </w:r>
            <w:r>
              <w:rPr>
                <w:rFonts w:hint="default" w:ascii="Times New Roman" w:hAnsi="Times New Roman" w:eastAsia="宋体" w:cs="Times New Roman"/>
                <w:color w:val="auto"/>
                <w:kern w:val="0"/>
                <w:highlight w:val="none"/>
              </w:rPr>
              <w:t>监测点位</w:t>
            </w:r>
            <w:r>
              <w:rPr>
                <w:rFonts w:hint="eastAsia" w:ascii="Times New Roman" w:hAnsi="Times New Roman" w:eastAsia="宋体" w:cs="Times New Roman"/>
                <w:color w:val="auto"/>
                <w:kern w:val="0"/>
                <w:highlight w:val="none"/>
                <w:lang w:eastAsia="zh-CN"/>
              </w:rPr>
              <w:t>符合</w:t>
            </w:r>
            <w:r>
              <w:rPr>
                <w:rFonts w:hint="default" w:ascii="Times New Roman" w:hAnsi="Times New Roman" w:eastAsia="宋体" w:cs="Times New Roman"/>
                <w:color w:val="auto"/>
                <w:kern w:val="0"/>
                <w:highlight w:val="none"/>
              </w:rPr>
              <w:t>大气环境评价范围内</w:t>
            </w:r>
            <w:r>
              <w:rPr>
                <w:rFonts w:hint="eastAsia" w:ascii="Times New Roman" w:hAnsi="Times New Roman" w:eastAsia="宋体" w:cs="Times New Roman"/>
                <w:color w:val="auto"/>
                <w:kern w:val="0"/>
                <w:highlight w:val="none"/>
                <w:lang w:eastAsia="zh-CN"/>
              </w:rPr>
              <w:t>，监测点位</w:t>
            </w:r>
            <w:r>
              <w:rPr>
                <w:rFonts w:hint="default" w:ascii="Times New Roman" w:hAnsi="Times New Roman" w:eastAsia="宋体" w:cs="Times New Roman"/>
                <w:color w:val="auto"/>
                <w:kern w:val="0"/>
                <w:highlight w:val="none"/>
                <w:lang w:eastAsia="zh-CN"/>
              </w:rPr>
              <w:t>区域</w:t>
            </w:r>
            <w:r>
              <w:rPr>
                <w:rFonts w:hint="eastAsia" w:ascii="Times New Roman" w:hAnsi="Times New Roman" w:eastAsia="宋体" w:cs="Times New Roman"/>
                <w:color w:val="auto"/>
                <w:kern w:val="0"/>
                <w:highlight w:val="none"/>
                <w:lang w:eastAsia="zh-CN"/>
              </w:rPr>
              <w:t>颗粒物</w:t>
            </w:r>
            <w:r>
              <w:rPr>
                <w:rFonts w:hint="default" w:ascii="Times New Roman" w:hAnsi="Times New Roman" w:eastAsia="宋体" w:cs="Times New Roman"/>
                <w:color w:val="auto"/>
                <w:kern w:val="0"/>
                <w:highlight w:val="none"/>
                <w:lang w:eastAsia="zh-CN"/>
              </w:rPr>
              <w:t>环境现状监测结果</w:t>
            </w:r>
            <w:r>
              <w:rPr>
                <w:rFonts w:hint="eastAsia" w:ascii="Times New Roman" w:hAnsi="Times New Roman" w:eastAsia="宋体" w:cs="Times New Roman"/>
                <w:color w:val="auto"/>
                <w:kern w:val="0"/>
                <w:highlight w:val="none"/>
                <w:lang w:eastAsia="zh-CN"/>
              </w:rPr>
              <w:t>见表</w:t>
            </w:r>
            <w:r>
              <w:rPr>
                <w:rFonts w:hint="eastAsia" w:ascii="Times New Roman" w:hAnsi="Times New Roman" w:eastAsia="宋体" w:cs="Times New Roman"/>
                <w:color w:val="auto"/>
                <w:kern w:val="0"/>
                <w:highlight w:val="none"/>
                <w:lang w:val="en-US" w:eastAsia="zh-CN"/>
              </w:rPr>
              <w:t>3.2-2</w:t>
            </w:r>
            <w:r>
              <w:rPr>
                <w:rFonts w:hint="eastAsia"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rPr>
              <w:t>故引用的现状监测数据符合</w:t>
            </w:r>
            <w:r>
              <w:rPr>
                <w:rFonts w:hint="eastAsia" w:ascii="Times New Roman" w:hAnsi="Times New Roman" w:eastAsia="宋体" w:cs="Times New Roman"/>
                <w:color w:val="auto"/>
                <w:spacing w:val="0"/>
                <w:kern w:val="2"/>
                <w:sz w:val="24"/>
                <w:szCs w:val="24"/>
                <w:highlight w:val="none"/>
                <w:lang w:val="en-US" w:eastAsia="zh-CN" w:bidi="ar-SA"/>
              </w:rPr>
              <w:t>《环境空气质量标准》（GB3095-2026）</w:t>
            </w:r>
            <w:r>
              <w:rPr>
                <w:rFonts w:hint="default" w:ascii="Times New Roman" w:hAnsi="Times New Roman" w:eastAsia="宋体" w:cs="Times New Roman"/>
                <w:color w:val="auto"/>
                <w:kern w:val="0"/>
                <w:highlight w:val="none"/>
              </w:rPr>
              <w:t>的要求</w:t>
            </w:r>
            <w:r>
              <w:rPr>
                <w:rFonts w:hint="eastAsia"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rPr>
              <w:t>引用数据有效</w:t>
            </w:r>
            <w:r>
              <w:rPr>
                <w:rFonts w:hint="default" w:ascii="Times New Roman" w:hAnsi="Times New Roman" w:eastAsia="宋体" w:cs="Times New Roman"/>
                <w:color w:val="auto"/>
                <w:highlight w:val="none"/>
              </w:rPr>
              <w:t>。特征污染物监测</w:t>
            </w:r>
            <w:r>
              <w:rPr>
                <w:rFonts w:hint="default" w:ascii="Times New Roman" w:hAnsi="Times New Roman" w:eastAsia="宋体" w:cs="Times New Roman"/>
                <w:color w:val="auto"/>
                <w:highlight w:val="none"/>
                <w:lang w:eastAsia="zh-CN"/>
              </w:rPr>
              <w:t>结果</w:t>
            </w:r>
            <w:r>
              <w:rPr>
                <w:rFonts w:hint="default" w:ascii="Times New Roman" w:hAnsi="Times New Roman" w:eastAsia="宋体" w:cs="Times New Roman"/>
                <w:color w:val="auto"/>
                <w:highlight w:val="none"/>
              </w:rPr>
              <w:t>见表</w:t>
            </w:r>
            <w:r>
              <w:rPr>
                <w:rFonts w:hint="eastAsia" w:ascii="Times New Roman" w:hAnsi="Times New Roman" w:eastAsia="宋体" w:cs="Times New Roman"/>
                <w:color w:val="auto"/>
                <w:highlight w:val="none"/>
                <w:lang w:eastAsia="zh-CN"/>
              </w:rPr>
              <w:t>3.2-</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监测点位见</w:t>
            </w:r>
            <w:r>
              <w:rPr>
                <w:rFonts w:hint="default" w:ascii="Times New Roman" w:hAnsi="Times New Roman" w:eastAsia="宋体" w:cs="Times New Roman"/>
                <w:color w:val="auto"/>
                <w:highlight w:val="none"/>
              </w:rPr>
              <w:t>图3</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w:t>
            </w:r>
          </w:p>
          <w:p w14:paraId="78ADF3F2">
            <w:pPr>
              <w:pStyle w:val="63"/>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both"/>
              <w:textAlignment w:val="auto"/>
              <w:rPr>
                <w:rFonts w:hint="eastAsia" w:ascii="Times New Roman" w:hAnsi="Times New Roman" w:eastAsia="宋体" w:cs="Times New Roman"/>
                <w:color w:val="auto"/>
                <w:highlight w:val="none"/>
                <w:lang w:val="en-US" w:eastAsia="zh-CN"/>
              </w:rPr>
            </w:pPr>
          </w:p>
          <w:p w14:paraId="77F10338">
            <w:pPr>
              <w:pStyle w:val="63"/>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both"/>
              <w:textAlignment w:val="auto"/>
              <w:rPr>
                <w:rFonts w:hint="eastAsia" w:ascii="Times New Roman" w:hAnsi="Times New Roman" w:eastAsia="宋体" w:cs="Times New Roman"/>
                <w:color w:val="auto"/>
                <w:highlight w:val="none"/>
                <w:lang w:val="en-US" w:eastAsia="zh-CN"/>
              </w:rPr>
            </w:pPr>
          </w:p>
          <w:p w14:paraId="5B941115">
            <w:pPr>
              <w:pStyle w:val="63"/>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both"/>
              <w:textAlignment w:val="auto"/>
              <w:rPr>
                <w:rFonts w:hint="eastAsia" w:ascii="Times New Roman" w:hAnsi="Times New Roman" w:eastAsia="宋体" w:cs="Times New Roman"/>
                <w:color w:val="auto"/>
                <w:highlight w:val="none"/>
                <w:lang w:val="en-US" w:eastAsia="zh-CN"/>
              </w:rPr>
            </w:pPr>
          </w:p>
          <w:p w14:paraId="4885355C">
            <w:pPr>
              <w:pStyle w:val="63"/>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both"/>
              <w:textAlignment w:val="auto"/>
              <w:rPr>
                <w:rFonts w:hint="eastAsia" w:ascii="Times New Roman" w:hAnsi="Times New Roman" w:eastAsia="宋体" w:cs="Times New Roman"/>
                <w:color w:val="auto"/>
                <w:highlight w:val="none"/>
                <w:lang w:val="en-US" w:eastAsia="zh-CN"/>
              </w:rPr>
            </w:pPr>
          </w:p>
          <w:p w14:paraId="2F486EB3">
            <w:pPr>
              <w:pStyle w:val="73"/>
              <w:keepNext w:val="0"/>
              <w:keepLines w:val="0"/>
              <w:pageBreakBefore w:val="0"/>
              <w:widowControl/>
              <w:kinsoku/>
              <w:wordWrap/>
              <w:overflowPunct/>
              <w:topLinePunct w:val="0"/>
              <w:autoSpaceDE/>
              <w:autoSpaceDN/>
              <w:bidi w:val="0"/>
              <w:adjustRightInd w:val="0"/>
              <w:snapToGrid w:val="0"/>
              <w:spacing w:before="0" w:beforeLines="0" w:beforeAutospacing="0" w:afterAutospacing="0" w:line="360" w:lineRule="auto"/>
              <w:ind w:left="0" w:leftChars="0" w:right="0" w:rightChars="0"/>
              <w:textAlignment w:val="auto"/>
              <w:rPr>
                <w:rFonts w:hint="eastAsia" w:ascii="Times New Roman" w:hAnsi="Times New Roman" w:eastAsia="宋体" w:cs="Times New Roman"/>
                <w:color w:val="auto"/>
                <w:spacing w:val="0"/>
                <w:highlight w:val="none"/>
              </w:rPr>
            </w:pPr>
            <w:r>
              <w:rPr>
                <w:rFonts w:hint="eastAsia" w:ascii="Times New Roman" w:hAnsi="Times New Roman" w:eastAsia="宋体" w:cs="Times New Roman"/>
                <w:color w:val="auto"/>
                <w:spacing w:val="0"/>
                <w:highlight w:val="none"/>
              </w:rPr>
              <w:t>图3</w:t>
            </w:r>
            <w:r>
              <w:rPr>
                <w:rFonts w:ascii="Times New Roman" w:hAnsi="Times New Roman" w:eastAsia="宋体" w:cs="Times New Roman"/>
                <w:color w:val="auto"/>
                <w:spacing w:val="0"/>
                <w:highlight w:val="none"/>
              </w:rPr>
              <w:t>-</w:t>
            </w:r>
            <w:r>
              <w:rPr>
                <w:rFonts w:hint="eastAsia" w:cs="Times New Roman"/>
                <w:color w:val="auto"/>
                <w:spacing w:val="0"/>
                <w:highlight w:val="none"/>
                <w:lang w:val="en-US" w:eastAsia="zh-CN"/>
              </w:rPr>
              <w:t>2</w:t>
            </w:r>
            <w:r>
              <w:rPr>
                <w:rFonts w:ascii="Times New Roman" w:hAnsi="Times New Roman" w:eastAsia="宋体" w:cs="Times New Roman"/>
                <w:color w:val="auto"/>
                <w:spacing w:val="0"/>
                <w:highlight w:val="none"/>
              </w:rPr>
              <w:t xml:space="preserve"> </w:t>
            </w:r>
            <w:r>
              <w:rPr>
                <w:rFonts w:hint="eastAsia" w:ascii="Times New Roman" w:hAnsi="Times New Roman" w:eastAsia="宋体" w:cs="Times New Roman"/>
                <w:color w:val="auto"/>
                <w:spacing w:val="0"/>
                <w:highlight w:val="none"/>
                <w:lang w:val="en-US" w:eastAsia="zh-CN"/>
              </w:rPr>
              <w:t xml:space="preserve"> </w:t>
            </w:r>
            <w:r>
              <w:rPr>
                <w:rFonts w:hint="eastAsia" w:ascii="Times New Roman" w:hAnsi="Times New Roman" w:eastAsia="宋体" w:cs="Times New Roman"/>
                <w:color w:val="auto"/>
                <w:spacing w:val="0"/>
                <w:highlight w:val="none"/>
              </w:rPr>
              <w:t>特征污染物大气环境质量监测点位图</w:t>
            </w:r>
          </w:p>
          <w:p w14:paraId="37ED2334">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rPr>
              <w:t>表</w:t>
            </w:r>
            <w:r>
              <w:rPr>
                <w:rFonts w:hint="eastAsia" w:ascii="Times New Roman" w:hAnsi="Times New Roman" w:eastAsia="宋体" w:cs="Times New Roman"/>
                <w:b/>
                <w:color w:val="auto"/>
                <w:spacing w:val="0"/>
                <w:sz w:val="24"/>
                <w:szCs w:val="24"/>
                <w:highlight w:val="none"/>
                <w:lang w:val="en-US" w:eastAsia="zh-CN"/>
              </w:rPr>
              <w:t xml:space="preserve">3.2-2  </w:t>
            </w:r>
            <w:r>
              <w:rPr>
                <w:rFonts w:hint="default" w:ascii="Times New Roman" w:hAnsi="Times New Roman" w:eastAsia="宋体" w:cs="Times New Roman"/>
                <w:b/>
                <w:color w:val="auto"/>
                <w:spacing w:val="0"/>
                <w:sz w:val="24"/>
                <w:szCs w:val="24"/>
                <w:highlight w:val="none"/>
              </w:rPr>
              <w:t>项目区域</w:t>
            </w:r>
            <w:r>
              <w:rPr>
                <w:rFonts w:hint="eastAsia" w:ascii="Times New Roman" w:hAnsi="Times New Roman" w:eastAsia="宋体" w:cs="Times New Roman"/>
                <w:b/>
                <w:color w:val="auto"/>
                <w:spacing w:val="0"/>
                <w:sz w:val="24"/>
                <w:szCs w:val="24"/>
                <w:highlight w:val="none"/>
                <w:lang w:eastAsia="zh-CN"/>
              </w:rPr>
              <w:t>颗粒物</w:t>
            </w:r>
            <w:r>
              <w:rPr>
                <w:rFonts w:hint="default" w:ascii="Times New Roman" w:hAnsi="Times New Roman" w:eastAsia="宋体" w:cs="Times New Roman"/>
                <w:b/>
                <w:color w:val="auto"/>
                <w:spacing w:val="0"/>
                <w:sz w:val="24"/>
                <w:szCs w:val="24"/>
                <w:highlight w:val="none"/>
              </w:rPr>
              <w:t xml:space="preserve">环境现状监测结果 </w:t>
            </w:r>
            <w:r>
              <w:rPr>
                <w:rFonts w:hint="eastAsia" w:ascii="Times New Roman" w:hAnsi="Times New Roman" w:eastAsia="宋体" w:cs="Times New Roman"/>
                <w:b/>
                <w:color w:val="auto"/>
                <w:spacing w:val="0"/>
                <w:sz w:val="24"/>
                <w:szCs w:val="24"/>
                <w:highlight w:val="none"/>
                <w:lang w:val="en-US" w:eastAsia="zh-CN"/>
              </w:rPr>
              <w:t xml:space="preserve">      </w:t>
            </w:r>
            <w:r>
              <w:rPr>
                <w:rFonts w:hint="default" w:ascii="Times New Roman" w:hAnsi="Times New Roman" w:eastAsia="宋体" w:cs="Times New Roman"/>
                <w:b/>
                <w:color w:val="auto"/>
                <w:spacing w:val="0"/>
                <w:sz w:val="24"/>
                <w:szCs w:val="24"/>
                <w:highlight w:val="none"/>
              </w:rPr>
              <w:t>单位</w:t>
            </w:r>
            <w:r>
              <w:rPr>
                <w:rFonts w:hint="eastAsia" w:ascii="Times New Roman" w:hAnsi="Times New Roman" w:eastAsia="宋体" w:cs="Times New Roman"/>
                <w:b/>
                <w:color w:val="auto"/>
                <w:spacing w:val="0"/>
                <w:sz w:val="24"/>
                <w:szCs w:val="24"/>
                <w:highlight w:val="none"/>
                <w:lang w:eastAsia="zh-CN"/>
              </w:rPr>
              <w:t>：</w:t>
            </w:r>
            <w:r>
              <w:rPr>
                <w:rFonts w:hint="default" w:ascii="Times New Roman" w:hAnsi="Times New Roman" w:eastAsia="宋体" w:cs="Times New Roman"/>
                <w:b/>
                <w:color w:val="auto"/>
                <w:spacing w:val="0"/>
                <w:sz w:val="24"/>
                <w:szCs w:val="24"/>
                <w:highlight w:val="none"/>
              </w:rPr>
              <w:t>μg/m</w:t>
            </w:r>
            <w:r>
              <w:rPr>
                <w:rFonts w:hint="default" w:ascii="Times New Roman" w:hAnsi="Times New Roman" w:eastAsia="宋体" w:cs="Times New Roman"/>
                <w:b/>
                <w:color w:val="auto"/>
                <w:spacing w:val="0"/>
                <w:sz w:val="24"/>
                <w:szCs w:val="24"/>
                <w:highlight w:val="none"/>
                <w:vertAlign w:val="superscript"/>
              </w:rPr>
              <w:t>3</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2" w:space="0"/>
              </w:tblBorders>
              <w:tblLayout w:type="fixed"/>
              <w:tblCellMar>
                <w:top w:w="0" w:type="dxa"/>
                <w:left w:w="28" w:type="dxa"/>
                <w:bottom w:w="0" w:type="dxa"/>
                <w:right w:w="28" w:type="dxa"/>
              </w:tblCellMar>
            </w:tblPr>
            <w:tblGrid>
              <w:gridCol w:w="1152"/>
              <w:gridCol w:w="778"/>
              <w:gridCol w:w="1140"/>
              <w:gridCol w:w="1012"/>
              <w:gridCol w:w="1271"/>
              <w:gridCol w:w="986"/>
              <w:gridCol w:w="979"/>
              <w:gridCol w:w="656"/>
            </w:tblGrid>
            <w:tr w14:paraId="6B0562A8">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1152" w:type="dxa"/>
                  <w:tcBorders>
                    <w:tl2br w:val="nil"/>
                    <w:tr2bl w:val="nil"/>
                  </w:tcBorders>
                  <w:noWrap w:val="0"/>
                  <w:vAlign w:val="center"/>
                </w:tcPr>
                <w:p w14:paraId="5AFDD4A2">
                  <w:pPr>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color w:val="auto"/>
                      <w:sz w:val="21"/>
                      <w:szCs w:val="21"/>
                      <w:highlight w:val="none"/>
                      <w:lang w:eastAsia="zh-CN"/>
                    </w:rPr>
                    <w:t>采样</w:t>
                  </w:r>
                  <w:r>
                    <w:rPr>
                      <w:rFonts w:hint="eastAsia" w:ascii="Times New Roman" w:hAnsi="Times New Roman" w:eastAsia="宋体" w:cs="Times New Roman"/>
                      <w:b/>
                      <w:color w:val="auto"/>
                      <w:sz w:val="21"/>
                      <w:szCs w:val="21"/>
                      <w:highlight w:val="none"/>
                      <w:lang w:val="en-US" w:eastAsia="zh-CN"/>
                    </w:rPr>
                    <w:t>/测试</w:t>
                  </w:r>
                  <w:r>
                    <w:rPr>
                      <w:rFonts w:hint="eastAsia" w:ascii="Times New Roman" w:hAnsi="Times New Roman" w:eastAsia="宋体" w:cs="Times New Roman"/>
                      <w:b/>
                      <w:color w:val="auto"/>
                      <w:sz w:val="21"/>
                      <w:szCs w:val="21"/>
                      <w:highlight w:val="none"/>
                      <w:lang w:eastAsia="zh-CN"/>
                    </w:rPr>
                    <w:t>日期</w:t>
                  </w:r>
                </w:p>
              </w:tc>
              <w:tc>
                <w:tcPr>
                  <w:tcW w:w="778" w:type="dxa"/>
                  <w:tcBorders>
                    <w:tl2br w:val="nil"/>
                    <w:tr2bl w:val="nil"/>
                  </w:tcBorders>
                  <w:noWrap w:val="0"/>
                  <w:vAlign w:val="center"/>
                </w:tcPr>
                <w:p w14:paraId="42C8608F">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lang w:val="en-US" w:eastAsia="zh-CN"/>
                    </w:rPr>
                    <w:t>监</w:t>
                  </w:r>
                  <w:r>
                    <w:rPr>
                      <w:rFonts w:ascii="Times New Roman" w:hAnsi="Times New Roman" w:eastAsia="宋体" w:cs="Times New Roman"/>
                      <w:b/>
                      <w:color w:val="auto"/>
                      <w:sz w:val="21"/>
                      <w:szCs w:val="21"/>
                      <w:highlight w:val="none"/>
                    </w:rPr>
                    <w:t>测</w:t>
                  </w:r>
                </w:p>
                <w:p w14:paraId="4AB34EA6">
                  <w:pPr>
                    <w:jc w:val="center"/>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b/>
                      <w:color w:val="auto"/>
                      <w:sz w:val="21"/>
                      <w:szCs w:val="21"/>
                      <w:highlight w:val="none"/>
                    </w:rPr>
                    <w:t>点位</w:t>
                  </w:r>
                </w:p>
              </w:tc>
              <w:tc>
                <w:tcPr>
                  <w:tcW w:w="1140" w:type="dxa"/>
                  <w:tcBorders>
                    <w:tl2br w:val="nil"/>
                    <w:tr2bl w:val="nil"/>
                  </w:tcBorders>
                  <w:noWrap w:val="0"/>
                  <w:vAlign w:val="center"/>
                </w:tcPr>
                <w:p w14:paraId="06300B5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平均时间</w:t>
                  </w:r>
                </w:p>
              </w:tc>
              <w:tc>
                <w:tcPr>
                  <w:tcW w:w="1012" w:type="dxa"/>
                  <w:tcBorders>
                    <w:tl2br w:val="nil"/>
                    <w:tr2bl w:val="nil"/>
                  </w:tcBorders>
                  <w:noWrap w:val="0"/>
                  <w:vAlign w:val="center"/>
                </w:tcPr>
                <w:p w14:paraId="3D6B1376">
                  <w:pPr>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评价标准</w:t>
                  </w:r>
                </w:p>
              </w:tc>
              <w:tc>
                <w:tcPr>
                  <w:tcW w:w="1271" w:type="dxa"/>
                  <w:tcBorders>
                    <w:tl2br w:val="nil"/>
                    <w:tr2bl w:val="nil"/>
                  </w:tcBorders>
                  <w:noWrap w:val="0"/>
                  <w:vAlign w:val="center"/>
                </w:tcPr>
                <w:p w14:paraId="400E5E35">
                  <w:pPr>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监测浓度范围</w:t>
                  </w:r>
                </w:p>
              </w:tc>
              <w:tc>
                <w:tcPr>
                  <w:tcW w:w="986" w:type="dxa"/>
                  <w:tcBorders>
                    <w:tl2br w:val="nil"/>
                    <w:tr2bl w:val="nil"/>
                  </w:tcBorders>
                  <w:noWrap w:val="0"/>
                  <w:vAlign w:val="center"/>
                </w:tcPr>
                <w:p w14:paraId="7540F03D">
                  <w:pPr>
                    <w:jc w:val="center"/>
                    <w:rPr>
                      <w:rFonts w:hint="default" w:ascii="Times New Roman" w:hAnsi="Times New Roman" w:eastAsia="宋体" w:cs="Times New Roman"/>
                      <w:b w:val="0"/>
                      <w:bCs/>
                      <w:color w:val="auto"/>
                      <w:sz w:val="21"/>
                      <w:szCs w:val="21"/>
                      <w:highlight w:val="none"/>
                      <w:lang w:val="en-US"/>
                    </w:rPr>
                  </w:pPr>
                  <w:r>
                    <w:rPr>
                      <w:rFonts w:hint="eastAsia" w:ascii="Times New Roman" w:hAnsi="Times New Roman" w:eastAsia="宋体" w:cs="Times New Roman"/>
                      <w:b/>
                      <w:color w:val="auto"/>
                      <w:sz w:val="21"/>
                      <w:szCs w:val="21"/>
                      <w:highlight w:val="none"/>
                      <w:lang w:val="en-US" w:eastAsia="zh-CN"/>
                    </w:rPr>
                    <w:t>最大浓度占标率%</w:t>
                  </w:r>
                </w:p>
              </w:tc>
              <w:tc>
                <w:tcPr>
                  <w:tcW w:w="979" w:type="dxa"/>
                  <w:tcBorders>
                    <w:tl2br w:val="nil"/>
                    <w:tr2bl w:val="nil"/>
                  </w:tcBorders>
                  <w:noWrap w:val="0"/>
                  <w:vAlign w:val="center"/>
                </w:tcPr>
                <w:p w14:paraId="145C483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超标率%</w:t>
                  </w:r>
                </w:p>
              </w:tc>
              <w:tc>
                <w:tcPr>
                  <w:tcW w:w="656" w:type="dxa"/>
                  <w:tcBorders>
                    <w:tl2br w:val="nil"/>
                    <w:tr2bl w:val="nil"/>
                  </w:tcBorders>
                  <w:noWrap w:val="0"/>
                  <w:vAlign w:val="center"/>
                </w:tcPr>
                <w:p w14:paraId="2830D3E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达标情况</w:t>
                  </w:r>
                </w:p>
              </w:tc>
            </w:tr>
            <w:tr w14:paraId="209DB354">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1152" w:type="dxa"/>
                  <w:tcBorders>
                    <w:tl2br w:val="nil"/>
                    <w:tr2bl w:val="nil"/>
                  </w:tcBorders>
                  <w:noWrap w:val="0"/>
                  <w:vAlign w:val="center"/>
                </w:tcPr>
                <w:p w14:paraId="35B33E57">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778" w:type="dxa"/>
                  <w:vMerge w:val="restart"/>
                  <w:tcBorders>
                    <w:tl2br w:val="nil"/>
                    <w:tr2bl w:val="nil"/>
                  </w:tcBorders>
                  <w:noWrap w:val="0"/>
                  <w:vAlign w:val="center"/>
                </w:tcPr>
                <w:p w14:paraId="35DFD882">
                  <w:pPr>
                    <w:jc w:val="center"/>
                    <w:rPr>
                      <w:rFonts w:hint="eastAsia" w:ascii="Times New Roman" w:hAnsi="Times New Roman" w:eastAsia="宋体" w:cs="Times New Roman"/>
                      <w:color w:val="auto"/>
                      <w:sz w:val="21"/>
                      <w:szCs w:val="21"/>
                      <w:highlight w:val="none"/>
                    </w:rPr>
                  </w:pPr>
                </w:p>
              </w:tc>
              <w:tc>
                <w:tcPr>
                  <w:tcW w:w="1140" w:type="dxa"/>
                  <w:tcBorders>
                    <w:tl2br w:val="nil"/>
                    <w:tr2bl w:val="nil"/>
                  </w:tcBorders>
                  <w:noWrap w:val="0"/>
                  <w:vAlign w:val="center"/>
                </w:tcPr>
                <w:p w14:paraId="6D96A535">
                  <w:pPr>
                    <w:jc w:val="center"/>
                    <w:rPr>
                      <w:rFonts w:hint="default" w:ascii="Times New Roman" w:hAnsi="Times New Roman" w:eastAsia="宋体" w:cs="Times New Roman"/>
                      <w:color w:val="auto"/>
                      <w:sz w:val="21"/>
                      <w:szCs w:val="21"/>
                      <w:highlight w:val="none"/>
                      <w:lang w:val="en-US" w:eastAsia="zh-CN"/>
                    </w:rPr>
                  </w:pPr>
                </w:p>
              </w:tc>
              <w:tc>
                <w:tcPr>
                  <w:tcW w:w="1012" w:type="dxa"/>
                  <w:tcBorders>
                    <w:tl2br w:val="nil"/>
                    <w:tr2bl w:val="nil"/>
                  </w:tcBorders>
                  <w:noWrap w:val="0"/>
                  <w:vAlign w:val="center"/>
                </w:tcPr>
                <w:p w14:paraId="5F2B3F78">
                  <w:pPr>
                    <w:jc w:val="center"/>
                    <w:rPr>
                      <w:rFonts w:hint="default" w:ascii="Times New Roman" w:hAnsi="Times New Roman" w:eastAsia="宋体" w:cs="Times New Roman"/>
                      <w:color w:val="auto"/>
                      <w:sz w:val="21"/>
                      <w:szCs w:val="21"/>
                      <w:highlight w:val="none"/>
                      <w:lang w:val="en-US" w:eastAsia="zh-CN"/>
                    </w:rPr>
                  </w:pPr>
                </w:p>
              </w:tc>
              <w:tc>
                <w:tcPr>
                  <w:tcW w:w="1271" w:type="dxa"/>
                  <w:tcBorders>
                    <w:tl2br w:val="nil"/>
                    <w:tr2bl w:val="nil"/>
                  </w:tcBorders>
                  <w:noWrap w:val="0"/>
                  <w:vAlign w:val="center"/>
                </w:tcPr>
                <w:p w14:paraId="1DE95F78">
                  <w:pPr>
                    <w:jc w:val="center"/>
                    <w:rPr>
                      <w:rFonts w:hint="default" w:ascii="Times New Roman" w:hAnsi="Times New Roman" w:eastAsia="宋体" w:cs="Times New Roman"/>
                      <w:color w:val="auto"/>
                      <w:sz w:val="21"/>
                      <w:szCs w:val="21"/>
                      <w:highlight w:val="none"/>
                      <w:lang w:val="en-US" w:eastAsia="zh-CN"/>
                    </w:rPr>
                  </w:pPr>
                </w:p>
              </w:tc>
              <w:tc>
                <w:tcPr>
                  <w:tcW w:w="986" w:type="dxa"/>
                  <w:tcBorders>
                    <w:tl2br w:val="nil"/>
                    <w:tr2bl w:val="nil"/>
                  </w:tcBorders>
                  <w:noWrap w:val="0"/>
                  <w:vAlign w:val="center"/>
                </w:tcPr>
                <w:p w14:paraId="2F8E4AC1">
                  <w:pPr>
                    <w:jc w:val="center"/>
                    <w:rPr>
                      <w:rFonts w:hint="default" w:ascii="Times New Roman" w:hAnsi="Times New Roman" w:eastAsia="宋体" w:cs="Times New Roman"/>
                      <w:color w:val="auto"/>
                      <w:sz w:val="21"/>
                      <w:szCs w:val="21"/>
                      <w:highlight w:val="none"/>
                      <w:lang w:val="en-US" w:eastAsia="zh-CN"/>
                    </w:rPr>
                  </w:pPr>
                </w:p>
              </w:tc>
              <w:tc>
                <w:tcPr>
                  <w:tcW w:w="979" w:type="dxa"/>
                  <w:tcBorders>
                    <w:tl2br w:val="nil"/>
                    <w:tr2bl w:val="nil"/>
                  </w:tcBorders>
                  <w:noWrap w:val="0"/>
                  <w:vAlign w:val="center"/>
                </w:tcPr>
                <w:p w14:paraId="1A529E1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656" w:type="dxa"/>
                  <w:tcBorders>
                    <w:tl2br w:val="nil"/>
                    <w:tr2bl w:val="nil"/>
                  </w:tcBorders>
                  <w:noWrap w:val="0"/>
                  <w:vAlign w:val="center"/>
                </w:tcPr>
                <w:p w14:paraId="313F225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r>
            <w:tr w14:paraId="2C1894DD">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1152" w:type="dxa"/>
                  <w:tcBorders>
                    <w:tl2br w:val="nil"/>
                    <w:tr2bl w:val="nil"/>
                  </w:tcBorders>
                  <w:noWrap w:val="0"/>
                  <w:vAlign w:val="center"/>
                </w:tcPr>
                <w:p w14:paraId="5B27A33C">
                  <w:pPr>
                    <w:spacing w:line="300" w:lineRule="exact"/>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vMerge w:val="continue"/>
                  <w:tcBorders>
                    <w:tl2br w:val="nil"/>
                    <w:tr2bl w:val="nil"/>
                  </w:tcBorders>
                  <w:noWrap w:val="0"/>
                  <w:vAlign w:val="center"/>
                </w:tcPr>
                <w:p w14:paraId="434634C6">
                  <w:pPr>
                    <w:jc w:val="center"/>
                    <w:rPr>
                      <w:rFonts w:hint="eastAsia" w:cs="Times New Roman"/>
                      <w:color w:val="auto"/>
                      <w:sz w:val="21"/>
                      <w:highlight w:val="none"/>
                      <w:lang w:val="en-US" w:eastAsia="zh-CN"/>
                    </w:rPr>
                  </w:pPr>
                </w:p>
              </w:tc>
              <w:tc>
                <w:tcPr>
                  <w:tcW w:w="1140" w:type="dxa"/>
                  <w:tcBorders>
                    <w:tl2br w:val="nil"/>
                    <w:tr2bl w:val="nil"/>
                  </w:tcBorders>
                  <w:noWrap w:val="0"/>
                  <w:vAlign w:val="center"/>
                </w:tcPr>
                <w:p w14:paraId="772B5792">
                  <w:pPr>
                    <w:jc w:val="center"/>
                    <w:rPr>
                      <w:rFonts w:hint="eastAsia" w:ascii="Times New Roman" w:hAnsi="Times New Roman" w:eastAsia="宋体" w:cs="Times New Roman"/>
                      <w:color w:val="auto"/>
                      <w:sz w:val="21"/>
                      <w:szCs w:val="21"/>
                      <w:highlight w:val="none"/>
                      <w:lang w:val="en-US" w:eastAsia="zh-CN"/>
                    </w:rPr>
                  </w:pPr>
                </w:p>
              </w:tc>
              <w:tc>
                <w:tcPr>
                  <w:tcW w:w="1012" w:type="dxa"/>
                  <w:tcBorders>
                    <w:tl2br w:val="nil"/>
                    <w:tr2bl w:val="nil"/>
                  </w:tcBorders>
                  <w:noWrap w:val="0"/>
                  <w:vAlign w:val="center"/>
                </w:tcPr>
                <w:p w14:paraId="1DA3A570">
                  <w:pPr>
                    <w:jc w:val="center"/>
                    <w:rPr>
                      <w:rFonts w:hint="eastAsia" w:ascii="Times New Roman" w:hAnsi="Times New Roman" w:eastAsia="宋体" w:cs="Times New Roman"/>
                      <w:color w:val="auto"/>
                      <w:sz w:val="21"/>
                      <w:szCs w:val="21"/>
                      <w:highlight w:val="none"/>
                      <w:lang w:val="en-US" w:eastAsia="zh-CN"/>
                    </w:rPr>
                  </w:pPr>
                </w:p>
              </w:tc>
              <w:tc>
                <w:tcPr>
                  <w:tcW w:w="1271" w:type="dxa"/>
                  <w:tcBorders>
                    <w:tl2br w:val="nil"/>
                    <w:tr2bl w:val="nil"/>
                  </w:tcBorders>
                  <w:noWrap w:val="0"/>
                  <w:vAlign w:val="center"/>
                </w:tcPr>
                <w:p w14:paraId="6C33F734">
                  <w:pPr>
                    <w:jc w:val="center"/>
                    <w:rPr>
                      <w:rFonts w:hint="default" w:ascii="Times New Roman" w:hAnsi="Times New Roman" w:eastAsia="宋体" w:cs="Times New Roman"/>
                      <w:color w:val="auto"/>
                      <w:sz w:val="21"/>
                      <w:szCs w:val="21"/>
                      <w:highlight w:val="none"/>
                      <w:lang w:val="en-US" w:eastAsia="zh-CN"/>
                    </w:rPr>
                  </w:pPr>
                </w:p>
              </w:tc>
              <w:tc>
                <w:tcPr>
                  <w:tcW w:w="986" w:type="dxa"/>
                  <w:tcBorders>
                    <w:tl2br w:val="nil"/>
                    <w:tr2bl w:val="nil"/>
                  </w:tcBorders>
                  <w:noWrap w:val="0"/>
                  <w:vAlign w:val="center"/>
                </w:tcPr>
                <w:p w14:paraId="7CB37271">
                  <w:pPr>
                    <w:jc w:val="center"/>
                    <w:rPr>
                      <w:rFonts w:hint="default" w:ascii="Times New Roman" w:hAnsi="Times New Roman" w:eastAsia="宋体" w:cs="Times New Roman"/>
                      <w:b w:val="0"/>
                      <w:bCs/>
                      <w:color w:val="auto"/>
                      <w:sz w:val="21"/>
                      <w:szCs w:val="21"/>
                      <w:highlight w:val="none"/>
                      <w:lang w:val="en-US" w:eastAsia="zh-CN"/>
                    </w:rPr>
                  </w:pPr>
                </w:p>
              </w:tc>
              <w:tc>
                <w:tcPr>
                  <w:tcW w:w="979" w:type="dxa"/>
                  <w:tcBorders>
                    <w:tl2br w:val="nil"/>
                    <w:tr2bl w:val="nil"/>
                  </w:tcBorders>
                  <w:noWrap w:val="0"/>
                  <w:vAlign w:val="center"/>
                </w:tcPr>
                <w:p w14:paraId="075D8A7D">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p>
              </w:tc>
              <w:tc>
                <w:tcPr>
                  <w:tcW w:w="656" w:type="dxa"/>
                  <w:tcBorders>
                    <w:tl2br w:val="nil"/>
                    <w:tr2bl w:val="nil"/>
                  </w:tcBorders>
                  <w:noWrap w:val="0"/>
                  <w:vAlign w:val="center"/>
                </w:tcPr>
                <w:p w14:paraId="09449D7C">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p>
              </w:tc>
            </w:tr>
            <w:tr w14:paraId="37A9346A">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1152" w:type="dxa"/>
                  <w:tcBorders>
                    <w:tl2br w:val="nil"/>
                    <w:tr2bl w:val="nil"/>
                  </w:tcBorders>
                  <w:noWrap w:val="0"/>
                  <w:vAlign w:val="center"/>
                </w:tcPr>
                <w:p w14:paraId="3D3FC322">
                  <w:pPr>
                    <w:spacing w:line="300" w:lineRule="exact"/>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78" w:type="dxa"/>
                  <w:vMerge w:val="continue"/>
                  <w:tcBorders>
                    <w:tl2br w:val="nil"/>
                    <w:tr2bl w:val="nil"/>
                  </w:tcBorders>
                  <w:noWrap w:val="0"/>
                  <w:vAlign w:val="center"/>
                </w:tcPr>
                <w:p w14:paraId="40F78A2A">
                  <w:pPr>
                    <w:jc w:val="center"/>
                    <w:rPr>
                      <w:rFonts w:hint="eastAsia" w:cs="Times New Roman"/>
                      <w:color w:val="auto"/>
                      <w:sz w:val="21"/>
                      <w:highlight w:val="none"/>
                      <w:lang w:val="en-US" w:eastAsia="zh-CN"/>
                    </w:rPr>
                  </w:pPr>
                </w:p>
              </w:tc>
              <w:tc>
                <w:tcPr>
                  <w:tcW w:w="1140" w:type="dxa"/>
                  <w:tcBorders>
                    <w:tl2br w:val="nil"/>
                    <w:tr2bl w:val="nil"/>
                  </w:tcBorders>
                  <w:noWrap w:val="0"/>
                  <w:vAlign w:val="center"/>
                </w:tcPr>
                <w:p w14:paraId="017D641C">
                  <w:pPr>
                    <w:jc w:val="center"/>
                    <w:rPr>
                      <w:rFonts w:hint="eastAsia" w:ascii="Times New Roman" w:hAnsi="Times New Roman" w:eastAsia="宋体" w:cs="Times New Roman"/>
                      <w:color w:val="auto"/>
                      <w:sz w:val="21"/>
                      <w:szCs w:val="21"/>
                      <w:highlight w:val="none"/>
                      <w:lang w:val="en-US" w:eastAsia="zh-CN"/>
                    </w:rPr>
                  </w:pPr>
                </w:p>
              </w:tc>
              <w:tc>
                <w:tcPr>
                  <w:tcW w:w="1012" w:type="dxa"/>
                  <w:tcBorders>
                    <w:tl2br w:val="nil"/>
                    <w:tr2bl w:val="nil"/>
                  </w:tcBorders>
                  <w:noWrap w:val="0"/>
                  <w:vAlign w:val="center"/>
                </w:tcPr>
                <w:p w14:paraId="1673E961">
                  <w:pPr>
                    <w:jc w:val="center"/>
                    <w:rPr>
                      <w:rFonts w:hint="eastAsia" w:ascii="Times New Roman" w:hAnsi="Times New Roman" w:eastAsia="宋体" w:cs="Times New Roman"/>
                      <w:color w:val="auto"/>
                      <w:sz w:val="21"/>
                      <w:szCs w:val="21"/>
                      <w:highlight w:val="none"/>
                      <w:lang w:val="en-US" w:eastAsia="zh-CN"/>
                    </w:rPr>
                  </w:pPr>
                </w:p>
              </w:tc>
              <w:tc>
                <w:tcPr>
                  <w:tcW w:w="1271" w:type="dxa"/>
                  <w:tcBorders>
                    <w:tl2br w:val="nil"/>
                    <w:tr2bl w:val="nil"/>
                  </w:tcBorders>
                  <w:noWrap w:val="0"/>
                  <w:vAlign w:val="center"/>
                </w:tcPr>
                <w:p w14:paraId="38D4F5CA">
                  <w:pPr>
                    <w:jc w:val="center"/>
                    <w:rPr>
                      <w:rFonts w:hint="default" w:ascii="Times New Roman" w:hAnsi="Times New Roman" w:eastAsia="宋体" w:cs="Times New Roman"/>
                      <w:color w:val="auto"/>
                      <w:sz w:val="21"/>
                      <w:szCs w:val="21"/>
                      <w:highlight w:val="none"/>
                      <w:lang w:val="en-US" w:eastAsia="zh-CN"/>
                    </w:rPr>
                  </w:pPr>
                </w:p>
              </w:tc>
              <w:tc>
                <w:tcPr>
                  <w:tcW w:w="986" w:type="dxa"/>
                  <w:tcBorders>
                    <w:tl2br w:val="nil"/>
                    <w:tr2bl w:val="nil"/>
                  </w:tcBorders>
                  <w:noWrap w:val="0"/>
                  <w:vAlign w:val="center"/>
                </w:tcPr>
                <w:p w14:paraId="32AC9A0F">
                  <w:pPr>
                    <w:jc w:val="center"/>
                    <w:rPr>
                      <w:rFonts w:hint="default" w:ascii="Times New Roman" w:hAnsi="Times New Roman" w:eastAsia="宋体" w:cs="Times New Roman"/>
                      <w:b w:val="0"/>
                      <w:bCs/>
                      <w:color w:val="auto"/>
                      <w:sz w:val="21"/>
                      <w:szCs w:val="21"/>
                      <w:highlight w:val="none"/>
                      <w:lang w:val="en-US" w:eastAsia="zh-CN"/>
                    </w:rPr>
                  </w:pPr>
                </w:p>
              </w:tc>
              <w:tc>
                <w:tcPr>
                  <w:tcW w:w="979" w:type="dxa"/>
                  <w:tcBorders>
                    <w:tl2br w:val="nil"/>
                    <w:tr2bl w:val="nil"/>
                  </w:tcBorders>
                  <w:noWrap w:val="0"/>
                  <w:vAlign w:val="center"/>
                </w:tcPr>
                <w:p w14:paraId="45F42B75">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p>
              </w:tc>
              <w:tc>
                <w:tcPr>
                  <w:tcW w:w="656" w:type="dxa"/>
                  <w:tcBorders>
                    <w:tl2br w:val="nil"/>
                    <w:tr2bl w:val="nil"/>
                  </w:tcBorders>
                  <w:noWrap w:val="0"/>
                  <w:vAlign w:val="center"/>
                </w:tcPr>
                <w:p w14:paraId="213C6300">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p>
              </w:tc>
            </w:tr>
            <w:tr w14:paraId="7AA31B72">
              <w:tblPrEx>
                <w:tblBorders>
                  <w:top w:val="single" w:color="auto" w:sz="4" w:space="0"/>
                  <w:left w:val="none" w:color="auto" w:sz="0" w:space="0"/>
                  <w:bottom w:val="single" w:color="auto" w:sz="4"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7974" w:type="dxa"/>
                  <w:gridSpan w:val="8"/>
                  <w:tcBorders>
                    <w:tl2br w:val="nil"/>
                    <w:tr2bl w:val="nil"/>
                  </w:tcBorders>
                  <w:noWrap w:val="0"/>
                  <w:vAlign w:val="center"/>
                </w:tcPr>
                <w:p w14:paraId="116FB9FF">
                  <w:pPr>
                    <w:keepNext w:val="0"/>
                    <w:keepLines w:val="0"/>
                    <w:widowControl/>
                    <w:suppressLineNumbers w:val="0"/>
                    <w:jc w:val="left"/>
                    <w:textAlignment w:val="center"/>
                    <w:rPr>
                      <w:rFonts w:hint="eastAsia" w:ascii="Times New Roman" w:hAnsi="Times New Roman" w:eastAsia="宋体" w:cs="Times New Roman"/>
                      <w:color w:val="auto"/>
                      <w:sz w:val="18"/>
                      <w:szCs w:val="18"/>
                      <w:highlight w:val="none"/>
                      <w:lang w:val="en-US" w:eastAsia="zh-CN"/>
                    </w:rPr>
                  </w:pPr>
                </w:p>
              </w:tc>
            </w:tr>
          </w:tbl>
          <w:p w14:paraId="4873BB12">
            <w:pPr>
              <w:pStyle w:val="37"/>
              <w:keepNext w:val="0"/>
              <w:keepLines w:val="0"/>
              <w:pageBreakBefore w:val="0"/>
              <w:widowControl w:val="0"/>
              <w:kinsoku/>
              <w:wordWrap/>
              <w:overflowPunct/>
              <w:topLinePunct w:val="0"/>
              <w:autoSpaceDE/>
              <w:autoSpaceDN/>
              <w:bidi w:val="0"/>
              <w:adjustRightInd/>
              <w:snapToGrid/>
              <w:spacing w:before="157" w:beforeLines="50" w:after="0"/>
              <w:ind w:left="0" w:leftChars="0"/>
              <w:jc w:val="both"/>
              <w:textAlignment w:val="auto"/>
              <w:rPr>
                <w:rFonts w:hint="eastAsia" w:ascii="Times New Roman" w:hAnsi="Times New Roman" w:eastAsia="宋体" w:cs="Times New Roman"/>
                <w:bCs/>
                <w:color w:val="auto"/>
                <w:sz w:val="24"/>
                <w:highlight w:val="none"/>
                <w:lang w:eastAsia="zh-CN"/>
              </w:rPr>
            </w:pPr>
            <w:r>
              <w:rPr>
                <w:rFonts w:hint="eastAsia" w:ascii="Times New Roman" w:hAnsi="Times New Roman" w:eastAsia="宋体" w:cs="Times New Roman"/>
                <w:bCs/>
                <w:color w:val="auto"/>
                <w:sz w:val="24"/>
                <w:highlight w:val="none"/>
                <w:lang w:eastAsia="zh-CN"/>
              </w:rPr>
              <w:t>由上表可知，项目所在区域TSP符合</w:t>
            </w:r>
            <w:r>
              <w:rPr>
                <w:rFonts w:hint="eastAsia" w:ascii="Times New Roman" w:hAnsi="Times New Roman" w:eastAsia="宋体" w:cs="Times New Roman"/>
                <w:color w:val="auto"/>
                <w:spacing w:val="0"/>
                <w:kern w:val="2"/>
                <w:sz w:val="24"/>
                <w:szCs w:val="24"/>
                <w:highlight w:val="none"/>
                <w:lang w:val="en-US" w:eastAsia="zh-CN" w:bidi="ar-SA"/>
              </w:rPr>
              <w:t>《环境空气质量标准》（GB3095-2026）中的二级标准</w:t>
            </w:r>
            <w:r>
              <w:rPr>
                <w:rFonts w:hint="eastAsia" w:ascii="Times New Roman" w:hAnsi="Times New Roman" w:eastAsia="宋体" w:cs="Times New Roman"/>
                <w:bCs/>
                <w:color w:val="auto"/>
                <w:sz w:val="24"/>
                <w:highlight w:val="none"/>
                <w:lang w:eastAsia="zh-CN"/>
              </w:rPr>
              <w:t>“表2环境空气污染物其他项目浓度限值”二级标准（24h平均浓度限值为300</w:t>
            </w:r>
            <w:r>
              <w:rPr>
                <w:rFonts w:hint="default" w:ascii="Times New Roman" w:hAnsi="Times New Roman" w:eastAsia="宋体" w:cs="Times New Roman"/>
                <w:color w:val="auto"/>
                <w:spacing w:val="0"/>
                <w:kern w:val="2"/>
                <w:sz w:val="24"/>
                <w:szCs w:val="24"/>
                <w:highlight w:val="none"/>
                <w:lang w:val="en-US" w:eastAsia="zh-CN" w:bidi="ar-SA"/>
              </w:rPr>
              <w:t>μg/m</w:t>
            </w:r>
            <w:r>
              <w:rPr>
                <w:rFonts w:hint="default" w:ascii="Times New Roman" w:hAnsi="Times New Roman" w:eastAsia="宋体" w:cs="Times New Roman"/>
                <w:color w:val="auto"/>
                <w:spacing w:val="0"/>
                <w:kern w:val="2"/>
                <w:sz w:val="24"/>
                <w:szCs w:val="24"/>
                <w:highlight w:val="none"/>
                <w:vertAlign w:val="superscript"/>
                <w:lang w:val="en-US" w:eastAsia="zh-CN" w:bidi="ar-SA"/>
              </w:rPr>
              <w:t>3</w:t>
            </w:r>
            <w:r>
              <w:rPr>
                <w:rFonts w:hint="eastAsia" w:ascii="Times New Roman" w:hAnsi="Times New Roman" w:eastAsia="宋体" w:cs="Times New Roman"/>
                <w:bCs/>
                <w:color w:val="auto"/>
                <w:sz w:val="24"/>
                <w:highlight w:val="none"/>
                <w:lang w:eastAsia="zh-CN"/>
              </w:rPr>
              <w:t>）。项目所在区域大气环境质量现状良好。</w:t>
            </w:r>
          </w:p>
          <w:p w14:paraId="2C7C3EB6">
            <w:pPr>
              <w:pStyle w:val="73"/>
              <w:keepNext w:val="0"/>
              <w:keepLines w:val="0"/>
              <w:pageBreakBefore w:val="0"/>
              <w:widowControl/>
              <w:kinsoku/>
              <w:wordWrap/>
              <w:overflowPunct/>
              <w:topLinePunct w:val="0"/>
              <w:autoSpaceDE/>
              <w:autoSpaceDN/>
              <w:bidi w:val="0"/>
              <w:adjustRightInd/>
              <w:snapToGrid w:val="0"/>
              <w:spacing w:before="0" w:beforeLines="0" w:beforeAutospacing="0" w:afterAutospacing="0" w:line="360" w:lineRule="auto"/>
              <w:ind w:left="0" w:leftChars="0" w:right="0" w:rightChars="0" w:firstLine="480" w:firstLineChars="200"/>
              <w:jc w:val="both"/>
              <w:textAlignment w:val="auto"/>
              <w:rPr>
                <w:rFonts w:hint="eastAsia" w:ascii="Times New Roman" w:hAnsi="Times New Roman" w:eastAsia="宋体" w:cs="Times New Roman"/>
                <w:b w:val="0"/>
                <w:bCs/>
                <w:color w:val="auto"/>
                <w:spacing w:val="0"/>
                <w:highlight w:val="none"/>
              </w:rPr>
            </w:pPr>
            <w:r>
              <w:rPr>
                <w:rFonts w:hint="eastAsia" w:ascii="Times New Roman" w:hAnsi="Times New Roman" w:eastAsia="宋体" w:cs="Times New Roman"/>
                <w:b w:val="0"/>
                <w:bCs/>
                <w:color w:val="auto"/>
                <w:spacing w:val="0"/>
                <w:highlight w:val="none"/>
              </w:rPr>
              <w:t>根据环境影响评价网</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生态环境部环境工程评估中心</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关于《建设项目环境影响报告表》内容、格式及编制技术指南常见问题解答</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技术指南中提到</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排放国家、地方环境空气质量标准中有标准限值要求的特征污染物</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其中环境空气质量标准指《环境空气质量标准》</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GB3095-20</w:t>
            </w:r>
            <w:r>
              <w:rPr>
                <w:rFonts w:hint="eastAsia" w:ascii="Times New Roman" w:hAnsi="Times New Roman" w:eastAsia="宋体" w:cs="Times New Roman"/>
                <w:b w:val="0"/>
                <w:bCs/>
                <w:color w:val="auto"/>
                <w:spacing w:val="0"/>
                <w:highlight w:val="none"/>
                <w:lang w:val="en-US" w:eastAsia="zh-CN"/>
              </w:rPr>
              <w:t>26</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表1过渡阶段浓度限值中的二级标准限值和地方的环境空气质量标准</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不包括《环境影响评价技术导则 大气环境》</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HJ2.2-2018</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附录 D、《工业企业设计卫生标准》</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GBZ1-2010</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、《前苏联居住区标准》</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CH245-71</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、《环境影响评价技术导则 制药建设项目》</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HJ611-2011</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、《大气污染物综合排放标准详解》等导则或参考资料。排放的特征污染物需要在国家、地方环境空气质量标准中有限值要求才涉及现状监测</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且优先引用现有监测数据</w:t>
            </w:r>
            <w:r>
              <w:rPr>
                <w:rFonts w:hint="eastAsia" w:ascii="Times New Roman" w:hAnsi="Times New Roman" w:eastAsia="宋体" w:cs="Times New Roman"/>
                <w:b w:val="0"/>
                <w:bCs/>
                <w:color w:val="auto"/>
                <w:spacing w:val="0"/>
                <w:highlight w:val="none"/>
                <w:lang w:eastAsia="zh-CN"/>
              </w:rPr>
              <w:t>”</w:t>
            </w:r>
            <w:r>
              <w:rPr>
                <w:rFonts w:hint="eastAsia" w:ascii="Times New Roman" w:hAnsi="Times New Roman" w:eastAsia="宋体" w:cs="Times New Roman"/>
                <w:b w:val="0"/>
                <w:bCs/>
                <w:color w:val="auto"/>
                <w:spacing w:val="0"/>
                <w:highlight w:val="none"/>
              </w:rPr>
              <w:t>。因此本次可不对非甲烷总烃</w:t>
            </w:r>
            <w:r>
              <w:rPr>
                <w:rFonts w:hint="eastAsia" w:cs="Times New Roman"/>
                <w:b w:val="0"/>
                <w:bCs/>
                <w:color w:val="auto"/>
                <w:spacing w:val="0"/>
                <w:highlight w:val="none"/>
                <w:lang w:eastAsia="zh-CN"/>
              </w:rPr>
              <w:t>、</w:t>
            </w:r>
            <w:r>
              <w:rPr>
                <w:rFonts w:hint="eastAsia" w:cs="Times New Roman"/>
                <w:b w:val="0"/>
                <w:bCs/>
                <w:color w:val="auto"/>
                <w:spacing w:val="0"/>
                <w:highlight w:val="none"/>
                <w:lang w:val="en-US" w:eastAsia="zh-CN"/>
              </w:rPr>
              <w:t>二甲苯、乙酸乙酯、乙酸丁酯</w:t>
            </w:r>
            <w:r>
              <w:rPr>
                <w:rFonts w:hint="eastAsia" w:ascii="Times New Roman" w:hAnsi="Times New Roman" w:eastAsia="宋体" w:cs="Times New Roman"/>
                <w:b w:val="0"/>
                <w:bCs/>
                <w:color w:val="auto"/>
                <w:spacing w:val="0"/>
                <w:highlight w:val="none"/>
              </w:rPr>
              <w:t>的环境空气现状进行补充监测。</w:t>
            </w:r>
          </w:p>
          <w:p w14:paraId="59070B3B">
            <w:pPr>
              <w:pStyle w:val="4"/>
              <w:keepNext/>
              <w:keepLines/>
              <w:pageBreakBefore w:val="0"/>
              <w:widowControl w:val="0"/>
              <w:kinsoku/>
              <w:wordWrap/>
              <w:overflowPunct/>
              <w:topLinePunct w:val="0"/>
              <w:autoSpaceDE/>
              <w:autoSpaceDN/>
              <w:bidi w:val="0"/>
              <w:adjustRightInd/>
              <w:snapToGrid/>
              <w:spacing w:before="0" w:after="0" w:line="360" w:lineRule="auto"/>
              <w:ind w:firstLine="482" w:firstLineChars="200"/>
              <w:jc w:val="left"/>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eastAsia" w:ascii="Times New Roman" w:hAnsi="Times New Roman" w:eastAsia="宋体" w:cs="Times New Roman"/>
                <w:b/>
                <w:bCs/>
                <w:color w:val="auto"/>
                <w:spacing w:val="0"/>
                <w:sz w:val="24"/>
                <w:szCs w:val="24"/>
                <w:highlight w:val="none"/>
                <w:lang w:val="en-US" w:eastAsia="zh-CN"/>
              </w:rPr>
              <w:t>3.2.2水环境质量现状</w:t>
            </w:r>
          </w:p>
          <w:p w14:paraId="76AEBE81">
            <w:pPr>
              <w:keepNext/>
              <w:keepLines/>
              <w:widowControl/>
              <w:wordWrap w:val="0"/>
              <w:topLinePunct/>
              <w:spacing w:line="360" w:lineRule="auto"/>
              <w:ind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为了解项目地表水水质环境质量现状，根据福州市人民政府网站发布的2025年1-12月福州市水环境质量状况可知，2025年1-12月，主要流域9个国控断面</w:t>
            </w:r>
            <w:r>
              <w:rPr>
                <w:rFonts w:hint="default" w:ascii="Times New Roman" w:hAnsi="Times New Roman" w:eastAsia="宋体" w:cs="Times New Roman"/>
                <w:color w:val="auto"/>
                <w:kern w:val="0"/>
                <w:sz w:val="24"/>
                <w:highlight w:val="none"/>
              </w:rPr>
              <w:t>Ⅰ-Ⅲ</w:t>
            </w:r>
            <w:r>
              <w:rPr>
                <w:rFonts w:hint="eastAsia" w:ascii="Times New Roman" w:hAnsi="Times New Roman" w:eastAsia="宋体" w:cs="Times New Roman"/>
                <w:color w:val="auto"/>
                <w:kern w:val="0"/>
                <w:sz w:val="24"/>
                <w:highlight w:val="none"/>
              </w:rPr>
              <w:t>类水质比例为100%，36个省控及以上断面</w:t>
            </w:r>
            <w:r>
              <w:rPr>
                <w:rFonts w:hint="default" w:ascii="Times New Roman" w:hAnsi="Times New Roman" w:eastAsia="宋体" w:cs="Times New Roman"/>
                <w:color w:val="auto"/>
                <w:kern w:val="0"/>
                <w:sz w:val="24"/>
                <w:highlight w:val="none"/>
              </w:rPr>
              <w:t>Ⅰ-Ⅲ</w:t>
            </w:r>
            <w:r>
              <w:rPr>
                <w:rFonts w:hint="eastAsia" w:ascii="Times New Roman" w:hAnsi="Times New Roman" w:eastAsia="宋体" w:cs="Times New Roman"/>
                <w:color w:val="auto"/>
                <w:kern w:val="0"/>
                <w:sz w:val="24"/>
                <w:highlight w:val="none"/>
              </w:rPr>
              <w:t>类水质比例为100%；小流域54个省控断面</w:t>
            </w:r>
            <w:r>
              <w:rPr>
                <w:rFonts w:hint="default" w:ascii="Times New Roman" w:hAnsi="Times New Roman" w:eastAsia="宋体" w:cs="Times New Roman"/>
                <w:color w:val="auto"/>
                <w:kern w:val="0"/>
                <w:sz w:val="24"/>
                <w:highlight w:val="none"/>
              </w:rPr>
              <w:t>Ⅰ-Ⅲ</w:t>
            </w:r>
            <w:r>
              <w:rPr>
                <w:rFonts w:hint="eastAsia" w:ascii="Times New Roman" w:hAnsi="Times New Roman" w:eastAsia="宋体" w:cs="Times New Roman"/>
                <w:color w:val="auto"/>
                <w:kern w:val="0"/>
                <w:sz w:val="24"/>
                <w:highlight w:val="none"/>
              </w:rPr>
              <w:t>类水质比例为100%。县级及以上集中式饮用水源地水质达标率为100%。</w:t>
            </w:r>
          </w:p>
          <w:p w14:paraId="421BB646">
            <w:pPr>
              <w:keepNext/>
              <w:keepLines/>
              <w:widowControl/>
              <w:wordWrap w:val="0"/>
              <w:topLinePunct/>
              <w:spacing w:line="360" w:lineRule="auto"/>
              <w:ind w:firstLine="504" w:firstLineChars="200"/>
              <w:rPr>
                <w:rFonts w:hint="eastAsia" w:ascii="Times New Roman" w:hAnsi="Times New Roman" w:eastAsia="宋体" w:cs="Times New Roman"/>
                <w:color w:val="auto"/>
                <w:spacing w:val="6"/>
                <w:kern w:val="0"/>
                <w:sz w:val="24"/>
                <w:highlight w:val="none"/>
                <w:lang w:eastAsia="zh-CN"/>
              </w:rPr>
            </w:pPr>
            <w:r>
              <w:rPr>
                <w:rFonts w:hint="eastAsia" w:ascii="Times New Roman" w:hAnsi="Times New Roman" w:eastAsia="宋体" w:cs="Times New Roman"/>
                <w:color w:val="auto"/>
                <w:spacing w:val="6"/>
                <w:kern w:val="0"/>
                <w:sz w:val="24"/>
                <w:highlight w:val="none"/>
              </w:rPr>
              <w:t>本项目不涉及生产废水排放，生活污水经处理达标后排入市政污水管网，送往闽侯县城关污水处理厂集中处理，项目生活污水不直接排入周边地表水体，基本不会改变周边水环境质量现状</w:t>
            </w:r>
            <w:r>
              <w:rPr>
                <w:rFonts w:hint="eastAsia" w:cs="Times New Roman"/>
                <w:color w:val="auto"/>
                <w:spacing w:val="6"/>
                <w:kern w:val="0"/>
                <w:sz w:val="24"/>
                <w:highlight w:val="none"/>
                <w:lang w:eastAsia="zh-CN"/>
              </w:rPr>
              <w:t>。</w:t>
            </w:r>
          </w:p>
          <w:p w14:paraId="3045787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3.2.3声环境质量现状</w:t>
            </w:r>
          </w:p>
          <w:p w14:paraId="65090E7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pacing w:val="0"/>
                <w:kern w:val="0"/>
                <w:sz w:val="24"/>
                <w:szCs w:val="24"/>
                <w:highlight w:val="none"/>
                <w:lang w:val="en-US" w:eastAsia="zh-CN" w:bidi="ar"/>
              </w:rPr>
              <w:t>根据《建设项目环境影响报告表编制技术指南（污染影响类）（试行）》，厂界外周边</w:t>
            </w:r>
            <w:r>
              <w:rPr>
                <w:rFonts w:hint="default" w:ascii="Times New Roman" w:hAnsi="Times New Roman" w:eastAsia="宋体" w:cs="Times New Roman"/>
                <w:color w:val="auto"/>
                <w:spacing w:val="0"/>
                <w:kern w:val="0"/>
                <w:sz w:val="24"/>
                <w:szCs w:val="24"/>
                <w:highlight w:val="none"/>
                <w:lang w:val="en-US" w:eastAsia="zh-CN" w:bidi="ar"/>
              </w:rPr>
              <w:t>50</w:t>
            </w:r>
            <w:r>
              <w:rPr>
                <w:rFonts w:hint="eastAsia" w:ascii="Times New Roman" w:hAnsi="Times New Roman" w:eastAsia="宋体" w:cs="Times New Roman"/>
                <w:color w:val="auto"/>
                <w:spacing w:val="0"/>
                <w:kern w:val="0"/>
                <w:sz w:val="24"/>
                <w:szCs w:val="24"/>
                <w:highlight w:val="none"/>
                <w:lang w:val="en-US" w:eastAsia="zh-CN" w:bidi="ar"/>
              </w:rPr>
              <w:t>m范围内存在声环境保护目标的建设项目，应监测保护目标声环境质量现状并评价达标情况。</w:t>
            </w:r>
          </w:p>
          <w:p w14:paraId="350D2256">
            <w:pPr>
              <w:pStyle w:val="63"/>
              <w:keepNext w:val="0"/>
              <w:keepLines w:val="0"/>
              <w:pageBreakBefore w:val="0"/>
              <w:widowControl/>
              <w:kinsoku/>
              <w:wordWrap/>
              <w:overflowPunct/>
              <w:topLinePunct w:val="0"/>
              <w:autoSpaceDE/>
              <w:autoSpaceDN/>
              <w:bidi w:val="0"/>
              <w:adjustRightInd/>
              <w:spacing w:line="360" w:lineRule="auto"/>
              <w:ind w:firstLine="480" w:firstLineChars="200"/>
              <w:jc w:val="both"/>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kern w:val="0"/>
                <w:sz w:val="24"/>
                <w:szCs w:val="24"/>
                <w:highlight w:val="none"/>
                <w:lang w:val="en-US" w:eastAsia="zh-CN" w:bidi="ar"/>
              </w:rPr>
              <w:t>根据现场踏勘，本项目边界外周边</w:t>
            </w:r>
            <w:r>
              <w:rPr>
                <w:rFonts w:hint="default" w:ascii="Times New Roman" w:hAnsi="Times New Roman" w:eastAsia="宋体" w:cs="Times New Roman"/>
                <w:color w:val="auto"/>
                <w:spacing w:val="0"/>
                <w:kern w:val="0"/>
                <w:sz w:val="24"/>
                <w:szCs w:val="24"/>
                <w:highlight w:val="none"/>
                <w:lang w:val="en-US" w:eastAsia="zh-CN" w:bidi="ar"/>
              </w:rPr>
              <w:t>50</w:t>
            </w:r>
            <w:r>
              <w:rPr>
                <w:rFonts w:hint="eastAsia" w:ascii="Times New Roman" w:hAnsi="Times New Roman" w:eastAsia="宋体" w:cs="Times New Roman"/>
                <w:color w:val="auto"/>
                <w:spacing w:val="0"/>
                <w:kern w:val="0"/>
                <w:sz w:val="24"/>
                <w:szCs w:val="24"/>
                <w:highlight w:val="none"/>
                <w:lang w:val="en-US" w:eastAsia="zh-CN" w:bidi="ar"/>
              </w:rPr>
              <w:t>m范围内无敏感目标，无需开展声环境质量现状监测。</w:t>
            </w:r>
          </w:p>
          <w:p w14:paraId="179F62B3">
            <w:pPr>
              <w:pStyle w:val="17"/>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eastAsia="宋体" w:cs="Times New Roman"/>
                <w:b/>
                <w:bCs/>
                <w:color w:val="auto"/>
                <w:spacing w:val="0"/>
                <w:sz w:val="24"/>
                <w:szCs w:val="24"/>
                <w:highlight w:val="none"/>
              </w:rPr>
            </w:pPr>
            <w:r>
              <w:rPr>
                <w:rFonts w:hint="eastAsia" w:ascii="Times New Roman" w:hAnsi="Times New Roman" w:eastAsia="宋体" w:cs="Times New Roman"/>
                <w:b/>
                <w:bCs/>
                <w:color w:val="auto"/>
                <w:spacing w:val="0"/>
                <w:sz w:val="24"/>
                <w:szCs w:val="24"/>
                <w:highlight w:val="none"/>
                <w:lang w:val="en-US" w:eastAsia="zh-CN"/>
              </w:rPr>
              <w:t>3.2.4</w:t>
            </w:r>
            <w:r>
              <w:rPr>
                <w:rFonts w:ascii="Times New Roman" w:hAnsi="Times New Roman" w:eastAsia="宋体" w:cs="Times New Roman"/>
                <w:b/>
                <w:bCs/>
                <w:color w:val="auto"/>
                <w:spacing w:val="0"/>
                <w:sz w:val="24"/>
                <w:szCs w:val="24"/>
                <w:highlight w:val="none"/>
                <w:lang w:val="en-US" w:eastAsia="zh-CN"/>
              </w:rPr>
              <w:t>生态环境</w:t>
            </w:r>
          </w:p>
          <w:p w14:paraId="06A5EC73">
            <w:pPr>
              <w:pStyle w:val="63"/>
              <w:keepNext w:val="0"/>
              <w:keepLines w:val="0"/>
              <w:pageBreakBefore w:val="0"/>
              <w:kinsoku/>
              <w:wordWrap/>
              <w:overflowPunct/>
              <w:topLinePunct w:val="0"/>
              <w:autoSpaceDE/>
              <w:autoSpaceDN/>
              <w:bidi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position w:val="0"/>
                <w:highlight w:val="none"/>
              </w:rPr>
            </w:pPr>
            <w:r>
              <w:rPr>
                <w:rFonts w:hint="default" w:ascii="Times New Roman" w:hAnsi="Times New Roman" w:eastAsia="宋体" w:cs="Times New Roman"/>
                <w:color w:val="auto"/>
                <w:spacing w:val="0"/>
                <w:position w:val="0"/>
                <w:highlight w:val="none"/>
              </w:rPr>
              <w:t>项目位于</w:t>
            </w:r>
            <w:r>
              <w:rPr>
                <w:rFonts w:hint="eastAsia" w:ascii="Times New Roman" w:hAnsi="Times New Roman" w:eastAsia="宋体" w:cs="Times New Roman"/>
                <w:color w:val="auto"/>
                <w:spacing w:val="0"/>
                <w:position w:val="0"/>
                <w:szCs w:val="24"/>
                <w:highlight w:val="none"/>
                <w:lang w:eastAsia="zh-CN"/>
              </w:rPr>
              <w:t>福建省福州市闽侯县荆溪镇长龙三路23、25号（</w:t>
            </w:r>
            <w:r>
              <w:rPr>
                <w:rFonts w:hint="eastAsia" w:cs="Times New Roman"/>
                <w:color w:val="auto"/>
                <w:spacing w:val="0"/>
                <w:position w:val="0"/>
                <w:szCs w:val="24"/>
                <w:highlight w:val="none"/>
                <w:lang w:eastAsia="zh-CN"/>
              </w:rPr>
              <w:t>福建省奥德瑞电子科技有限公司</w:t>
            </w:r>
            <w:r>
              <w:rPr>
                <w:rFonts w:hint="eastAsia" w:ascii="Times New Roman" w:hAnsi="Times New Roman" w:eastAsia="宋体" w:cs="Times New Roman"/>
                <w:color w:val="auto"/>
                <w:spacing w:val="0"/>
                <w:position w:val="0"/>
                <w:szCs w:val="24"/>
                <w:highlight w:val="none"/>
                <w:lang w:eastAsia="zh-CN"/>
              </w:rPr>
              <w:t>5#厂房二层</w:t>
            </w:r>
            <w:r>
              <w:rPr>
                <w:rFonts w:hint="eastAsia" w:ascii="Times New Roman" w:hAnsi="Times New Roman" w:eastAsia="宋体" w:cs="Times New Roman"/>
                <w:color w:val="auto"/>
                <w:spacing w:val="0"/>
                <w:position w:val="0"/>
                <w:highlight w:val="none"/>
                <w:lang w:eastAsia="zh-CN"/>
              </w:rPr>
              <w:t>，</w:t>
            </w:r>
            <w:r>
              <w:rPr>
                <w:rFonts w:hint="default" w:ascii="Times New Roman" w:hAnsi="Times New Roman" w:eastAsia="宋体" w:cs="Times New Roman"/>
                <w:color w:val="auto"/>
                <w:spacing w:val="0"/>
                <w:position w:val="0"/>
                <w:highlight w:val="none"/>
                <w:lang w:eastAsia="zh-CN"/>
              </w:rPr>
              <w:t>租赁</w:t>
            </w:r>
            <w:r>
              <w:rPr>
                <w:rFonts w:hint="eastAsia" w:cs="Times New Roman"/>
                <w:color w:val="auto"/>
                <w:spacing w:val="0"/>
                <w:position w:val="0"/>
                <w:highlight w:val="none"/>
                <w:lang w:eastAsia="zh-CN"/>
              </w:rPr>
              <w:t>福建省奥德瑞电子科技有限公司</w:t>
            </w:r>
            <w:r>
              <w:rPr>
                <w:rFonts w:hint="eastAsia" w:ascii="Times New Roman" w:hAnsi="Times New Roman" w:eastAsia="宋体" w:cs="Times New Roman"/>
                <w:color w:val="auto"/>
                <w:spacing w:val="0"/>
                <w:position w:val="0"/>
                <w:highlight w:val="none"/>
                <w:lang w:eastAsia="zh-CN"/>
              </w:rPr>
              <w:t>闲置</w:t>
            </w:r>
            <w:r>
              <w:rPr>
                <w:rFonts w:hint="default" w:ascii="Times New Roman" w:hAnsi="Times New Roman" w:eastAsia="宋体" w:cs="Times New Roman"/>
                <w:color w:val="auto"/>
                <w:spacing w:val="0"/>
                <w:position w:val="0"/>
                <w:highlight w:val="none"/>
                <w:lang w:eastAsia="zh-CN"/>
              </w:rPr>
              <w:t>厂房</w:t>
            </w:r>
            <w:r>
              <w:rPr>
                <w:rFonts w:hint="default" w:ascii="Times New Roman" w:hAnsi="Times New Roman" w:eastAsia="宋体" w:cs="Times New Roman"/>
                <w:color w:val="auto"/>
                <w:spacing w:val="0"/>
                <w:position w:val="0"/>
                <w:highlight w:val="none"/>
              </w:rPr>
              <w:t>进行生产</w:t>
            </w:r>
            <w:r>
              <w:rPr>
                <w:rFonts w:hint="eastAsia" w:ascii="Times New Roman" w:hAnsi="Times New Roman" w:eastAsia="宋体" w:cs="Times New Roman"/>
                <w:color w:val="auto"/>
                <w:spacing w:val="0"/>
                <w:position w:val="0"/>
                <w:highlight w:val="none"/>
                <w:lang w:eastAsia="zh-CN"/>
              </w:rPr>
              <w:t>，</w:t>
            </w:r>
            <w:r>
              <w:rPr>
                <w:rFonts w:hint="default" w:ascii="Times New Roman" w:hAnsi="Times New Roman" w:eastAsia="宋体" w:cs="Times New Roman"/>
                <w:color w:val="auto"/>
                <w:spacing w:val="0"/>
                <w:position w:val="0"/>
                <w:highlight w:val="none"/>
              </w:rPr>
              <w:t>不涉及新增建设用地</w:t>
            </w:r>
            <w:r>
              <w:rPr>
                <w:rFonts w:hint="eastAsia" w:ascii="Times New Roman" w:hAnsi="Times New Roman" w:eastAsia="宋体" w:cs="Times New Roman"/>
                <w:color w:val="auto"/>
                <w:spacing w:val="0"/>
                <w:position w:val="0"/>
                <w:highlight w:val="none"/>
                <w:lang w:eastAsia="zh-CN"/>
              </w:rPr>
              <w:t>，</w:t>
            </w:r>
            <w:r>
              <w:rPr>
                <w:rFonts w:hint="default" w:ascii="Times New Roman" w:hAnsi="Times New Roman" w:eastAsia="宋体" w:cs="Times New Roman"/>
                <w:color w:val="auto"/>
                <w:spacing w:val="0"/>
                <w:position w:val="0"/>
                <w:highlight w:val="none"/>
              </w:rPr>
              <w:t>项目选址不在特殊生态敏感区和重要生态敏感区内</w:t>
            </w:r>
            <w:r>
              <w:rPr>
                <w:rFonts w:hint="eastAsia" w:ascii="Times New Roman" w:hAnsi="Times New Roman" w:eastAsia="宋体" w:cs="Times New Roman"/>
                <w:color w:val="auto"/>
                <w:spacing w:val="0"/>
                <w:position w:val="0"/>
                <w:highlight w:val="none"/>
                <w:lang w:eastAsia="zh-CN"/>
              </w:rPr>
              <w:t>，</w:t>
            </w:r>
            <w:r>
              <w:rPr>
                <w:rFonts w:hint="default" w:ascii="Times New Roman" w:hAnsi="Times New Roman" w:eastAsia="宋体" w:cs="Times New Roman"/>
                <w:color w:val="auto"/>
                <w:spacing w:val="0"/>
                <w:position w:val="0"/>
                <w:highlight w:val="none"/>
              </w:rPr>
              <w:t>用地范围内无自然保护区、世界文化和自然遗产地、风景名胜区、森林公园、地质公园、重要湿地、原始天然林、珍稀濒危野生动植物天然集中分布区、重要水生生物的自然产卵场及索饵场、越冬场和洄游通道、天然渔场等生态环境保护目标</w:t>
            </w:r>
            <w:r>
              <w:rPr>
                <w:rFonts w:hint="eastAsia" w:ascii="Times New Roman" w:hAnsi="Times New Roman" w:eastAsia="宋体" w:cs="Times New Roman"/>
                <w:color w:val="auto"/>
                <w:spacing w:val="0"/>
                <w:position w:val="0"/>
                <w:highlight w:val="none"/>
                <w:lang w:eastAsia="zh-CN"/>
              </w:rPr>
              <w:t>，</w:t>
            </w:r>
            <w:r>
              <w:rPr>
                <w:rFonts w:hint="eastAsia" w:ascii="Times New Roman" w:hAnsi="Times New Roman" w:eastAsia="宋体" w:cs="Times New Roman"/>
                <w:color w:val="auto"/>
                <w:spacing w:val="0"/>
                <w:position w:val="0"/>
                <w:highlight w:val="none"/>
                <w:lang w:val="en-US" w:eastAsia="zh-CN"/>
              </w:rPr>
              <w:t>无</w:t>
            </w:r>
            <w:r>
              <w:rPr>
                <w:rFonts w:hint="default" w:ascii="Times New Roman" w:hAnsi="Times New Roman" w:eastAsia="宋体" w:cs="Times New Roman"/>
                <w:color w:val="auto"/>
                <w:spacing w:val="0"/>
                <w:position w:val="0"/>
                <w:highlight w:val="none"/>
              </w:rPr>
              <w:t>需进行生态现状调查。</w:t>
            </w:r>
          </w:p>
          <w:p w14:paraId="55FCC5D5">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3.2.5地下水、土壤环境</w:t>
            </w:r>
          </w:p>
          <w:p w14:paraId="035FB2A6">
            <w:pPr>
              <w:pStyle w:val="63"/>
              <w:keepNext w:val="0"/>
              <w:keepLines w:val="0"/>
              <w:pageBreakBefore w:val="0"/>
              <w:numPr>
                <w:ilvl w:val="0"/>
                <w:numId w:val="0"/>
              </w:numPr>
              <w:kinsoku/>
              <w:wordWrap/>
              <w:overflowPunct/>
              <w:topLinePunct w:val="0"/>
              <w:autoSpaceDE/>
              <w:autoSpaceDN/>
              <w:bidi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根据《环境影响评价技术导则 地下水环境》（HJ 610-2016），本项目属于附录A</w:t>
            </w:r>
            <w:r>
              <w:rPr>
                <w:rFonts w:hint="eastAsia" w:ascii="Times New Roman" w:hAnsi="Times New Roman" w:eastAsia="宋体" w:cs="Times New Roman"/>
                <w:color w:val="auto"/>
                <w:spacing w:val="0"/>
                <w:position w:val="0"/>
                <w:highlight w:val="none"/>
                <w:lang w:val="en-US" w:eastAsia="zh-CN"/>
              </w:rPr>
              <w:t>“109、锯材、木片加工、家具制造”</w:t>
            </w:r>
            <w:r>
              <w:rPr>
                <w:rFonts w:hint="default" w:ascii="Times New Roman" w:hAnsi="Times New Roman" w:eastAsia="宋体" w:cs="Times New Roman"/>
                <w:color w:val="auto"/>
                <w:spacing w:val="0"/>
                <w:position w:val="0"/>
                <w:highlight w:val="none"/>
                <w:lang w:val="en-US" w:eastAsia="zh-CN"/>
              </w:rPr>
              <w:t>，报告表</w:t>
            </w:r>
            <w:r>
              <w:rPr>
                <w:rFonts w:hint="eastAsia" w:ascii="Times New Roman" w:hAnsi="Times New Roman" w:eastAsia="宋体" w:cs="Times New Roman"/>
                <w:color w:val="auto"/>
                <w:spacing w:val="0"/>
                <w:position w:val="0"/>
                <w:highlight w:val="none"/>
                <w:lang w:val="en-US" w:eastAsia="zh-CN"/>
              </w:rPr>
              <w:t>均</w:t>
            </w:r>
            <w:r>
              <w:rPr>
                <w:rFonts w:hint="default" w:ascii="Times New Roman" w:hAnsi="Times New Roman" w:eastAsia="宋体" w:cs="Times New Roman"/>
                <w:color w:val="auto"/>
                <w:spacing w:val="0"/>
                <w:position w:val="0"/>
                <w:highlight w:val="none"/>
                <w:lang w:val="en-US" w:eastAsia="zh-CN"/>
              </w:rPr>
              <w:t>为</w:t>
            </w:r>
            <w:r>
              <w:rPr>
                <w:rFonts w:hint="default" w:ascii="Times New Roman" w:hAnsi="Times New Roman" w:eastAsia="宋体" w:cs="Times New Roman"/>
                <w:color w:val="auto"/>
                <w:spacing w:val="0"/>
                <w:position w:val="0"/>
                <w:highlight w:val="none"/>
                <w:lang w:val="en-US" w:eastAsia="zh-CN"/>
              </w:rPr>
              <w:fldChar w:fldCharType="begin"/>
            </w:r>
            <w:r>
              <w:rPr>
                <w:rFonts w:hint="default" w:ascii="Times New Roman" w:hAnsi="Times New Roman" w:eastAsia="宋体" w:cs="Times New Roman"/>
                <w:color w:val="auto"/>
                <w:spacing w:val="0"/>
                <w:position w:val="0"/>
                <w:highlight w:val="none"/>
                <w:lang w:val="en-US" w:eastAsia="zh-CN"/>
              </w:rPr>
              <w:instrText xml:space="preserve"> = 4 \* ROMAN \* MERGEFORMAT </w:instrText>
            </w:r>
            <w:r>
              <w:rPr>
                <w:rFonts w:hint="default" w:ascii="Times New Roman" w:hAnsi="Times New Roman" w:eastAsia="宋体" w:cs="Times New Roman"/>
                <w:color w:val="auto"/>
                <w:spacing w:val="0"/>
                <w:position w:val="0"/>
                <w:highlight w:val="none"/>
                <w:lang w:val="en-US" w:eastAsia="zh-CN"/>
              </w:rPr>
              <w:fldChar w:fldCharType="separate"/>
            </w:r>
            <w:r>
              <w:rPr>
                <w:color w:val="auto"/>
                <w:highlight w:val="none"/>
              </w:rPr>
              <w:t>IV</w:t>
            </w:r>
            <w:r>
              <w:rPr>
                <w:rFonts w:hint="default" w:ascii="Times New Roman" w:hAnsi="Times New Roman" w:eastAsia="宋体" w:cs="Times New Roman"/>
                <w:color w:val="auto"/>
                <w:spacing w:val="0"/>
                <w:position w:val="0"/>
                <w:highlight w:val="none"/>
                <w:lang w:val="en-US" w:eastAsia="zh-CN"/>
              </w:rPr>
              <w:fldChar w:fldCharType="end"/>
            </w:r>
            <w:r>
              <w:rPr>
                <w:rFonts w:hint="default" w:ascii="Times New Roman" w:hAnsi="Times New Roman" w:eastAsia="宋体" w:cs="Times New Roman"/>
                <w:color w:val="auto"/>
                <w:spacing w:val="0"/>
                <w:position w:val="0"/>
                <w:highlight w:val="none"/>
                <w:lang w:val="en-US" w:eastAsia="zh-CN"/>
              </w:rPr>
              <w:t>类，且建设项目不存在地下水环境污染途径，可不开展地下水环境影响评价；对照《环境影响评价技术导则 土壤环境（试行）》（HJ964-2018）附录A，本项目行业类别属于</w:t>
            </w:r>
            <w:r>
              <w:rPr>
                <w:rFonts w:hint="eastAsia" w:ascii="Times New Roman" w:hAnsi="Times New Roman" w:eastAsia="宋体" w:cs="Times New Roman"/>
                <w:color w:val="auto"/>
                <w:spacing w:val="0"/>
                <w:position w:val="0"/>
                <w:highlight w:val="none"/>
                <w:lang w:val="en-US" w:eastAsia="zh-CN"/>
              </w:rPr>
              <w:t>“制造业</w:t>
            </w:r>
            <w:r>
              <w:rPr>
                <w:rFonts w:hint="eastAsia" w:cs="Times New Roman"/>
                <w:color w:val="auto"/>
                <w:spacing w:val="0"/>
                <w:position w:val="0"/>
                <w:highlight w:val="none"/>
                <w:lang w:val="en-US" w:eastAsia="zh-CN"/>
              </w:rPr>
              <w:t>－</w:t>
            </w:r>
            <w:r>
              <w:rPr>
                <w:rFonts w:hint="eastAsia" w:ascii="Times New Roman" w:hAnsi="Times New Roman" w:eastAsia="宋体" w:cs="Times New Roman"/>
                <w:color w:val="auto"/>
                <w:spacing w:val="0"/>
                <w:position w:val="0"/>
                <w:highlight w:val="none"/>
                <w:lang w:val="en-US" w:eastAsia="zh-CN"/>
              </w:rPr>
              <w:t>其他用品制造”</w:t>
            </w:r>
            <w:r>
              <w:rPr>
                <w:rFonts w:hint="default" w:ascii="Times New Roman" w:hAnsi="Times New Roman" w:eastAsia="宋体" w:cs="Times New Roman"/>
                <w:color w:val="auto"/>
                <w:spacing w:val="0"/>
                <w:position w:val="0"/>
                <w:highlight w:val="none"/>
                <w:lang w:val="en-US" w:eastAsia="zh-CN"/>
              </w:rPr>
              <w:t>，类别为</w:t>
            </w:r>
            <w:r>
              <w:rPr>
                <w:rFonts w:hint="default" w:ascii="Times New Roman" w:hAnsi="Times New Roman" w:eastAsia="宋体" w:cs="Times New Roman"/>
                <w:color w:val="auto"/>
                <w:spacing w:val="0"/>
                <w:position w:val="0"/>
                <w:highlight w:val="none"/>
                <w:lang w:val="en-US" w:eastAsia="zh-CN"/>
              </w:rPr>
              <w:fldChar w:fldCharType="begin"/>
            </w:r>
            <w:r>
              <w:rPr>
                <w:rFonts w:hint="default" w:ascii="Times New Roman" w:hAnsi="Times New Roman" w:eastAsia="宋体" w:cs="Times New Roman"/>
                <w:color w:val="auto"/>
                <w:spacing w:val="0"/>
                <w:position w:val="0"/>
                <w:highlight w:val="none"/>
                <w:lang w:val="en-US" w:eastAsia="zh-CN"/>
              </w:rPr>
              <w:instrText xml:space="preserve"> = 3 \* ROMAN \* MERGEFORMAT </w:instrText>
            </w:r>
            <w:r>
              <w:rPr>
                <w:rFonts w:hint="default" w:ascii="Times New Roman" w:hAnsi="Times New Roman" w:eastAsia="宋体" w:cs="Times New Roman"/>
                <w:color w:val="auto"/>
                <w:spacing w:val="0"/>
                <w:position w:val="0"/>
                <w:highlight w:val="none"/>
                <w:lang w:val="en-US" w:eastAsia="zh-CN"/>
              </w:rPr>
              <w:fldChar w:fldCharType="separate"/>
            </w:r>
            <w:r>
              <w:rPr>
                <w:color w:val="auto"/>
                <w:highlight w:val="none"/>
              </w:rPr>
              <w:t>III</w:t>
            </w:r>
            <w:r>
              <w:rPr>
                <w:rFonts w:hint="default" w:ascii="Times New Roman" w:hAnsi="Times New Roman" w:eastAsia="宋体" w:cs="Times New Roman"/>
                <w:color w:val="auto"/>
                <w:spacing w:val="0"/>
                <w:position w:val="0"/>
                <w:highlight w:val="none"/>
                <w:lang w:val="en-US" w:eastAsia="zh-CN"/>
              </w:rPr>
              <w:fldChar w:fldCharType="end"/>
            </w:r>
            <w:r>
              <w:rPr>
                <w:rFonts w:hint="default" w:ascii="Times New Roman" w:hAnsi="Times New Roman" w:eastAsia="宋体" w:cs="Times New Roman"/>
                <w:color w:val="auto"/>
                <w:spacing w:val="0"/>
                <w:position w:val="0"/>
                <w:highlight w:val="none"/>
                <w:lang w:val="en-US" w:eastAsia="zh-CN"/>
              </w:rPr>
              <w:t>类项目。建设项目占地规模属于小型，本项目用地现状主要为工业用地，土壤环境属于不敏感，故本项目可不开展土壤环境影响评价工作。</w:t>
            </w:r>
          </w:p>
          <w:p w14:paraId="3102D63D">
            <w:pPr>
              <w:pStyle w:val="63"/>
              <w:keepNext w:val="0"/>
              <w:keepLines w:val="0"/>
              <w:pageBreakBefore w:val="0"/>
              <w:numPr>
                <w:ilvl w:val="0"/>
                <w:numId w:val="0"/>
              </w:numPr>
              <w:kinsoku/>
              <w:wordWrap/>
              <w:overflowPunct/>
              <w:topLinePunct w:val="0"/>
              <w:autoSpaceDE/>
              <w:autoSpaceDN/>
              <w:bidi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w:t>
            </w:r>
          </w:p>
          <w:p w14:paraId="39A2B24E">
            <w:pPr>
              <w:pStyle w:val="63"/>
              <w:keepNext w:val="0"/>
              <w:keepLines w:val="0"/>
              <w:pageBreakBefore w:val="0"/>
              <w:numPr>
                <w:ilvl w:val="0"/>
                <w:numId w:val="0"/>
              </w:numPr>
              <w:kinsoku/>
              <w:wordWrap/>
              <w:overflowPunct/>
              <w:topLinePunct w:val="0"/>
              <w:autoSpaceDE/>
              <w:autoSpaceDN/>
              <w:bidi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项目</w:t>
            </w:r>
            <w:r>
              <w:rPr>
                <w:rFonts w:hint="eastAsia" w:ascii="Times New Roman" w:hAnsi="Times New Roman" w:eastAsia="宋体" w:cs="Times New Roman"/>
                <w:color w:val="auto"/>
                <w:spacing w:val="0"/>
                <w:position w:val="0"/>
                <w:highlight w:val="none"/>
                <w:lang w:val="en-US" w:eastAsia="zh-CN"/>
              </w:rPr>
              <w:t>位于</w:t>
            </w:r>
            <w:r>
              <w:rPr>
                <w:rFonts w:hint="eastAsia" w:cs="Times New Roman"/>
                <w:color w:val="auto"/>
                <w:spacing w:val="0"/>
                <w:position w:val="0"/>
                <w:sz w:val="24"/>
                <w:szCs w:val="24"/>
                <w:highlight w:val="none"/>
                <w:u w:val="none"/>
                <w:lang w:val="en-US" w:eastAsia="zh-CN"/>
              </w:rPr>
              <w:t>福建省福州市闽侯县荆溪镇长龙三路23、25号（福建省奥德瑞电子科技有限公司5#厂房二层）</w:t>
            </w:r>
            <w:r>
              <w:rPr>
                <w:rFonts w:hint="default" w:ascii="Times New Roman" w:hAnsi="Times New Roman" w:eastAsia="宋体" w:cs="Times New Roman"/>
                <w:color w:val="auto"/>
                <w:spacing w:val="0"/>
                <w:position w:val="0"/>
                <w:highlight w:val="none"/>
                <w:lang w:val="en-US" w:eastAsia="zh-CN"/>
              </w:rPr>
              <w:t>，根据现场勘查，厂房已经水泥硬化，做好防渗防漏措施；项目周边地下水、土壤环境相对不敏感，采取有效的防渗措施后，项目对地下水、土壤环境影响很小，基本不存在土壤、地下水环境污染途径，因此，本评价不对项目地下水、土壤环境质量进行补充监测。</w:t>
            </w:r>
          </w:p>
          <w:p w14:paraId="7FF43E2B">
            <w:pPr>
              <w:pStyle w:val="63"/>
              <w:keepNext w:val="0"/>
              <w:keepLines w:val="0"/>
              <w:pageBreakBefore w:val="0"/>
              <w:numPr>
                <w:ilvl w:val="0"/>
                <w:numId w:val="0"/>
              </w:numPr>
              <w:kinsoku/>
              <w:wordWrap/>
              <w:overflowPunct/>
              <w:topLinePunct w:val="0"/>
              <w:autoSpaceDE/>
              <w:autoSpaceDN/>
              <w:bidi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position w:val="0"/>
                <w:highlight w:val="none"/>
              </w:rPr>
            </w:pPr>
            <w:r>
              <w:rPr>
                <w:rFonts w:hint="default" w:ascii="Times New Roman" w:hAnsi="Times New Roman" w:eastAsia="宋体" w:cs="Times New Roman"/>
                <w:color w:val="auto"/>
                <w:spacing w:val="0"/>
                <w:position w:val="0"/>
                <w:highlight w:val="none"/>
              </w:rPr>
              <w:t>项目不存在污染土壤、地下水等途径，</w:t>
            </w:r>
            <w:r>
              <w:rPr>
                <w:rFonts w:hint="default" w:ascii="Times New Roman" w:hAnsi="Times New Roman" w:eastAsia="宋体" w:cs="Times New Roman"/>
                <w:color w:val="auto"/>
                <w:spacing w:val="0"/>
                <w:position w:val="0"/>
                <w:highlight w:val="none"/>
                <w:lang w:eastAsia="zh-CN"/>
              </w:rPr>
              <w:t>且车间地面、成品</w:t>
            </w:r>
            <w:r>
              <w:rPr>
                <w:rFonts w:hint="eastAsia" w:cs="Times New Roman"/>
                <w:color w:val="auto"/>
                <w:spacing w:val="0"/>
                <w:position w:val="0"/>
                <w:highlight w:val="none"/>
                <w:lang w:val="en-US" w:eastAsia="zh-CN"/>
              </w:rPr>
              <w:t>区</w:t>
            </w:r>
            <w:r>
              <w:rPr>
                <w:rFonts w:hint="eastAsia" w:ascii="Times New Roman" w:hAnsi="Times New Roman" w:eastAsia="宋体" w:cs="Times New Roman"/>
                <w:color w:val="auto"/>
                <w:spacing w:val="0"/>
                <w:position w:val="0"/>
                <w:highlight w:val="none"/>
                <w:lang w:val="en-US" w:eastAsia="zh-CN"/>
              </w:rPr>
              <w:t>、原料</w:t>
            </w:r>
            <w:r>
              <w:rPr>
                <w:rFonts w:hint="eastAsia" w:cs="Times New Roman"/>
                <w:color w:val="auto"/>
                <w:spacing w:val="0"/>
                <w:position w:val="0"/>
                <w:highlight w:val="none"/>
                <w:lang w:val="en-US" w:eastAsia="zh-CN"/>
              </w:rPr>
              <w:t>区</w:t>
            </w:r>
            <w:r>
              <w:rPr>
                <w:rFonts w:hint="eastAsia" w:ascii="Times New Roman" w:hAnsi="Times New Roman" w:eastAsia="宋体" w:cs="Times New Roman"/>
                <w:color w:val="auto"/>
                <w:spacing w:val="0"/>
                <w:position w:val="0"/>
                <w:highlight w:val="none"/>
                <w:lang w:eastAsia="zh-CN"/>
              </w:rPr>
              <w:t>、</w:t>
            </w:r>
            <w:r>
              <w:rPr>
                <w:rFonts w:hint="eastAsia" w:ascii="Times New Roman" w:hAnsi="Times New Roman" w:eastAsia="宋体" w:cs="Times New Roman"/>
                <w:color w:val="auto"/>
                <w:spacing w:val="0"/>
                <w:position w:val="0"/>
                <w:highlight w:val="none"/>
                <w:lang w:val="en-US" w:eastAsia="zh-CN"/>
              </w:rPr>
              <w:t>危废暂存间、</w:t>
            </w:r>
            <w:r>
              <w:rPr>
                <w:rFonts w:hint="eastAsia" w:cs="Times New Roman"/>
                <w:color w:val="auto"/>
                <w:spacing w:val="0"/>
                <w:position w:val="0"/>
                <w:highlight w:val="none"/>
                <w:lang w:val="en-US" w:eastAsia="zh-CN"/>
              </w:rPr>
              <w:t>一般固废间</w:t>
            </w:r>
            <w:r>
              <w:rPr>
                <w:rFonts w:hint="default" w:ascii="Times New Roman" w:hAnsi="Times New Roman" w:eastAsia="宋体" w:cs="Times New Roman"/>
                <w:color w:val="auto"/>
                <w:spacing w:val="0"/>
                <w:position w:val="0"/>
                <w:highlight w:val="none"/>
                <w:lang w:eastAsia="zh-CN"/>
              </w:rPr>
              <w:t>等做好硬化处理</w:t>
            </w:r>
            <w:r>
              <w:rPr>
                <w:rFonts w:hint="default" w:ascii="Times New Roman" w:hAnsi="Times New Roman" w:eastAsia="宋体" w:cs="Times New Roman"/>
                <w:color w:val="auto"/>
                <w:spacing w:val="0"/>
                <w:position w:val="0"/>
                <w:highlight w:val="none"/>
              </w:rPr>
              <w:t>，不需开展土壤、地下水现状调查。</w:t>
            </w:r>
          </w:p>
          <w:p w14:paraId="73519084">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3.2.6电磁辐射</w:t>
            </w:r>
          </w:p>
          <w:p w14:paraId="4495E9E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pacing w:val="0"/>
                <w:kern w:val="0"/>
                <w:position w:val="0"/>
                <w:szCs w:val="21"/>
                <w:highlight w:val="none"/>
              </w:rPr>
            </w:pPr>
            <w:r>
              <w:rPr>
                <w:rFonts w:hint="eastAsia" w:ascii="Times New Roman" w:hAnsi="Times New Roman" w:eastAsia="宋体" w:cs="Times New Roman"/>
                <w:color w:val="auto"/>
                <w:spacing w:val="0"/>
                <w:kern w:val="0"/>
                <w:sz w:val="24"/>
                <w:szCs w:val="24"/>
                <w:highlight w:val="none"/>
                <w:lang w:val="en-US" w:eastAsia="zh-CN" w:bidi="ar"/>
              </w:rPr>
              <w:t>本项目不属于新建或改建、迁建广播电台、差转台、电视塔台、卫星地球上行站、雷达等电磁辐射类项目，故根据“关于印发《建设项目环境影响报告表》内容、格式及编制技术指南的通知”（环办环评【</w:t>
            </w:r>
            <w:r>
              <w:rPr>
                <w:rFonts w:hint="default" w:ascii="Times New Roman" w:hAnsi="Times New Roman" w:eastAsia="宋体" w:cs="Times New Roman"/>
                <w:color w:val="auto"/>
                <w:spacing w:val="0"/>
                <w:kern w:val="0"/>
                <w:sz w:val="24"/>
                <w:szCs w:val="24"/>
                <w:highlight w:val="none"/>
                <w:lang w:val="en-US" w:eastAsia="zh-CN" w:bidi="ar"/>
              </w:rPr>
              <w:t>2020</w:t>
            </w:r>
            <w:r>
              <w:rPr>
                <w:rFonts w:hint="eastAsia" w:ascii="Times New Roman" w:hAnsi="Times New Roman" w:eastAsia="宋体"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33</w:t>
            </w:r>
            <w:r>
              <w:rPr>
                <w:rFonts w:hint="eastAsia" w:ascii="Times New Roman" w:hAnsi="Times New Roman" w:eastAsia="宋体" w:cs="Times New Roman"/>
                <w:color w:val="auto"/>
                <w:spacing w:val="0"/>
                <w:kern w:val="0"/>
                <w:sz w:val="24"/>
                <w:szCs w:val="24"/>
                <w:highlight w:val="none"/>
                <w:lang w:val="en-US" w:eastAsia="zh-CN" w:bidi="ar"/>
              </w:rPr>
              <w:t>号），无需开展电磁辐射现状调查</w:t>
            </w:r>
            <w:r>
              <w:rPr>
                <w:rFonts w:hint="eastAsia" w:ascii="Times New Roman" w:hAnsi="Times New Roman" w:eastAsia="宋体" w:cs="Times New Roman"/>
                <w:color w:val="auto"/>
                <w:spacing w:val="0"/>
                <w:sz w:val="24"/>
                <w:szCs w:val="24"/>
                <w:highlight w:val="none"/>
                <w:lang w:val="en-US" w:eastAsia="zh-CN"/>
              </w:rPr>
              <w:t>。</w:t>
            </w:r>
          </w:p>
        </w:tc>
      </w:tr>
      <w:tr w14:paraId="18D2E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800" w:type="dxa"/>
            <w:vAlign w:val="center"/>
          </w:tcPr>
          <w:p w14:paraId="6E3250AB">
            <w:pPr>
              <w:adjustRightInd w:val="0"/>
              <w:snapToGrid w:val="0"/>
              <w:jc w:val="center"/>
              <w:outlineLvl w:val="1"/>
              <w:rPr>
                <w:rFonts w:ascii="Times New Roman" w:hAnsi="Times New Roman" w:eastAsia="宋体" w:cs="Times New Roman"/>
                <w:color w:val="auto"/>
                <w:spacing w:val="0"/>
                <w:kern w:val="0"/>
                <w:position w:val="0"/>
                <w:sz w:val="24"/>
                <w:szCs w:val="24"/>
                <w:highlight w:val="none"/>
              </w:rPr>
            </w:pPr>
            <w:bookmarkStart w:id="34" w:name="_Toc18076"/>
            <w:bookmarkStart w:id="35" w:name="_Toc9265"/>
            <w:bookmarkStart w:id="36" w:name="_Toc25833"/>
            <w:bookmarkStart w:id="37" w:name="_Toc14803"/>
            <w:r>
              <w:rPr>
                <w:rFonts w:hint="eastAsia" w:ascii="Times New Roman" w:hAnsi="Times New Roman" w:eastAsia="宋体" w:cs="Times New Roman"/>
                <w:color w:val="auto"/>
                <w:spacing w:val="0"/>
                <w:kern w:val="0"/>
                <w:position w:val="0"/>
                <w:sz w:val="24"/>
                <w:szCs w:val="24"/>
                <w:highlight w:val="none"/>
              </w:rPr>
              <w:t>环境保护目标</w:t>
            </w:r>
            <w:bookmarkEnd w:id="34"/>
            <w:bookmarkEnd w:id="35"/>
            <w:bookmarkEnd w:id="36"/>
            <w:bookmarkEnd w:id="37"/>
          </w:p>
        </w:tc>
        <w:tc>
          <w:tcPr>
            <w:tcW w:w="8190" w:type="dxa"/>
            <w:vAlign w:val="center"/>
          </w:tcPr>
          <w:p w14:paraId="29B54DFB">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 xml:space="preserve">3.3 </w:t>
            </w:r>
            <w:r>
              <w:rPr>
                <w:rFonts w:hint="eastAsia" w:ascii="Times New Roman" w:hAnsi="Times New Roman" w:eastAsia="宋体" w:cs="Times New Roman"/>
                <w:color w:val="auto"/>
                <w:spacing w:val="0"/>
                <w:sz w:val="24"/>
                <w:szCs w:val="24"/>
                <w:highlight w:val="none"/>
                <w:lang w:val="en-US" w:eastAsia="zh-CN"/>
              </w:rPr>
              <w:t>环境保护目标</w:t>
            </w:r>
          </w:p>
          <w:p w14:paraId="0B1B2B92">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sz w:val="24"/>
                <w:szCs w:val="24"/>
                <w:highlight w:val="none"/>
                <w:lang w:val="en-US" w:eastAsia="zh-CN"/>
              </w:rPr>
            </w:pPr>
            <w:r>
              <w:rPr>
                <w:rFonts w:ascii="Times New Roman" w:hAnsi="Times New Roman" w:eastAsia="宋体" w:cs="Times New Roman"/>
                <w:color w:val="auto"/>
                <w:spacing w:val="0"/>
                <w:kern w:val="0"/>
                <w:sz w:val="24"/>
                <w:highlight w:val="none"/>
              </w:rPr>
              <w:t>根据《建设项目环境影响报告表编制技术指南</w:t>
            </w:r>
            <w:r>
              <w:rPr>
                <w:rFonts w:hint="eastAsia" w:ascii="Times New Roman" w:hAnsi="Times New Roman" w:eastAsia="宋体" w:cs="Times New Roman"/>
                <w:color w:val="auto"/>
                <w:spacing w:val="0"/>
                <w:kern w:val="0"/>
                <w:sz w:val="24"/>
                <w:highlight w:val="none"/>
                <w:lang w:eastAsia="zh-CN"/>
              </w:rPr>
              <w:t>（</w:t>
            </w:r>
            <w:r>
              <w:rPr>
                <w:rFonts w:ascii="Times New Roman" w:hAnsi="Times New Roman" w:eastAsia="宋体" w:cs="Times New Roman"/>
                <w:color w:val="auto"/>
                <w:spacing w:val="0"/>
                <w:kern w:val="0"/>
                <w:sz w:val="24"/>
                <w:highlight w:val="none"/>
              </w:rPr>
              <w:t>污染影响类</w:t>
            </w:r>
            <w:r>
              <w:rPr>
                <w:rFonts w:hint="eastAsia" w:ascii="Times New Roman" w:hAnsi="Times New Roman" w:eastAsia="宋体" w:cs="Times New Roman"/>
                <w:color w:val="auto"/>
                <w:spacing w:val="0"/>
                <w:kern w:val="0"/>
                <w:sz w:val="24"/>
                <w:highlight w:val="none"/>
                <w:lang w:eastAsia="zh-CN"/>
              </w:rPr>
              <w:t>）（</w:t>
            </w:r>
            <w:r>
              <w:rPr>
                <w:rFonts w:ascii="Times New Roman" w:hAnsi="Times New Roman" w:eastAsia="宋体" w:cs="Times New Roman"/>
                <w:color w:val="auto"/>
                <w:spacing w:val="0"/>
                <w:kern w:val="0"/>
                <w:sz w:val="24"/>
                <w:highlight w:val="none"/>
              </w:rPr>
              <w:t>试行</w:t>
            </w:r>
            <w:r>
              <w:rPr>
                <w:rFonts w:hint="eastAsia" w:ascii="Times New Roman" w:hAnsi="Times New Roman" w:eastAsia="宋体" w:cs="Times New Roman"/>
                <w:color w:val="auto"/>
                <w:spacing w:val="0"/>
                <w:kern w:val="0"/>
                <w:sz w:val="24"/>
                <w:highlight w:val="none"/>
                <w:lang w:eastAsia="zh-CN"/>
              </w:rPr>
              <w:t>）</w:t>
            </w:r>
            <w:r>
              <w:rPr>
                <w:rFonts w:ascii="Times New Roman" w:hAnsi="Times New Roman" w:eastAsia="宋体" w:cs="Times New Roman"/>
                <w:color w:val="auto"/>
                <w:spacing w:val="0"/>
                <w:kern w:val="0"/>
                <w:sz w:val="24"/>
                <w:highlight w:val="none"/>
              </w:rPr>
              <w:t>》</w:t>
            </w:r>
            <w:r>
              <w:rPr>
                <w:rFonts w:hint="eastAsia" w:ascii="Times New Roman" w:hAnsi="Times New Roman" w:eastAsia="宋体" w:cs="Times New Roman"/>
                <w:color w:val="auto"/>
                <w:spacing w:val="0"/>
                <w:kern w:val="0"/>
                <w:sz w:val="24"/>
                <w:highlight w:val="none"/>
                <w:lang w:eastAsia="zh-CN"/>
              </w:rPr>
              <w:t>（</w:t>
            </w:r>
            <w:r>
              <w:rPr>
                <w:rFonts w:ascii="Times New Roman" w:hAnsi="Times New Roman" w:eastAsia="宋体" w:cs="Times New Roman"/>
                <w:color w:val="auto"/>
                <w:spacing w:val="0"/>
                <w:kern w:val="0"/>
                <w:sz w:val="24"/>
                <w:highlight w:val="none"/>
              </w:rPr>
              <w:t>环办环评〔2020〕33号</w:t>
            </w:r>
            <w:r>
              <w:rPr>
                <w:rFonts w:hint="eastAsia" w:ascii="Times New Roman" w:hAnsi="Times New Roman" w:eastAsia="宋体" w:cs="Times New Roman"/>
                <w:color w:val="auto"/>
                <w:spacing w:val="0"/>
                <w:kern w:val="0"/>
                <w:sz w:val="24"/>
                <w:highlight w:val="none"/>
                <w:lang w:eastAsia="zh-CN"/>
              </w:rPr>
              <w:t>）</w:t>
            </w:r>
            <w:r>
              <w:rPr>
                <w:rFonts w:ascii="Times New Roman" w:hAnsi="Times New Roman" w:eastAsia="宋体" w:cs="Times New Roman"/>
                <w:color w:val="auto"/>
                <w:spacing w:val="0"/>
                <w:kern w:val="0"/>
                <w:sz w:val="24"/>
                <w:highlight w:val="none"/>
              </w:rPr>
              <w:t>要求以及对项目周边环境的调查</w:t>
            </w:r>
            <w:r>
              <w:rPr>
                <w:rFonts w:hint="eastAsia" w:ascii="Times New Roman" w:hAnsi="Times New Roman" w:eastAsia="宋体" w:cs="Times New Roman"/>
                <w:color w:val="auto"/>
                <w:spacing w:val="0"/>
                <w:kern w:val="0"/>
                <w:sz w:val="24"/>
                <w:highlight w:val="none"/>
                <w:lang w:eastAsia="zh-CN"/>
              </w:rPr>
              <w:t>，</w:t>
            </w:r>
            <w:r>
              <w:rPr>
                <w:rFonts w:ascii="Times New Roman" w:hAnsi="Times New Roman" w:eastAsia="宋体" w:cs="Times New Roman"/>
                <w:color w:val="auto"/>
                <w:spacing w:val="0"/>
                <w:kern w:val="0"/>
                <w:sz w:val="24"/>
                <w:highlight w:val="none"/>
              </w:rPr>
              <w:t>本项目</w:t>
            </w:r>
            <w:r>
              <w:rPr>
                <w:rFonts w:hint="eastAsia" w:ascii="Times New Roman" w:hAnsi="Times New Roman" w:eastAsia="宋体" w:cs="Times New Roman"/>
                <w:color w:val="auto"/>
                <w:spacing w:val="0"/>
                <w:kern w:val="0"/>
                <w:sz w:val="24"/>
                <w:highlight w:val="none"/>
              </w:rPr>
              <w:t>周边环境保护目标</w:t>
            </w:r>
            <w:r>
              <w:rPr>
                <w:rFonts w:hint="eastAsia" w:ascii="Times New Roman" w:hAnsi="Times New Roman" w:eastAsia="宋体" w:cs="Times New Roman"/>
                <w:color w:val="auto"/>
                <w:spacing w:val="0"/>
                <w:sz w:val="24"/>
                <w:szCs w:val="24"/>
                <w:highlight w:val="none"/>
                <w:lang w:val="en-US" w:eastAsia="zh-CN"/>
              </w:rPr>
              <w:t>，详见表3.3-1。</w:t>
            </w:r>
          </w:p>
          <w:p w14:paraId="453478F6">
            <w:pPr>
              <w:widowControl/>
              <w:spacing w:before="48" w:beforeLines="20"/>
              <w:jc w:val="center"/>
              <w:rPr>
                <w:rFonts w:ascii="Times New Roman" w:hAnsi="Times New Roman" w:eastAsia="宋体" w:cs="Times New Roman"/>
                <w:b/>
                <w:color w:val="auto"/>
                <w:spacing w:val="0"/>
                <w:sz w:val="24"/>
                <w:szCs w:val="24"/>
                <w:highlight w:val="none"/>
              </w:rPr>
            </w:pPr>
            <w:r>
              <w:rPr>
                <w:rFonts w:hint="eastAsia" w:ascii="Times New Roman" w:hAnsi="Times New Roman" w:eastAsia="宋体" w:cs="Times New Roman"/>
                <w:b/>
                <w:color w:val="auto"/>
                <w:spacing w:val="0"/>
                <w:sz w:val="24"/>
                <w:szCs w:val="24"/>
                <w:highlight w:val="none"/>
              </w:rPr>
              <w:t>表</w:t>
            </w:r>
            <w:r>
              <w:rPr>
                <w:rFonts w:ascii="Times New Roman" w:hAnsi="Times New Roman" w:eastAsia="宋体" w:cs="Times New Roman"/>
                <w:b/>
                <w:color w:val="auto"/>
                <w:spacing w:val="0"/>
                <w:sz w:val="24"/>
                <w:szCs w:val="24"/>
                <w:highlight w:val="none"/>
              </w:rPr>
              <w:t>3</w:t>
            </w:r>
            <w:r>
              <w:rPr>
                <w:rFonts w:hint="eastAsia" w:ascii="Times New Roman" w:hAnsi="Times New Roman" w:eastAsia="宋体" w:cs="Times New Roman"/>
                <w:b/>
                <w:color w:val="auto"/>
                <w:spacing w:val="0"/>
                <w:sz w:val="24"/>
                <w:szCs w:val="24"/>
                <w:highlight w:val="none"/>
                <w:lang w:val="en-US" w:eastAsia="zh-CN"/>
              </w:rPr>
              <w:t>.3</w:t>
            </w:r>
            <w:r>
              <w:rPr>
                <w:rFonts w:ascii="Times New Roman" w:hAnsi="Times New Roman" w:eastAsia="宋体" w:cs="Times New Roman"/>
                <w:b/>
                <w:color w:val="auto"/>
                <w:spacing w:val="0"/>
                <w:sz w:val="24"/>
                <w:szCs w:val="24"/>
                <w:highlight w:val="none"/>
              </w:rPr>
              <w:t>-</w:t>
            </w:r>
            <w:r>
              <w:rPr>
                <w:rFonts w:hint="eastAsia" w:ascii="Times New Roman" w:hAnsi="Times New Roman" w:eastAsia="宋体" w:cs="Times New Roman"/>
                <w:b/>
                <w:color w:val="auto"/>
                <w:spacing w:val="0"/>
                <w:sz w:val="24"/>
                <w:szCs w:val="24"/>
                <w:highlight w:val="none"/>
                <w:lang w:val="en-US" w:eastAsia="zh-CN"/>
              </w:rPr>
              <w:t>1</w:t>
            </w:r>
            <w:r>
              <w:rPr>
                <w:rFonts w:ascii="Times New Roman" w:hAnsi="Times New Roman" w:eastAsia="宋体" w:cs="Times New Roman"/>
                <w:b/>
                <w:color w:val="auto"/>
                <w:spacing w:val="0"/>
                <w:sz w:val="24"/>
                <w:szCs w:val="24"/>
                <w:highlight w:val="none"/>
              </w:rPr>
              <w:t xml:space="preserve"> </w:t>
            </w:r>
            <w:r>
              <w:rPr>
                <w:rFonts w:ascii="Times New Roman" w:hAnsi="Times New Roman" w:eastAsia="宋体" w:cs="Times New Roman"/>
                <w:b/>
                <w:bCs/>
                <w:color w:val="auto"/>
                <w:spacing w:val="0"/>
                <w:sz w:val="24"/>
                <w:szCs w:val="24"/>
                <w:highlight w:val="none"/>
              </w:rPr>
              <w:t>环境敏感点以及环境保护目标一览表</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40"/>
              <w:gridCol w:w="1831"/>
              <w:gridCol w:w="1043"/>
              <w:gridCol w:w="968"/>
              <w:gridCol w:w="1564"/>
              <w:gridCol w:w="850"/>
              <w:gridCol w:w="978"/>
            </w:tblGrid>
            <w:tr w14:paraId="3B6B62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tcBorders>
                    <w:tl2br w:val="nil"/>
                    <w:tr2bl w:val="nil"/>
                  </w:tcBorders>
                  <w:noWrap w:val="0"/>
                  <w:vAlign w:val="center"/>
                </w:tcPr>
                <w:p w14:paraId="7B5B12FE">
                  <w:pPr>
                    <w:keepNext w:val="0"/>
                    <w:keepLines w:val="0"/>
                    <w:pageBreakBefore w:val="0"/>
                    <w:widowControl/>
                    <w:kinsoku/>
                    <w:wordWrap/>
                    <w:topLinePunct w:val="0"/>
                    <w:autoSpaceDE/>
                    <w:autoSpaceDN/>
                    <w:bidi w:val="0"/>
                    <w:adjustRightInd/>
                    <w:snapToGrid w:val="0"/>
                    <w:jc w:val="center"/>
                    <w:textAlignment w:val="auto"/>
                    <w:rPr>
                      <w:rFonts w:hint="eastAsia" w:ascii="Times New Roman" w:hAnsi="Times New Roman" w:eastAsia="宋体" w:cs="Times New Roman"/>
                      <w:b/>
                      <w:bCs w:val="0"/>
                      <w:color w:val="auto"/>
                      <w:spacing w:val="0"/>
                      <w:sz w:val="21"/>
                      <w:szCs w:val="21"/>
                      <w:highlight w:val="none"/>
                    </w:rPr>
                  </w:pPr>
                  <w:r>
                    <w:rPr>
                      <w:rFonts w:hint="eastAsia" w:ascii="Times New Roman" w:hAnsi="Times New Roman" w:eastAsia="宋体" w:cs="Times New Roman"/>
                      <w:b/>
                      <w:bCs w:val="0"/>
                      <w:color w:val="auto"/>
                      <w:spacing w:val="0"/>
                      <w:sz w:val="21"/>
                      <w:szCs w:val="21"/>
                      <w:highlight w:val="none"/>
                    </w:rPr>
                    <w:t>环境</w:t>
                  </w:r>
                </w:p>
                <w:p w14:paraId="328EAE17">
                  <w:pPr>
                    <w:keepNext w:val="0"/>
                    <w:keepLines w:val="0"/>
                    <w:pageBreakBefore w:val="0"/>
                    <w:widowControl/>
                    <w:kinsoku/>
                    <w:wordWrap/>
                    <w:topLinePunct w:val="0"/>
                    <w:autoSpaceDE/>
                    <w:autoSpaceDN/>
                    <w:bidi w:val="0"/>
                    <w:adjustRightInd/>
                    <w:snapToGrid w:val="0"/>
                    <w:jc w:val="center"/>
                    <w:textAlignment w:val="auto"/>
                    <w:rPr>
                      <w:rFonts w:ascii="Times New Roman" w:hAnsi="Times New Roman" w:eastAsia="宋体" w:cs="Times New Roman"/>
                      <w:b/>
                      <w:bCs w:val="0"/>
                      <w:color w:val="auto"/>
                      <w:spacing w:val="0"/>
                      <w:sz w:val="21"/>
                      <w:szCs w:val="21"/>
                      <w:highlight w:val="none"/>
                    </w:rPr>
                  </w:pPr>
                  <w:r>
                    <w:rPr>
                      <w:rFonts w:hint="eastAsia" w:ascii="Times New Roman" w:hAnsi="Times New Roman" w:eastAsia="宋体" w:cs="Times New Roman"/>
                      <w:b/>
                      <w:bCs w:val="0"/>
                      <w:color w:val="auto"/>
                      <w:spacing w:val="0"/>
                      <w:sz w:val="21"/>
                      <w:szCs w:val="21"/>
                      <w:highlight w:val="none"/>
                    </w:rPr>
                    <w:t>要素</w:t>
                  </w:r>
                </w:p>
              </w:tc>
              <w:tc>
                <w:tcPr>
                  <w:tcW w:w="1831" w:type="dxa"/>
                  <w:tcBorders>
                    <w:tl2br w:val="nil"/>
                    <w:tr2bl w:val="nil"/>
                  </w:tcBorders>
                  <w:noWrap w:val="0"/>
                  <w:vAlign w:val="center"/>
                </w:tcPr>
                <w:p w14:paraId="5093CDA5">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color w:val="auto"/>
                      <w:spacing w:val="0"/>
                      <w:sz w:val="21"/>
                      <w:szCs w:val="21"/>
                      <w:highlight w:val="none"/>
                    </w:rPr>
                  </w:pPr>
                  <w:r>
                    <w:rPr>
                      <w:rFonts w:hint="eastAsia" w:ascii="Times New Roman" w:hAnsi="Times New Roman" w:eastAsia="宋体" w:cs="Times New Roman"/>
                      <w:b/>
                      <w:bCs w:val="0"/>
                      <w:color w:val="auto"/>
                      <w:spacing w:val="0"/>
                      <w:sz w:val="21"/>
                      <w:szCs w:val="21"/>
                      <w:highlight w:val="none"/>
                      <w:lang w:val="en-US" w:eastAsia="zh-CN"/>
                    </w:rPr>
                    <w:t>经纬度</w:t>
                  </w:r>
                </w:p>
              </w:tc>
              <w:tc>
                <w:tcPr>
                  <w:tcW w:w="1043" w:type="dxa"/>
                  <w:tcBorders>
                    <w:tl2br w:val="nil"/>
                    <w:tr2bl w:val="nil"/>
                  </w:tcBorders>
                  <w:noWrap w:val="0"/>
                  <w:vAlign w:val="center"/>
                </w:tcPr>
                <w:p w14:paraId="088967F8">
                  <w:pPr>
                    <w:keepNext w:val="0"/>
                    <w:keepLines w:val="0"/>
                    <w:pageBreakBefore w:val="0"/>
                    <w:widowControl/>
                    <w:kinsoku/>
                    <w:wordWrap/>
                    <w:topLinePunct w:val="0"/>
                    <w:autoSpaceDE/>
                    <w:autoSpaceDN/>
                    <w:bidi w:val="0"/>
                    <w:adjustRightInd/>
                    <w:snapToGrid w:val="0"/>
                    <w:jc w:val="center"/>
                    <w:textAlignment w:val="auto"/>
                    <w:rPr>
                      <w:rFonts w:ascii="Times New Roman" w:hAnsi="Times New Roman" w:eastAsia="宋体" w:cs="Times New Roman"/>
                      <w:b/>
                      <w:bCs w:val="0"/>
                      <w:color w:val="auto"/>
                      <w:spacing w:val="0"/>
                      <w:sz w:val="21"/>
                      <w:szCs w:val="21"/>
                      <w:highlight w:val="none"/>
                    </w:rPr>
                  </w:pPr>
                  <w:r>
                    <w:rPr>
                      <w:rFonts w:hint="eastAsia" w:ascii="Times New Roman" w:hAnsi="Times New Roman" w:eastAsia="宋体" w:cs="Times New Roman"/>
                      <w:b/>
                      <w:bCs w:val="0"/>
                      <w:color w:val="auto"/>
                      <w:spacing w:val="0"/>
                      <w:sz w:val="21"/>
                      <w:szCs w:val="21"/>
                      <w:highlight w:val="none"/>
                      <w:lang w:eastAsia="zh-CN"/>
                    </w:rPr>
                    <w:t>保护对象</w:t>
                  </w:r>
                </w:p>
              </w:tc>
              <w:tc>
                <w:tcPr>
                  <w:tcW w:w="968" w:type="dxa"/>
                  <w:tcBorders>
                    <w:tl2br w:val="nil"/>
                    <w:tr2bl w:val="nil"/>
                  </w:tcBorders>
                  <w:noWrap w:val="0"/>
                  <w:vAlign w:val="center"/>
                </w:tcPr>
                <w:p w14:paraId="1B99C47A">
                  <w:pPr>
                    <w:keepNext w:val="0"/>
                    <w:keepLines w:val="0"/>
                    <w:pageBreakBefore w:val="0"/>
                    <w:widowControl/>
                    <w:kinsoku/>
                    <w:wordWrap/>
                    <w:topLinePunct w:val="0"/>
                    <w:autoSpaceDE/>
                    <w:autoSpaceDN/>
                    <w:bidi w:val="0"/>
                    <w:adjustRightInd/>
                    <w:snapToGrid w:val="0"/>
                    <w:jc w:val="center"/>
                    <w:textAlignment w:val="auto"/>
                    <w:rPr>
                      <w:rFonts w:hint="eastAsia" w:ascii="Times New Roman" w:hAnsi="Times New Roman" w:eastAsia="宋体" w:cs="Times New Roman"/>
                      <w:b/>
                      <w:bCs w:val="0"/>
                      <w:color w:val="auto"/>
                      <w:spacing w:val="0"/>
                      <w:sz w:val="21"/>
                      <w:szCs w:val="21"/>
                      <w:highlight w:val="none"/>
                    </w:rPr>
                  </w:pPr>
                  <w:r>
                    <w:rPr>
                      <w:rFonts w:hint="eastAsia" w:ascii="Times New Roman" w:hAnsi="Times New Roman" w:eastAsia="宋体" w:cs="Times New Roman"/>
                      <w:b/>
                      <w:bCs w:val="0"/>
                      <w:color w:val="auto"/>
                      <w:spacing w:val="0"/>
                      <w:sz w:val="21"/>
                      <w:szCs w:val="21"/>
                      <w:highlight w:val="none"/>
                    </w:rPr>
                    <w:t>保护内容</w:t>
                  </w:r>
                </w:p>
              </w:tc>
              <w:tc>
                <w:tcPr>
                  <w:tcW w:w="1564" w:type="dxa"/>
                  <w:tcBorders>
                    <w:tl2br w:val="nil"/>
                    <w:tr2bl w:val="nil"/>
                  </w:tcBorders>
                  <w:noWrap w:val="0"/>
                  <w:vAlign w:val="center"/>
                </w:tcPr>
                <w:p w14:paraId="142281A8">
                  <w:pPr>
                    <w:keepNext w:val="0"/>
                    <w:keepLines w:val="0"/>
                    <w:pageBreakBefore w:val="0"/>
                    <w:widowControl/>
                    <w:kinsoku/>
                    <w:wordWrap/>
                    <w:topLinePunct w:val="0"/>
                    <w:autoSpaceDE/>
                    <w:autoSpaceDN/>
                    <w:bidi w:val="0"/>
                    <w:adjustRightInd/>
                    <w:snapToGrid w:val="0"/>
                    <w:jc w:val="center"/>
                    <w:textAlignment w:val="auto"/>
                    <w:rPr>
                      <w:rFonts w:ascii="Times New Roman" w:hAnsi="Times New Roman" w:eastAsia="宋体" w:cs="Times New Roman"/>
                      <w:b/>
                      <w:bCs w:val="0"/>
                      <w:color w:val="auto"/>
                      <w:spacing w:val="0"/>
                      <w:sz w:val="21"/>
                      <w:szCs w:val="21"/>
                      <w:highlight w:val="none"/>
                    </w:rPr>
                  </w:pPr>
                  <w:r>
                    <w:rPr>
                      <w:rFonts w:hint="eastAsia" w:ascii="Times New Roman" w:hAnsi="Times New Roman" w:eastAsia="宋体" w:cs="Times New Roman"/>
                      <w:b/>
                      <w:bCs w:val="0"/>
                      <w:color w:val="auto"/>
                      <w:spacing w:val="0"/>
                      <w:sz w:val="21"/>
                      <w:szCs w:val="21"/>
                      <w:highlight w:val="none"/>
                    </w:rPr>
                    <w:t>环境功能区</w:t>
                  </w:r>
                </w:p>
              </w:tc>
              <w:tc>
                <w:tcPr>
                  <w:tcW w:w="850" w:type="dxa"/>
                  <w:tcBorders>
                    <w:tl2br w:val="nil"/>
                    <w:tr2bl w:val="nil"/>
                  </w:tcBorders>
                  <w:noWrap w:val="0"/>
                  <w:vAlign w:val="center"/>
                </w:tcPr>
                <w:p w14:paraId="28DC24A5">
                  <w:pPr>
                    <w:keepNext w:val="0"/>
                    <w:keepLines w:val="0"/>
                    <w:pageBreakBefore w:val="0"/>
                    <w:widowControl/>
                    <w:kinsoku/>
                    <w:wordWrap/>
                    <w:topLinePunct w:val="0"/>
                    <w:autoSpaceDE/>
                    <w:autoSpaceDN/>
                    <w:bidi w:val="0"/>
                    <w:adjustRightInd/>
                    <w:snapToGrid w:val="0"/>
                    <w:jc w:val="center"/>
                    <w:textAlignment w:val="auto"/>
                    <w:rPr>
                      <w:rFonts w:hint="eastAsia" w:ascii="Times New Roman" w:hAnsi="Times New Roman" w:eastAsia="宋体" w:cs="Times New Roman"/>
                      <w:b/>
                      <w:bCs w:val="0"/>
                      <w:color w:val="auto"/>
                      <w:spacing w:val="0"/>
                      <w:sz w:val="21"/>
                      <w:szCs w:val="21"/>
                      <w:highlight w:val="none"/>
                    </w:rPr>
                  </w:pPr>
                  <w:r>
                    <w:rPr>
                      <w:rFonts w:hint="eastAsia" w:ascii="Times New Roman" w:hAnsi="Times New Roman" w:eastAsia="宋体" w:cs="Times New Roman"/>
                      <w:b/>
                      <w:bCs w:val="0"/>
                      <w:color w:val="auto"/>
                      <w:spacing w:val="0"/>
                      <w:sz w:val="21"/>
                      <w:szCs w:val="21"/>
                      <w:highlight w:val="none"/>
                    </w:rPr>
                    <w:t>相对厂址</w:t>
                  </w:r>
                </w:p>
                <w:p w14:paraId="6D89B68B">
                  <w:pPr>
                    <w:keepNext w:val="0"/>
                    <w:keepLines w:val="0"/>
                    <w:pageBreakBefore w:val="0"/>
                    <w:widowControl/>
                    <w:kinsoku/>
                    <w:wordWrap/>
                    <w:topLinePunct w:val="0"/>
                    <w:autoSpaceDE/>
                    <w:autoSpaceDN/>
                    <w:bidi w:val="0"/>
                    <w:adjustRightInd/>
                    <w:snapToGrid w:val="0"/>
                    <w:jc w:val="center"/>
                    <w:textAlignment w:val="auto"/>
                    <w:rPr>
                      <w:rFonts w:ascii="Times New Roman" w:hAnsi="Times New Roman" w:eastAsia="宋体" w:cs="Times New Roman"/>
                      <w:b/>
                      <w:bCs w:val="0"/>
                      <w:color w:val="auto"/>
                      <w:spacing w:val="0"/>
                      <w:sz w:val="21"/>
                      <w:szCs w:val="21"/>
                      <w:highlight w:val="none"/>
                    </w:rPr>
                  </w:pPr>
                  <w:r>
                    <w:rPr>
                      <w:rFonts w:hint="eastAsia" w:ascii="Times New Roman" w:hAnsi="Times New Roman" w:eastAsia="宋体" w:cs="Times New Roman"/>
                      <w:b/>
                      <w:bCs w:val="0"/>
                      <w:color w:val="auto"/>
                      <w:spacing w:val="0"/>
                      <w:sz w:val="21"/>
                      <w:szCs w:val="21"/>
                      <w:highlight w:val="none"/>
                    </w:rPr>
                    <w:t>方位</w:t>
                  </w:r>
                </w:p>
              </w:tc>
              <w:tc>
                <w:tcPr>
                  <w:tcW w:w="978" w:type="dxa"/>
                  <w:tcBorders>
                    <w:tl2br w:val="nil"/>
                    <w:tr2bl w:val="nil"/>
                  </w:tcBorders>
                  <w:noWrap w:val="0"/>
                  <w:vAlign w:val="center"/>
                </w:tcPr>
                <w:p w14:paraId="4B00AE45">
                  <w:pPr>
                    <w:keepNext w:val="0"/>
                    <w:keepLines w:val="0"/>
                    <w:pageBreakBefore w:val="0"/>
                    <w:widowControl/>
                    <w:kinsoku/>
                    <w:wordWrap/>
                    <w:topLinePunct w:val="0"/>
                    <w:autoSpaceDE/>
                    <w:autoSpaceDN/>
                    <w:bidi w:val="0"/>
                    <w:adjustRightInd/>
                    <w:snapToGrid w:val="0"/>
                    <w:jc w:val="center"/>
                    <w:textAlignment w:val="auto"/>
                    <w:rPr>
                      <w:rFonts w:ascii="Times New Roman" w:hAnsi="Times New Roman" w:eastAsia="宋体" w:cs="Times New Roman"/>
                      <w:b/>
                      <w:bCs w:val="0"/>
                      <w:color w:val="auto"/>
                      <w:spacing w:val="0"/>
                      <w:sz w:val="21"/>
                      <w:szCs w:val="21"/>
                      <w:highlight w:val="none"/>
                    </w:rPr>
                  </w:pPr>
                  <w:r>
                    <w:rPr>
                      <w:rFonts w:hint="eastAsia" w:ascii="Times New Roman" w:hAnsi="Times New Roman" w:eastAsia="宋体" w:cs="Times New Roman"/>
                      <w:b/>
                      <w:bCs w:val="0"/>
                      <w:color w:val="auto"/>
                      <w:spacing w:val="0"/>
                      <w:sz w:val="21"/>
                      <w:szCs w:val="21"/>
                      <w:highlight w:val="none"/>
                    </w:rPr>
                    <w:t>相对厂界距离/m</w:t>
                  </w:r>
                </w:p>
              </w:tc>
            </w:tr>
            <w:tr w14:paraId="4C7EFB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restart"/>
                  <w:tcBorders>
                    <w:tl2br w:val="nil"/>
                    <w:tr2bl w:val="nil"/>
                  </w:tcBorders>
                  <w:noWrap w:val="0"/>
                  <w:vAlign w:val="center"/>
                </w:tcPr>
                <w:p w14:paraId="20A9C1ED">
                  <w:pPr>
                    <w:keepNext w:val="0"/>
                    <w:keepLines w:val="0"/>
                    <w:pageBreakBefore w:val="0"/>
                    <w:widowControl/>
                    <w:kinsoku/>
                    <w:wordWrap/>
                    <w:topLinePunct w:val="0"/>
                    <w:autoSpaceDE/>
                    <w:autoSpaceDN/>
                    <w:bidi w:val="0"/>
                    <w:adjustRightInd/>
                    <w:snapToGrid w:val="0"/>
                    <w:jc w:val="center"/>
                    <w:textAlignment w:val="auto"/>
                    <w:rPr>
                      <w:rFonts w:hint="eastAsia" w:ascii="Times New Roman" w:hAnsi="Times New Roman" w:eastAsia="宋体" w:cs="Times New Roman"/>
                      <w:b w:val="0"/>
                      <w:bCs/>
                      <w:color w:val="auto"/>
                      <w:spacing w:val="0"/>
                      <w:sz w:val="21"/>
                      <w:szCs w:val="21"/>
                      <w:highlight w:val="none"/>
                      <w:lang w:val="en-US" w:eastAsia="zh-CN"/>
                    </w:rPr>
                  </w:pPr>
                  <w:r>
                    <w:rPr>
                      <w:rFonts w:hint="eastAsia" w:cs="Times New Roman"/>
                      <w:b w:val="0"/>
                      <w:bCs/>
                      <w:color w:val="auto"/>
                      <w:spacing w:val="0"/>
                      <w:sz w:val="21"/>
                      <w:szCs w:val="21"/>
                      <w:highlight w:val="none"/>
                      <w:lang w:val="en-US" w:eastAsia="zh-CN"/>
                    </w:rPr>
                    <w:t>地表水</w:t>
                  </w:r>
                </w:p>
              </w:tc>
              <w:tc>
                <w:tcPr>
                  <w:tcW w:w="1831" w:type="dxa"/>
                  <w:tcBorders>
                    <w:tl2br w:val="nil"/>
                    <w:tr2bl w:val="nil"/>
                  </w:tcBorders>
                  <w:noWrap w:val="0"/>
                  <w:vAlign w:val="center"/>
                </w:tcPr>
                <w:p w14:paraId="6D10A859">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N：</w:t>
                  </w:r>
                  <w:r>
                    <w:rPr>
                      <w:rFonts w:hint="default" w:ascii="Times New Roman" w:hAnsi="Times New Roman" w:eastAsia="宋体" w:cs="Times New Roman"/>
                      <w:color w:val="auto"/>
                      <w:spacing w:val="0"/>
                      <w:sz w:val="21"/>
                      <w:szCs w:val="21"/>
                      <w:highlight w:val="none"/>
                      <w:lang w:val="en-US" w:eastAsia="zh-CN"/>
                    </w:rPr>
                    <w:t>11</w:t>
                  </w:r>
                  <w:r>
                    <w:rPr>
                      <w:rFonts w:hint="eastAsia" w:cs="Times New Roman"/>
                      <w:color w:val="auto"/>
                      <w:spacing w:val="0"/>
                      <w:sz w:val="21"/>
                      <w:szCs w:val="21"/>
                      <w:highlight w:val="none"/>
                      <w:lang w:val="en-US" w:eastAsia="zh-CN"/>
                    </w:rPr>
                    <w:t>9</w:t>
                  </w:r>
                  <w:r>
                    <w:rPr>
                      <w:rFonts w:hint="default"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10</w:t>
                  </w:r>
                  <w:r>
                    <w:rPr>
                      <w:rFonts w:hint="default"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55.590</w:t>
                  </w:r>
                  <w:r>
                    <w:rPr>
                      <w:rFonts w:hint="default" w:ascii="Times New Roman" w:hAnsi="Times New Roman" w:eastAsia="宋体"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w:t>
                  </w:r>
                </w:p>
                <w:p w14:paraId="1600AD02">
                  <w:pPr>
                    <w:keepNext w:val="0"/>
                    <w:keepLines w:val="0"/>
                    <w:pageBreakBefore w:val="0"/>
                    <w:kinsoku/>
                    <w:wordWrap/>
                    <w:topLinePunct w:val="0"/>
                    <w:autoSpaceDE/>
                    <w:autoSpaceDN/>
                    <w:bidi w:val="0"/>
                    <w:adjustRightInd/>
                    <w:snapToGrid w:val="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E：</w:t>
                  </w:r>
                  <w:r>
                    <w:rPr>
                      <w:rFonts w:hint="default" w:ascii="Times New Roman" w:hAnsi="Times New Roman" w:eastAsia="宋体" w:cs="Times New Roman"/>
                      <w:color w:val="auto"/>
                      <w:spacing w:val="0"/>
                      <w:sz w:val="21"/>
                      <w:szCs w:val="21"/>
                      <w:highlight w:val="none"/>
                      <w:lang w:val="en-US" w:eastAsia="zh-CN"/>
                    </w:rPr>
                    <w:t>2</w:t>
                  </w:r>
                  <w:r>
                    <w:rPr>
                      <w:rFonts w:hint="eastAsia" w:cs="Times New Roman"/>
                      <w:color w:val="auto"/>
                      <w:spacing w:val="0"/>
                      <w:sz w:val="21"/>
                      <w:szCs w:val="21"/>
                      <w:highlight w:val="none"/>
                      <w:lang w:val="en-US" w:eastAsia="zh-CN"/>
                    </w:rPr>
                    <w:t>6</w:t>
                  </w:r>
                  <w:r>
                    <w:rPr>
                      <w:rFonts w:hint="default"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9</w:t>
                  </w:r>
                  <w:r>
                    <w:rPr>
                      <w:rFonts w:hint="default"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44.330</w:t>
                  </w:r>
                  <w:r>
                    <w:rPr>
                      <w:rFonts w:hint="default" w:ascii="Times New Roman" w:hAnsi="Times New Roman" w:eastAsia="宋体" w:cs="Times New Roman"/>
                      <w:color w:val="auto"/>
                      <w:spacing w:val="0"/>
                      <w:sz w:val="21"/>
                      <w:szCs w:val="21"/>
                      <w:highlight w:val="none"/>
                      <w:lang w:val="en-US" w:eastAsia="zh-CN"/>
                    </w:rPr>
                    <w:t>″</w:t>
                  </w:r>
                </w:p>
              </w:tc>
              <w:tc>
                <w:tcPr>
                  <w:tcW w:w="1043" w:type="dxa"/>
                  <w:tcBorders>
                    <w:tl2br w:val="nil"/>
                    <w:tr2bl w:val="nil"/>
                  </w:tcBorders>
                  <w:noWrap w:val="0"/>
                  <w:vAlign w:val="center"/>
                </w:tcPr>
                <w:p w14:paraId="5BF8DE27">
                  <w:pPr>
                    <w:keepNext w:val="0"/>
                    <w:keepLines w:val="0"/>
                    <w:pageBreakBefore w:val="0"/>
                    <w:widowControl/>
                    <w:kinsoku/>
                    <w:wordWrap/>
                    <w:topLinePunct w:val="0"/>
                    <w:autoSpaceDE/>
                    <w:autoSpaceDN/>
                    <w:bidi w:val="0"/>
                    <w:adjustRightInd/>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三叉溪</w:t>
                  </w:r>
                </w:p>
              </w:tc>
              <w:tc>
                <w:tcPr>
                  <w:tcW w:w="968" w:type="dxa"/>
                  <w:tcBorders>
                    <w:tl2br w:val="nil"/>
                    <w:tr2bl w:val="nil"/>
                  </w:tcBorders>
                  <w:noWrap w:val="0"/>
                  <w:vAlign w:val="center"/>
                </w:tcPr>
                <w:p w14:paraId="24595D1A">
                  <w:pPr>
                    <w:keepNext w:val="0"/>
                    <w:keepLines w:val="0"/>
                    <w:pageBreakBefore w:val="0"/>
                    <w:widowControl/>
                    <w:kinsoku/>
                    <w:wordWrap/>
                    <w:topLinePunct w:val="0"/>
                    <w:autoSpaceDE/>
                    <w:autoSpaceDN/>
                    <w:bidi w:val="0"/>
                    <w:adjustRightInd/>
                    <w:snapToGrid w:val="0"/>
                    <w:jc w:val="center"/>
                    <w:textAlignment w:val="auto"/>
                    <w:rPr>
                      <w:rFonts w:hint="eastAsia"/>
                      <w:color w:val="auto"/>
                      <w:sz w:val="18"/>
                      <w:szCs w:val="18"/>
                      <w:highlight w:val="none"/>
                      <w:lang w:val="en-US" w:eastAsia="zh-CN"/>
                    </w:rPr>
                  </w:pPr>
                  <w:r>
                    <w:rPr>
                      <w:rFonts w:hint="eastAsia"/>
                      <w:color w:val="auto"/>
                      <w:sz w:val="21"/>
                      <w:szCs w:val="21"/>
                      <w:highlight w:val="none"/>
                      <w:lang w:val="en-US" w:eastAsia="zh-CN"/>
                    </w:rPr>
                    <w:t>河流</w:t>
                  </w:r>
                </w:p>
              </w:tc>
              <w:tc>
                <w:tcPr>
                  <w:tcW w:w="1564" w:type="dxa"/>
                  <w:vMerge w:val="restart"/>
                  <w:tcBorders>
                    <w:tl2br w:val="nil"/>
                    <w:tr2bl w:val="nil"/>
                  </w:tcBorders>
                  <w:noWrap w:val="0"/>
                  <w:vAlign w:val="center"/>
                </w:tcPr>
                <w:p w14:paraId="4E1B30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《地表水环境质量标准》(GB3838-2002)</w:t>
                  </w:r>
                </w:p>
                <w:p w14:paraId="183732CA">
                  <w:pPr>
                    <w:keepNext w:val="0"/>
                    <w:keepLines w:val="0"/>
                    <w:pageBreakBefore w:val="0"/>
                    <w:widowControl/>
                    <w:kinsoku/>
                    <w:wordWrap w:val="0"/>
                    <w:topLinePunct w:val="0"/>
                    <w:autoSpaceDE/>
                    <w:autoSpaceDN/>
                    <w:bidi w:val="0"/>
                    <w:adjustRightInd/>
                    <w:snapToGrid w:val="0"/>
                    <w:jc w:val="center"/>
                    <w:textAlignment w:val="auto"/>
                    <w:rPr>
                      <w:rFonts w:ascii="Times New Roman" w:hAnsi="Times New Roman" w:eastAsia="宋体" w:cs="Times New Roman"/>
                      <w:color w:val="auto"/>
                      <w:spacing w:val="0"/>
                      <w:sz w:val="21"/>
                      <w:szCs w:val="21"/>
                      <w:highlight w:val="none"/>
                    </w:rPr>
                  </w:pPr>
                  <w:r>
                    <w:rPr>
                      <w:rFonts w:hint="default" w:ascii="Times New Roman" w:hAnsi="Times New Roman" w:cs="Times New Roman"/>
                      <w:color w:val="auto"/>
                      <w:sz w:val="21"/>
                      <w:szCs w:val="21"/>
                      <w:highlight w:val="none"/>
                    </w:rPr>
                    <w:t>Ⅳ</w:t>
                  </w:r>
                  <w:r>
                    <w:rPr>
                      <w:rFonts w:hint="default" w:ascii="Times New Roman" w:hAnsi="Times New Roman" w:eastAsia="宋体" w:cs="Times New Roman"/>
                      <w:color w:val="auto"/>
                      <w:sz w:val="21"/>
                      <w:szCs w:val="21"/>
                      <w:highlight w:val="none"/>
                      <w:lang w:eastAsia="zh-CN"/>
                    </w:rPr>
                    <w:t>类标准</w:t>
                  </w:r>
                </w:p>
              </w:tc>
              <w:tc>
                <w:tcPr>
                  <w:tcW w:w="850" w:type="dxa"/>
                  <w:tcBorders>
                    <w:tl2br w:val="nil"/>
                    <w:tr2bl w:val="nil"/>
                  </w:tcBorders>
                  <w:noWrap w:val="0"/>
                  <w:vAlign w:val="center"/>
                </w:tcPr>
                <w:p w14:paraId="077A45DD">
                  <w:pPr>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北侧</w:t>
                  </w:r>
                </w:p>
              </w:tc>
              <w:tc>
                <w:tcPr>
                  <w:tcW w:w="978" w:type="dxa"/>
                  <w:tcBorders>
                    <w:tl2br w:val="nil"/>
                    <w:tr2bl w:val="nil"/>
                  </w:tcBorders>
                  <w:noWrap w:val="0"/>
                  <w:vAlign w:val="center"/>
                </w:tcPr>
                <w:p w14:paraId="2D085F61">
                  <w:pPr>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250</w:t>
                  </w:r>
                </w:p>
              </w:tc>
            </w:tr>
            <w:tr w14:paraId="131EA9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tl2br w:val="nil"/>
                    <w:tr2bl w:val="nil"/>
                  </w:tcBorders>
                  <w:noWrap w:val="0"/>
                  <w:vAlign w:val="center"/>
                </w:tcPr>
                <w:p w14:paraId="1050BA12">
                  <w:pPr>
                    <w:keepNext w:val="0"/>
                    <w:keepLines w:val="0"/>
                    <w:pageBreakBefore w:val="0"/>
                    <w:widowControl/>
                    <w:kinsoku/>
                    <w:wordWrap/>
                    <w:topLinePunct w:val="0"/>
                    <w:autoSpaceDE/>
                    <w:autoSpaceDN/>
                    <w:bidi w:val="0"/>
                    <w:adjustRightInd/>
                    <w:snapToGrid w:val="0"/>
                    <w:jc w:val="center"/>
                    <w:textAlignment w:val="auto"/>
                    <w:rPr>
                      <w:rFonts w:hint="eastAsia" w:ascii="Times New Roman" w:hAnsi="Times New Roman" w:eastAsia="宋体" w:cs="Times New Roman"/>
                      <w:b w:val="0"/>
                      <w:bCs/>
                      <w:color w:val="auto"/>
                      <w:spacing w:val="0"/>
                      <w:sz w:val="21"/>
                      <w:szCs w:val="21"/>
                      <w:highlight w:val="none"/>
                      <w:lang w:val="en-US" w:eastAsia="zh-CN"/>
                    </w:rPr>
                  </w:pPr>
                </w:p>
              </w:tc>
              <w:tc>
                <w:tcPr>
                  <w:tcW w:w="1831" w:type="dxa"/>
                  <w:tcBorders>
                    <w:tl2br w:val="nil"/>
                    <w:tr2bl w:val="nil"/>
                  </w:tcBorders>
                  <w:noWrap w:val="0"/>
                  <w:vAlign w:val="center"/>
                </w:tcPr>
                <w:p w14:paraId="034C9191">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N：</w:t>
                  </w:r>
                  <w:r>
                    <w:rPr>
                      <w:rFonts w:hint="default" w:ascii="Times New Roman" w:hAnsi="Times New Roman" w:eastAsia="宋体" w:cs="Times New Roman"/>
                      <w:color w:val="auto"/>
                      <w:spacing w:val="0"/>
                      <w:sz w:val="21"/>
                      <w:szCs w:val="21"/>
                      <w:highlight w:val="none"/>
                      <w:lang w:val="en-US" w:eastAsia="zh-CN"/>
                    </w:rPr>
                    <w:t>11</w:t>
                  </w:r>
                  <w:r>
                    <w:rPr>
                      <w:rFonts w:hint="eastAsia" w:cs="Times New Roman"/>
                      <w:color w:val="auto"/>
                      <w:spacing w:val="0"/>
                      <w:sz w:val="21"/>
                      <w:szCs w:val="21"/>
                      <w:highlight w:val="none"/>
                      <w:lang w:val="en-US" w:eastAsia="zh-CN"/>
                    </w:rPr>
                    <w:t>9</w:t>
                  </w:r>
                  <w:r>
                    <w:rPr>
                      <w:rFonts w:hint="default"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10</w:t>
                  </w:r>
                  <w:r>
                    <w:rPr>
                      <w:rFonts w:hint="default"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50.745</w:t>
                  </w:r>
                  <w:r>
                    <w:rPr>
                      <w:rFonts w:hint="default" w:ascii="Times New Roman" w:hAnsi="Times New Roman" w:eastAsia="宋体"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w:t>
                  </w:r>
                </w:p>
                <w:p w14:paraId="6D0002CA">
                  <w:pPr>
                    <w:keepNext w:val="0"/>
                    <w:keepLines w:val="0"/>
                    <w:pageBreakBefore w:val="0"/>
                    <w:kinsoku/>
                    <w:wordWrap/>
                    <w:topLinePunct w:val="0"/>
                    <w:autoSpaceDE/>
                    <w:autoSpaceDN/>
                    <w:bidi w:val="0"/>
                    <w:adjustRightInd/>
                    <w:snapToGrid w:val="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E：</w:t>
                  </w:r>
                  <w:r>
                    <w:rPr>
                      <w:rFonts w:hint="default" w:ascii="Times New Roman" w:hAnsi="Times New Roman" w:eastAsia="宋体" w:cs="Times New Roman"/>
                      <w:color w:val="auto"/>
                      <w:spacing w:val="0"/>
                      <w:sz w:val="21"/>
                      <w:szCs w:val="21"/>
                      <w:highlight w:val="none"/>
                      <w:lang w:val="en-US" w:eastAsia="zh-CN"/>
                    </w:rPr>
                    <w:t>2</w:t>
                  </w:r>
                  <w:r>
                    <w:rPr>
                      <w:rFonts w:hint="eastAsia" w:cs="Times New Roman"/>
                      <w:color w:val="auto"/>
                      <w:spacing w:val="0"/>
                      <w:sz w:val="21"/>
                      <w:szCs w:val="21"/>
                      <w:highlight w:val="none"/>
                      <w:lang w:val="en-US" w:eastAsia="zh-CN"/>
                    </w:rPr>
                    <w:t>6</w:t>
                  </w:r>
                  <w:r>
                    <w:rPr>
                      <w:rFonts w:hint="default"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9</w:t>
                  </w:r>
                  <w:r>
                    <w:rPr>
                      <w:rFonts w:hint="default"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57.850</w:t>
                  </w:r>
                  <w:r>
                    <w:rPr>
                      <w:rFonts w:hint="default" w:ascii="Times New Roman" w:hAnsi="Times New Roman" w:eastAsia="宋体" w:cs="Times New Roman"/>
                      <w:color w:val="auto"/>
                      <w:spacing w:val="0"/>
                      <w:sz w:val="21"/>
                      <w:szCs w:val="21"/>
                      <w:highlight w:val="none"/>
                      <w:lang w:val="en-US" w:eastAsia="zh-CN"/>
                    </w:rPr>
                    <w:t>″</w:t>
                  </w:r>
                </w:p>
              </w:tc>
              <w:tc>
                <w:tcPr>
                  <w:tcW w:w="1043" w:type="dxa"/>
                  <w:tcBorders>
                    <w:tl2br w:val="nil"/>
                    <w:tr2bl w:val="nil"/>
                  </w:tcBorders>
                  <w:noWrap w:val="0"/>
                  <w:vAlign w:val="center"/>
                </w:tcPr>
                <w:p w14:paraId="5ABF777D">
                  <w:pPr>
                    <w:keepNext w:val="0"/>
                    <w:keepLines w:val="0"/>
                    <w:pageBreakBefore w:val="0"/>
                    <w:widowControl/>
                    <w:kinsoku/>
                    <w:wordWrap/>
                    <w:topLinePunct w:val="0"/>
                    <w:autoSpaceDE/>
                    <w:autoSpaceDN/>
                    <w:bidi w:val="0"/>
                    <w:adjustRightInd/>
                    <w:snapToGrid w:val="0"/>
                    <w:jc w:val="center"/>
                    <w:textAlignment w:val="auto"/>
                    <w:rPr>
                      <w:rFonts w:hint="default" w:ascii="Times New Roman" w:hAnsi="Times New Roman" w:eastAsia="宋体" w:cs="Times New Roman"/>
                      <w:b w:val="0"/>
                      <w:bCs/>
                      <w:color w:val="auto"/>
                      <w:spacing w:val="0"/>
                      <w:sz w:val="21"/>
                      <w:szCs w:val="21"/>
                      <w:highlight w:val="none"/>
                      <w:lang w:val="en-US" w:eastAsia="zh-CN"/>
                    </w:rPr>
                  </w:pPr>
                  <w:r>
                    <w:rPr>
                      <w:rFonts w:hint="eastAsia" w:cs="Times New Roman"/>
                      <w:b w:val="0"/>
                      <w:bCs/>
                      <w:color w:val="auto"/>
                      <w:spacing w:val="0"/>
                      <w:sz w:val="21"/>
                      <w:szCs w:val="21"/>
                      <w:highlight w:val="none"/>
                      <w:lang w:val="en-US" w:eastAsia="zh-CN"/>
                    </w:rPr>
                    <w:t>荆溪</w:t>
                  </w:r>
                </w:p>
              </w:tc>
              <w:tc>
                <w:tcPr>
                  <w:tcW w:w="968" w:type="dxa"/>
                  <w:tcBorders>
                    <w:tl2br w:val="nil"/>
                    <w:tr2bl w:val="nil"/>
                  </w:tcBorders>
                  <w:noWrap w:val="0"/>
                  <w:vAlign w:val="center"/>
                </w:tcPr>
                <w:p w14:paraId="39CFA71E">
                  <w:pPr>
                    <w:keepNext w:val="0"/>
                    <w:keepLines w:val="0"/>
                    <w:pageBreakBefore w:val="0"/>
                    <w:widowControl/>
                    <w:kinsoku/>
                    <w:wordWrap/>
                    <w:topLinePunct w:val="0"/>
                    <w:autoSpaceDE/>
                    <w:autoSpaceDN/>
                    <w:bidi w:val="0"/>
                    <w:adjustRightInd/>
                    <w:snapToGrid w:val="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河流</w:t>
                  </w:r>
                </w:p>
              </w:tc>
              <w:tc>
                <w:tcPr>
                  <w:tcW w:w="1564" w:type="dxa"/>
                  <w:vMerge w:val="continue"/>
                  <w:tcBorders>
                    <w:tl2br w:val="nil"/>
                    <w:tr2bl w:val="nil"/>
                  </w:tcBorders>
                  <w:noWrap w:val="0"/>
                  <w:vAlign w:val="center"/>
                </w:tcPr>
                <w:p w14:paraId="2751231F">
                  <w:pPr>
                    <w:keepNext w:val="0"/>
                    <w:keepLines w:val="0"/>
                    <w:pageBreakBefore w:val="0"/>
                    <w:widowControl/>
                    <w:kinsoku/>
                    <w:wordWrap w:val="0"/>
                    <w:topLinePunct w:val="0"/>
                    <w:autoSpaceDE/>
                    <w:autoSpaceDN/>
                    <w:bidi w:val="0"/>
                    <w:adjustRightInd/>
                    <w:snapToGrid w:val="0"/>
                    <w:jc w:val="center"/>
                    <w:textAlignment w:val="auto"/>
                    <w:rPr>
                      <w:rFonts w:ascii="Times New Roman" w:hAnsi="Times New Roman" w:eastAsia="宋体" w:cs="Times New Roman"/>
                      <w:color w:val="auto"/>
                      <w:spacing w:val="0"/>
                      <w:sz w:val="21"/>
                      <w:szCs w:val="21"/>
                      <w:highlight w:val="none"/>
                    </w:rPr>
                  </w:pPr>
                </w:p>
              </w:tc>
              <w:tc>
                <w:tcPr>
                  <w:tcW w:w="850" w:type="dxa"/>
                  <w:tcBorders>
                    <w:tl2br w:val="nil"/>
                    <w:tr2bl w:val="nil"/>
                  </w:tcBorders>
                  <w:noWrap w:val="0"/>
                  <w:vAlign w:val="center"/>
                </w:tcPr>
                <w:p w14:paraId="73A925BB">
                  <w:pPr>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eastAsia" w:ascii="Times New Roman" w:hAnsi="Times New Roman" w:eastAsia="宋体" w:cs="Times New Roman"/>
                      <w:b w:val="0"/>
                      <w:bCs/>
                      <w:color w:val="auto"/>
                      <w:spacing w:val="0"/>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西北侧</w:t>
                  </w:r>
                </w:p>
              </w:tc>
              <w:tc>
                <w:tcPr>
                  <w:tcW w:w="978" w:type="dxa"/>
                  <w:tcBorders>
                    <w:tl2br w:val="nil"/>
                    <w:tr2bl w:val="nil"/>
                  </w:tcBorders>
                  <w:noWrap w:val="0"/>
                  <w:vAlign w:val="center"/>
                </w:tcPr>
                <w:p w14:paraId="68C8263A">
                  <w:pPr>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687</w:t>
                  </w:r>
                </w:p>
              </w:tc>
            </w:tr>
            <w:tr w14:paraId="64DCE9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tcBorders>
                    <w:tl2br w:val="nil"/>
                    <w:tr2bl w:val="nil"/>
                  </w:tcBorders>
                  <w:noWrap w:val="0"/>
                  <w:vAlign w:val="center"/>
                </w:tcPr>
                <w:p w14:paraId="766080BD">
                  <w:pPr>
                    <w:keepNext w:val="0"/>
                    <w:keepLines w:val="0"/>
                    <w:pageBreakBefore w:val="0"/>
                    <w:widowControl/>
                    <w:kinsoku/>
                    <w:wordWrap/>
                    <w:topLinePunct w:val="0"/>
                    <w:autoSpaceDE/>
                    <w:autoSpaceDN/>
                    <w:bidi w:val="0"/>
                    <w:adjustRightInd/>
                    <w:snapToGrid w:val="0"/>
                    <w:jc w:val="center"/>
                    <w:textAlignment w:val="auto"/>
                    <w:rPr>
                      <w:rFonts w:ascii="Times New Roman" w:hAnsi="Times New Roman" w:eastAsia="宋体" w:cs="Times New Roman"/>
                      <w:b w:val="0"/>
                      <w:bCs/>
                      <w:color w:val="auto"/>
                      <w:spacing w:val="0"/>
                      <w:sz w:val="21"/>
                      <w:szCs w:val="21"/>
                      <w:highlight w:val="none"/>
                    </w:rPr>
                  </w:pPr>
                  <w:r>
                    <w:rPr>
                      <w:rFonts w:hint="eastAsia" w:ascii="Times New Roman" w:hAnsi="Times New Roman" w:eastAsia="宋体" w:cs="Times New Roman"/>
                      <w:b w:val="0"/>
                      <w:bCs/>
                      <w:color w:val="auto"/>
                      <w:spacing w:val="0"/>
                      <w:sz w:val="21"/>
                      <w:szCs w:val="21"/>
                      <w:highlight w:val="none"/>
                    </w:rPr>
                    <w:t>大气环境</w:t>
                  </w:r>
                </w:p>
              </w:tc>
              <w:tc>
                <w:tcPr>
                  <w:tcW w:w="1831" w:type="dxa"/>
                  <w:tcBorders>
                    <w:tl2br w:val="nil"/>
                    <w:tr2bl w:val="nil"/>
                  </w:tcBorders>
                  <w:noWrap w:val="0"/>
                  <w:vAlign w:val="center"/>
                </w:tcPr>
                <w:p w14:paraId="66FBAA8F">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N：</w:t>
                  </w:r>
                  <w:r>
                    <w:rPr>
                      <w:rFonts w:hint="default" w:ascii="Times New Roman" w:hAnsi="Times New Roman" w:eastAsia="宋体" w:cs="Times New Roman"/>
                      <w:color w:val="auto"/>
                      <w:spacing w:val="0"/>
                      <w:sz w:val="21"/>
                      <w:szCs w:val="21"/>
                      <w:highlight w:val="none"/>
                      <w:lang w:val="en-US" w:eastAsia="zh-CN"/>
                    </w:rPr>
                    <w:t>11</w:t>
                  </w:r>
                  <w:r>
                    <w:rPr>
                      <w:rFonts w:hint="eastAsia" w:cs="Times New Roman"/>
                      <w:color w:val="auto"/>
                      <w:spacing w:val="0"/>
                      <w:sz w:val="21"/>
                      <w:szCs w:val="21"/>
                      <w:highlight w:val="none"/>
                      <w:lang w:val="en-US" w:eastAsia="zh-CN"/>
                    </w:rPr>
                    <w:t>9</w:t>
                  </w:r>
                  <w:r>
                    <w:rPr>
                      <w:rFonts w:hint="default"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10</w:t>
                  </w:r>
                  <w:r>
                    <w:rPr>
                      <w:rFonts w:hint="default"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48.458</w:t>
                  </w:r>
                  <w:r>
                    <w:rPr>
                      <w:rFonts w:hint="default" w:ascii="Times New Roman" w:hAnsi="Times New Roman" w:eastAsia="宋体"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w:t>
                  </w:r>
                </w:p>
                <w:p w14:paraId="376B6C5D">
                  <w:pPr>
                    <w:keepNext w:val="0"/>
                    <w:keepLines w:val="0"/>
                    <w:pageBreakBefore w:val="0"/>
                    <w:kinsoku/>
                    <w:wordWrap/>
                    <w:topLinePunct w:val="0"/>
                    <w:autoSpaceDE/>
                    <w:autoSpaceDN/>
                    <w:bidi w:val="0"/>
                    <w:adjustRightInd/>
                    <w:snapToGrid w:val="0"/>
                    <w:jc w:val="center"/>
                    <w:textAlignment w:val="auto"/>
                    <w:rPr>
                      <w:rFonts w:ascii="Times New Roman" w:hAnsi="Times New Roman" w:eastAsia="宋体" w:cs="Times New Roman"/>
                      <w:b w:val="0"/>
                      <w:bCs/>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E：</w:t>
                  </w:r>
                  <w:r>
                    <w:rPr>
                      <w:rFonts w:hint="default" w:ascii="Times New Roman" w:hAnsi="Times New Roman" w:eastAsia="宋体" w:cs="Times New Roman"/>
                      <w:color w:val="auto"/>
                      <w:spacing w:val="0"/>
                      <w:sz w:val="21"/>
                      <w:szCs w:val="21"/>
                      <w:highlight w:val="none"/>
                      <w:lang w:val="en-US" w:eastAsia="zh-CN"/>
                    </w:rPr>
                    <w:t>2</w:t>
                  </w:r>
                  <w:r>
                    <w:rPr>
                      <w:rFonts w:hint="eastAsia" w:cs="Times New Roman"/>
                      <w:color w:val="auto"/>
                      <w:spacing w:val="0"/>
                      <w:sz w:val="21"/>
                      <w:szCs w:val="21"/>
                      <w:highlight w:val="none"/>
                      <w:lang w:val="en-US" w:eastAsia="zh-CN"/>
                    </w:rPr>
                    <w:t>6</w:t>
                  </w:r>
                  <w:r>
                    <w:rPr>
                      <w:rFonts w:hint="default"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9</w:t>
                  </w:r>
                  <w:r>
                    <w:rPr>
                      <w:rFonts w:hint="default"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50.118</w:t>
                  </w:r>
                  <w:r>
                    <w:rPr>
                      <w:rFonts w:hint="default" w:ascii="Times New Roman" w:hAnsi="Times New Roman" w:eastAsia="宋体" w:cs="Times New Roman"/>
                      <w:color w:val="auto"/>
                      <w:spacing w:val="0"/>
                      <w:sz w:val="21"/>
                      <w:szCs w:val="21"/>
                      <w:highlight w:val="none"/>
                      <w:lang w:val="en-US" w:eastAsia="zh-CN"/>
                    </w:rPr>
                    <w:t>″</w:t>
                  </w:r>
                </w:p>
              </w:tc>
              <w:tc>
                <w:tcPr>
                  <w:tcW w:w="1043" w:type="dxa"/>
                  <w:tcBorders>
                    <w:tl2br w:val="nil"/>
                    <w:tr2bl w:val="nil"/>
                  </w:tcBorders>
                  <w:noWrap w:val="0"/>
                  <w:vAlign w:val="center"/>
                </w:tcPr>
                <w:p w14:paraId="1A5A4F30">
                  <w:pPr>
                    <w:keepNext w:val="0"/>
                    <w:keepLines w:val="0"/>
                    <w:pageBreakBefore w:val="0"/>
                    <w:kinsoku/>
                    <w:wordWrap/>
                    <w:topLinePunct w:val="0"/>
                    <w:autoSpaceDE/>
                    <w:autoSpaceDN/>
                    <w:bidi w:val="0"/>
                    <w:adjustRightInd/>
                    <w:snapToGrid w:val="0"/>
                    <w:jc w:val="center"/>
                    <w:textAlignment w:val="auto"/>
                    <w:rPr>
                      <w:rFonts w:hint="default" w:ascii="Times New Roman" w:hAnsi="Times New Roman" w:eastAsia="宋体" w:cs="Times New Roman"/>
                      <w:b w:val="0"/>
                      <w:bCs/>
                      <w:color w:val="auto"/>
                      <w:spacing w:val="0"/>
                      <w:sz w:val="21"/>
                      <w:szCs w:val="21"/>
                      <w:highlight w:val="none"/>
                      <w:lang w:val="en-US" w:eastAsia="zh-CN"/>
                    </w:rPr>
                  </w:pPr>
                  <w:r>
                    <w:rPr>
                      <w:rFonts w:hint="eastAsia" w:cs="Times New Roman"/>
                      <w:b w:val="0"/>
                      <w:bCs/>
                      <w:color w:val="auto"/>
                      <w:spacing w:val="0"/>
                      <w:sz w:val="21"/>
                      <w:szCs w:val="21"/>
                      <w:highlight w:val="none"/>
                      <w:lang w:val="en-US" w:eastAsia="zh-CN"/>
                    </w:rPr>
                    <w:t>福建京台高速管理中心</w:t>
                  </w:r>
                </w:p>
              </w:tc>
              <w:tc>
                <w:tcPr>
                  <w:tcW w:w="968" w:type="dxa"/>
                  <w:tcBorders>
                    <w:tl2br w:val="nil"/>
                    <w:tr2bl w:val="nil"/>
                  </w:tcBorders>
                  <w:noWrap w:val="0"/>
                  <w:vAlign w:val="center"/>
                </w:tcPr>
                <w:p w14:paraId="538E1DDC">
                  <w:pPr>
                    <w:keepNext w:val="0"/>
                    <w:keepLines w:val="0"/>
                    <w:pageBreakBefore w:val="0"/>
                    <w:widowControl/>
                    <w:kinsoku/>
                    <w:wordWrap/>
                    <w:topLinePunct w:val="0"/>
                    <w:autoSpaceDE/>
                    <w:autoSpaceDN/>
                    <w:bidi w:val="0"/>
                    <w:adjustRightInd/>
                    <w:snapToGrid w:val="0"/>
                    <w:jc w:val="center"/>
                    <w:textAlignment w:val="auto"/>
                    <w:rPr>
                      <w:rFonts w:hint="eastAsia" w:ascii="Times New Roman" w:hAnsi="Times New Roman" w:eastAsia="宋体" w:cs="Times New Roman"/>
                      <w:color w:val="auto"/>
                      <w:spacing w:val="0"/>
                      <w:sz w:val="21"/>
                      <w:szCs w:val="21"/>
                      <w:highlight w:val="none"/>
                      <w:shd w:val="clear" w:color="auto" w:fill="FFFFFF"/>
                      <w:lang w:eastAsia="zh-CN"/>
                    </w:rPr>
                  </w:pPr>
                  <w:r>
                    <w:rPr>
                      <w:rFonts w:hint="eastAsia" w:cs="Times New Roman"/>
                      <w:color w:val="auto"/>
                      <w:spacing w:val="0"/>
                      <w:sz w:val="21"/>
                      <w:szCs w:val="21"/>
                      <w:highlight w:val="none"/>
                      <w:shd w:val="clear" w:color="auto" w:fill="FFFFFF"/>
                      <w:lang w:val="en-US" w:eastAsia="zh-CN"/>
                    </w:rPr>
                    <w:t>职工</w:t>
                  </w:r>
                  <w:r>
                    <w:rPr>
                      <w:rFonts w:hint="eastAsia" w:ascii="Times New Roman" w:hAnsi="Times New Roman" w:eastAsia="宋体" w:cs="Times New Roman"/>
                      <w:color w:val="auto"/>
                      <w:spacing w:val="0"/>
                      <w:sz w:val="21"/>
                      <w:szCs w:val="21"/>
                      <w:highlight w:val="none"/>
                      <w:shd w:val="clear" w:color="auto" w:fill="FFFFFF"/>
                      <w:lang w:eastAsia="zh-CN"/>
                    </w:rPr>
                    <w:t>，</w:t>
                  </w:r>
                </w:p>
                <w:p w14:paraId="591B3D4F">
                  <w:pPr>
                    <w:keepNext w:val="0"/>
                    <w:keepLines w:val="0"/>
                    <w:pageBreakBefore w:val="0"/>
                    <w:widowControl/>
                    <w:kinsoku/>
                    <w:wordWrap/>
                    <w:topLinePunct w:val="0"/>
                    <w:autoSpaceDE/>
                    <w:autoSpaceDN/>
                    <w:bidi w:val="0"/>
                    <w:adjustRightInd/>
                    <w:snapToGrid w:val="0"/>
                    <w:jc w:val="center"/>
                    <w:textAlignment w:val="auto"/>
                    <w:rPr>
                      <w:rFonts w:hint="eastAsia" w:ascii="Times New Roman" w:hAnsi="Times New Roman" w:eastAsia="宋体" w:cs="Times New Roman"/>
                      <w:b w:val="0"/>
                      <w:bCs/>
                      <w:color w:val="auto"/>
                      <w:spacing w:val="0"/>
                      <w:sz w:val="21"/>
                      <w:szCs w:val="21"/>
                      <w:highlight w:val="none"/>
                    </w:rPr>
                  </w:pPr>
                  <w:r>
                    <w:rPr>
                      <w:rFonts w:hint="eastAsia" w:ascii="Times New Roman" w:hAnsi="Times New Roman" w:eastAsia="宋体" w:cs="Times New Roman"/>
                      <w:b w:val="0"/>
                      <w:bCs/>
                      <w:color w:val="auto"/>
                      <w:spacing w:val="0"/>
                      <w:sz w:val="21"/>
                      <w:szCs w:val="21"/>
                      <w:highlight w:val="none"/>
                      <w:lang w:eastAsia="zh-CN"/>
                    </w:rPr>
                    <w:t>约</w:t>
                  </w:r>
                  <w:r>
                    <w:rPr>
                      <w:rFonts w:hint="eastAsia" w:cs="Times New Roman"/>
                      <w:b w:val="0"/>
                      <w:bCs/>
                      <w:color w:val="auto"/>
                      <w:spacing w:val="0"/>
                      <w:sz w:val="21"/>
                      <w:szCs w:val="21"/>
                      <w:highlight w:val="none"/>
                      <w:lang w:val="en-US" w:eastAsia="zh-CN"/>
                    </w:rPr>
                    <w:t>10</w:t>
                  </w:r>
                  <w:r>
                    <w:rPr>
                      <w:rFonts w:hint="eastAsia" w:ascii="Times New Roman" w:hAnsi="Times New Roman" w:eastAsia="宋体" w:cs="Times New Roman"/>
                      <w:b w:val="0"/>
                      <w:bCs/>
                      <w:color w:val="auto"/>
                      <w:spacing w:val="0"/>
                      <w:sz w:val="21"/>
                      <w:szCs w:val="21"/>
                      <w:highlight w:val="none"/>
                      <w:lang w:val="en-US" w:eastAsia="zh-CN"/>
                    </w:rPr>
                    <w:t>人</w:t>
                  </w:r>
                </w:p>
              </w:tc>
              <w:tc>
                <w:tcPr>
                  <w:tcW w:w="1564" w:type="dxa"/>
                  <w:tcBorders>
                    <w:tl2br w:val="nil"/>
                    <w:tr2bl w:val="nil"/>
                  </w:tcBorders>
                  <w:noWrap w:val="0"/>
                  <w:vAlign w:val="center"/>
                </w:tcPr>
                <w:p w14:paraId="6062F127">
                  <w:pPr>
                    <w:keepNext w:val="0"/>
                    <w:keepLines w:val="0"/>
                    <w:pageBreakBefore w:val="0"/>
                    <w:widowControl/>
                    <w:kinsoku/>
                    <w:wordWrap w:val="0"/>
                    <w:topLinePunct w:val="0"/>
                    <w:autoSpaceDE/>
                    <w:autoSpaceDN/>
                    <w:bidi w:val="0"/>
                    <w:adjustRightInd/>
                    <w:snapToGrid w:val="0"/>
                    <w:jc w:val="center"/>
                    <w:textAlignment w:val="auto"/>
                    <w:rPr>
                      <w:rFonts w:ascii="Times New Roman" w:hAnsi="Times New Roman" w:eastAsia="宋体" w:cs="Times New Roman"/>
                      <w:b w:val="0"/>
                      <w:bCs/>
                      <w:color w:val="auto"/>
                      <w:spacing w:val="0"/>
                      <w:sz w:val="21"/>
                      <w:szCs w:val="21"/>
                      <w:highlight w:val="none"/>
                    </w:rPr>
                  </w:pPr>
                  <w:r>
                    <w:rPr>
                      <w:rFonts w:ascii="Times New Roman" w:hAnsi="Times New Roman" w:eastAsia="宋体" w:cs="Times New Roman"/>
                      <w:color w:val="auto"/>
                      <w:spacing w:val="0"/>
                      <w:sz w:val="21"/>
                      <w:szCs w:val="21"/>
                      <w:highlight w:val="none"/>
                    </w:rPr>
                    <w:t>《环境空气质量标准》</w:t>
                  </w:r>
                  <w:r>
                    <w:rPr>
                      <w:rFonts w:hint="eastAsia" w:ascii="Times New Roman" w:hAnsi="Times New Roman" w:eastAsia="宋体" w:cs="Times New Roman"/>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GB3095-20</w:t>
                  </w:r>
                  <w:r>
                    <w:rPr>
                      <w:rFonts w:hint="eastAsia" w:ascii="Times New Roman" w:hAnsi="Times New Roman" w:eastAsia="宋体" w:cs="Times New Roman"/>
                      <w:color w:val="auto"/>
                      <w:spacing w:val="0"/>
                      <w:sz w:val="21"/>
                      <w:szCs w:val="21"/>
                      <w:highlight w:val="none"/>
                      <w:lang w:val="en-US" w:eastAsia="zh-CN"/>
                    </w:rPr>
                    <w:t>26</w:t>
                  </w:r>
                  <w:r>
                    <w:rPr>
                      <w:rFonts w:hint="eastAsia"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rPr>
                    <w:t>中的二级标准限值</w:t>
                  </w:r>
                  <w:r>
                    <w:rPr>
                      <w:rFonts w:ascii="Times New Roman" w:hAnsi="Times New Roman" w:eastAsia="宋体" w:cs="Times New Roman"/>
                      <w:color w:val="auto"/>
                      <w:spacing w:val="0"/>
                      <w:sz w:val="21"/>
                      <w:szCs w:val="21"/>
                      <w:highlight w:val="none"/>
                    </w:rPr>
                    <w:t>要求</w:t>
                  </w:r>
                </w:p>
              </w:tc>
              <w:tc>
                <w:tcPr>
                  <w:tcW w:w="850" w:type="dxa"/>
                  <w:tcBorders>
                    <w:tl2br w:val="nil"/>
                    <w:tr2bl w:val="nil"/>
                  </w:tcBorders>
                  <w:noWrap w:val="0"/>
                  <w:vAlign w:val="center"/>
                </w:tcPr>
                <w:p w14:paraId="554B144D">
                  <w:pPr>
                    <w:pStyle w:val="106"/>
                    <w:keepNext w:val="0"/>
                    <w:keepLines w:val="0"/>
                    <w:pageBreakBefore w:val="0"/>
                    <w:kinsoku/>
                    <w:wordWrap/>
                    <w:overflowPunct w:val="0"/>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color w:val="auto"/>
                      <w:spacing w:val="0"/>
                      <w:sz w:val="21"/>
                      <w:szCs w:val="21"/>
                      <w:highlight w:val="none"/>
                      <w:lang w:val="en-US" w:eastAsia="zh-CN"/>
                    </w:rPr>
                  </w:pPr>
                  <w:r>
                    <w:rPr>
                      <w:rFonts w:hint="eastAsia" w:ascii="Times New Roman" w:hAnsi="Times New Roman" w:eastAsia="宋体" w:cs="Times New Roman"/>
                      <w:b w:val="0"/>
                      <w:bCs/>
                      <w:color w:val="auto"/>
                      <w:spacing w:val="0"/>
                      <w:sz w:val="21"/>
                      <w:szCs w:val="21"/>
                      <w:highlight w:val="none"/>
                      <w:lang w:val="en-US" w:eastAsia="zh-CN"/>
                    </w:rPr>
                    <w:t>西北侧</w:t>
                  </w:r>
                </w:p>
              </w:tc>
              <w:tc>
                <w:tcPr>
                  <w:tcW w:w="978" w:type="dxa"/>
                  <w:tcBorders>
                    <w:tl2br w:val="nil"/>
                    <w:tr2bl w:val="nil"/>
                  </w:tcBorders>
                  <w:noWrap w:val="0"/>
                  <w:vAlign w:val="center"/>
                </w:tcPr>
                <w:p w14:paraId="07F022CA">
                  <w:pPr>
                    <w:pStyle w:val="106"/>
                    <w:keepNext w:val="0"/>
                    <w:keepLines w:val="0"/>
                    <w:pageBreakBefore w:val="0"/>
                    <w:kinsoku/>
                    <w:wordWrap/>
                    <w:overflowPunct w:val="0"/>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color w:val="auto"/>
                      <w:spacing w:val="0"/>
                      <w:kern w:val="0"/>
                      <w:sz w:val="21"/>
                      <w:szCs w:val="21"/>
                      <w:highlight w:val="none"/>
                      <w:lang w:val="en-US" w:eastAsia="zh-CN"/>
                    </w:rPr>
                  </w:pPr>
                  <w:r>
                    <w:rPr>
                      <w:rFonts w:hint="eastAsia" w:ascii="Times New Roman" w:hAnsi="Times New Roman" w:cs="Times New Roman"/>
                      <w:b w:val="0"/>
                      <w:bCs/>
                      <w:color w:val="auto"/>
                      <w:spacing w:val="0"/>
                      <w:kern w:val="0"/>
                      <w:sz w:val="21"/>
                      <w:szCs w:val="21"/>
                      <w:highlight w:val="none"/>
                      <w:lang w:val="en-US" w:eastAsia="zh-CN"/>
                    </w:rPr>
                    <w:t>433</w:t>
                  </w:r>
                </w:p>
              </w:tc>
            </w:tr>
            <w:tr w14:paraId="596AF9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tcBorders>
                    <w:tl2br w:val="nil"/>
                    <w:tr2bl w:val="nil"/>
                  </w:tcBorders>
                  <w:noWrap w:val="0"/>
                  <w:vAlign w:val="center"/>
                </w:tcPr>
                <w:p w14:paraId="5C48053B">
                  <w:pPr>
                    <w:keepNext w:val="0"/>
                    <w:keepLines w:val="0"/>
                    <w:pageBreakBefore w:val="0"/>
                    <w:widowControl/>
                    <w:kinsoku/>
                    <w:wordWrap/>
                    <w:topLinePunct w:val="0"/>
                    <w:autoSpaceDE/>
                    <w:autoSpaceDN/>
                    <w:bidi w:val="0"/>
                    <w:adjustRightInd/>
                    <w:snapToGrid w:val="0"/>
                    <w:jc w:val="center"/>
                    <w:textAlignment w:val="auto"/>
                    <w:rPr>
                      <w:rFonts w:ascii="Times New Roman" w:hAnsi="Times New Roman" w:eastAsia="宋体" w:cs="Times New Roman"/>
                      <w:b w:val="0"/>
                      <w:bCs/>
                      <w:color w:val="auto"/>
                      <w:spacing w:val="0"/>
                      <w:sz w:val="21"/>
                      <w:szCs w:val="21"/>
                      <w:highlight w:val="none"/>
                    </w:rPr>
                  </w:pPr>
                  <w:r>
                    <w:rPr>
                      <w:rFonts w:hint="eastAsia" w:ascii="Times New Roman" w:hAnsi="Times New Roman" w:eastAsia="宋体" w:cs="Times New Roman"/>
                      <w:b w:val="0"/>
                      <w:bCs/>
                      <w:color w:val="auto"/>
                      <w:spacing w:val="0"/>
                      <w:sz w:val="21"/>
                      <w:szCs w:val="21"/>
                      <w:highlight w:val="none"/>
                    </w:rPr>
                    <w:t>声环境</w:t>
                  </w:r>
                </w:p>
              </w:tc>
              <w:tc>
                <w:tcPr>
                  <w:tcW w:w="7234" w:type="dxa"/>
                  <w:gridSpan w:val="6"/>
                  <w:tcBorders>
                    <w:tl2br w:val="nil"/>
                    <w:tr2bl w:val="nil"/>
                  </w:tcBorders>
                  <w:noWrap w:val="0"/>
                  <w:vAlign w:val="center"/>
                </w:tcPr>
                <w:p w14:paraId="4705196C">
                  <w:pPr>
                    <w:keepNext w:val="0"/>
                    <w:keepLines w:val="0"/>
                    <w:pageBreakBefore w:val="0"/>
                    <w:kinsoku/>
                    <w:wordWrap/>
                    <w:topLinePunct w:val="0"/>
                    <w:autoSpaceDE/>
                    <w:autoSpaceDN/>
                    <w:bidi w:val="0"/>
                    <w:adjustRightInd/>
                    <w:snapToGrid w:val="0"/>
                    <w:jc w:val="center"/>
                    <w:textAlignment w:val="auto"/>
                    <w:rPr>
                      <w:rFonts w:hint="eastAsia" w:ascii="Times New Roman" w:hAnsi="Times New Roman" w:eastAsia="宋体" w:cs="Times New Roman"/>
                      <w:b w:val="0"/>
                      <w:bCs/>
                      <w:color w:val="auto"/>
                      <w:spacing w:val="0"/>
                      <w:sz w:val="21"/>
                      <w:szCs w:val="21"/>
                      <w:highlight w:val="none"/>
                      <w:lang w:eastAsia="zh-CN"/>
                    </w:rPr>
                  </w:pPr>
                  <w:r>
                    <w:rPr>
                      <w:rFonts w:hint="eastAsia" w:ascii="Times New Roman" w:hAnsi="Times New Roman" w:eastAsia="宋体" w:cs="Times New Roman"/>
                      <w:b w:val="0"/>
                      <w:bCs/>
                      <w:color w:val="auto"/>
                      <w:spacing w:val="0"/>
                      <w:sz w:val="21"/>
                      <w:szCs w:val="21"/>
                      <w:highlight w:val="none"/>
                    </w:rPr>
                    <w:t>项目厂界外50</w:t>
                  </w:r>
                  <w:r>
                    <w:rPr>
                      <w:rFonts w:hint="eastAsia" w:ascii="Times New Roman" w:hAnsi="Times New Roman" w:eastAsia="宋体" w:cs="Times New Roman"/>
                      <w:color w:val="auto"/>
                      <w:spacing w:val="0"/>
                      <w:sz w:val="21"/>
                      <w:szCs w:val="21"/>
                      <w:highlight w:val="none"/>
                      <w:lang w:val="en-US" w:eastAsia="zh-CN"/>
                    </w:rPr>
                    <w:t>m</w:t>
                  </w:r>
                  <w:r>
                    <w:rPr>
                      <w:rFonts w:hint="eastAsia" w:ascii="Times New Roman" w:hAnsi="Times New Roman" w:eastAsia="宋体" w:cs="Times New Roman"/>
                      <w:b w:val="0"/>
                      <w:bCs/>
                      <w:color w:val="auto"/>
                      <w:spacing w:val="0"/>
                      <w:sz w:val="21"/>
                      <w:szCs w:val="21"/>
                      <w:highlight w:val="none"/>
                    </w:rPr>
                    <w:t>范围内无医院、学校、居民区等声环境保护目标</w:t>
                  </w:r>
                  <w:r>
                    <w:rPr>
                      <w:rFonts w:hint="eastAsia" w:ascii="Times New Roman" w:hAnsi="Times New Roman" w:eastAsia="宋体" w:cs="Times New Roman"/>
                      <w:b w:val="0"/>
                      <w:bCs/>
                      <w:color w:val="auto"/>
                      <w:spacing w:val="0"/>
                      <w:sz w:val="21"/>
                      <w:szCs w:val="21"/>
                      <w:highlight w:val="none"/>
                      <w:lang w:eastAsia="zh-CN"/>
                    </w:rPr>
                    <w:t>。</w:t>
                  </w:r>
                </w:p>
              </w:tc>
            </w:tr>
            <w:tr w14:paraId="040D90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tcBorders>
                    <w:tl2br w:val="nil"/>
                    <w:tr2bl w:val="nil"/>
                  </w:tcBorders>
                  <w:noWrap w:val="0"/>
                  <w:vAlign w:val="center"/>
                </w:tcPr>
                <w:p w14:paraId="4DB1B26E">
                  <w:pPr>
                    <w:keepNext w:val="0"/>
                    <w:keepLines w:val="0"/>
                    <w:pageBreakBefore w:val="0"/>
                    <w:widowControl/>
                    <w:kinsoku/>
                    <w:wordWrap/>
                    <w:topLinePunct w:val="0"/>
                    <w:autoSpaceDE/>
                    <w:autoSpaceDN/>
                    <w:bidi w:val="0"/>
                    <w:adjustRightInd/>
                    <w:snapToGrid w:val="0"/>
                    <w:jc w:val="center"/>
                    <w:textAlignment w:val="auto"/>
                    <w:rPr>
                      <w:rFonts w:ascii="Times New Roman" w:hAnsi="Times New Roman" w:eastAsia="宋体" w:cs="Times New Roman"/>
                      <w:b w:val="0"/>
                      <w:bCs/>
                      <w:color w:val="auto"/>
                      <w:spacing w:val="0"/>
                      <w:sz w:val="21"/>
                      <w:szCs w:val="21"/>
                      <w:highlight w:val="none"/>
                    </w:rPr>
                  </w:pPr>
                  <w:r>
                    <w:rPr>
                      <w:rFonts w:hint="eastAsia" w:ascii="Times New Roman" w:hAnsi="Times New Roman" w:eastAsia="宋体" w:cs="Times New Roman"/>
                      <w:b w:val="0"/>
                      <w:bCs/>
                      <w:color w:val="auto"/>
                      <w:spacing w:val="0"/>
                      <w:sz w:val="21"/>
                      <w:szCs w:val="21"/>
                      <w:highlight w:val="none"/>
                    </w:rPr>
                    <w:t>地下水</w:t>
                  </w:r>
                </w:p>
              </w:tc>
              <w:tc>
                <w:tcPr>
                  <w:tcW w:w="7234" w:type="dxa"/>
                  <w:gridSpan w:val="6"/>
                  <w:tcBorders>
                    <w:tl2br w:val="nil"/>
                    <w:tr2bl w:val="nil"/>
                  </w:tcBorders>
                  <w:noWrap w:val="0"/>
                  <w:vAlign w:val="center"/>
                </w:tcPr>
                <w:p w14:paraId="0DA39096">
                  <w:pPr>
                    <w:keepNext w:val="0"/>
                    <w:keepLines w:val="0"/>
                    <w:pageBreakBefore w:val="0"/>
                    <w:widowControl/>
                    <w:kinsoku/>
                    <w:wordWrap/>
                    <w:topLinePunct w:val="0"/>
                    <w:autoSpaceDE/>
                    <w:autoSpaceDN/>
                    <w:bidi w:val="0"/>
                    <w:adjustRightInd/>
                    <w:snapToGrid w:val="0"/>
                    <w:jc w:val="both"/>
                    <w:textAlignment w:val="auto"/>
                    <w:rPr>
                      <w:rFonts w:hint="eastAsia" w:ascii="Times New Roman" w:hAnsi="Times New Roman" w:eastAsia="宋体" w:cs="Times New Roman"/>
                      <w:b w:val="0"/>
                      <w:bCs/>
                      <w:color w:val="auto"/>
                      <w:spacing w:val="0"/>
                      <w:sz w:val="21"/>
                      <w:szCs w:val="21"/>
                      <w:highlight w:val="none"/>
                      <w:lang w:eastAsia="zh-CN"/>
                    </w:rPr>
                  </w:pPr>
                  <w:r>
                    <w:rPr>
                      <w:rFonts w:hint="eastAsia" w:ascii="Times New Roman" w:hAnsi="Times New Roman" w:eastAsia="宋体" w:cs="Times New Roman"/>
                      <w:b w:val="0"/>
                      <w:bCs/>
                      <w:color w:val="auto"/>
                      <w:spacing w:val="0"/>
                      <w:sz w:val="21"/>
                      <w:szCs w:val="21"/>
                      <w:highlight w:val="none"/>
                    </w:rPr>
                    <w:t>厂界外500</w:t>
                  </w:r>
                  <w:r>
                    <w:rPr>
                      <w:rFonts w:hint="eastAsia" w:ascii="Times New Roman" w:hAnsi="Times New Roman" w:eastAsia="宋体" w:cs="Times New Roman"/>
                      <w:color w:val="auto"/>
                      <w:spacing w:val="0"/>
                      <w:sz w:val="21"/>
                      <w:szCs w:val="21"/>
                      <w:highlight w:val="none"/>
                      <w:lang w:val="en-US" w:eastAsia="zh-CN"/>
                    </w:rPr>
                    <w:t>m</w:t>
                  </w:r>
                  <w:r>
                    <w:rPr>
                      <w:rFonts w:hint="eastAsia" w:ascii="Times New Roman" w:hAnsi="Times New Roman" w:eastAsia="宋体" w:cs="Times New Roman"/>
                      <w:b w:val="0"/>
                      <w:bCs/>
                      <w:color w:val="auto"/>
                      <w:spacing w:val="0"/>
                      <w:sz w:val="21"/>
                      <w:szCs w:val="21"/>
                      <w:highlight w:val="none"/>
                    </w:rPr>
                    <w:t>范围内无地下水集中式饮用水水源和热水、矿泉水、温泉等特殊水资</w:t>
                  </w:r>
                  <w:r>
                    <w:rPr>
                      <w:rFonts w:hint="eastAsia" w:ascii="Times New Roman" w:hAnsi="Times New Roman" w:eastAsia="宋体" w:cs="Times New Roman"/>
                      <w:b w:val="0"/>
                      <w:bCs/>
                      <w:color w:val="auto"/>
                      <w:spacing w:val="0"/>
                      <w:sz w:val="21"/>
                      <w:szCs w:val="21"/>
                      <w:highlight w:val="none"/>
                      <w:lang w:val="en-US" w:eastAsia="zh-CN"/>
                    </w:rPr>
                    <w:t>源</w:t>
                  </w:r>
                  <w:r>
                    <w:rPr>
                      <w:rFonts w:hint="eastAsia" w:ascii="Times New Roman" w:hAnsi="Times New Roman" w:eastAsia="宋体" w:cs="Times New Roman"/>
                      <w:b w:val="0"/>
                      <w:bCs/>
                      <w:color w:val="auto"/>
                      <w:spacing w:val="0"/>
                      <w:sz w:val="21"/>
                      <w:szCs w:val="21"/>
                      <w:highlight w:val="none"/>
                    </w:rPr>
                    <w:t>等</w:t>
                  </w:r>
                  <w:r>
                    <w:rPr>
                      <w:rFonts w:hint="eastAsia" w:ascii="Times New Roman" w:hAnsi="Times New Roman" w:eastAsia="宋体" w:cs="Times New Roman"/>
                      <w:b w:val="0"/>
                      <w:bCs/>
                      <w:color w:val="auto"/>
                      <w:spacing w:val="0"/>
                      <w:sz w:val="21"/>
                      <w:szCs w:val="21"/>
                      <w:highlight w:val="none"/>
                      <w:lang w:eastAsia="zh-CN"/>
                    </w:rPr>
                    <w:t>。</w:t>
                  </w:r>
                </w:p>
              </w:tc>
            </w:tr>
            <w:tr w14:paraId="418073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tcBorders>
                    <w:tl2br w:val="nil"/>
                    <w:tr2bl w:val="nil"/>
                  </w:tcBorders>
                  <w:noWrap w:val="0"/>
                  <w:vAlign w:val="center"/>
                </w:tcPr>
                <w:p w14:paraId="0E7AFAA6">
                  <w:pPr>
                    <w:keepNext w:val="0"/>
                    <w:keepLines w:val="0"/>
                    <w:pageBreakBefore w:val="0"/>
                    <w:widowControl/>
                    <w:kinsoku/>
                    <w:wordWrap/>
                    <w:topLinePunct w:val="0"/>
                    <w:autoSpaceDE/>
                    <w:autoSpaceDN/>
                    <w:bidi w:val="0"/>
                    <w:adjustRightInd/>
                    <w:snapToGrid w:val="0"/>
                    <w:jc w:val="center"/>
                    <w:textAlignment w:val="auto"/>
                    <w:rPr>
                      <w:rFonts w:hint="eastAsia" w:ascii="Times New Roman" w:hAnsi="Times New Roman" w:eastAsia="宋体" w:cs="Times New Roman"/>
                      <w:b w:val="0"/>
                      <w:bCs/>
                      <w:color w:val="auto"/>
                      <w:spacing w:val="0"/>
                      <w:sz w:val="21"/>
                      <w:szCs w:val="21"/>
                      <w:highlight w:val="none"/>
                    </w:rPr>
                  </w:pPr>
                  <w:r>
                    <w:rPr>
                      <w:rFonts w:hint="eastAsia" w:ascii="Times New Roman" w:hAnsi="Times New Roman" w:eastAsia="宋体" w:cs="Times New Roman"/>
                      <w:b w:val="0"/>
                      <w:bCs/>
                      <w:color w:val="auto"/>
                      <w:spacing w:val="0"/>
                      <w:sz w:val="21"/>
                      <w:szCs w:val="21"/>
                      <w:highlight w:val="none"/>
                    </w:rPr>
                    <w:t>生态</w:t>
                  </w:r>
                </w:p>
                <w:p w14:paraId="2A780A89">
                  <w:pPr>
                    <w:keepNext w:val="0"/>
                    <w:keepLines w:val="0"/>
                    <w:pageBreakBefore w:val="0"/>
                    <w:widowControl/>
                    <w:kinsoku/>
                    <w:wordWrap/>
                    <w:topLinePunct w:val="0"/>
                    <w:autoSpaceDE/>
                    <w:autoSpaceDN/>
                    <w:bidi w:val="0"/>
                    <w:adjustRightInd/>
                    <w:snapToGrid w:val="0"/>
                    <w:jc w:val="center"/>
                    <w:textAlignment w:val="auto"/>
                    <w:rPr>
                      <w:rFonts w:ascii="Times New Roman" w:hAnsi="Times New Roman" w:eastAsia="宋体" w:cs="Times New Roman"/>
                      <w:b w:val="0"/>
                      <w:bCs/>
                      <w:color w:val="auto"/>
                      <w:spacing w:val="0"/>
                      <w:sz w:val="21"/>
                      <w:szCs w:val="21"/>
                      <w:highlight w:val="none"/>
                    </w:rPr>
                  </w:pPr>
                  <w:r>
                    <w:rPr>
                      <w:rFonts w:hint="eastAsia" w:ascii="Times New Roman" w:hAnsi="Times New Roman" w:eastAsia="宋体" w:cs="Times New Roman"/>
                      <w:b w:val="0"/>
                      <w:bCs/>
                      <w:color w:val="auto"/>
                      <w:spacing w:val="0"/>
                      <w:sz w:val="21"/>
                      <w:szCs w:val="21"/>
                      <w:highlight w:val="none"/>
                    </w:rPr>
                    <w:t>环境</w:t>
                  </w:r>
                </w:p>
              </w:tc>
              <w:tc>
                <w:tcPr>
                  <w:tcW w:w="7234" w:type="dxa"/>
                  <w:gridSpan w:val="6"/>
                  <w:tcBorders>
                    <w:tl2br w:val="nil"/>
                    <w:tr2bl w:val="nil"/>
                  </w:tcBorders>
                  <w:noWrap w:val="0"/>
                  <w:vAlign w:val="center"/>
                </w:tcPr>
                <w:p w14:paraId="5A680A60">
                  <w:pPr>
                    <w:keepNext w:val="0"/>
                    <w:keepLines w:val="0"/>
                    <w:pageBreakBefore w:val="0"/>
                    <w:widowControl/>
                    <w:kinsoku/>
                    <w:wordWrap/>
                    <w:topLinePunct w:val="0"/>
                    <w:autoSpaceDE/>
                    <w:autoSpaceDN/>
                    <w:bidi w:val="0"/>
                    <w:adjustRightInd/>
                    <w:snapToGrid w:val="0"/>
                    <w:jc w:val="both"/>
                    <w:textAlignment w:val="auto"/>
                    <w:rPr>
                      <w:rFonts w:ascii="Times New Roman" w:hAnsi="Times New Roman" w:eastAsia="宋体" w:cs="Times New Roman"/>
                      <w:b w:val="0"/>
                      <w:bCs/>
                      <w:color w:val="auto"/>
                      <w:spacing w:val="0"/>
                      <w:sz w:val="21"/>
                      <w:szCs w:val="21"/>
                      <w:highlight w:val="none"/>
                    </w:rPr>
                  </w:pPr>
                  <w:r>
                    <w:rPr>
                      <w:rFonts w:hint="eastAsia" w:ascii="Times New Roman" w:hAnsi="Times New Roman" w:eastAsia="宋体" w:cs="Times New Roman"/>
                      <w:b w:val="0"/>
                      <w:bCs/>
                      <w:color w:val="auto"/>
                      <w:spacing w:val="0"/>
                      <w:sz w:val="21"/>
                      <w:szCs w:val="21"/>
                      <w:highlight w:val="none"/>
                    </w:rPr>
                    <w:t>项目选址不在特殊生态敏感区和重要生态敏感区内</w:t>
                  </w:r>
                  <w:r>
                    <w:rPr>
                      <w:rFonts w:hint="eastAsia" w:ascii="Times New Roman" w:hAnsi="Times New Roman" w:eastAsia="宋体" w:cs="Times New Roman"/>
                      <w:b w:val="0"/>
                      <w:bCs/>
                      <w:color w:val="auto"/>
                      <w:spacing w:val="0"/>
                      <w:sz w:val="21"/>
                      <w:szCs w:val="21"/>
                      <w:highlight w:val="none"/>
                      <w:lang w:eastAsia="zh-CN"/>
                    </w:rPr>
                    <w:t>，</w:t>
                  </w:r>
                  <w:r>
                    <w:rPr>
                      <w:rFonts w:hint="eastAsia" w:ascii="Times New Roman" w:hAnsi="Times New Roman" w:eastAsia="宋体" w:cs="Times New Roman"/>
                      <w:b w:val="0"/>
                      <w:bCs/>
                      <w:color w:val="auto"/>
                      <w:spacing w:val="0"/>
                      <w:sz w:val="21"/>
                      <w:szCs w:val="21"/>
                      <w:highlight w:val="none"/>
                    </w:rPr>
                    <w:t>用地范围内无生态环境保护目标。</w:t>
                  </w:r>
                </w:p>
              </w:tc>
            </w:tr>
          </w:tbl>
          <w:p w14:paraId="1BC852E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ascii="Times New Roman" w:hAnsi="Times New Roman" w:eastAsia="宋体" w:cs="Times New Roman"/>
                <w:color w:val="auto"/>
                <w:spacing w:val="0"/>
                <w:position w:val="0"/>
                <w:highlight w:val="none"/>
              </w:rPr>
            </w:pPr>
          </w:p>
        </w:tc>
      </w:tr>
      <w:tr w14:paraId="16E49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00" w:type="dxa"/>
            <w:vAlign w:val="center"/>
          </w:tcPr>
          <w:p w14:paraId="27F480D8">
            <w:pPr>
              <w:adjustRightInd w:val="0"/>
              <w:snapToGrid w:val="0"/>
              <w:jc w:val="center"/>
              <w:outlineLvl w:val="1"/>
              <w:rPr>
                <w:rFonts w:hint="eastAsia" w:ascii="Times New Roman" w:hAnsi="Times New Roman" w:eastAsia="宋体" w:cs="Times New Roman"/>
                <w:color w:val="auto"/>
                <w:spacing w:val="0"/>
                <w:kern w:val="0"/>
                <w:position w:val="0"/>
                <w:sz w:val="24"/>
                <w:szCs w:val="24"/>
                <w:highlight w:val="none"/>
              </w:rPr>
            </w:pPr>
            <w:bookmarkStart w:id="38" w:name="_Toc11231"/>
            <w:bookmarkStart w:id="39" w:name="_Toc17328"/>
            <w:bookmarkStart w:id="40" w:name="_Toc16191"/>
            <w:bookmarkStart w:id="41" w:name="_Toc16223"/>
            <w:r>
              <w:rPr>
                <w:rFonts w:hint="eastAsia" w:ascii="Times New Roman" w:hAnsi="Times New Roman" w:eastAsia="宋体" w:cs="Times New Roman"/>
                <w:color w:val="auto"/>
                <w:spacing w:val="0"/>
                <w:kern w:val="0"/>
                <w:position w:val="0"/>
                <w:sz w:val="24"/>
                <w:szCs w:val="24"/>
                <w:highlight w:val="none"/>
              </w:rPr>
              <w:t>污染物排放控制标准</w:t>
            </w:r>
            <w:bookmarkEnd w:id="38"/>
            <w:bookmarkEnd w:id="39"/>
          </w:p>
        </w:tc>
        <w:tc>
          <w:tcPr>
            <w:tcW w:w="8190" w:type="dxa"/>
            <w:vAlign w:val="center"/>
          </w:tcPr>
          <w:p w14:paraId="280A52CE">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left="0" w:leftChars="0" w:firstLine="0" w:firstLineChars="0"/>
              <w:jc w:val="left"/>
              <w:textAlignment w:val="auto"/>
              <w:rPr>
                <w:rFonts w:ascii="Times New Roman" w:hAnsi="Times New Roman" w:eastAsia="宋体" w:cs="Times New Roman"/>
                <w:color w:val="auto"/>
                <w:spacing w:val="0"/>
                <w:sz w:val="24"/>
                <w:szCs w:val="24"/>
                <w:highlight w:val="none"/>
              </w:rPr>
            </w:pPr>
            <w:r>
              <w:rPr>
                <w:rFonts w:hint="default" w:ascii="Times New Roman" w:hAnsi="Times New Roman" w:eastAsia="宋体" w:cs="Times New Roman"/>
                <w:b/>
                <w:bCs/>
                <w:color w:val="auto"/>
                <w:spacing w:val="0"/>
                <w:kern w:val="0"/>
                <w:sz w:val="24"/>
                <w:szCs w:val="24"/>
                <w:highlight w:val="none"/>
                <w:lang w:val="en-US" w:eastAsia="zh-CN" w:bidi="ar"/>
              </w:rPr>
              <w:t>3.4</w:t>
            </w:r>
            <w:r>
              <w:rPr>
                <w:rFonts w:hint="eastAsia" w:ascii="Times New Roman" w:hAnsi="Times New Roman" w:eastAsia="宋体" w:cs="Times New Roman"/>
                <w:b/>
                <w:bCs/>
                <w:color w:val="auto"/>
                <w:spacing w:val="0"/>
                <w:kern w:val="0"/>
                <w:sz w:val="24"/>
                <w:szCs w:val="24"/>
                <w:highlight w:val="none"/>
                <w:lang w:val="en-US" w:eastAsia="zh-CN" w:bidi="ar"/>
              </w:rPr>
              <w:t>污染物排放标准</w:t>
            </w:r>
          </w:p>
          <w:p w14:paraId="435BB9B4">
            <w:pPr>
              <w:pStyle w:val="17"/>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3.4.1污水排放标准</w:t>
            </w:r>
          </w:p>
          <w:p w14:paraId="669E6698">
            <w:pPr>
              <w:keepNext w:val="0"/>
              <w:keepLines w:val="0"/>
              <w:pageBreakBefore w:val="0"/>
              <w:widowControl w:val="0"/>
              <w:suppressLineNumbers w:val="0"/>
              <w:kinsoku/>
              <w:wordWrap/>
              <w:overflowPunct w:val="0"/>
              <w:topLinePunct w:val="0"/>
              <w:autoSpaceDE w:val="0"/>
              <w:autoSpaceDN w:val="0"/>
              <w:bidi w:val="0"/>
              <w:adjustRightInd w:val="0"/>
              <w:snapToGrid/>
              <w:spacing w:before="0" w:beforeAutospacing="0" w:after="0" w:afterAutospacing="0" w:line="360" w:lineRule="auto"/>
              <w:ind w:right="0" w:firstLine="480" w:firstLineChars="200"/>
              <w:jc w:val="both"/>
              <w:textAlignment w:val="baseline"/>
              <w:rPr>
                <w:rFonts w:hint="eastAsia" w:cs="Times New Roman"/>
                <w:color w:val="auto"/>
                <w:spacing w:val="0"/>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项目废水主要为</w:t>
            </w:r>
            <w:r>
              <w:rPr>
                <w:rFonts w:hint="eastAsia" w:cs="Times New Roman"/>
                <w:color w:val="auto"/>
                <w:sz w:val="24"/>
                <w:szCs w:val="24"/>
                <w:highlight w:val="none"/>
                <w:lang w:val="en-US" w:eastAsia="zh-CN"/>
              </w:rPr>
              <w:t>水帘气旋废水、喷枪清洗废水、</w:t>
            </w:r>
            <w:r>
              <w:rPr>
                <w:rFonts w:hint="default" w:ascii="Times New Roman" w:hAnsi="Times New Roman" w:eastAsia="宋体" w:cs="Times New Roman"/>
                <w:color w:val="auto"/>
                <w:spacing w:val="0"/>
                <w:kern w:val="0"/>
                <w:sz w:val="24"/>
                <w:szCs w:val="24"/>
                <w:highlight w:val="none"/>
                <w:lang w:val="en-US" w:eastAsia="zh-CN" w:bidi="ar-SA"/>
              </w:rPr>
              <w:t>职工</w:t>
            </w:r>
            <w:r>
              <w:rPr>
                <w:rFonts w:hint="eastAsia" w:ascii="Times New Roman" w:hAnsi="Times New Roman" w:eastAsia="宋体" w:cs="Times New Roman"/>
                <w:color w:val="auto"/>
                <w:sz w:val="24"/>
                <w:szCs w:val="24"/>
                <w:highlight w:val="none"/>
                <w:lang w:val="en-US" w:eastAsia="zh-CN"/>
              </w:rPr>
              <w:t>生活污水。</w:t>
            </w:r>
            <w:r>
              <w:rPr>
                <w:rFonts w:hint="eastAsia" w:cs="Times New Roman"/>
                <w:color w:val="auto"/>
                <w:sz w:val="24"/>
                <w:szCs w:val="24"/>
                <w:highlight w:val="none"/>
                <w:lang w:eastAsia="zh-CN"/>
              </w:rPr>
              <w:t>水帘气旋废水</w:t>
            </w:r>
            <w:r>
              <w:rPr>
                <w:rFonts w:hint="eastAsia" w:ascii="Times New Roman" w:hAnsi="Times New Roman" w:eastAsia="宋体" w:cs="Times New Roman"/>
                <w:color w:val="auto"/>
                <w:kern w:val="0"/>
                <w:sz w:val="24"/>
                <w:szCs w:val="24"/>
                <w:highlight w:val="none"/>
              </w:rPr>
              <w:t>经“调节池+絮凝沉淀+压滤+清水池”处理</w:t>
            </w:r>
            <w:r>
              <w:rPr>
                <w:rFonts w:hint="eastAsia" w:cs="Times New Roman"/>
                <w:b w:val="0"/>
                <w:bCs/>
                <w:color w:val="auto"/>
                <w:spacing w:val="0"/>
                <w:position w:val="0"/>
                <w:sz w:val="24"/>
                <w:szCs w:val="24"/>
                <w:highlight w:val="none"/>
                <w:lang w:val="en-US" w:eastAsia="zh-CN"/>
              </w:rPr>
              <w:t>（一月处理一次）</w:t>
            </w:r>
            <w:r>
              <w:rPr>
                <w:rFonts w:hint="eastAsia" w:ascii="Times New Roman" w:hAnsi="Times New Roman" w:eastAsia="宋体" w:cs="Times New Roman"/>
                <w:color w:val="auto"/>
                <w:kern w:val="0"/>
                <w:sz w:val="24"/>
                <w:szCs w:val="24"/>
                <w:highlight w:val="none"/>
              </w:rPr>
              <w:t>后回用于</w:t>
            </w:r>
            <w:r>
              <w:rPr>
                <w:rFonts w:hint="eastAsia" w:cs="Times New Roman"/>
                <w:color w:val="auto"/>
                <w:kern w:val="0"/>
                <w:sz w:val="24"/>
                <w:szCs w:val="24"/>
                <w:highlight w:val="none"/>
                <w:lang w:val="en-US" w:eastAsia="zh-CN"/>
              </w:rPr>
              <w:t>生产</w:t>
            </w:r>
            <w:r>
              <w:rPr>
                <w:rFonts w:hint="eastAsia" w:ascii="Times New Roman" w:hAnsi="Times New Roman" w:eastAsia="宋体" w:cs="Times New Roman"/>
                <w:color w:val="auto"/>
                <w:kern w:val="0"/>
                <w:sz w:val="24"/>
                <w:szCs w:val="24"/>
                <w:highlight w:val="none"/>
              </w:rPr>
              <w:t>，一年更换一次作为危废，定期委托有资质单位进行处理</w:t>
            </w:r>
            <w:r>
              <w:rPr>
                <w:rFonts w:hint="eastAsia" w:ascii="Times New Roman" w:hAnsi="Times New Roman" w:eastAsia="宋体" w:cs="Times New Roman"/>
                <w:color w:val="auto"/>
                <w:kern w:val="0"/>
                <w:sz w:val="24"/>
                <w:szCs w:val="24"/>
                <w:highlight w:val="none"/>
                <w:lang w:val="en-US" w:eastAsia="zh-CN" w:bidi="ar"/>
              </w:rPr>
              <w:t>，不排放</w:t>
            </w:r>
            <w:r>
              <w:rPr>
                <w:rFonts w:hint="eastAsia" w:ascii="Times New Roman" w:hAnsi="Times New Roman" w:cs="Times New Roman"/>
                <w:color w:val="auto"/>
                <w:kern w:val="0"/>
                <w:sz w:val="24"/>
                <w:szCs w:val="24"/>
                <w:highlight w:val="none"/>
                <w:lang w:val="en-US" w:eastAsia="zh-CN" w:bidi="ar"/>
              </w:rPr>
              <w:t>；</w:t>
            </w:r>
            <w:r>
              <w:rPr>
                <w:rFonts w:hint="eastAsia" w:ascii="Times New Roman" w:hAnsi="Times New Roman"/>
                <w:color w:val="auto"/>
                <w:sz w:val="24"/>
                <w:szCs w:val="24"/>
                <w:highlight w:val="none"/>
              </w:rPr>
              <w:t>喷枪清洗废液作为危险废物委托有资质单位处置</w:t>
            </w:r>
            <w:r>
              <w:rPr>
                <w:rFonts w:hint="eastAsia" w:cs="Times New Roman"/>
                <w:color w:val="auto"/>
                <w:spacing w:val="0"/>
                <w:kern w:val="0"/>
                <w:sz w:val="24"/>
                <w:szCs w:val="24"/>
                <w:highlight w:val="none"/>
                <w:lang w:val="en-US" w:eastAsia="zh-CN" w:bidi="ar-SA"/>
              </w:rPr>
              <w:t>。</w:t>
            </w:r>
          </w:p>
          <w:p w14:paraId="3692BFC2">
            <w:pPr>
              <w:keepNext w:val="0"/>
              <w:keepLines w:val="0"/>
              <w:pageBreakBefore w:val="0"/>
              <w:widowControl w:val="0"/>
              <w:suppressLineNumbers w:val="0"/>
              <w:kinsoku/>
              <w:wordWrap/>
              <w:overflowPunct w:val="0"/>
              <w:topLinePunct w:val="0"/>
              <w:autoSpaceDE w:val="0"/>
              <w:autoSpaceDN w:val="0"/>
              <w:bidi w:val="0"/>
              <w:adjustRightInd w:val="0"/>
              <w:snapToGrid/>
              <w:spacing w:before="0" w:beforeAutospacing="0" w:after="0" w:afterAutospacing="0" w:line="360" w:lineRule="auto"/>
              <w:ind w:right="0" w:firstLine="480" w:firstLineChars="200"/>
              <w:jc w:val="both"/>
              <w:textAlignment w:val="baseline"/>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kern w:val="0"/>
                <w:sz w:val="24"/>
                <w:szCs w:val="24"/>
                <w:highlight w:val="none"/>
                <w:lang w:val="en-US" w:eastAsia="zh-CN" w:bidi="ar-SA"/>
              </w:rPr>
              <w:t>外排</w:t>
            </w:r>
            <w:r>
              <w:rPr>
                <w:rFonts w:hint="default" w:ascii="Times New Roman" w:hAnsi="Times New Roman" w:eastAsia="宋体" w:cs="Times New Roman"/>
                <w:color w:val="auto"/>
                <w:spacing w:val="0"/>
                <w:kern w:val="0"/>
                <w:sz w:val="24"/>
                <w:szCs w:val="24"/>
                <w:highlight w:val="none"/>
                <w:lang w:val="en-US" w:eastAsia="zh-CN" w:bidi="ar-SA"/>
              </w:rPr>
              <w:t>废水</w:t>
            </w:r>
            <w:r>
              <w:rPr>
                <w:rFonts w:hint="eastAsia" w:ascii="Times New Roman" w:hAnsi="Times New Roman" w:eastAsia="宋体" w:cs="Times New Roman"/>
                <w:color w:val="auto"/>
                <w:spacing w:val="0"/>
                <w:kern w:val="0"/>
                <w:sz w:val="24"/>
                <w:szCs w:val="24"/>
                <w:highlight w:val="none"/>
                <w:lang w:val="en-US" w:eastAsia="zh-CN" w:bidi="ar-SA"/>
              </w:rPr>
              <w:t>仅为</w:t>
            </w:r>
            <w:r>
              <w:rPr>
                <w:rFonts w:hint="default" w:ascii="Times New Roman" w:hAnsi="Times New Roman" w:eastAsia="宋体" w:cs="Times New Roman"/>
                <w:color w:val="auto"/>
                <w:spacing w:val="0"/>
                <w:kern w:val="0"/>
                <w:sz w:val="24"/>
                <w:szCs w:val="24"/>
                <w:highlight w:val="none"/>
                <w:lang w:val="en-US" w:eastAsia="zh-CN" w:bidi="ar-SA"/>
              </w:rPr>
              <w:t>职工生活污水</w:t>
            </w:r>
            <w:r>
              <w:rPr>
                <w:rFonts w:hint="eastAsia" w:ascii="Times New Roman" w:hAnsi="Times New Roman" w:eastAsia="宋体" w:cs="Times New Roman"/>
                <w:color w:val="auto"/>
                <w:spacing w:val="0"/>
                <w:sz w:val="24"/>
                <w:szCs w:val="24"/>
                <w:highlight w:val="none"/>
                <w:lang w:val="en-US" w:eastAsia="zh-CN"/>
              </w:rPr>
              <w:t>，排放执行《污水综合排放标准（GB 8978-1996）》表4三级排放标准</w:t>
            </w:r>
            <w:r>
              <w:rPr>
                <w:rFonts w:hint="eastAsia" w:cs="Times New Roman"/>
                <w:color w:val="auto"/>
                <w:spacing w:val="0"/>
                <w:sz w:val="24"/>
                <w:szCs w:val="24"/>
                <w:highlight w:val="none"/>
                <w:lang w:val="en-US" w:eastAsia="zh-CN"/>
              </w:rPr>
              <w:t>（</w:t>
            </w:r>
            <w:r>
              <w:rPr>
                <w:rFonts w:hint="eastAsia" w:ascii="Times New Roman" w:hAnsi="Times New Roman" w:eastAsia="宋体" w:cs="Times New Roman"/>
                <w:color w:val="auto"/>
                <w:spacing w:val="0"/>
                <w:sz w:val="24"/>
                <w:szCs w:val="24"/>
                <w:highlight w:val="none"/>
                <w:lang w:val="en-US" w:eastAsia="zh-CN"/>
              </w:rPr>
              <w:t>其中氨氮、</w:t>
            </w:r>
            <w:r>
              <w:rPr>
                <w:rFonts w:hint="eastAsia" w:cs="Times New Roman"/>
                <w:color w:val="auto"/>
                <w:spacing w:val="0"/>
                <w:sz w:val="24"/>
                <w:szCs w:val="24"/>
                <w:highlight w:val="none"/>
                <w:lang w:val="en-US" w:eastAsia="zh-CN"/>
              </w:rPr>
              <w:t>总磷、</w:t>
            </w:r>
            <w:r>
              <w:rPr>
                <w:rFonts w:hint="eastAsia" w:ascii="Times New Roman" w:hAnsi="Times New Roman" w:eastAsia="宋体" w:cs="Times New Roman"/>
                <w:color w:val="auto"/>
                <w:spacing w:val="0"/>
                <w:sz w:val="24"/>
                <w:szCs w:val="24"/>
                <w:highlight w:val="none"/>
                <w:lang w:val="en-US" w:eastAsia="zh-CN"/>
              </w:rPr>
              <w:t>总氮排放浓度参照执行《污水排入城镇下水道水质标准》（GB/T 31962-2015）表1中B等级标准中的规定限值</w:t>
            </w:r>
            <w:r>
              <w:rPr>
                <w:rFonts w:hint="eastAsia" w:cs="Times New Roman"/>
                <w:color w:val="auto"/>
                <w:spacing w:val="0"/>
                <w:sz w:val="24"/>
                <w:szCs w:val="24"/>
                <w:highlight w:val="none"/>
                <w:lang w:val="en-US" w:eastAsia="zh-CN"/>
              </w:rPr>
              <w:t>）及</w:t>
            </w:r>
            <w:r>
              <w:rPr>
                <w:rFonts w:hint="eastAsia" w:ascii="Times New Roman" w:hAnsi="Times New Roman" w:eastAsia="宋体" w:cs="Times New Roman"/>
                <w:color w:val="auto"/>
                <w:spacing w:val="0"/>
                <w:sz w:val="24"/>
                <w:szCs w:val="24"/>
                <w:highlight w:val="none"/>
                <w:lang w:val="en-US" w:eastAsia="zh-CN"/>
              </w:rPr>
              <w:t>污水处理厂</w:t>
            </w:r>
            <w:r>
              <w:rPr>
                <w:rFonts w:hint="eastAsia" w:cs="Times New Roman"/>
                <w:color w:val="auto"/>
                <w:spacing w:val="0"/>
                <w:kern w:val="0"/>
                <w:position w:val="0"/>
                <w:sz w:val="24"/>
                <w:szCs w:val="24"/>
                <w:highlight w:val="none"/>
                <w:lang w:val="en-US" w:eastAsia="zh-CN" w:bidi="ar"/>
              </w:rPr>
              <w:t>进水</w:t>
            </w:r>
            <w:r>
              <w:rPr>
                <w:rFonts w:hint="eastAsia" w:ascii="Times New Roman" w:hAnsi="Times New Roman" w:eastAsia="宋体" w:cs="Times New Roman"/>
                <w:color w:val="auto"/>
                <w:spacing w:val="0"/>
                <w:kern w:val="0"/>
                <w:position w:val="0"/>
                <w:sz w:val="24"/>
                <w:szCs w:val="24"/>
                <w:highlight w:val="none"/>
                <w:lang w:val="en-US" w:eastAsia="zh-CN" w:bidi="ar"/>
              </w:rPr>
              <w:t>水质</w:t>
            </w:r>
            <w:r>
              <w:rPr>
                <w:rFonts w:hint="eastAsia" w:cs="Times New Roman"/>
                <w:color w:val="auto"/>
                <w:spacing w:val="0"/>
                <w:kern w:val="0"/>
                <w:position w:val="0"/>
                <w:sz w:val="24"/>
                <w:szCs w:val="24"/>
                <w:highlight w:val="none"/>
                <w:lang w:val="en-US" w:eastAsia="zh-CN" w:bidi="ar"/>
              </w:rPr>
              <w:t>要求</w:t>
            </w:r>
            <w:r>
              <w:rPr>
                <w:rFonts w:hint="eastAsia" w:ascii="Times New Roman" w:hAnsi="Times New Roman" w:eastAsia="宋体" w:cs="Times New Roman"/>
                <w:color w:val="auto"/>
                <w:spacing w:val="0"/>
                <w:sz w:val="24"/>
                <w:szCs w:val="24"/>
                <w:highlight w:val="none"/>
                <w:lang w:val="en-US" w:eastAsia="zh-CN"/>
              </w:rPr>
              <w:t>。项目纳污水体为</w:t>
            </w:r>
            <w:r>
              <w:rPr>
                <w:rFonts w:hint="eastAsia" w:cs="Times New Roman"/>
                <w:color w:val="auto"/>
                <w:spacing w:val="0"/>
                <w:sz w:val="24"/>
                <w:szCs w:val="24"/>
                <w:highlight w:val="none"/>
                <w:lang w:val="en-US" w:eastAsia="zh-CN"/>
              </w:rPr>
              <w:t>闽侯县城关</w:t>
            </w:r>
            <w:r>
              <w:rPr>
                <w:rFonts w:hint="eastAsia" w:ascii="Times New Roman" w:hAnsi="Times New Roman" w:eastAsia="宋体" w:cs="Times New Roman"/>
                <w:color w:val="auto"/>
                <w:spacing w:val="0"/>
                <w:sz w:val="24"/>
                <w:szCs w:val="24"/>
                <w:highlight w:val="none"/>
                <w:lang w:val="en-US" w:eastAsia="zh-CN"/>
              </w:rPr>
              <w:t>污水处理厂，</w:t>
            </w:r>
            <w:r>
              <w:rPr>
                <w:rFonts w:hint="eastAsia" w:cs="Times New Roman"/>
                <w:color w:val="auto"/>
                <w:spacing w:val="0"/>
                <w:sz w:val="24"/>
                <w:szCs w:val="24"/>
                <w:highlight w:val="none"/>
                <w:lang w:val="en-US" w:eastAsia="zh-CN"/>
              </w:rPr>
              <w:t>闽侯县城关</w:t>
            </w:r>
            <w:r>
              <w:rPr>
                <w:rFonts w:hint="eastAsia" w:ascii="Times New Roman" w:hAnsi="Times New Roman" w:eastAsia="宋体" w:cs="Times New Roman"/>
                <w:color w:val="auto"/>
                <w:spacing w:val="0"/>
                <w:sz w:val="24"/>
                <w:szCs w:val="24"/>
                <w:highlight w:val="none"/>
                <w:lang w:val="en-US" w:eastAsia="zh-CN"/>
              </w:rPr>
              <w:t>污水处理厂</w:t>
            </w:r>
            <w:r>
              <w:rPr>
                <w:rFonts w:hint="eastAsia" w:ascii="Times New Roman" w:hAnsi="Times New Roman" w:eastAsia="宋体" w:cs="Times New Roman"/>
                <w:color w:val="auto"/>
                <w:spacing w:val="0"/>
                <w:kern w:val="0"/>
                <w:position w:val="0"/>
                <w:sz w:val="24"/>
                <w:szCs w:val="24"/>
                <w:highlight w:val="none"/>
                <w:lang w:val="en-US" w:eastAsia="zh-CN" w:bidi="ar"/>
              </w:rPr>
              <w:t>出水水质执行</w:t>
            </w:r>
            <w:r>
              <w:rPr>
                <w:rFonts w:hint="eastAsia" w:cs="Times New Roman"/>
                <w:color w:val="auto"/>
                <w:spacing w:val="0"/>
                <w:kern w:val="0"/>
                <w:position w:val="0"/>
                <w:sz w:val="24"/>
                <w:szCs w:val="24"/>
                <w:highlight w:val="none"/>
                <w:lang w:val="en-US" w:eastAsia="zh-CN" w:bidi="ar"/>
              </w:rPr>
              <w:t>《城镇污水处理厂污染物排放标准》 （GB18918-2002）表1中“基本控制项目最高允许排放浓度（日均值）”一级A标准及其修改单表4中“基本控制项目最高允许排放浓度（瞬时值）”一级A标准</w:t>
            </w:r>
            <w:r>
              <w:rPr>
                <w:rFonts w:hint="eastAsia" w:ascii="Times New Roman" w:hAnsi="Times New Roman" w:eastAsia="宋体" w:cs="Times New Roman"/>
                <w:color w:val="auto"/>
                <w:spacing w:val="0"/>
                <w:kern w:val="0"/>
                <w:position w:val="0"/>
                <w:sz w:val="24"/>
                <w:szCs w:val="24"/>
                <w:highlight w:val="none"/>
                <w:lang w:val="en-US" w:eastAsia="zh-CN" w:bidi="ar"/>
              </w:rPr>
              <w:t>，尾水排入</w:t>
            </w:r>
            <w:r>
              <w:rPr>
                <w:rFonts w:hint="eastAsia" w:cs="Times New Roman"/>
                <w:color w:val="auto"/>
                <w:spacing w:val="0"/>
                <w:kern w:val="0"/>
                <w:position w:val="0"/>
                <w:sz w:val="24"/>
                <w:szCs w:val="24"/>
                <w:highlight w:val="none"/>
                <w:lang w:val="en-US" w:eastAsia="zh-CN" w:bidi="ar"/>
              </w:rPr>
              <w:t>闽江</w:t>
            </w:r>
            <w:r>
              <w:rPr>
                <w:rFonts w:hint="eastAsia" w:ascii="Times New Roman" w:hAnsi="Times New Roman" w:eastAsia="宋体" w:cs="Times New Roman"/>
                <w:color w:val="auto"/>
                <w:spacing w:val="0"/>
                <w:sz w:val="24"/>
                <w:szCs w:val="24"/>
                <w:highlight w:val="none"/>
                <w:lang w:val="en-US" w:eastAsia="zh-CN"/>
              </w:rPr>
              <w:t>，详见表3.4-1。</w:t>
            </w:r>
          </w:p>
          <w:p w14:paraId="0C2504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color w:val="auto"/>
                <w:spacing w:val="0"/>
                <w:position w:val="0"/>
                <w:sz w:val="24"/>
                <w:szCs w:val="24"/>
                <w:highlight w:val="none"/>
              </w:rPr>
              <w:t>表</w:t>
            </w:r>
            <w:r>
              <w:rPr>
                <w:rFonts w:hint="default" w:ascii="Times New Roman" w:hAnsi="Times New Roman" w:eastAsia="宋体" w:cs="Times New Roman"/>
                <w:b/>
                <w:color w:val="auto"/>
                <w:spacing w:val="0"/>
                <w:position w:val="0"/>
                <w:sz w:val="24"/>
                <w:szCs w:val="24"/>
                <w:highlight w:val="none"/>
                <w:lang w:val="en-US" w:eastAsia="zh-CN"/>
              </w:rPr>
              <w:t>3</w:t>
            </w:r>
            <w:r>
              <w:rPr>
                <w:rFonts w:hint="eastAsia" w:ascii="Times New Roman" w:hAnsi="Times New Roman" w:eastAsia="宋体" w:cs="Times New Roman"/>
                <w:b/>
                <w:color w:val="auto"/>
                <w:spacing w:val="0"/>
                <w:position w:val="0"/>
                <w:sz w:val="24"/>
                <w:szCs w:val="24"/>
                <w:highlight w:val="none"/>
                <w:lang w:val="en-US" w:eastAsia="zh-CN"/>
              </w:rPr>
              <w:t>.</w:t>
            </w:r>
            <w:r>
              <w:rPr>
                <w:rFonts w:hint="eastAsia" w:cs="Times New Roman"/>
                <w:b/>
                <w:color w:val="auto"/>
                <w:spacing w:val="0"/>
                <w:position w:val="0"/>
                <w:sz w:val="24"/>
                <w:szCs w:val="24"/>
                <w:highlight w:val="none"/>
                <w:lang w:val="en-US" w:eastAsia="zh-CN"/>
              </w:rPr>
              <w:t>4</w:t>
            </w:r>
            <w:r>
              <w:rPr>
                <w:rFonts w:hint="eastAsia" w:ascii="Times New Roman" w:hAnsi="Times New Roman" w:eastAsia="宋体" w:cs="Times New Roman"/>
                <w:b/>
                <w:color w:val="auto"/>
                <w:spacing w:val="0"/>
                <w:position w:val="0"/>
                <w:sz w:val="24"/>
                <w:szCs w:val="24"/>
                <w:highlight w:val="none"/>
                <w:lang w:val="en-US" w:eastAsia="zh-CN"/>
              </w:rPr>
              <w:t>-</w:t>
            </w:r>
            <w:r>
              <w:rPr>
                <w:rFonts w:hint="eastAsia" w:cs="Times New Roman"/>
                <w:b/>
                <w:color w:val="auto"/>
                <w:spacing w:val="0"/>
                <w:position w:val="0"/>
                <w:sz w:val="24"/>
                <w:szCs w:val="24"/>
                <w:highlight w:val="none"/>
                <w:lang w:val="en-US" w:eastAsia="zh-CN"/>
              </w:rPr>
              <w:t>1</w:t>
            </w:r>
            <w:r>
              <w:rPr>
                <w:rFonts w:hint="default" w:ascii="Times New Roman" w:hAnsi="Times New Roman" w:eastAsia="宋体" w:cs="Times New Roman"/>
                <w:b/>
                <w:color w:val="auto"/>
                <w:spacing w:val="0"/>
                <w:position w:val="0"/>
                <w:sz w:val="24"/>
                <w:szCs w:val="24"/>
                <w:highlight w:val="none"/>
              </w:rPr>
              <w:t xml:space="preserve"> </w:t>
            </w:r>
            <w:r>
              <w:rPr>
                <w:rFonts w:hint="default" w:ascii="Times New Roman" w:hAnsi="Times New Roman" w:eastAsia="宋体" w:cs="Times New Roman"/>
                <w:b/>
                <w:bCs/>
                <w:color w:val="auto"/>
                <w:sz w:val="24"/>
                <w:szCs w:val="24"/>
                <w:highlight w:val="none"/>
              </w:rPr>
              <w:t xml:space="preserve">生活污水排放执行标准 </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摘录</w:t>
            </w:r>
            <w:r>
              <w:rPr>
                <w:rFonts w:hint="eastAsia" w:ascii="Times New Roman" w:hAnsi="Times New Roman" w:eastAsia="宋体" w:cs="Times New Roman"/>
                <w:b/>
                <w:bCs/>
                <w:color w:val="auto"/>
                <w:sz w:val="24"/>
                <w:szCs w:val="24"/>
                <w:highlight w:val="none"/>
                <w:lang w:eastAsia="zh-CN"/>
              </w:rPr>
              <w:t>）</w:t>
            </w:r>
            <w:r>
              <w:rPr>
                <w:rFonts w:hint="eastAsia"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pacing w:val="0"/>
                <w:position w:val="0"/>
                <w:sz w:val="24"/>
                <w:szCs w:val="24"/>
                <w:highlight w:val="none"/>
                <w:shd w:val="clear" w:color="auto" w:fill="auto"/>
                <w:lang w:val="en-US" w:eastAsia="zh-CN"/>
              </w:rPr>
              <w:t>单位：</w:t>
            </w:r>
            <w:r>
              <w:rPr>
                <w:rFonts w:hint="default" w:ascii="Times New Roman" w:hAnsi="Times New Roman" w:eastAsia="宋体" w:cs="Times New Roman"/>
                <w:b/>
                <w:bCs/>
                <w:color w:val="auto"/>
                <w:sz w:val="24"/>
                <w:szCs w:val="24"/>
                <w:highlight w:val="none"/>
                <w:shd w:val="clear" w:color="auto" w:fill="auto"/>
              </w:rPr>
              <w:t>mg/L</w:t>
            </w:r>
            <w:r>
              <w:rPr>
                <w:rFonts w:hint="eastAsia" w:ascii="Times New Roman" w:hAnsi="Times New Roman" w:eastAsia="宋体" w:cs="Times New Roman"/>
                <w:b/>
                <w:bCs/>
                <w:color w:val="auto"/>
                <w:sz w:val="24"/>
                <w:szCs w:val="24"/>
                <w:highlight w:val="none"/>
                <w:shd w:val="clear" w:color="auto" w:fill="auto"/>
                <w:lang w:eastAsia="zh-CN"/>
              </w:rPr>
              <w:t>，</w:t>
            </w:r>
            <w:r>
              <w:rPr>
                <w:rFonts w:hint="eastAsia" w:ascii="Times New Roman" w:hAnsi="Times New Roman" w:eastAsia="宋体" w:cs="Times New Roman"/>
                <w:b/>
                <w:bCs/>
                <w:color w:val="auto"/>
                <w:sz w:val="24"/>
                <w:szCs w:val="24"/>
                <w:highlight w:val="none"/>
                <w:shd w:val="clear" w:color="auto" w:fill="auto"/>
                <w:lang w:val="en-US" w:eastAsia="zh-CN"/>
              </w:rPr>
              <w:t>pH：无量纲</w:t>
            </w:r>
          </w:p>
          <w:tbl>
            <w:tblPr>
              <w:tblStyle w:val="29"/>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020"/>
              <w:gridCol w:w="640"/>
              <w:gridCol w:w="656"/>
              <w:gridCol w:w="718"/>
              <w:gridCol w:w="718"/>
              <w:gridCol w:w="742"/>
              <w:gridCol w:w="740"/>
              <w:gridCol w:w="740"/>
            </w:tblGrid>
            <w:tr w14:paraId="058132C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3" w:type="pct"/>
                  <w:tcBorders>
                    <w:tl2br w:val="nil"/>
                    <w:tr2bl w:val="nil"/>
                  </w:tcBorders>
                  <w:noWrap w:val="0"/>
                  <w:vAlign w:val="center"/>
                </w:tcPr>
                <w:p w14:paraId="13B1D93C">
                  <w:pPr>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执行标准</w:t>
                  </w:r>
                </w:p>
              </w:tc>
              <w:tc>
                <w:tcPr>
                  <w:tcW w:w="401" w:type="pct"/>
                  <w:tcBorders>
                    <w:tl2br w:val="nil"/>
                    <w:tr2bl w:val="nil"/>
                  </w:tcBorders>
                  <w:noWrap w:val="0"/>
                  <w:vAlign w:val="center"/>
                </w:tcPr>
                <w:p w14:paraId="6977524E">
                  <w:pPr>
                    <w:jc w:val="center"/>
                    <w:rPr>
                      <w:rFonts w:hint="eastAsia"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rPr>
                    <w:t>pH</w:t>
                  </w:r>
                </w:p>
              </w:tc>
              <w:tc>
                <w:tcPr>
                  <w:tcW w:w="411" w:type="pct"/>
                  <w:tcBorders>
                    <w:tl2br w:val="nil"/>
                    <w:tr2bl w:val="nil"/>
                  </w:tcBorders>
                  <w:noWrap w:val="0"/>
                  <w:vAlign w:val="center"/>
                </w:tcPr>
                <w:p w14:paraId="4E4E4E05">
                  <w:pPr>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COD</w:t>
                  </w:r>
                  <w:r>
                    <w:rPr>
                      <w:rFonts w:ascii="Times New Roman" w:hAnsi="Times New Roman" w:eastAsia="宋体" w:cs="Times New Roman"/>
                      <w:color w:val="auto"/>
                      <w:sz w:val="18"/>
                      <w:szCs w:val="18"/>
                      <w:highlight w:val="none"/>
                      <w:vertAlign w:val="subscript"/>
                    </w:rPr>
                    <w:t>Cr</w:t>
                  </w:r>
                  <w:r>
                    <w:rPr>
                      <w:rFonts w:hint="default" w:ascii="Times New Roman" w:hAnsi="Times New Roman" w:eastAsia="宋体" w:cs="Times New Roman"/>
                      <w:b/>
                      <w:bCs/>
                      <w:color w:val="auto"/>
                      <w:sz w:val="18"/>
                      <w:szCs w:val="18"/>
                      <w:highlight w:val="none"/>
                    </w:rPr>
                    <w:t xml:space="preserve"> </w:t>
                  </w:r>
                </w:p>
              </w:tc>
              <w:tc>
                <w:tcPr>
                  <w:tcW w:w="450" w:type="pct"/>
                  <w:tcBorders>
                    <w:tl2br w:val="nil"/>
                    <w:tr2bl w:val="nil"/>
                  </w:tcBorders>
                  <w:noWrap w:val="0"/>
                  <w:vAlign w:val="center"/>
                </w:tcPr>
                <w:p w14:paraId="1C5ACD7D">
                  <w:pPr>
                    <w:jc w:val="center"/>
                    <w:rPr>
                      <w:rFonts w:hint="eastAsia"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rPr>
                    <w:t>BOD</w:t>
                  </w:r>
                  <w:r>
                    <w:rPr>
                      <w:rFonts w:hint="default" w:ascii="Times New Roman" w:hAnsi="Times New Roman" w:eastAsia="宋体" w:cs="Times New Roman"/>
                      <w:b/>
                      <w:bCs/>
                      <w:color w:val="auto"/>
                      <w:sz w:val="18"/>
                      <w:szCs w:val="18"/>
                      <w:highlight w:val="none"/>
                      <w:vertAlign w:val="subscript"/>
                    </w:rPr>
                    <w:t>5</w:t>
                  </w:r>
                </w:p>
              </w:tc>
              <w:tc>
                <w:tcPr>
                  <w:tcW w:w="450" w:type="pct"/>
                  <w:tcBorders>
                    <w:tl2br w:val="nil"/>
                    <w:tr2bl w:val="nil"/>
                  </w:tcBorders>
                  <w:noWrap w:val="0"/>
                  <w:vAlign w:val="center"/>
                </w:tcPr>
                <w:p w14:paraId="23CFBDBC">
                  <w:pPr>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SS</w:t>
                  </w:r>
                </w:p>
              </w:tc>
              <w:tc>
                <w:tcPr>
                  <w:tcW w:w="465" w:type="pct"/>
                  <w:tcBorders>
                    <w:tl2br w:val="nil"/>
                    <w:tr2bl w:val="nil"/>
                  </w:tcBorders>
                  <w:noWrap w:val="0"/>
                  <w:vAlign w:val="center"/>
                </w:tcPr>
                <w:p w14:paraId="40DECABD">
                  <w:pPr>
                    <w:jc w:val="center"/>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氨氮</w:t>
                  </w:r>
                </w:p>
              </w:tc>
              <w:tc>
                <w:tcPr>
                  <w:tcW w:w="464" w:type="pct"/>
                  <w:tcBorders>
                    <w:tl2br w:val="nil"/>
                    <w:tr2bl w:val="nil"/>
                  </w:tcBorders>
                  <w:noWrap w:val="0"/>
                  <w:vAlign w:val="center"/>
                </w:tcPr>
                <w:p w14:paraId="33A2842D">
                  <w:pPr>
                    <w:jc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总氮</w:t>
                  </w:r>
                </w:p>
              </w:tc>
              <w:tc>
                <w:tcPr>
                  <w:tcW w:w="464" w:type="pct"/>
                  <w:tcBorders>
                    <w:tl2br w:val="nil"/>
                    <w:tr2bl w:val="nil"/>
                  </w:tcBorders>
                  <w:noWrap w:val="0"/>
                  <w:vAlign w:val="center"/>
                </w:tcPr>
                <w:p w14:paraId="1D5FFD9B">
                  <w:pPr>
                    <w:jc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总磷</w:t>
                  </w:r>
                </w:p>
              </w:tc>
            </w:tr>
            <w:tr w14:paraId="392DC0D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3" w:type="pct"/>
                  <w:tcBorders>
                    <w:tl2br w:val="nil"/>
                    <w:tr2bl w:val="nil"/>
                  </w:tcBorders>
                  <w:noWrap w:val="0"/>
                  <w:vAlign w:val="center"/>
                </w:tcPr>
                <w:p w14:paraId="10248FAA">
                  <w:pPr>
                    <w:keepNext w:val="0"/>
                    <w:keepLines w:val="0"/>
                    <w:pageBreakBefore w:val="0"/>
                    <w:widowControl w:val="0"/>
                    <w:kinsoku/>
                    <w:wordWrap/>
                    <w:overflowPunct/>
                    <w:topLinePunct/>
                    <w:autoSpaceDE w:val="0"/>
                    <w:autoSpaceDN/>
                    <w:bidi w:val="0"/>
                    <w:adjustRightInd/>
                    <w:snapToGrid/>
                    <w:ind w:right="105" w:rightChars="50"/>
                    <w:jc w:val="center"/>
                    <w:textAlignment w:val="auto"/>
                    <w:rPr>
                      <w:rFonts w:hint="eastAsia" w:ascii="Times New Roman" w:hAnsi="Times New Roman" w:eastAsia="宋体" w:cs="Times New Roman"/>
                      <w:b w:val="0"/>
                      <w:bCs w:val="0"/>
                      <w:color w:val="auto"/>
                      <w:kern w:val="0"/>
                      <w:sz w:val="18"/>
                      <w:szCs w:val="18"/>
                      <w:highlight w:val="none"/>
                      <w:lang w:val="en-US" w:eastAsia="zh-CN" w:bidi="ar"/>
                    </w:rPr>
                  </w:pPr>
                  <w:r>
                    <w:rPr>
                      <w:rFonts w:hint="eastAsia" w:ascii="Times New Roman" w:hAnsi="Times New Roman" w:eastAsia="宋体" w:cs="Times New Roman"/>
                      <w:b w:val="0"/>
                      <w:bCs w:val="0"/>
                      <w:color w:val="auto"/>
                      <w:kern w:val="0"/>
                      <w:sz w:val="18"/>
                      <w:szCs w:val="18"/>
                      <w:highlight w:val="none"/>
                      <w:lang w:val="en-US" w:eastAsia="zh-CN" w:bidi="ar"/>
                    </w:rPr>
                    <w:t>本项目进管网：</w:t>
                  </w:r>
                  <w:r>
                    <w:rPr>
                      <w:rFonts w:hint="default" w:ascii="Times New Roman" w:hAnsi="Times New Roman" w:eastAsia="宋体" w:cs="Times New Roman"/>
                      <w:b w:val="0"/>
                      <w:bCs w:val="0"/>
                      <w:color w:val="auto"/>
                      <w:kern w:val="0"/>
                      <w:sz w:val="18"/>
                      <w:szCs w:val="18"/>
                      <w:highlight w:val="none"/>
                      <w:lang w:val="en-US" w:eastAsia="zh-CN" w:bidi="ar"/>
                    </w:rPr>
                    <w:t>《污水综合排放标准》</w:t>
                  </w:r>
                  <w:r>
                    <w:rPr>
                      <w:rFonts w:hint="eastAsia" w:ascii="Times New Roman" w:hAnsi="Times New Roman" w:eastAsia="宋体" w:cs="Times New Roman"/>
                      <w:b w:val="0"/>
                      <w:bCs w:val="0"/>
                      <w:color w:val="auto"/>
                      <w:kern w:val="0"/>
                      <w:sz w:val="18"/>
                      <w:szCs w:val="18"/>
                      <w:highlight w:val="none"/>
                      <w:lang w:val="en-US" w:eastAsia="zh-CN" w:bidi="ar"/>
                    </w:rPr>
                    <w:t>（</w:t>
                  </w:r>
                  <w:r>
                    <w:rPr>
                      <w:rFonts w:hint="default" w:ascii="Times New Roman" w:hAnsi="Times New Roman" w:eastAsia="宋体" w:cs="Times New Roman"/>
                      <w:b w:val="0"/>
                      <w:bCs w:val="0"/>
                      <w:color w:val="auto"/>
                      <w:kern w:val="0"/>
                      <w:sz w:val="18"/>
                      <w:szCs w:val="18"/>
                      <w:highlight w:val="none"/>
                      <w:lang w:val="en-US" w:eastAsia="zh-CN" w:bidi="ar"/>
                    </w:rPr>
                    <w:t>GB8978-1996</w:t>
                  </w:r>
                  <w:r>
                    <w:rPr>
                      <w:rFonts w:hint="eastAsia" w:ascii="Times New Roman" w:hAnsi="Times New Roman" w:eastAsia="宋体" w:cs="Times New Roman"/>
                      <w:b w:val="0"/>
                      <w:bCs w:val="0"/>
                      <w:color w:val="auto"/>
                      <w:kern w:val="0"/>
                      <w:sz w:val="18"/>
                      <w:szCs w:val="18"/>
                      <w:highlight w:val="none"/>
                      <w:lang w:val="en-US" w:eastAsia="zh-CN" w:bidi="ar"/>
                    </w:rPr>
                    <w:t>）</w:t>
                  </w:r>
                  <w:r>
                    <w:rPr>
                      <w:rFonts w:hint="default" w:ascii="Times New Roman" w:hAnsi="Times New Roman" w:eastAsia="宋体" w:cs="Times New Roman"/>
                      <w:b w:val="0"/>
                      <w:bCs w:val="0"/>
                      <w:color w:val="auto"/>
                      <w:kern w:val="0"/>
                      <w:sz w:val="18"/>
                      <w:szCs w:val="18"/>
                      <w:highlight w:val="none"/>
                      <w:lang w:val="en-US" w:eastAsia="zh-CN" w:bidi="ar"/>
                    </w:rPr>
                    <w:t>表4三级标准</w:t>
                  </w:r>
                </w:p>
              </w:tc>
              <w:tc>
                <w:tcPr>
                  <w:tcW w:w="401" w:type="pct"/>
                  <w:tcBorders>
                    <w:tl2br w:val="nil"/>
                    <w:tr2bl w:val="nil"/>
                  </w:tcBorders>
                  <w:noWrap w:val="0"/>
                  <w:vAlign w:val="center"/>
                </w:tcPr>
                <w:p w14:paraId="0A02DB2D">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6</w:t>
                  </w:r>
                  <w:r>
                    <w:rPr>
                      <w:rFonts w:hint="eastAsia" w:ascii="Times New Roman" w:hAnsi="Times New Roman" w:eastAsia="宋体" w:cs="Times New Roman"/>
                      <w:b w:val="0"/>
                      <w:bCs w:val="0"/>
                      <w:color w:val="auto"/>
                      <w:sz w:val="18"/>
                      <w:szCs w:val="18"/>
                      <w:highlight w:val="none"/>
                      <w:lang w:val="en-US" w:eastAsia="zh-CN"/>
                    </w:rPr>
                    <w:t>~</w:t>
                  </w:r>
                  <w:r>
                    <w:rPr>
                      <w:rFonts w:hint="default" w:ascii="Times New Roman" w:hAnsi="Times New Roman" w:eastAsia="宋体" w:cs="Times New Roman"/>
                      <w:b w:val="0"/>
                      <w:bCs w:val="0"/>
                      <w:color w:val="auto"/>
                      <w:sz w:val="18"/>
                      <w:szCs w:val="18"/>
                      <w:highlight w:val="none"/>
                    </w:rPr>
                    <w:t>9</w:t>
                  </w:r>
                </w:p>
              </w:tc>
              <w:tc>
                <w:tcPr>
                  <w:tcW w:w="411" w:type="pct"/>
                  <w:tcBorders>
                    <w:tl2br w:val="nil"/>
                    <w:tr2bl w:val="nil"/>
                  </w:tcBorders>
                  <w:noWrap w:val="0"/>
                  <w:vAlign w:val="center"/>
                </w:tcPr>
                <w:p w14:paraId="090209F0">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500</w:t>
                  </w:r>
                </w:p>
              </w:tc>
              <w:tc>
                <w:tcPr>
                  <w:tcW w:w="450" w:type="pct"/>
                  <w:tcBorders>
                    <w:tl2br w:val="nil"/>
                    <w:tr2bl w:val="nil"/>
                  </w:tcBorders>
                  <w:noWrap w:val="0"/>
                  <w:vAlign w:val="center"/>
                </w:tcPr>
                <w:p w14:paraId="70F3FFA8">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300</w:t>
                  </w:r>
                </w:p>
              </w:tc>
              <w:tc>
                <w:tcPr>
                  <w:tcW w:w="450" w:type="pct"/>
                  <w:tcBorders>
                    <w:tl2br w:val="nil"/>
                    <w:tr2bl w:val="nil"/>
                  </w:tcBorders>
                  <w:noWrap w:val="0"/>
                  <w:vAlign w:val="center"/>
                </w:tcPr>
                <w:p w14:paraId="7DB30BF9">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400</w:t>
                  </w:r>
                </w:p>
              </w:tc>
              <w:tc>
                <w:tcPr>
                  <w:tcW w:w="465" w:type="pct"/>
                  <w:tcBorders>
                    <w:tl2br w:val="nil"/>
                    <w:tr2bl w:val="nil"/>
                  </w:tcBorders>
                  <w:noWrap w:val="0"/>
                  <w:vAlign w:val="center"/>
                </w:tcPr>
                <w:p w14:paraId="2EEA6428">
                  <w:pPr>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45*</w:t>
                  </w:r>
                </w:p>
              </w:tc>
              <w:tc>
                <w:tcPr>
                  <w:tcW w:w="464" w:type="pct"/>
                  <w:tcBorders>
                    <w:tl2br w:val="nil"/>
                    <w:tr2bl w:val="nil"/>
                  </w:tcBorders>
                  <w:noWrap w:val="0"/>
                  <w:vAlign w:val="center"/>
                </w:tcPr>
                <w:p w14:paraId="574457EA">
                  <w:pPr>
                    <w:jc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70</w:t>
                  </w:r>
                  <w:r>
                    <w:rPr>
                      <w:rFonts w:hint="default" w:ascii="Times New Roman" w:hAnsi="Times New Roman" w:eastAsia="宋体" w:cs="Times New Roman"/>
                      <w:b w:val="0"/>
                      <w:bCs w:val="0"/>
                      <w:color w:val="auto"/>
                      <w:sz w:val="18"/>
                      <w:szCs w:val="18"/>
                      <w:highlight w:val="none"/>
                    </w:rPr>
                    <w:t>*</w:t>
                  </w:r>
                </w:p>
              </w:tc>
              <w:tc>
                <w:tcPr>
                  <w:tcW w:w="464" w:type="pct"/>
                  <w:tcBorders>
                    <w:tl2br w:val="nil"/>
                    <w:tr2bl w:val="nil"/>
                  </w:tcBorders>
                  <w:noWrap w:val="0"/>
                  <w:vAlign w:val="center"/>
                </w:tcPr>
                <w:p w14:paraId="0AEF4A7E">
                  <w:pPr>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8</w:t>
                  </w:r>
                  <w:r>
                    <w:rPr>
                      <w:rFonts w:hint="default" w:ascii="Times New Roman" w:hAnsi="Times New Roman" w:eastAsia="宋体" w:cs="Times New Roman"/>
                      <w:b w:val="0"/>
                      <w:bCs w:val="0"/>
                      <w:color w:val="auto"/>
                      <w:sz w:val="18"/>
                      <w:szCs w:val="18"/>
                      <w:highlight w:val="none"/>
                    </w:rPr>
                    <w:t>*</w:t>
                  </w:r>
                </w:p>
              </w:tc>
            </w:tr>
            <w:tr w14:paraId="7A9C080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3" w:type="pct"/>
                  <w:tcBorders>
                    <w:tl2br w:val="nil"/>
                    <w:tr2bl w:val="nil"/>
                  </w:tcBorders>
                  <w:shd w:val="clear" w:color="auto" w:fill="auto"/>
                  <w:noWrap w:val="0"/>
                  <w:vAlign w:val="center"/>
                </w:tcPr>
                <w:p w14:paraId="35C4063C">
                  <w:pPr>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闽侯县城关</w:t>
                  </w:r>
                  <w:r>
                    <w:rPr>
                      <w:rFonts w:hint="eastAsia" w:ascii="Times New Roman" w:hAnsi="Times New Roman"/>
                      <w:color w:val="auto"/>
                      <w:sz w:val="18"/>
                      <w:szCs w:val="18"/>
                      <w:highlight w:val="none"/>
                    </w:rPr>
                    <w:t>污水处理厂</w:t>
                  </w:r>
                  <w:r>
                    <w:rPr>
                      <w:rFonts w:ascii="Times New Roman" w:hAnsi="Times New Roman" w:eastAsia="宋体" w:cs="Times New Roman"/>
                      <w:color w:val="auto"/>
                      <w:sz w:val="18"/>
                      <w:szCs w:val="18"/>
                      <w:highlight w:val="none"/>
                    </w:rPr>
                    <w:t>进水水质要求</w:t>
                  </w:r>
                </w:p>
              </w:tc>
              <w:tc>
                <w:tcPr>
                  <w:tcW w:w="401" w:type="pct"/>
                  <w:tcBorders>
                    <w:tl2br w:val="nil"/>
                    <w:tr2bl w:val="nil"/>
                  </w:tcBorders>
                  <w:shd w:val="clear" w:color="auto" w:fill="auto"/>
                  <w:noWrap w:val="0"/>
                  <w:vAlign w:val="center"/>
                </w:tcPr>
                <w:p w14:paraId="43FFDE99">
                  <w:pPr>
                    <w:spacing w:line="240" w:lineRule="auto"/>
                    <w:ind w:left="0" w:leftChars="0" w:right="4" w:rightChars="2"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6~9</w:t>
                  </w:r>
                </w:p>
              </w:tc>
              <w:tc>
                <w:tcPr>
                  <w:tcW w:w="411" w:type="pct"/>
                  <w:tcBorders>
                    <w:tl2br w:val="nil"/>
                    <w:tr2bl w:val="nil"/>
                  </w:tcBorders>
                  <w:shd w:val="clear" w:color="auto" w:fill="auto"/>
                  <w:noWrap w:val="0"/>
                  <w:vAlign w:val="center"/>
                </w:tcPr>
                <w:p w14:paraId="782AFA74">
                  <w:pPr>
                    <w:pStyle w:val="16"/>
                    <w:spacing w:line="240" w:lineRule="auto"/>
                    <w:ind w:left="0" w:leftChars="0" w:right="4" w:rightChars="2"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300</w:t>
                  </w:r>
                </w:p>
              </w:tc>
              <w:tc>
                <w:tcPr>
                  <w:tcW w:w="450" w:type="pct"/>
                  <w:tcBorders>
                    <w:tl2br w:val="nil"/>
                    <w:tr2bl w:val="nil"/>
                  </w:tcBorders>
                  <w:shd w:val="clear" w:color="auto" w:fill="auto"/>
                  <w:noWrap w:val="0"/>
                  <w:vAlign w:val="center"/>
                </w:tcPr>
                <w:p w14:paraId="4352650F">
                  <w:pPr>
                    <w:pStyle w:val="16"/>
                    <w:spacing w:line="240" w:lineRule="auto"/>
                    <w:ind w:left="0" w:leftChars="0" w:right="4" w:rightChars="2"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150</w:t>
                  </w:r>
                </w:p>
              </w:tc>
              <w:tc>
                <w:tcPr>
                  <w:tcW w:w="450" w:type="pct"/>
                  <w:tcBorders>
                    <w:tl2br w:val="nil"/>
                    <w:tr2bl w:val="nil"/>
                  </w:tcBorders>
                  <w:shd w:val="clear" w:color="auto" w:fill="auto"/>
                  <w:noWrap w:val="0"/>
                  <w:vAlign w:val="center"/>
                </w:tcPr>
                <w:p w14:paraId="245AD633">
                  <w:pPr>
                    <w:pStyle w:val="16"/>
                    <w:spacing w:line="240" w:lineRule="auto"/>
                    <w:ind w:left="0" w:leftChars="0" w:right="4" w:rightChars="2"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200</w:t>
                  </w:r>
                </w:p>
              </w:tc>
              <w:tc>
                <w:tcPr>
                  <w:tcW w:w="465" w:type="pct"/>
                  <w:tcBorders>
                    <w:tl2br w:val="nil"/>
                    <w:tr2bl w:val="nil"/>
                  </w:tcBorders>
                  <w:shd w:val="clear" w:color="auto" w:fill="auto"/>
                  <w:noWrap w:val="0"/>
                  <w:vAlign w:val="center"/>
                </w:tcPr>
                <w:p w14:paraId="1119D01B">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Cs/>
                      <w:color w:val="auto"/>
                      <w:sz w:val="18"/>
                      <w:szCs w:val="18"/>
                      <w:highlight w:val="none"/>
                      <w:lang w:val="en-US" w:eastAsia="zh-CN"/>
                    </w:rPr>
                    <w:t>30</w:t>
                  </w:r>
                </w:p>
              </w:tc>
              <w:tc>
                <w:tcPr>
                  <w:tcW w:w="464" w:type="pct"/>
                  <w:tcBorders>
                    <w:tl2br w:val="nil"/>
                    <w:tr2bl w:val="nil"/>
                  </w:tcBorders>
                  <w:shd w:val="clear" w:color="auto" w:fill="auto"/>
                  <w:noWrap w:val="0"/>
                  <w:vAlign w:val="center"/>
                </w:tcPr>
                <w:p w14:paraId="1AEACE88">
                  <w:pPr>
                    <w:jc w:val="center"/>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40</w:t>
                  </w:r>
                </w:p>
              </w:tc>
              <w:tc>
                <w:tcPr>
                  <w:tcW w:w="464" w:type="pct"/>
                  <w:tcBorders>
                    <w:tl2br w:val="nil"/>
                    <w:tr2bl w:val="nil"/>
                  </w:tcBorders>
                  <w:shd w:val="clear" w:color="auto" w:fill="auto"/>
                  <w:noWrap w:val="0"/>
                  <w:vAlign w:val="center"/>
                </w:tcPr>
                <w:p w14:paraId="44F033FD">
                  <w:pPr>
                    <w:jc w:val="center"/>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5.0</w:t>
                  </w:r>
                </w:p>
              </w:tc>
            </w:tr>
            <w:tr w14:paraId="7F45AD8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3" w:type="pct"/>
                  <w:tcBorders>
                    <w:tl2br w:val="nil"/>
                    <w:tr2bl w:val="nil"/>
                  </w:tcBorders>
                  <w:shd w:val="clear" w:color="auto" w:fill="auto"/>
                  <w:noWrap w:val="0"/>
                  <w:vAlign w:val="center"/>
                </w:tcPr>
                <w:p w14:paraId="3DF3F717">
                  <w:pPr>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综合进水水质要求</w:t>
                  </w:r>
                </w:p>
              </w:tc>
              <w:tc>
                <w:tcPr>
                  <w:tcW w:w="401" w:type="pct"/>
                  <w:tcBorders>
                    <w:tl2br w:val="nil"/>
                    <w:tr2bl w:val="nil"/>
                  </w:tcBorders>
                  <w:shd w:val="clear" w:color="auto" w:fill="auto"/>
                  <w:noWrap w:val="0"/>
                  <w:vAlign w:val="center"/>
                </w:tcPr>
                <w:p w14:paraId="20C49847">
                  <w:pPr>
                    <w:spacing w:line="240" w:lineRule="auto"/>
                    <w:ind w:left="0" w:leftChars="0" w:right="4" w:rightChars="2"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6~9</w:t>
                  </w:r>
                </w:p>
              </w:tc>
              <w:tc>
                <w:tcPr>
                  <w:tcW w:w="656" w:type="dxa"/>
                  <w:tcBorders>
                    <w:tl2br w:val="nil"/>
                    <w:tr2bl w:val="nil"/>
                  </w:tcBorders>
                  <w:shd w:val="clear" w:color="auto" w:fill="auto"/>
                  <w:noWrap w:val="0"/>
                  <w:vAlign w:val="center"/>
                </w:tcPr>
                <w:p w14:paraId="48F5BD46">
                  <w:pPr>
                    <w:pStyle w:val="16"/>
                    <w:spacing w:line="240" w:lineRule="auto"/>
                    <w:ind w:left="0" w:leftChars="0" w:right="4" w:rightChars="2"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300</w:t>
                  </w:r>
                </w:p>
              </w:tc>
              <w:tc>
                <w:tcPr>
                  <w:tcW w:w="718" w:type="dxa"/>
                  <w:tcBorders>
                    <w:tl2br w:val="nil"/>
                    <w:tr2bl w:val="nil"/>
                  </w:tcBorders>
                  <w:shd w:val="clear" w:color="auto" w:fill="auto"/>
                  <w:noWrap w:val="0"/>
                  <w:vAlign w:val="center"/>
                </w:tcPr>
                <w:p w14:paraId="4D67BFE4">
                  <w:pPr>
                    <w:pStyle w:val="16"/>
                    <w:spacing w:line="240" w:lineRule="auto"/>
                    <w:ind w:left="0" w:leftChars="0" w:right="4" w:rightChars="2"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150</w:t>
                  </w:r>
                </w:p>
              </w:tc>
              <w:tc>
                <w:tcPr>
                  <w:tcW w:w="718" w:type="dxa"/>
                  <w:tcBorders>
                    <w:tl2br w:val="nil"/>
                    <w:tr2bl w:val="nil"/>
                  </w:tcBorders>
                  <w:shd w:val="clear" w:color="auto" w:fill="auto"/>
                  <w:noWrap w:val="0"/>
                  <w:vAlign w:val="center"/>
                </w:tcPr>
                <w:p w14:paraId="4F5956CB">
                  <w:pPr>
                    <w:pStyle w:val="16"/>
                    <w:spacing w:line="240" w:lineRule="auto"/>
                    <w:ind w:left="0" w:leftChars="0" w:right="4" w:rightChars="2"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200</w:t>
                  </w:r>
                </w:p>
              </w:tc>
              <w:tc>
                <w:tcPr>
                  <w:tcW w:w="742" w:type="dxa"/>
                  <w:tcBorders>
                    <w:tl2br w:val="nil"/>
                    <w:tr2bl w:val="nil"/>
                  </w:tcBorders>
                  <w:shd w:val="clear" w:color="auto" w:fill="auto"/>
                  <w:noWrap w:val="0"/>
                  <w:vAlign w:val="center"/>
                </w:tcPr>
                <w:p w14:paraId="5E04BC09">
                  <w:pPr>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30</w:t>
                  </w:r>
                </w:p>
              </w:tc>
              <w:tc>
                <w:tcPr>
                  <w:tcW w:w="740" w:type="dxa"/>
                  <w:tcBorders>
                    <w:tl2br w:val="nil"/>
                    <w:tr2bl w:val="nil"/>
                  </w:tcBorders>
                  <w:shd w:val="clear" w:color="auto" w:fill="auto"/>
                  <w:noWrap w:val="0"/>
                  <w:vAlign w:val="center"/>
                </w:tcPr>
                <w:p w14:paraId="30993569">
                  <w:pPr>
                    <w:jc w:val="center"/>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40</w:t>
                  </w:r>
                </w:p>
              </w:tc>
              <w:tc>
                <w:tcPr>
                  <w:tcW w:w="740" w:type="dxa"/>
                  <w:tcBorders>
                    <w:tl2br w:val="nil"/>
                    <w:tr2bl w:val="nil"/>
                  </w:tcBorders>
                  <w:shd w:val="clear" w:color="auto" w:fill="auto"/>
                  <w:noWrap w:val="0"/>
                  <w:vAlign w:val="center"/>
                </w:tcPr>
                <w:p w14:paraId="325965DD">
                  <w:pPr>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5.0</w:t>
                  </w:r>
                </w:p>
              </w:tc>
            </w:tr>
            <w:tr w14:paraId="1D770BF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3" w:type="pct"/>
                  <w:tcBorders>
                    <w:tl2br w:val="nil"/>
                    <w:tr2bl w:val="nil"/>
                  </w:tcBorders>
                  <w:noWrap w:val="0"/>
                  <w:vAlign w:val="center"/>
                </w:tcPr>
                <w:p w14:paraId="003CFB24">
                  <w:pPr>
                    <w:jc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ascii="Times New Roman" w:hAnsi="Times New Roman"/>
                      <w:color w:val="auto"/>
                      <w:sz w:val="18"/>
                      <w:szCs w:val="18"/>
                      <w:highlight w:val="none"/>
                    </w:rPr>
                    <w:t>闽侯县城关污水处理厂</w:t>
                  </w:r>
                  <w:r>
                    <w:rPr>
                      <w:rFonts w:hint="eastAsia" w:ascii="Times New Roman" w:hAnsi="Times New Roman" w:eastAsia="宋体" w:cs="Times New Roman"/>
                      <w:b w:val="0"/>
                      <w:bCs w:val="0"/>
                      <w:color w:val="auto"/>
                      <w:kern w:val="0"/>
                      <w:sz w:val="18"/>
                      <w:szCs w:val="18"/>
                      <w:highlight w:val="none"/>
                      <w:lang w:val="en-US" w:eastAsia="zh-CN" w:bidi="ar"/>
                    </w:rPr>
                    <w:t>排放口：</w:t>
                  </w:r>
                  <w:r>
                    <w:rPr>
                      <w:rFonts w:hint="eastAsia" w:cs="Times New Roman"/>
                      <w:b w:val="0"/>
                      <w:bCs w:val="0"/>
                      <w:color w:val="auto"/>
                      <w:kern w:val="0"/>
                      <w:sz w:val="18"/>
                      <w:szCs w:val="18"/>
                      <w:highlight w:val="none"/>
                      <w:lang w:val="en-US" w:eastAsia="zh-CN" w:bidi="ar"/>
                    </w:rPr>
                    <w:t>《城镇污水处理厂污染物排放标准》（GB18918-2002）</w:t>
                  </w:r>
                  <w:r>
                    <w:rPr>
                      <w:rFonts w:hint="eastAsia" w:ascii="Times New Roman" w:hAnsi="Times New Roman" w:eastAsia="宋体" w:cs="Times New Roman"/>
                      <w:b w:val="0"/>
                      <w:bCs w:val="0"/>
                      <w:color w:val="auto"/>
                      <w:kern w:val="0"/>
                      <w:sz w:val="18"/>
                      <w:szCs w:val="18"/>
                      <w:highlight w:val="none"/>
                      <w:lang w:val="en-US" w:eastAsia="zh-CN" w:bidi="ar"/>
                    </w:rPr>
                    <w:t>表1中“基本控制项目最高允许排放浓度（日均值）”一级A</w:t>
                  </w:r>
                  <w:r>
                    <w:rPr>
                      <w:rFonts w:hint="default" w:ascii="Times New Roman" w:hAnsi="Times New Roman" w:eastAsia="宋体" w:cs="Times New Roman"/>
                      <w:b w:val="0"/>
                      <w:bCs w:val="0"/>
                      <w:color w:val="auto"/>
                      <w:kern w:val="0"/>
                      <w:sz w:val="18"/>
                      <w:szCs w:val="18"/>
                      <w:highlight w:val="none"/>
                      <w:lang w:val="en-US" w:eastAsia="zh-CN" w:bidi="ar"/>
                    </w:rPr>
                    <w:t>标准</w:t>
                  </w:r>
                </w:p>
              </w:tc>
              <w:tc>
                <w:tcPr>
                  <w:tcW w:w="401" w:type="pct"/>
                  <w:tcBorders>
                    <w:tl2br w:val="nil"/>
                    <w:tr2bl w:val="nil"/>
                  </w:tcBorders>
                  <w:noWrap w:val="0"/>
                  <w:vAlign w:val="center"/>
                </w:tcPr>
                <w:p w14:paraId="75A154E2">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6</w:t>
                  </w:r>
                  <w:r>
                    <w:rPr>
                      <w:rFonts w:hint="eastAsia" w:ascii="Times New Roman" w:hAnsi="Times New Roman" w:eastAsia="宋体" w:cs="Times New Roman"/>
                      <w:b w:val="0"/>
                      <w:bCs w:val="0"/>
                      <w:color w:val="auto"/>
                      <w:sz w:val="18"/>
                      <w:szCs w:val="18"/>
                      <w:highlight w:val="none"/>
                      <w:lang w:val="en-US" w:eastAsia="zh-CN"/>
                    </w:rPr>
                    <w:t>~</w:t>
                  </w:r>
                  <w:r>
                    <w:rPr>
                      <w:rFonts w:hint="default" w:ascii="Times New Roman" w:hAnsi="Times New Roman" w:eastAsia="宋体" w:cs="Times New Roman"/>
                      <w:b w:val="0"/>
                      <w:bCs w:val="0"/>
                      <w:color w:val="auto"/>
                      <w:sz w:val="18"/>
                      <w:szCs w:val="18"/>
                      <w:highlight w:val="none"/>
                    </w:rPr>
                    <w:t>9</w:t>
                  </w:r>
                </w:p>
              </w:tc>
              <w:tc>
                <w:tcPr>
                  <w:tcW w:w="411" w:type="pct"/>
                  <w:tcBorders>
                    <w:tl2br w:val="nil"/>
                    <w:tr2bl w:val="nil"/>
                  </w:tcBorders>
                  <w:noWrap w:val="0"/>
                  <w:vAlign w:val="center"/>
                </w:tcPr>
                <w:p w14:paraId="229F8C16">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50</w:t>
                  </w:r>
                </w:p>
              </w:tc>
              <w:tc>
                <w:tcPr>
                  <w:tcW w:w="450" w:type="pct"/>
                  <w:tcBorders>
                    <w:tl2br w:val="nil"/>
                    <w:tr2bl w:val="nil"/>
                  </w:tcBorders>
                  <w:noWrap w:val="0"/>
                  <w:vAlign w:val="center"/>
                </w:tcPr>
                <w:p w14:paraId="5433D22B">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10</w:t>
                  </w:r>
                </w:p>
              </w:tc>
              <w:tc>
                <w:tcPr>
                  <w:tcW w:w="450" w:type="pct"/>
                  <w:tcBorders>
                    <w:tl2br w:val="nil"/>
                    <w:tr2bl w:val="nil"/>
                  </w:tcBorders>
                  <w:noWrap w:val="0"/>
                  <w:vAlign w:val="center"/>
                </w:tcPr>
                <w:p w14:paraId="1BCE1A7A">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10</w:t>
                  </w:r>
                </w:p>
              </w:tc>
              <w:tc>
                <w:tcPr>
                  <w:tcW w:w="465" w:type="pct"/>
                  <w:tcBorders>
                    <w:tl2br w:val="nil"/>
                    <w:tr2bl w:val="nil"/>
                  </w:tcBorders>
                  <w:noWrap w:val="0"/>
                  <w:vAlign w:val="center"/>
                </w:tcPr>
                <w:p w14:paraId="5034A20D">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5</w:t>
                  </w:r>
                  <w:r>
                    <w:rPr>
                      <w:rFonts w:hint="eastAsia" w:cs="Times New Roman"/>
                      <w:b w:val="0"/>
                      <w:bCs w:val="0"/>
                      <w:color w:val="auto"/>
                      <w:sz w:val="18"/>
                      <w:szCs w:val="18"/>
                      <w:highlight w:val="none"/>
                      <w:lang w:val="en-US" w:eastAsia="zh-CN"/>
                    </w:rPr>
                    <w:t>（8）</w:t>
                  </w:r>
                </w:p>
              </w:tc>
              <w:tc>
                <w:tcPr>
                  <w:tcW w:w="464" w:type="pct"/>
                  <w:tcBorders>
                    <w:tl2br w:val="nil"/>
                    <w:tr2bl w:val="nil"/>
                  </w:tcBorders>
                  <w:noWrap w:val="0"/>
                  <w:vAlign w:val="center"/>
                </w:tcPr>
                <w:p w14:paraId="78EBE3A9">
                  <w:pPr>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15</w:t>
                  </w:r>
                </w:p>
              </w:tc>
              <w:tc>
                <w:tcPr>
                  <w:tcW w:w="464" w:type="pct"/>
                  <w:tcBorders>
                    <w:tl2br w:val="nil"/>
                    <w:tr2bl w:val="nil"/>
                  </w:tcBorders>
                  <w:noWrap w:val="0"/>
                  <w:vAlign w:val="center"/>
                </w:tcPr>
                <w:p w14:paraId="0D45EB63">
                  <w:pPr>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0.5</w:t>
                  </w:r>
                </w:p>
              </w:tc>
            </w:tr>
            <w:tr w14:paraId="6D9C297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3" w:type="pct"/>
                  <w:tcBorders>
                    <w:tl2br w:val="nil"/>
                    <w:tr2bl w:val="nil"/>
                  </w:tcBorders>
                  <w:noWrap w:val="0"/>
                  <w:vAlign w:val="center"/>
                </w:tcPr>
                <w:p w14:paraId="4425A769">
                  <w:pPr>
                    <w:jc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《城镇污水处理厂污染物排放标准》（GB18918-2002）及其修改单表4中“基本控制项目最高允许排放浓度</w:t>
                  </w:r>
                </w:p>
                <w:p w14:paraId="5ABE41CB">
                  <w:pPr>
                    <w:jc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（瞬时值）”一级A标准</w:t>
                  </w:r>
                </w:p>
              </w:tc>
              <w:tc>
                <w:tcPr>
                  <w:tcW w:w="401" w:type="pct"/>
                  <w:tcBorders>
                    <w:tl2br w:val="nil"/>
                    <w:tr2bl w:val="nil"/>
                  </w:tcBorders>
                  <w:noWrap w:val="0"/>
                  <w:vAlign w:val="center"/>
                </w:tcPr>
                <w:p w14:paraId="2C693D10">
                  <w:pPr>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6~9</w:t>
                  </w:r>
                </w:p>
              </w:tc>
              <w:tc>
                <w:tcPr>
                  <w:tcW w:w="411" w:type="pct"/>
                  <w:tcBorders>
                    <w:tl2br w:val="nil"/>
                    <w:tr2bl w:val="nil"/>
                  </w:tcBorders>
                  <w:noWrap w:val="0"/>
                  <w:vAlign w:val="center"/>
                </w:tcPr>
                <w:p w14:paraId="7C86E765">
                  <w:pPr>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75</w:t>
                  </w:r>
                </w:p>
              </w:tc>
              <w:tc>
                <w:tcPr>
                  <w:tcW w:w="450" w:type="pct"/>
                  <w:tcBorders>
                    <w:tl2br w:val="nil"/>
                    <w:tr2bl w:val="nil"/>
                  </w:tcBorders>
                  <w:noWrap w:val="0"/>
                  <w:vAlign w:val="center"/>
                </w:tcPr>
                <w:p w14:paraId="63041081">
                  <w:pPr>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450" w:type="pct"/>
                  <w:tcBorders>
                    <w:tl2br w:val="nil"/>
                    <w:tr2bl w:val="nil"/>
                  </w:tcBorders>
                  <w:noWrap w:val="0"/>
                  <w:vAlign w:val="center"/>
                </w:tcPr>
                <w:p w14:paraId="78E82F76">
                  <w:pPr>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465" w:type="pct"/>
                  <w:tcBorders>
                    <w:tl2br w:val="nil"/>
                    <w:tr2bl w:val="nil"/>
                  </w:tcBorders>
                  <w:noWrap w:val="0"/>
                  <w:vAlign w:val="center"/>
                </w:tcPr>
                <w:p w14:paraId="691D03BD">
                  <w:pPr>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10（15）</w:t>
                  </w:r>
                </w:p>
              </w:tc>
              <w:tc>
                <w:tcPr>
                  <w:tcW w:w="464" w:type="pct"/>
                  <w:tcBorders>
                    <w:tl2br w:val="nil"/>
                    <w:tr2bl w:val="nil"/>
                  </w:tcBorders>
                  <w:noWrap w:val="0"/>
                  <w:vAlign w:val="center"/>
                </w:tcPr>
                <w:p w14:paraId="696D8C8D">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20</w:t>
                  </w:r>
                </w:p>
              </w:tc>
              <w:tc>
                <w:tcPr>
                  <w:tcW w:w="464" w:type="pct"/>
                  <w:tcBorders>
                    <w:tl2br w:val="nil"/>
                    <w:tr2bl w:val="nil"/>
                  </w:tcBorders>
                  <w:noWrap w:val="0"/>
                  <w:vAlign w:val="center"/>
                </w:tcPr>
                <w:p w14:paraId="36AAF2DF">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r>
            <w:tr w14:paraId="7F2FA8C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8"/>
                  <w:tcBorders>
                    <w:tl2br w:val="nil"/>
                    <w:tr2bl w:val="nil"/>
                  </w:tcBorders>
                  <w:noWrap w:val="0"/>
                  <w:vAlign w:val="center"/>
                </w:tcPr>
                <w:p w14:paraId="5F24C055">
                  <w:pPr>
                    <w:jc w:val="both"/>
                    <w:rPr>
                      <w:rFonts w:hint="default" w:ascii="Times New Roman" w:hAnsi="Times New Roman" w:eastAsia="宋体" w:cs="Times New Roman"/>
                      <w:snapToGrid w:val="0"/>
                      <w:color w:val="auto"/>
                      <w:sz w:val="18"/>
                      <w:szCs w:val="18"/>
                      <w:highlight w:val="none"/>
                      <w:lang w:val="en-US" w:eastAsia="zh-CN"/>
                    </w:rPr>
                  </w:pPr>
                  <w:r>
                    <w:rPr>
                      <w:rFonts w:hint="eastAsia" w:cs="Times New Roman"/>
                      <w:snapToGrid w:val="0"/>
                      <w:color w:val="auto"/>
                      <w:sz w:val="18"/>
                      <w:szCs w:val="18"/>
                      <w:highlight w:val="none"/>
                      <w:lang w:val="en-US" w:eastAsia="zh-CN"/>
                    </w:rPr>
                    <w:t>备注：</w:t>
                  </w:r>
                  <w:r>
                    <w:rPr>
                      <w:rFonts w:hint="default" w:ascii="Times New Roman" w:hAnsi="Times New Roman" w:eastAsia="宋体" w:cs="Times New Roman"/>
                      <w:snapToGrid w:val="0"/>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氨氮</w:t>
                  </w:r>
                  <w:r>
                    <w:rPr>
                      <w:rFonts w:hint="eastAsia" w:cs="Times New Roman"/>
                      <w:color w:val="auto"/>
                      <w:sz w:val="18"/>
                      <w:szCs w:val="18"/>
                      <w:highlight w:val="none"/>
                      <w:lang w:val="en-US" w:eastAsia="zh-CN"/>
                    </w:rPr>
                    <w:t>、总氮、总磷</w:t>
                  </w:r>
                  <w:r>
                    <w:rPr>
                      <w:rFonts w:hint="default" w:ascii="Times New Roman" w:hAnsi="Times New Roman" w:eastAsia="宋体" w:cs="Times New Roman"/>
                      <w:color w:val="auto"/>
                      <w:sz w:val="18"/>
                      <w:szCs w:val="18"/>
                      <w:highlight w:val="none"/>
                      <w:lang w:val="en-US" w:eastAsia="zh-CN"/>
                    </w:rPr>
                    <w:t>执行《污水排入城镇下水道水质标准》（GB/T31962-2015）表1中B</w:t>
                  </w:r>
                  <w:r>
                    <w:rPr>
                      <w:rFonts w:hint="eastAsia" w:ascii="Times New Roman" w:hAnsi="Times New Roman" w:eastAsia="宋体" w:cs="Times New Roman"/>
                      <w:color w:val="auto"/>
                      <w:sz w:val="18"/>
                      <w:szCs w:val="18"/>
                      <w:highlight w:val="none"/>
                      <w:lang w:val="en-US" w:eastAsia="zh-CN"/>
                    </w:rPr>
                    <w:t>等级</w:t>
                  </w:r>
                  <w:r>
                    <w:rPr>
                      <w:rFonts w:hint="default" w:ascii="Times New Roman" w:hAnsi="Times New Roman" w:eastAsia="宋体" w:cs="Times New Roman"/>
                      <w:color w:val="auto"/>
                      <w:sz w:val="18"/>
                      <w:szCs w:val="18"/>
                      <w:highlight w:val="none"/>
                      <w:lang w:val="en-US" w:eastAsia="zh-CN"/>
                    </w:rPr>
                    <w:t>标准</w:t>
                  </w:r>
                </w:p>
              </w:tc>
            </w:tr>
          </w:tbl>
          <w:p w14:paraId="0BF319E6">
            <w:pPr>
              <w:pStyle w:val="141"/>
              <w:keepNext w:val="0"/>
              <w:keepLines w:val="0"/>
              <w:pageBreakBefore w:val="0"/>
              <w:widowControl w:val="0"/>
              <w:tabs>
                <w:tab w:val="left" w:pos="2007"/>
              </w:tabs>
              <w:kinsoku/>
              <w:wordWrap/>
              <w:overflowPunct/>
              <w:topLinePunct w:val="0"/>
              <w:autoSpaceDE/>
              <w:autoSpaceDN/>
              <w:bidi w:val="0"/>
              <w:adjustRightInd/>
              <w:snapToGrid/>
              <w:spacing w:before="157" w:beforeLines="50" w:beforeAutospacing="0" w:afterAutospacing="0" w:line="360" w:lineRule="auto"/>
              <w:ind w:left="0" w:leftChars="0" w:firstLine="482" w:firstLineChars="200"/>
              <w:jc w:val="both"/>
              <w:textAlignment w:val="auto"/>
              <w:rPr>
                <w:rFonts w:hint="eastAsia" w:ascii="Times New Roman" w:hAnsi="Times New Roman" w:eastAsia="宋体" w:cs="Times New Roman"/>
                <w:b/>
                <w:bCs/>
                <w:color w:val="auto"/>
                <w:spacing w:val="0"/>
                <w:highlight w:val="none"/>
                <w:lang w:val="en-US" w:eastAsia="zh-CN"/>
              </w:rPr>
            </w:pPr>
            <w:r>
              <w:rPr>
                <w:rFonts w:hint="eastAsia" w:ascii="Times New Roman" w:hAnsi="Times New Roman" w:eastAsia="宋体" w:cs="Times New Roman"/>
                <w:b/>
                <w:bCs/>
                <w:color w:val="auto"/>
                <w:spacing w:val="0"/>
                <w:highlight w:val="none"/>
                <w:lang w:val="en-US" w:eastAsia="zh-CN"/>
              </w:rPr>
              <w:t>3.4.2废气排放标准</w:t>
            </w:r>
          </w:p>
          <w:p w14:paraId="69D1382E">
            <w:pPr>
              <w:pStyle w:val="14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本项目运营过程中产生的废气主要</w:t>
            </w:r>
            <w:r>
              <w:rPr>
                <w:rFonts w:hint="eastAsia" w:ascii="Times New Roman" w:hAnsi="Times New Roman" w:eastAsia="宋体" w:cs="Times New Roman"/>
                <w:color w:val="auto"/>
                <w:spacing w:val="0"/>
                <w:kern w:val="0"/>
                <w:sz w:val="24"/>
                <w:szCs w:val="24"/>
                <w:highlight w:val="none"/>
                <w:lang w:val="en-US" w:eastAsia="zh-CN" w:bidi="ar-SA"/>
              </w:rPr>
              <w:t>为</w:t>
            </w:r>
            <w:r>
              <w:rPr>
                <w:rFonts w:hint="eastAsia" w:cs="Times New Roman"/>
                <w:color w:val="auto"/>
                <w:spacing w:val="0"/>
                <w:kern w:val="0"/>
                <w:sz w:val="24"/>
                <w:szCs w:val="24"/>
                <w:highlight w:val="none"/>
                <w:lang w:val="en-US" w:eastAsia="zh-CN" w:bidi="ar-SA"/>
              </w:rPr>
              <w:t>调漆、喷漆、晾干</w:t>
            </w:r>
            <w:r>
              <w:rPr>
                <w:rFonts w:hint="eastAsia" w:ascii="Times New Roman" w:hAnsi="Times New Roman" w:eastAsia="宋体" w:cs="Times New Roman"/>
                <w:color w:val="auto"/>
                <w:spacing w:val="0"/>
                <w:kern w:val="0"/>
                <w:sz w:val="24"/>
                <w:szCs w:val="24"/>
                <w:highlight w:val="none"/>
                <w:lang w:val="en-US" w:eastAsia="zh-CN" w:bidi="ar-SA"/>
              </w:rPr>
              <w:t>产生的有机废气（</w:t>
            </w:r>
            <w:r>
              <w:rPr>
                <w:rFonts w:hint="eastAsia" w:cs="Times New Roman"/>
                <w:color w:val="auto"/>
                <w:spacing w:val="0"/>
                <w:kern w:val="0"/>
                <w:sz w:val="24"/>
                <w:szCs w:val="24"/>
                <w:highlight w:val="none"/>
                <w:lang w:val="en-US" w:eastAsia="zh-CN" w:bidi="ar-SA"/>
              </w:rPr>
              <w:t>二甲苯、苯系物、乙酸乙酯、乙酸丁酯、</w:t>
            </w:r>
            <w:r>
              <w:rPr>
                <w:rFonts w:hint="eastAsia" w:ascii="Times New Roman" w:hAnsi="Times New Roman" w:eastAsia="宋体" w:cs="Times New Roman"/>
                <w:color w:val="auto"/>
                <w:spacing w:val="0"/>
                <w:kern w:val="0"/>
                <w:sz w:val="24"/>
                <w:szCs w:val="24"/>
                <w:highlight w:val="none"/>
                <w:lang w:val="en-US" w:eastAsia="zh-CN" w:bidi="ar-SA"/>
              </w:rPr>
              <w:t>非甲烷总烃）</w:t>
            </w:r>
            <w:r>
              <w:rPr>
                <w:rFonts w:hint="eastAsia" w:cs="Times New Roman"/>
                <w:color w:val="auto"/>
                <w:spacing w:val="0"/>
                <w:kern w:val="0"/>
                <w:sz w:val="24"/>
                <w:szCs w:val="24"/>
                <w:highlight w:val="none"/>
                <w:lang w:val="en-US" w:eastAsia="zh-CN" w:bidi="ar-SA"/>
              </w:rPr>
              <w:t>，</w:t>
            </w:r>
            <w:r>
              <w:rPr>
                <w:rFonts w:hint="eastAsia" w:ascii="Times New Roman" w:hAnsi="Times New Roman" w:eastAsia="宋体" w:cs="Times New Roman"/>
                <w:color w:val="auto"/>
                <w:spacing w:val="0"/>
                <w:kern w:val="0"/>
                <w:position w:val="0"/>
                <w:sz w:val="24"/>
                <w:szCs w:val="24"/>
                <w:highlight w:val="none"/>
                <w:lang w:val="en-US" w:eastAsia="zh-CN"/>
              </w:rPr>
              <w:t>其中喷漆会产生漆雾（颗粒物）</w:t>
            </w:r>
            <w:r>
              <w:rPr>
                <w:rFonts w:hint="eastAsia" w:ascii="Times New Roman" w:hAnsi="Times New Roman" w:eastAsia="宋体" w:cs="Times New Roman"/>
                <w:color w:val="auto"/>
                <w:spacing w:val="0"/>
                <w:sz w:val="24"/>
                <w:szCs w:val="24"/>
                <w:highlight w:val="none"/>
                <w:lang w:val="en-US" w:eastAsia="zh-CN"/>
              </w:rPr>
              <w:t>。</w:t>
            </w:r>
          </w:p>
          <w:p w14:paraId="3A730A22">
            <w:pPr>
              <w:pStyle w:val="141"/>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eastAsia" w:ascii="Times New Roman" w:hAnsi="Times New Roman" w:eastAsia="宋体" w:cs="Times New Roman"/>
                <w:b/>
                <w:bCs/>
                <w:color w:val="auto"/>
                <w:spacing w:val="0"/>
                <w:position w:val="0"/>
                <w:sz w:val="24"/>
                <w:szCs w:val="24"/>
                <w:highlight w:val="none"/>
                <w:lang w:val="en-US" w:eastAsia="zh-CN"/>
              </w:rPr>
            </w:pPr>
            <w:r>
              <w:rPr>
                <w:rFonts w:hint="eastAsia" w:ascii="Times New Roman" w:hAnsi="Times New Roman" w:eastAsia="宋体" w:cs="Times New Roman"/>
                <w:b/>
                <w:bCs/>
                <w:color w:val="auto"/>
                <w:spacing w:val="0"/>
                <w:position w:val="0"/>
                <w:sz w:val="24"/>
                <w:szCs w:val="24"/>
                <w:highlight w:val="none"/>
                <w:lang w:val="en-US" w:eastAsia="zh-CN"/>
              </w:rPr>
              <w:t>有组织：</w:t>
            </w:r>
          </w:p>
          <w:p w14:paraId="56F0834B">
            <w:pPr>
              <w:pStyle w:val="141"/>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ascii="Times New Roman" w:hAnsi="Times New Roman" w:eastAsia="宋体" w:cs="Times New Roman"/>
                <w:b w:val="0"/>
                <w:bCs w:val="0"/>
                <w:color w:val="auto"/>
                <w:spacing w:val="0"/>
                <w:position w:val="0"/>
                <w:sz w:val="24"/>
                <w:szCs w:val="24"/>
                <w:highlight w:val="none"/>
                <w:vertAlign w:val="baseline"/>
                <w:lang w:eastAsia="zh-CN" w:bidi="ar"/>
              </w:rPr>
            </w:pPr>
            <w:r>
              <w:rPr>
                <w:rFonts w:hint="eastAsia"/>
                <w:b w:val="0"/>
                <w:bCs/>
                <w:color w:val="auto"/>
                <w:sz w:val="24"/>
                <w:szCs w:val="24"/>
                <w:highlight w:val="none"/>
              </w:rPr>
              <w:t>调漆、喷漆废气经水帘柜处理后，与晾干废气一同经集气装置负压收集后</w:t>
            </w:r>
            <w:r>
              <w:rPr>
                <w:b w:val="0"/>
                <w:bCs/>
                <w:color w:val="auto"/>
                <w:sz w:val="24"/>
                <w:szCs w:val="24"/>
                <w:highlight w:val="none"/>
              </w:rPr>
              <w:t>再引入</w:t>
            </w:r>
            <w:r>
              <w:rPr>
                <w:rFonts w:hint="eastAsia"/>
                <w:b w:val="0"/>
                <w:bCs/>
                <w:color w:val="auto"/>
                <w:sz w:val="24"/>
                <w:szCs w:val="24"/>
                <w:highlight w:val="none"/>
              </w:rPr>
              <w:t>“</w:t>
            </w:r>
            <w:r>
              <w:rPr>
                <w:rFonts w:hint="eastAsia"/>
                <w:b w:val="0"/>
                <w:bCs/>
                <w:color w:val="auto"/>
                <w:sz w:val="24"/>
                <w:szCs w:val="24"/>
                <w:highlight w:val="none"/>
                <w:lang w:eastAsia="zh-CN"/>
              </w:rPr>
              <w:t>气旋塔+过滤棉+二级活性炭吸附装置</w:t>
            </w:r>
            <w:r>
              <w:rPr>
                <w:rFonts w:hint="eastAsia"/>
                <w:b w:val="0"/>
                <w:bCs/>
                <w:color w:val="auto"/>
                <w:sz w:val="24"/>
                <w:szCs w:val="24"/>
                <w:highlight w:val="none"/>
              </w:rPr>
              <w:t>”处理，通过</w:t>
            </w:r>
            <w:r>
              <w:rPr>
                <w:rFonts w:hint="eastAsia"/>
                <w:b w:val="0"/>
                <w:bCs/>
                <w:color w:val="auto"/>
                <w:sz w:val="24"/>
                <w:szCs w:val="24"/>
                <w:highlight w:val="none"/>
                <w:lang w:val="en-US" w:eastAsia="zh-CN"/>
              </w:rPr>
              <w:t>2</w:t>
            </w:r>
            <w:r>
              <w:rPr>
                <w:rFonts w:hint="eastAsia"/>
                <w:b w:val="0"/>
                <w:bCs/>
                <w:color w:val="auto"/>
                <w:sz w:val="24"/>
                <w:szCs w:val="24"/>
                <w:highlight w:val="none"/>
              </w:rPr>
              <w:t>5m高排气筒（DA00</w:t>
            </w:r>
            <w:r>
              <w:rPr>
                <w:rFonts w:hint="eastAsia"/>
                <w:b w:val="0"/>
                <w:bCs/>
                <w:color w:val="auto"/>
                <w:sz w:val="24"/>
                <w:szCs w:val="24"/>
                <w:highlight w:val="none"/>
                <w:lang w:val="en-US" w:eastAsia="zh-CN"/>
              </w:rPr>
              <w:t>1</w:t>
            </w:r>
            <w:r>
              <w:rPr>
                <w:rFonts w:hint="eastAsia"/>
                <w:b w:val="0"/>
                <w:bCs/>
                <w:color w:val="auto"/>
                <w:sz w:val="24"/>
                <w:szCs w:val="24"/>
                <w:highlight w:val="none"/>
              </w:rPr>
              <w:t>）排放</w:t>
            </w:r>
            <w:r>
              <w:rPr>
                <w:rFonts w:hint="eastAsia"/>
                <w:color w:val="auto"/>
                <w:sz w:val="24"/>
                <w:szCs w:val="24"/>
                <w:highlight w:val="none"/>
                <w:lang w:eastAsia="zh-CN"/>
              </w:rPr>
              <w:t>，</w:t>
            </w:r>
            <w:r>
              <w:rPr>
                <w:rFonts w:hint="eastAsia"/>
                <w:color w:val="auto"/>
                <w:sz w:val="24"/>
                <w:szCs w:val="24"/>
                <w:highlight w:val="none"/>
                <w:lang w:val="en-US" w:eastAsia="zh-CN"/>
              </w:rPr>
              <w:t>其中</w:t>
            </w:r>
            <w:r>
              <w:rPr>
                <w:rFonts w:hint="eastAsia" w:cs="Times New Roman"/>
                <w:color w:val="auto"/>
                <w:spacing w:val="0"/>
                <w:kern w:val="0"/>
                <w:position w:val="0"/>
                <w:sz w:val="24"/>
                <w:szCs w:val="24"/>
                <w:highlight w:val="none"/>
                <w:lang w:val="en-US" w:eastAsia="zh-CN"/>
              </w:rPr>
              <w:t>二甲苯、苯系物、</w:t>
            </w:r>
            <w:r>
              <w:rPr>
                <w:rFonts w:hint="eastAsia" w:ascii="Times New Roman" w:hAnsi="Times New Roman" w:eastAsia="宋体" w:cs="Times New Roman"/>
                <w:color w:val="auto"/>
                <w:spacing w:val="0"/>
                <w:kern w:val="0"/>
                <w:position w:val="0"/>
                <w:sz w:val="24"/>
                <w:szCs w:val="24"/>
                <w:highlight w:val="none"/>
                <w:lang w:val="en-US" w:eastAsia="zh-CN"/>
              </w:rPr>
              <w:t>乙酸乙酯</w:t>
            </w:r>
            <w:r>
              <w:rPr>
                <w:rFonts w:hint="eastAsia" w:cs="Times New Roman"/>
                <w:color w:val="auto"/>
                <w:spacing w:val="0"/>
                <w:kern w:val="0"/>
                <w:position w:val="0"/>
                <w:sz w:val="24"/>
                <w:szCs w:val="24"/>
                <w:highlight w:val="none"/>
                <w:lang w:val="en-US" w:eastAsia="zh-CN"/>
              </w:rPr>
              <w:t>与乙酸丁酯</w:t>
            </w:r>
            <w:r>
              <w:rPr>
                <w:rFonts w:hint="eastAsia" w:ascii="Times New Roman" w:hAnsi="Times New Roman" w:eastAsia="宋体" w:cs="Times New Roman"/>
                <w:b w:val="0"/>
                <w:bCs/>
                <w:color w:val="auto"/>
                <w:spacing w:val="0"/>
                <w:kern w:val="0"/>
                <w:sz w:val="24"/>
                <w:szCs w:val="24"/>
                <w:highlight w:val="none"/>
                <w:lang w:eastAsia="zh-CN"/>
              </w:rPr>
              <w:t>、非甲烷总烃</w:t>
            </w:r>
            <w:r>
              <w:rPr>
                <w:rFonts w:hint="eastAsia" w:ascii="Times New Roman" w:hAnsi="Times New Roman" w:eastAsia="宋体" w:cs="Times New Roman"/>
                <w:color w:val="auto"/>
                <w:spacing w:val="0"/>
                <w:kern w:val="0"/>
                <w:position w:val="0"/>
                <w:sz w:val="24"/>
                <w:szCs w:val="24"/>
                <w:highlight w:val="none"/>
                <w:lang w:val="en-US" w:eastAsia="zh-CN"/>
              </w:rPr>
              <w:t>有组织排放</w:t>
            </w:r>
            <w:r>
              <w:rPr>
                <w:rFonts w:hint="eastAsia" w:ascii="Times New Roman" w:hAnsi="Times New Roman" w:eastAsia="宋体" w:cs="Times New Roman"/>
                <w:b w:val="0"/>
                <w:bCs/>
                <w:color w:val="auto"/>
                <w:spacing w:val="0"/>
                <w:kern w:val="0"/>
                <w:sz w:val="24"/>
                <w:szCs w:val="24"/>
                <w:highlight w:val="none"/>
                <w:lang w:eastAsia="zh-CN"/>
              </w:rPr>
              <w:t>执行</w:t>
            </w:r>
            <w:r>
              <w:rPr>
                <w:rFonts w:hint="eastAsia" w:ascii="Times New Roman" w:hAnsi="Times New Roman" w:eastAsia="宋体" w:cs="Times New Roman"/>
                <w:b w:val="0"/>
                <w:bCs/>
                <w:color w:val="auto"/>
                <w:spacing w:val="0"/>
                <w:sz w:val="24"/>
                <w:szCs w:val="24"/>
                <w:highlight w:val="none"/>
              </w:rPr>
              <w:t>《</w:t>
            </w:r>
            <w:r>
              <w:rPr>
                <w:rFonts w:hint="eastAsia" w:ascii="Times New Roman" w:hAnsi="Times New Roman" w:eastAsia="宋体" w:cs="Times New Roman"/>
                <w:b w:val="0"/>
                <w:bCs/>
                <w:color w:val="auto"/>
                <w:spacing w:val="0"/>
                <w:sz w:val="24"/>
                <w:szCs w:val="24"/>
                <w:highlight w:val="none"/>
                <w:lang w:eastAsia="zh-CN"/>
              </w:rPr>
              <w:t>工业涂装工序</w:t>
            </w:r>
            <w:r>
              <w:rPr>
                <w:rFonts w:hint="eastAsia" w:ascii="Times New Roman" w:hAnsi="Times New Roman" w:eastAsia="宋体" w:cs="Times New Roman"/>
                <w:b w:val="0"/>
                <w:bCs/>
                <w:color w:val="auto"/>
                <w:spacing w:val="0"/>
                <w:sz w:val="24"/>
                <w:szCs w:val="24"/>
                <w:highlight w:val="none"/>
              </w:rPr>
              <w:t>挥发性有机物排放标准》（DB35/178</w:t>
            </w:r>
            <w:r>
              <w:rPr>
                <w:rFonts w:hint="eastAsia" w:ascii="Times New Roman" w:hAnsi="Times New Roman" w:eastAsia="宋体" w:cs="Times New Roman"/>
                <w:b w:val="0"/>
                <w:bCs/>
                <w:color w:val="auto"/>
                <w:spacing w:val="0"/>
                <w:sz w:val="24"/>
                <w:szCs w:val="24"/>
                <w:highlight w:val="none"/>
                <w:lang w:val="en-US" w:eastAsia="zh-CN"/>
              </w:rPr>
              <w:t>3</w:t>
            </w:r>
            <w:r>
              <w:rPr>
                <w:rFonts w:hint="eastAsia" w:ascii="Times New Roman" w:hAnsi="Times New Roman" w:eastAsia="宋体" w:cs="Times New Roman"/>
                <w:b w:val="0"/>
                <w:bCs/>
                <w:color w:val="auto"/>
                <w:spacing w:val="0"/>
                <w:sz w:val="24"/>
                <w:szCs w:val="24"/>
                <w:highlight w:val="none"/>
              </w:rPr>
              <w:t>-2018）</w:t>
            </w:r>
            <w:r>
              <w:rPr>
                <w:rFonts w:hint="default" w:ascii="Times New Roman" w:hAnsi="Times New Roman" w:eastAsia="宋体" w:cs="Times New Roman"/>
                <w:bCs/>
                <w:color w:val="auto"/>
                <w:spacing w:val="0"/>
                <w:sz w:val="24"/>
                <w:szCs w:val="24"/>
                <w:highlight w:val="none"/>
              </w:rPr>
              <w:t>中</w:t>
            </w:r>
            <w:r>
              <w:rPr>
                <w:rFonts w:hint="eastAsia" w:cs="Times New Roman"/>
                <w:bCs/>
                <w:color w:val="auto"/>
                <w:spacing w:val="0"/>
                <w:sz w:val="24"/>
                <w:szCs w:val="24"/>
                <w:highlight w:val="none"/>
                <w:lang w:val="en-US" w:eastAsia="zh-CN"/>
              </w:rPr>
              <w:t>表1</w:t>
            </w:r>
            <w:r>
              <w:rPr>
                <w:rFonts w:hint="eastAsia" w:ascii="Times New Roman" w:hAnsi="Times New Roman" w:eastAsia="宋体" w:cs="Times New Roman"/>
                <w:bCs/>
                <w:color w:val="auto"/>
                <w:spacing w:val="0"/>
                <w:sz w:val="24"/>
                <w:szCs w:val="24"/>
                <w:highlight w:val="none"/>
                <w:lang w:eastAsia="zh-CN"/>
              </w:rPr>
              <w:t>“</w:t>
            </w:r>
            <w:r>
              <w:rPr>
                <w:rFonts w:hint="default" w:ascii="Times New Roman" w:hAnsi="Times New Roman" w:eastAsia="宋体" w:cs="Times New Roman"/>
                <w:bCs/>
                <w:color w:val="auto"/>
                <w:spacing w:val="0"/>
                <w:sz w:val="24"/>
                <w:szCs w:val="24"/>
                <w:highlight w:val="none"/>
              </w:rPr>
              <w:t>涉涂装工序的其他行业</w:t>
            </w:r>
            <w:r>
              <w:rPr>
                <w:rFonts w:hint="eastAsia" w:ascii="Times New Roman" w:hAnsi="Times New Roman" w:eastAsia="宋体" w:cs="Times New Roman"/>
                <w:bCs/>
                <w:color w:val="auto"/>
                <w:spacing w:val="0"/>
                <w:sz w:val="24"/>
                <w:szCs w:val="24"/>
                <w:highlight w:val="none"/>
                <w:lang w:eastAsia="zh-CN"/>
              </w:rPr>
              <w:t>”</w:t>
            </w:r>
            <w:r>
              <w:rPr>
                <w:rFonts w:hint="eastAsia" w:ascii="Times New Roman" w:hAnsi="Times New Roman" w:eastAsia="宋体" w:cs="Times New Roman"/>
                <w:b w:val="0"/>
                <w:bCs/>
                <w:color w:val="auto"/>
                <w:spacing w:val="0"/>
                <w:sz w:val="24"/>
                <w:szCs w:val="24"/>
                <w:highlight w:val="none"/>
              </w:rPr>
              <w:t>标准限值</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pacing w:val="0"/>
                <w:kern w:val="0"/>
                <w:position w:val="0"/>
                <w:sz w:val="24"/>
                <w:szCs w:val="24"/>
                <w:highlight w:val="none"/>
                <w:lang w:val="en-US" w:eastAsia="zh-CN"/>
              </w:rPr>
              <w:t>漆雾（颗粒物）有组织排放</w:t>
            </w:r>
            <w:r>
              <w:rPr>
                <w:rFonts w:hint="eastAsia" w:ascii="Times New Roman" w:hAnsi="Times New Roman" w:eastAsia="宋体" w:cs="Times New Roman"/>
                <w:b w:val="0"/>
                <w:bCs/>
                <w:color w:val="auto"/>
                <w:spacing w:val="0"/>
                <w:kern w:val="0"/>
                <w:position w:val="0"/>
                <w:sz w:val="24"/>
                <w:szCs w:val="24"/>
                <w:highlight w:val="none"/>
                <w:lang w:eastAsia="zh-CN"/>
              </w:rPr>
              <w:t>执行</w:t>
            </w:r>
            <w:r>
              <w:rPr>
                <w:rFonts w:hint="eastAsia" w:ascii="Times New Roman" w:hAnsi="Times New Roman" w:eastAsia="宋体" w:cs="Times New Roman"/>
                <w:color w:val="auto"/>
                <w:spacing w:val="0"/>
                <w:kern w:val="0"/>
                <w:position w:val="0"/>
                <w:sz w:val="24"/>
                <w:szCs w:val="24"/>
                <w:highlight w:val="none"/>
                <w:lang w:val="en-US" w:eastAsia="zh-CN" w:bidi="ar"/>
              </w:rPr>
              <w:t>《大气污染物综合排放标准》（</w:t>
            </w:r>
            <w:r>
              <w:rPr>
                <w:rFonts w:hint="default" w:ascii="Times New Roman" w:hAnsi="Times New Roman" w:eastAsia="宋体" w:cs="Times New Roman"/>
                <w:color w:val="auto"/>
                <w:spacing w:val="0"/>
                <w:kern w:val="0"/>
                <w:position w:val="0"/>
                <w:sz w:val="24"/>
                <w:szCs w:val="24"/>
                <w:highlight w:val="none"/>
                <w:lang w:val="en-US" w:eastAsia="zh-CN" w:bidi="ar"/>
              </w:rPr>
              <w:t>GB16297-1996</w:t>
            </w:r>
            <w:r>
              <w:rPr>
                <w:rFonts w:hint="eastAsia" w:ascii="Times New Roman" w:hAnsi="Times New Roman" w:eastAsia="宋体" w:cs="Times New Roman"/>
                <w:color w:val="auto"/>
                <w:spacing w:val="0"/>
                <w:kern w:val="0"/>
                <w:position w:val="0"/>
                <w:sz w:val="24"/>
                <w:szCs w:val="24"/>
                <w:highlight w:val="none"/>
                <w:lang w:val="en-US" w:eastAsia="zh-CN" w:bidi="ar"/>
              </w:rPr>
              <w:t>）表</w:t>
            </w:r>
            <w:r>
              <w:rPr>
                <w:rFonts w:hint="default" w:ascii="Times New Roman" w:hAnsi="Times New Roman" w:eastAsia="宋体" w:cs="Times New Roman"/>
                <w:color w:val="auto"/>
                <w:spacing w:val="0"/>
                <w:kern w:val="0"/>
                <w:position w:val="0"/>
                <w:sz w:val="24"/>
                <w:szCs w:val="24"/>
                <w:highlight w:val="none"/>
                <w:lang w:val="en-US" w:eastAsia="zh-CN" w:bidi="ar"/>
              </w:rPr>
              <w:t>2</w:t>
            </w:r>
            <w:r>
              <w:rPr>
                <w:rFonts w:hint="eastAsia" w:ascii="Times New Roman" w:hAnsi="Times New Roman" w:eastAsia="宋体" w:cs="Times New Roman"/>
                <w:color w:val="auto"/>
                <w:spacing w:val="0"/>
                <w:kern w:val="0"/>
                <w:position w:val="0"/>
                <w:sz w:val="24"/>
                <w:szCs w:val="24"/>
                <w:highlight w:val="none"/>
                <w:lang w:val="en-US" w:eastAsia="zh-CN" w:bidi="ar"/>
              </w:rPr>
              <w:t>二级标准</w:t>
            </w:r>
            <w:r>
              <w:rPr>
                <w:rFonts w:hint="eastAsia" w:ascii="Times New Roman" w:hAnsi="Times New Roman" w:eastAsia="宋体" w:cs="Times New Roman"/>
                <w:b w:val="0"/>
                <w:bCs w:val="0"/>
                <w:color w:val="auto"/>
                <w:spacing w:val="0"/>
                <w:position w:val="0"/>
                <w:sz w:val="24"/>
                <w:szCs w:val="24"/>
                <w:highlight w:val="none"/>
                <w:vertAlign w:val="baseline"/>
                <w:lang w:eastAsia="zh-CN" w:bidi="ar"/>
              </w:rPr>
              <w:t>。</w:t>
            </w:r>
          </w:p>
          <w:p w14:paraId="0A7E53EE">
            <w:pPr>
              <w:pStyle w:val="141"/>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eastAsia" w:ascii="Times New Roman" w:hAnsi="Times New Roman" w:eastAsia="宋体" w:cs="Times New Roman"/>
                <w:b/>
                <w:bCs/>
                <w:color w:val="auto"/>
                <w:spacing w:val="0"/>
                <w:position w:val="0"/>
                <w:sz w:val="24"/>
                <w:szCs w:val="24"/>
                <w:highlight w:val="none"/>
                <w:lang w:val="en-US" w:eastAsia="zh-CN"/>
              </w:rPr>
            </w:pPr>
            <w:r>
              <w:rPr>
                <w:rFonts w:hint="eastAsia" w:ascii="Times New Roman" w:hAnsi="Times New Roman" w:eastAsia="宋体" w:cs="Times New Roman"/>
                <w:b/>
                <w:bCs/>
                <w:color w:val="auto"/>
                <w:spacing w:val="0"/>
                <w:position w:val="0"/>
                <w:sz w:val="24"/>
                <w:szCs w:val="24"/>
                <w:highlight w:val="none"/>
                <w:lang w:val="en-US" w:eastAsia="zh-CN"/>
              </w:rPr>
              <w:t>无组织：</w:t>
            </w:r>
          </w:p>
          <w:p w14:paraId="693820B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b/>
                <w:bCs/>
                <w:color w:val="auto"/>
                <w:spacing w:val="0"/>
                <w:kern w:val="0"/>
                <w:position w:val="0"/>
                <w:sz w:val="24"/>
                <w:szCs w:val="24"/>
                <w:highlight w:val="none"/>
                <w:lang w:val="en-US" w:eastAsia="zh-CN" w:bidi="ar"/>
              </w:rPr>
              <w:t>厂界</w:t>
            </w:r>
            <w:r>
              <w:rPr>
                <w:rFonts w:hint="eastAsia" w:cs="Times New Roman"/>
                <w:b/>
                <w:bCs/>
                <w:color w:val="auto"/>
                <w:spacing w:val="0"/>
                <w:kern w:val="0"/>
                <w:position w:val="0"/>
                <w:sz w:val="24"/>
                <w:szCs w:val="24"/>
                <w:highlight w:val="none"/>
                <w:lang w:val="en-US" w:eastAsia="zh-CN" w:bidi="ar"/>
              </w:rPr>
              <w:t>：</w:t>
            </w:r>
            <w:r>
              <w:rPr>
                <w:rFonts w:hint="eastAsia" w:ascii="Times New Roman" w:hAnsi="Times New Roman" w:eastAsia="宋体" w:cs="Times New Roman"/>
                <w:color w:val="auto"/>
                <w:spacing w:val="0"/>
                <w:kern w:val="0"/>
                <w:position w:val="0"/>
                <w:sz w:val="24"/>
                <w:szCs w:val="24"/>
                <w:highlight w:val="none"/>
                <w:lang w:val="en-US" w:eastAsia="zh-CN" w:bidi="ar"/>
              </w:rPr>
              <w:t>颗粒物无组织排放执行《大气污染物综合排放标准》（</w:t>
            </w:r>
            <w:r>
              <w:rPr>
                <w:rFonts w:hint="default" w:ascii="Times New Roman" w:hAnsi="Times New Roman" w:eastAsia="宋体" w:cs="Times New Roman"/>
                <w:color w:val="auto"/>
                <w:spacing w:val="0"/>
                <w:kern w:val="0"/>
                <w:position w:val="0"/>
                <w:sz w:val="24"/>
                <w:szCs w:val="24"/>
                <w:highlight w:val="none"/>
                <w:lang w:val="en-US" w:eastAsia="zh-CN" w:bidi="ar"/>
              </w:rPr>
              <w:t>GB16297-1996</w:t>
            </w:r>
            <w:r>
              <w:rPr>
                <w:rFonts w:hint="eastAsia" w:ascii="Times New Roman" w:hAnsi="Times New Roman" w:eastAsia="宋体" w:cs="Times New Roman"/>
                <w:color w:val="auto"/>
                <w:spacing w:val="0"/>
                <w:kern w:val="0"/>
                <w:position w:val="0"/>
                <w:sz w:val="24"/>
                <w:szCs w:val="24"/>
                <w:highlight w:val="none"/>
                <w:lang w:val="en-US" w:eastAsia="zh-CN" w:bidi="ar"/>
              </w:rPr>
              <w:t>）表</w:t>
            </w:r>
            <w:r>
              <w:rPr>
                <w:rFonts w:hint="default" w:ascii="Times New Roman" w:hAnsi="Times New Roman" w:eastAsia="宋体" w:cs="Times New Roman"/>
                <w:color w:val="auto"/>
                <w:spacing w:val="0"/>
                <w:kern w:val="0"/>
                <w:position w:val="0"/>
                <w:sz w:val="24"/>
                <w:szCs w:val="24"/>
                <w:highlight w:val="none"/>
                <w:lang w:val="en-US" w:eastAsia="zh-CN" w:bidi="ar"/>
              </w:rPr>
              <w:t>2</w:t>
            </w:r>
            <w:r>
              <w:rPr>
                <w:rFonts w:hint="eastAsia" w:ascii="Times New Roman" w:hAnsi="Times New Roman" w:eastAsia="宋体" w:cs="Times New Roman"/>
                <w:color w:val="auto"/>
                <w:spacing w:val="0"/>
                <w:kern w:val="0"/>
                <w:position w:val="0"/>
                <w:sz w:val="24"/>
                <w:szCs w:val="24"/>
                <w:highlight w:val="none"/>
                <w:lang w:val="en-US" w:eastAsia="zh-CN" w:bidi="ar"/>
              </w:rPr>
              <w:t>周界外浓度最高点排放限值</w:t>
            </w:r>
            <w:r>
              <w:rPr>
                <w:rFonts w:hint="eastAsia" w:cs="Times New Roman"/>
                <w:color w:val="auto"/>
                <w:spacing w:val="0"/>
                <w:kern w:val="0"/>
                <w:sz w:val="24"/>
                <w:szCs w:val="24"/>
                <w:highlight w:val="none"/>
                <w:lang w:val="en-US" w:eastAsia="zh-CN"/>
              </w:rPr>
              <w:t>；</w:t>
            </w:r>
            <w:r>
              <w:rPr>
                <w:rFonts w:hint="eastAsia" w:ascii="Times New Roman" w:hAnsi="Times New Roman" w:eastAsia="宋体" w:cs="Times New Roman"/>
                <w:color w:val="auto"/>
                <w:spacing w:val="0"/>
                <w:kern w:val="0"/>
                <w:position w:val="0"/>
                <w:sz w:val="24"/>
                <w:szCs w:val="24"/>
                <w:highlight w:val="none"/>
                <w:lang w:val="en-US" w:eastAsia="zh-CN" w:bidi="ar"/>
              </w:rPr>
              <w:t>非甲烷总烃、</w:t>
            </w:r>
            <w:r>
              <w:rPr>
                <w:rFonts w:hint="eastAsia" w:cs="Times New Roman"/>
                <w:color w:val="auto"/>
                <w:spacing w:val="0"/>
                <w:kern w:val="0"/>
                <w:position w:val="0"/>
                <w:sz w:val="24"/>
                <w:szCs w:val="24"/>
                <w:highlight w:val="none"/>
                <w:lang w:val="en-US" w:eastAsia="zh-CN" w:bidi="ar"/>
              </w:rPr>
              <w:t>二甲苯、</w:t>
            </w:r>
            <w:r>
              <w:rPr>
                <w:rFonts w:hint="eastAsia" w:ascii="Times New Roman" w:hAnsi="Times New Roman" w:eastAsia="宋体" w:cs="Times New Roman"/>
                <w:color w:val="auto"/>
                <w:spacing w:val="0"/>
                <w:kern w:val="0"/>
                <w:position w:val="0"/>
                <w:sz w:val="24"/>
                <w:szCs w:val="24"/>
                <w:highlight w:val="none"/>
                <w:lang w:val="en-US" w:eastAsia="zh-CN"/>
              </w:rPr>
              <w:t>乙酸乙酯</w:t>
            </w:r>
            <w:r>
              <w:rPr>
                <w:rFonts w:hint="eastAsia" w:ascii="Times New Roman" w:hAnsi="Times New Roman" w:eastAsia="宋体" w:cs="Times New Roman"/>
                <w:color w:val="auto"/>
                <w:spacing w:val="0"/>
                <w:kern w:val="0"/>
                <w:position w:val="0"/>
                <w:sz w:val="24"/>
                <w:szCs w:val="24"/>
                <w:highlight w:val="none"/>
                <w:lang w:val="en-US" w:eastAsia="zh-CN" w:bidi="ar"/>
              </w:rPr>
              <w:t>无组织排放执行《工业涂装工序挥发性有机物排放标准》（</w:t>
            </w:r>
            <w:r>
              <w:rPr>
                <w:rFonts w:hint="default" w:ascii="Times New Roman" w:hAnsi="Times New Roman" w:eastAsia="宋体" w:cs="Times New Roman"/>
                <w:color w:val="auto"/>
                <w:spacing w:val="0"/>
                <w:kern w:val="0"/>
                <w:position w:val="0"/>
                <w:sz w:val="24"/>
                <w:szCs w:val="24"/>
                <w:highlight w:val="none"/>
                <w:lang w:val="en-US" w:eastAsia="zh-CN" w:bidi="ar"/>
              </w:rPr>
              <w:t>DB35/1783-2018</w:t>
            </w:r>
            <w:r>
              <w:rPr>
                <w:rFonts w:hint="eastAsia" w:ascii="Times New Roman" w:hAnsi="Times New Roman" w:eastAsia="宋体" w:cs="Times New Roman"/>
                <w:color w:val="auto"/>
                <w:spacing w:val="0"/>
                <w:kern w:val="0"/>
                <w:position w:val="0"/>
                <w:sz w:val="24"/>
                <w:szCs w:val="24"/>
                <w:highlight w:val="none"/>
                <w:lang w:val="en-US" w:eastAsia="zh-CN" w:bidi="ar"/>
              </w:rPr>
              <w:t>）表</w:t>
            </w:r>
            <w:r>
              <w:rPr>
                <w:rFonts w:hint="default" w:ascii="Times New Roman" w:hAnsi="Times New Roman" w:eastAsia="宋体" w:cs="Times New Roman"/>
                <w:color w:val="auto"/>
                <w:spacing w:val="0"/>
                <w:kern w:val="0"/>
                <w:position w:val="0"/>
                <w:sz w:val="24"/>
                <w:szCs w:val="24"/>
                <w:highlight w:val="none"/>
                <w:lang w:val="en-US" w:eastAsia="zh-CN" w:bidi="ar"/>
              </w:rPr>
              <w:t>4</w:t>
            </w:r>
            <w:r>
              <w:rPr>
                <w:rFonts w:hint="eastAsia" w:ascii="Times New Roman" w:hAnsi="Times New Roman" w:eastAsia="宋体" w:cs="Times New Roman"/>
                <w:color w:val="auto"/>
                <w:spacing w:val="0"/>
                <w:kern w:val="0"/>
                <w:position w:val="0"/>
                <w:sz w:val="24"/>
                <w:szCs w:val="24"/>
                <w:highlight w:val="none"/>
                <w:lang w:val="en-US" w:eastAsia="zh-CN" w:bidi="ar"/>
              </w:rPr>
              <w:t>标准</w:t>
            </w:r>
            <w:r>
              <w:rPr>
                <w:rFonts w:hint="eastAsia" w:ascii="Times New Roman" w:hAnsi="Times New Roman" w:eastAsia="宋体" w:cs="Times New Roman"/>
                <w:color w:val="auto"/>
                <w:sz w:val="24"/>
                <w:szCs w:val="24"/>
                <w:highlight w:val="none"/>
                <w:lang w:eastAsia="zh-CN"/>
              </w:rPr>
              <w:t>。</w:t>
            </w:r>
          </w:p>
          <w:p w14:paraId="17081609">
            <w:pPr>
              <w:pStyle w:val="141"/>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b/>
                <w:bCs/>
                <w:color w:val="auto"/>
                <w:spacing w:val="0"/>
                <w:kern w:val="0"/>
                <w:position w:val="0"/>
                <w:sz w:val="24"/>
                <w:szCs w:val="24"/>
                <w:highlight w:val="none"/>
                <w:lang w:val="en-US" w:eastAsia="zh-CN" w:bidi="ar"/>
              </w:rPr>
              <w:t>厂区内</w:t>
            </w:r>
            <w:r>
              <w:rPr>
                <w:rFonts w:hint="eastAsia" w:cs="Times New Roman"/>
                <w:b/>
                <w:bCs/>
                <w:color w:val="auto"/>
                <w:spacing w:val="0"/>
                <w:kern w:val="0"/>
                <w:position w:val="0"/>
                <w:sz w:val="24"/>
                <w:szCs w:val="24"/>
                <w:highlight w:val="none"/>
                <w:lang w:val="en-US" w:eastAsia="zh-CN" w:bidi="ar"/>
              </w:rPr>
              <w:t>：</w:t>
            </w:r>
            <w:r>
              <w:rPr>
                <w:rFonts w:hint="eastAsia" w:ascii="Times New Roman" w:hAnsi="Times New Roman" w:eastAsia="宋体" w:cs="Times New Roman"/>
                <w:color w:val="auto"/>
                <w:spacing w:val="0"/>
                <w:kern w:val="0"/>
                <w:position w:val="0"/>
                <w:sz w:val="24"/>
                <w:szCs w:val="24"/>
                <w:highlight w:val="none"/>
                <w:lang w:val="en-US" w:eastAsia="zh-CN" w:bidi="ar"/>
              </w:rPr>
              <w:t>非甲烷总烃</w:t>
            </w:r>
            <w:r>
              <w:rPr>
                <w:rFonts w:hint="default" w:ascii="Times New Roman" w:hAnsi="Times New Roman" w:eastAsia="宋体" w:cs="Times New Roman"/>
                <w:color w:val="auto"/>
                <w:spacing w:val="0"/>
                <w:kern w:val="0"/>
                <w:position w:val="0"/>
                <w:sz w:val="24"/>
                <w:szCs w:val="24"/>
                <w:highlight w:val="none"/>
                <w:lang w:val="en-US" w:eastAsia="zh-CN" w:bidi="ar"/>
              </w:rPr>
              <w:t>1</w:t>
            </w:r>
            <w:r>
              <w:rPr>
                <w:rFonts w:hint="eastAsia" w:ascii="Times New Roman" w:hAnsi="Times New Roman" w:eastAsia="宋体" w:cs="Times New Roman"/>
                <w:color w:val="auto"/>
                <w:spacing w:val="0"/>
                <w:kern w:val="0"/>
                <w:position w:val="0"/>
                <w:sz w:val="24"/>
                <w:szCs w:val="24"/>
                <w:highlight w:val="none"/>
                <w:lang w:val="en-US" w:eastAsia="zh-CN" w:bidi="ar"/>
              </w:rPr>
              <w:t>小时平均浓度执行《工业涂装工序挥发性有机物排放标准》（</w:t>
            </w:r>
            <w:r>
              <w:rPr>
                <w:rFonts w:hint="default" w:ascii="Times New Roman" w:hAnsi="Times New Roman" w:eastAsia="宋体" w:cs="Times New Roman"/>
                <w:color w:val="auto"/>
                <w:spacing w:val="0"/>
                <w:kern w:val="0"/>
                <w:position w:val="0"/>
                <w:sz w:val="24"/>
                <w:szCs w:val="24"/>
                <w:highlight w:val="none"/>
                <w:lang w:val="en-US" w:eastAsia="zh-CN" w:bidi="ar"/>
              </w:rPr>
              <w:t>DB35/1783-2018</w:t>
            </w:r>
            <w:r>
              <w:rPr>
                <w:rFonts w:hint="eastAsia" w:ascii="Times New Roman" w:hAnsi="Times New Roman" w:eastAsia="宋体" w:cs="Times New Roman"/>
                <w:color w:val="auto"/>
                <w:spacing w:val="0"/>
                <w:kern w:val="0"/>
                <w:position w:val="0"/>
                <w:sz w:val="24"/>
                <w:szCs w:val="24"/>
                <w:highlight w:val="none"/>
                <w:lang w:val="en-US" w:eastAsia="zh-CN" w:bidi="ar"/>
              </w:rPr>
              <w:t>）表</w:t>
            </w:r>
            <w:r>
              <w:rPr>
                <w:rFonts w:hint="default" w:ascii="Times New Roman" w:hAnsi="Times New Roman" w:eastAsia="宋体" w:cs="Times New Roman"/>
                <w:color w:val="auto"/>
                <w:spacing w:val="0"/>
                <w:kern w:val="0"/>
                <w:position w:val="0"/>
                <w:sz w:val="24"/>
                <w:szCs w:val="24"/>
                <w:highlight w:val="none"/>
                <w:lang w:val="en-US" w:eastAsia="zh-CN" w:bidi="ar"/>
              </w:rPr>
              <w:t>3</w:t>
            </w:r>
            <w:r>
              <w:rPr>
                <w:rFonts w:hint="eastAsia" w:ascii="Times New Roman" w:hAnsi="Times New Roman" w:eastAsia="宋体" w:cs="Times New Roman"/>
                <w:color w:val="auto"/>
                <w:spacing w:val="0"/>
                <w:kern w:val="0"/>
                <w:position w:val="0"/>
                <w:sz w:val="24"/>
                <w:szCs w:val="24"/>
                <w:highlight w:val="none"/>
                <w:lang w:val="en-US" w:eastAsia="zh-CN" w:bidi="ar"/>
              </w:rPr>
              <w:t>标准</w:t>
            </w:r>
            <w:r>
              <w:rPr>
                <w:rFonts w:hint="eastAsia" w:cs="Times New Roman"/>
                <w:color w:val="auto"/>
                <w:spacing w:val="0"/>
                <w:kern w:val="0"/>
                <w:position w:val="0"/>
                <w:sz w:val="24"/>
                <w:szCs w:val="24"/>
                <w:highlight w:val="none"/>
                <w:lang w:val="en-US" w:eastAsia="zh-CN" w:bidi="ar"/>
              </w:rPr>
              <w:t>，</w:t>
            </w:r>
            <w:r>
              <w:rPr>
                <w:rFonts w:hint="eastAsia" w:ascii="Times New Roman" w:hAnsi="Times New Roman" w:eastAsia="宋体" w:cs="Times New Roman"/>
                <w:color w:val="auto"/>
                <w:spacing w:val="0"/>
                <w:kern w:val="0"/>
                <w:position w:val="0"/>
                <w:sz w:val="24"/>
                <w:szCs w:val="24"/>
                <w:highlight w:val="none"/>
                <w:lang w:val="en-US" w:eastAsia="zh-CN" w:bidi="ar"/>
              </w:rPr>
              <w:t>监控点处任意一次非甲烷总烃浓度值执行《挥发性有机物无组织排放控制标准》（</w:t>
            </w:r>
            <w:r>
              <w:rPr>
                <w:rFonts w:hint="default" w:ascii="Times New Roman" w:hAnsi="Times New Roman" w:eastAsia="宋体" w:cs="Times New Roman"/>
                <w:color w:val="auto"/>
                <w:spacing w:val="0"/>
                <w:kern w:val="0"/>
                <w:position w:val="0"/>
                <w:sz w:val="24"/>
                <w:szCs w:val="24"/>
                <w:highlight w:val="none"/>
                <w:lang w:val="en-US" w:eastAsia="zh-CN" w:bidi="ar"/>
              </w:rPr>
              <w:t>GB37822-2019</w:t>
            </w:r>
            <w:r>
              <w:rPr>
                <w:rFonts w:hint="eastAsia" w:ascii="Times New Roman" w:hAnsi="Times New Roman" w:eastAsia="宋体" w:cs="Times New Roman"/>
                <w:color w:val="auto"/>
                <w:spacing w:val="0"/>
                <w:kern w:val="0"/>
                <w:position w:val="0"/>
                <w:sz w:val="24"/>
                <w:szCs w:val="24"/>
                <w:highlight w:val="none"/>
                <w:lang w:val="en-US" w:eastAsia="zh-CN" w:bidi="ar"/>
              </w:rPr>
              <w:t>）附录</w:t>
            </w:r>
            <w:r>
              <w:rPr>
                <w:rFonts w:hint="default" w:ascii="Times New Roman" w:hAnsi="Times New Roman" w:eastAsia="宋体" w:cs="Times New Roman"/>
                <w:color w:val="auto"/>
                <w:spacing w:val="0"/>
                <w:kern w:val="0"/>
                <w:position w:val="0"/>
                <w:sz w:val="24"/>
                <w:szCs w:val="24"/>
                <w:highlight w:val="none"/>
                <w:lang w:val="en-US" w:eastAsia="zh-CN" w:bidi="ar"/>
              </w:rPr>
              <w:t>A</w:t>
            </w:r>
            <w:r>
              <w:rPr>
                <w:rFonts w:hint="eastAsia" w:ascii="Times New Roman" w:hAnsi="Times New Roman" w:eastAsia="宋体" w:cs="Times New Roman"/>
                <w:color w:val="auto"/>
                <w:spacing w:val="0"/>
                <w:kern w:val="0"/>
                <w:position w:val="0"/>
                <w:sz w:val="24"/>
                <w:szCs w:val="24"/>
                <w:highlight w:val="none"/>
                <w:lang w:val="en-US" w:eastAsia="zh-CN" w:bidi="ar"/>
              </w:rPr>
              <w:t>表</w:t>
            </w:r>
            <w:r>
              <w:rPr>
                <w:rFonts w:hint="default" w:ascii="Times New Roman" w:hAnsi="Times New Roman" w:eastAsia="宋体" w:cs="Times New Roman"/>
                <w:color w:val="auto"/>
                <w:spacing w:val="0"/>
                <w:kern w:val="0"/>
                <w:position w:val="0"/>
                <w:sz w:val="24"/>
                <w:szCs w:val="24"/>
                <w:highlight w:val="none"/>
                <w:lang w:val="en-US" w:eastAsia="zh-CN" w:bidi="ar"/>
              </w:rPr>
              <w:t>A.1</w:t>
            </w:r>
            <w:r>
              <w:rPr>
                <w:rFonts w:hint="eastAsia" w:ascii="Times New Roman" w:hAnsi="Times New Roman" w:eastAsia="宋体" w:cs="Times New Roman"/>
                <w:color w:val="auto"/>
                <w:spacing w:val="0"/>
                <w:kern w:val="0"/>
                <w:position w:val="0"/>
                <w:sz w:val="24"/>
                <w:szCs w:val="24"/>
                <w:highlight w:val="none"/>
                <w:lang w:val="en-US" w:eastAsia="zh-CN" w:bidi="ar"/>
              </w:rPr>
              <w:t>标准。</w:t>
            </w:r>
          </w:p>
          <w:p w14:paraId="5F4D7876">
            <w:pPr>
              <w:widowControl/>
              <w:snapToGrid w:val="0"/>
              <w:spacing w:line="240" w:lineRule="auto"/>
              <w:jc w:val="center"/>
              <w:rPr>
                <w:rFonts w:hint="eastAsia" w:ascii="Times New Roman" w:hAnsi="Times New Roman" w:eastAsia="宋体" w:cs="Times New Roman"/>
                <w:b/>
                <w:color w:val="auto"/>
                <w:spacing w:val="0"/>
                <w:position w:val="0"/>
                <w:sz w:val="24"/>
                <w:szCs w:val="24"/>
                <w:highlight w:val="none"/>
                <w:lang w:val="en-US" w:eastAsia="zh-CN"/>
              </w:rPr>
            </w:pPr>
            <w:r>
              <w:rPr>
                <w:rFonts w:hint="default" w:ascii="Times New Roman" w:hAnsi="Times New Roman" w:eastAsia="宋体" w:cs="Times New Roman"/>
                <w:b/>
                <w:color w:val="auto"/>
                <w:spacing w:val="0"/>
                <w:position w:val="0"/>
                <w:sz w:val="24"/>
                <w:szCs w:val="24"/>
                <w:highlight w:val="none"/>
              </w:rPr>
              <w:t>表</w:t>
            </w:r>
            <w:r>
              <w:rPr>
                <w:rFonts w:hint="default" w:ascii="Times New Roman" w:hAnsi="Times New Roman" w:eastAsia="宋体" w:cs="Times New Roman"/>
                <w:b/>
                <w:color w:val="auto"/>
                <w:spacing w:val="0"/>
                <w:position w:val="0"/>
                <w:sz w:val="24"/>
                <w:szCs w:val="24"/>
                <w:highlight w:val="none"/>
                <w:lang w:val="en-US" w:eastAsia="zh-CN"/>
              </w:rPr>
              <w:t>3</w:t>
            </w:r>
            <w:r>
              <w:rPr>
                <w:rFonts w:hint="eastAsia" w:ascii="Times New Roman" w:hAnsi="Times New Roman" w:eastAsia="宋体" w:cs="Times New Roman"/>
                <w:b/>
                <w:color w:val="auto"/>
                <w:spacing w:val="0"/>
                <w:position w:val="0"/>
                <w:sz w:val="24"/>
                <w:szCs w:val="24"/>
                <w:highlight w:val="none"/>
                <w:lang w:val="en-US" w:eastAsia="zh-CN"/>
              </w:rPr>
              <w:t>.</w:t>
            </w:r>
            <w:r>
              <w:rPr>
                <w:rFonts w:hint="eastAsia" w:cs="Times New Roman"/>
                <w:b/>
                <w:color w:val="auto"/>
                <w:spacing w:val="0"/>
                <w:position w:val="0"/>
                <w:sz w:val="24"/>
                <w:szCs w:val="24"/>
                <w:highlight w:val="none"/>
                <w:lang w:val="en-US" w:eastAsia="zh-CN"/>
              </w:rPr>
              <w:t>4</w:t>
            </w:r>
            <w:r>
              <w:rPr>
                <w:rFonts w:hint="eastAsia" w:ascii="Times New Roman" w:hAnsi="Times New Roman" w:eastAsia="宋体" w:cs="Times New Roman"/>
                <w:b/>
                <w:color w:val="auto"/>
                <w:spacing w:val="0"/>
                <w:position w:val="0"/>
                <w:sz w:val="24"/>
                <w:szCs w:val="24"/>
                <w:highlight w:val="none"/>
                <w:lang w:val="en-US" w:eastAsia="zh-CN"/>
              </w:rPr>
              <w:t>-</w:t>
            </w:r>
            <w:r>
              <w:rPr>
                <w:rFonts w:hint="eastAsia" w:cs="Times New Roman"/>
                <w:b/>
                <w:color w:val="auto"/>
                <w:spacing w:val="0"/>
                <w:position w:val="0"/>
                <w:sz w:val="24"/>
                <w:szCs w:val="24"/>
                <w:highlight w:val="none"/>
                <w:lang w:val="en-US" w:eastAsia="zh-CN"/>
              </w:rPr>
              <w:t>2</w:t>
            </w:r>
            <w:r>
              <w:rPr>
                <w:rFonts w:hint="eastAsia" w:ascii="Times New Roman" w:hAnsi="Times New Roman" w:eastAsia="宋体" w:cs="Times New Roman"/>
                <w:b/>
                <w:color w:val="auto"/>
                <w:spacing w:val="0"/>
                <w:position w:val="0"/>
                <w:sz w:val="24"/>
                <w:szCs w:val="24"/>
                <w:highlight w:val="none"/>
                <w:lang w:val="en-US" w:eastAsia="zh-CN"/>
              </w:rPr>
              <w:t xml:space="preserve"> 项目</w:t>
            </w:r>
            <w:r>
              <w:rPr>
                <w:rFonts w:hint="eastAsia" w:cs="Times New Roman"/>
                <w:b/>
                <w:color w:val="auto"/>
                <w:spacing w:val="0"/>
                <w:position w:val="0"/>
                <w:sz w:val="24"/>
                <w:szCs w:val="24"/>
                <w:highlight w:val="none"/>
                <w:lang w:val="en-US" w:eastAsia="zh-CN"/>
              </w:rPr>
              <w:t>有组织</w:t>
            </w:r>
            <w:r>
              <w:rPr>
                <w:rFonts w:hint="eastAsia" w:ascii="Times New Roman" w:hAnsi="Times New Roman" w:eastAsia="宋体" w:cs="Times New Roman"/>
                <w:b/>
                <w:color w:val="auto"/>
                <w:spacing w:val="0"/>
                <w:position w:val="0"/>
                <w:sz w:val="24"/>
                <w:szCs w:val="24"/>
                <w:highlight w:val="none"/>
                <w:lang w:val="en-US" w:eastAsia="zh-CN"/>
              </w:rPr>
              <w:t>废气执行标准</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99"/>
              <w:gridCol w:w="1484"/>
              <w:gridCol w:w="836"/>
              <w:gridCol w:w="1432"/>
              <w:gridCol w:w="2923"/>
            </w:tblGrid>
            <w:tr w14:paraId="43DD33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99" w:type="dxa"/>
                  <w:vMerge w:val="restart"/>
                  <w:tcBorders>
                    <w:tl2br w:val="nil"/>
                    <w:tr2bl w:val="nil"/>
                  </w:tcBorders>
                  <w:noWrap w:val="0"/>
                  <w:vAlign w:val="center"/>
                </w:tcPr>
                <w:p w14:paraId="6E1280E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val="0"/>
                      <w:color w:val="auto"/>
                      <w:spacing w:val="0"/>
                      <w:position w:val="0"/>
                      <w:sz w:val="21"/>
                      <w:szCs w:val="21"/>
                      <w:highlight w:val="none"/>
                      <w:lang w:eastAsia="zh-CN"/>
                    </w:rPr>
                  </w:pPr>
                  <w:r>
                    <w:rPr>
                      <w:rFonts w:hint="eastAsia" w:ascii="Times New Roman" w:hAnsi="Times New Roman" w:eastAsia="宋体" w:cs="Times New Roman"/>
                      <w:b/>
                      <w:bCs w:val="0"/>
                      <w:color w:val="auto"/>
                      <w:spacing w:val="0"/>
                      <w:position w:val="0"/>
                      <w:sz w:val="21"/>
                      <w:szCs w:val="21"/>
                      <w:highlight w:val="none"/>
                      <w:lang w:val="en-US" w:eastAsia="zh-CN"/>
                    </w:rPr>
                    <w:t>污染物</w:t>
                  </w:r>
                </w:p>
              </w:tc>
              <w:tc>
                <w:tcPr>
                  <w:tcW w:w="3752" w:type="dxa"/>
                  <w:gridSpan w:val="3"/>
                  <w:tcBorders>
                    <w:tl2br w:val="nil"/>
                    <w:tr2bl w:val="nil"/>
                  </w:tcBorders>
                  <w:noWrap w:val="0"/>
                  <w:vAlign w:val="center"/>
                </w:tcPr>
                <w:p w14:paraId="69EAD83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auto"/>
                      <w:spacing w:val="0"/>
                      <w:position w:val="0"/>
                      <w:sz w:val="21"/>
                      <w:szCs w:val="21"/>
                      <w:highlight w:val="none"/>
                      <w:lang w:val="en-US" w:eastAsia="zh-CN"/>
                    </w:rPr>
                  </w:pPr>
                  <w:r>
                    <w:rPr>
                      <w:rFonts w:hint="eastAsia" w:ascii="Times New Roman" w:hAnsi="Times New Roman" w:eastAsia="宋体" w:cs="Times New Roman"/>
                      <w:b/>
                      <w:bCs w:val="0"/>
                      <w:color w:val="auto"/>
                      <w:spacing w:val="0"/>
                      <w:position w:val="0"/>
                      <w:sz w:val="21"/>
                      <w:szCs w:val="21"/>
                      <w:highlight w:val="none"/>
                      <w:lang w:val="en-US" w:eastAsia="zh-CN"/>
                    </w:rPr>
                    <w:t>有组织</w:t>
                  </w:r>
                </w:p>
              </w:tc>
              <w:tc>
                <w:tcPr>
                  <w:tcW w:w="2923" w:type="dxa"/>
                  <w:vMerge w:val="restart"/>
                  <w:tcBorders>
                    <w:tl2br w:val="nil"/>
                    <w:tr2bl w:val="nil"/>
                  </w:tcBorders>
                  <w:noWrap w:val="0"/>
                  <w:vAlign w:val="center"/>
                </w:tcPr>
                <w:p w14:paraId="7781D6A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position w:val="0"/>
                      <w:sz w:val="21"/>
                      <w:szCs w:val="21"/>
                      <w:highlight w:val="none"/>
                    </w:rPr>
                  </w:pPr>
                  <w:r>
                    <w:rPr>
                      <w:rFonts w:hint="default" w:ascii="Times New Roman" w:hAnsi="Times New Roman" w:eastAsia="宋体" w:cs="Times New Roman"/>
                      <w:b/>
                      <w:bCs w:val="0"/>
                      <w:color w:val="auto"/>
                      <w:spacing w:val="0"/>
                      <w:position w:val="0"/>
                      <w:sz w:val="21"/>
                      <w:szCs w:val="21"/>
                      <w:highlight w:val="none"/>
                    </w:rPr>
                    <w:t>标准名称</w:t>
                  </w:r>
                </w:p>
              </w:tc>
            </w:tr>
            <w:tr w14:paraId="6D169F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99" w:type="dxa"/>
                  <w:vMerge w:val="continue"/>
                  <w:tcBorders>
                    <w:tl2br w:val="nil"/>
                    <w:tr2bl w:val="nil"/>
                  </w:tcBorders>
                  <w:noWrap w:val="0"/>
                  <w:vAlign w:val="center"/>
                </w:tcPr>
                <w:p w14:paraId="6BBC440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val="0"/>
                      <w:color w:val="auto"/>
                      <w:spacing w:val="0"/>
                      <w:position w:val="0"/>
                      <w:sz w:val="21"/>
                      <w:szCs w:val="21"/>
                      <w:highlight w:val="none"/>
                      <w:lang w:eastAsia="zh-CN"/>
                    </w:rPr>
                  </w:pPr>
                </w:p>
              </w:tc>
              <w:tc>
                <w:tcPr>
                  <w:tcW w:w="1484" w:type="dxa"/>
                  <w:tcBorders>
                    <w:tl2br w:val="nil"/>
                    <w:tr2bl w:val="nil"/>
                  </w:tcBorders>
                  <w:noWrap w:val="0"/>
                  <w:vAlign w:val="center"/>
                </w:tcPr>
                <w:p w14:paraId="6BEA6A98">
                  <w:pPr>
                    <w:pStyle w:val="10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auto"/>
                      <w:spacing w:val="0"/>
                      <w:position w:val="0"/>
                      <w:sz w:val="21"/>
                      <w:szCs w:val="21"/>
                      <w:highlight w:val="none"/>
                      <w:lang w:eastAsia="zh-CN"/>
                    </w:rPr>
                  </w:pPr>
                  <w:r>
                    <w:rPr>
                      <w:rFonts w:ascii="Times New Roman" w:hAnsi="Times New Roman" w:eastAsia="宋体" w:cs="Times New Roman"/>
                      <w:b/>
                      <w:bCs w:val="0"/>
                      <w:color w:val="auto"/>
                      <w:spacing w:val="0"/>
                      <w:position w:val="0"/>
                      <w:sz w:val="21"/>
                      <w:szCs w:val="21"/>
                      <w:highlight w:val="none"/>
                    </w:rPr>
                    <w:t>最高允许排放浓度（mg/m</w:t>
                  </w:r>
                  <w:r>
                    <w:rPr>
                      <w:rFonts w:ascii="Times New Roman" w:hAnsi="Times New Roman" w:eastAsia="宋体" w:cs="Times New Roman"/>
                      <w:b/>
                      <w:bCs w:val="0"/>
                      <w:color w:val="auto"/>
                      <w:spacing w:val="0"/>
                      <w:position w:val="0"/>
                      <w:sz w:val="21"/>
                      <w:szCs w:val="21"/>
                      <w:highlight w:val="none"/>
                      <w:vertAlign w:val="superscript"/>
                    </w:rPr>
                    <w:t>3</w:t>
                  </w:r>
                  <w:r>
                    <w:rPr>
                      <w:rFonts w:ascii="Times New Roman" w:hAnsi="Times New Roman" w:eastAsia="宋体" w:cs="Times New Roman"/>
                      <w:b/>
                      <w:bCs w:val="0"/>
                      <w:color w:val="auto"/>
                      <w:spacing w:val="0"/>
                      <w:position w:val="0"/>
                      <w:sz w:val="21"/>
                      <w:szCs w:val="21"/>
                      <w:highlight w:val="none"/>
                    </w:rPr>
                    <w:t>）</w:t>
                  </w:r>
                </w:p>
              </w:tc>
              <w:tc>
                <w:tcPr>
                  <w:tcW w:w="836" w:type="dxa"/>
                  <w:tcBorders>
                    <w:tl2br w:val="nil"/>
                    <w:tr2bl w:val="nil"/>
                  </w:tcBorders>
                  <w:noWrap w:val="0"/>
                  <w:vAlign w:val="center"/>
                </w:tcPr>
                <w:p w14:paraId="6644A521">
                  <w:pPr>
                    <w:pStyle w:val="10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bCs w:val="0"/>
                      <w:color w:val="auto"/>
                      <w:spacing w:val="0"/>
                      <w:position w:val="0"/>
                      <w:sz w:val="21"/>
                      <w:szCs w:val="21"/>
                      <w:highlight w:val="none"/>
                      <w:lang w:eastAsia="zh-CN"/>
                    </w:rPr>
                  </w:pPr>
                  <w:r>
                    <w:rPr>
                      <w:rFonts w:ascii="Times New Roman" w:hAnsi="Times New Roman" w:eastAsia="宋体" w:cs="Times New Roman"/>
                      <w:b/>
                      <w:bCs w:val="0"/>
                      <w:color w:val="auto"/>
                      <w:spacing w:val="0"/>
                      <w:position w:val="0"/>
                      <w:sz w:val="21"/>
                      <w:szCs w:val="21"/>
                      <w:highlight w:val="none"/>
                    </w:rPr>
                    <w:t>排气筒（m）</w:t>
                  </w:r>
                </w:p>
              </w:tc>
              <w:tc>
                <w:tcPr>
                  <w:tcW w:w="1432" w:type="dxa"/>
                  <w:tcBorders>
                    <w:tl2br w:val="nil"/>
                    <w:tr2bl w:val="nil"/>
                  </w:tcBorders>
                  <w:noWrap w:val="0"/>
                  <w:vAlign w:val="center"/>
                </w:tcPr>
                <w:p w14:paraId="7A654953">
                  <w:pPr>
                    <w:pStyle w:val="10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bCs w:val="0"/>
                      <w:color w:val="auto"/>
                      <w:spacing w:val="0"/>
                      <w:position w:val="0"/>
                      <w:sz w:val="21"/>
                      <w:szCs w:val="21"/>
                      <w:highlight w:val="none"/>
                      <w:lang w:eastAsia="zh-CN"/>
                    </w:rPr>
                  </w:pPr>
                  <w:r>
                    <w:rPr>
                      <w:rFonts w:ascii="Times New Roman" w:hAnsi="Times New Roman" w:eastAsia="宋体" w:cs="Times New Roman"/>
                      <w:b/>
                      <w:bCs w:val="0"/>
                      <w:color w:val="auto"/>
                      <w:spacing w:val="0"/>
                      <w:position w:val="0"/>
                      <w:sz w:val="21"/>
                      <w:szCs w:val="21"/>
                      <w:highlight w:val="none"/>
                    </w:rPr>
                    <w:t>最高允许排放速率（kg/h）</w:t>
                  </w:r>
                </w:p>
              </w:tc>
              <w:tc>
                <w:tcPr>
                  <w:tcW w:w="2923" w:type="dxa"/>
                  <w:vMerge w:val="continue"/>
                  <w:tcBorders>
                    <w:tl2br w:val="nil"/>
                    <w:tr2bl w:val="nil"/>
                  </w:tcBorders>
                  <w:noWrap w:val="0"/>
                  <w:vAlign w:val="center"/>
                </w:tcPr>
                <w:p w14:paraId="5BF15E8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position w:val="0"/>
                      <w:sz w:val="21"/>
                      <w:szCs w:val="21"/>
                      <w:highlight w:val="none"/>
                    </w:rPr>
                  </w:pPr>
                </w:p>
              </w:tc>
            </w:tr>
            <w:tr w14:paraId="6BF770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99" w:type="dxa"/>
                  <w:tcBorders>
                    <w:tl2br w:val="nil"/>
                    <w:tr2bl w:val="nil"/>
                  </w:tcBorders>
                  <w:shd w:val="clear" w:color="auto" w:fill="auto"/>
                  <w:noWrap w:val="0"/>
                  <w:vAlign w:val="center"/>
                </w:tcPr>
                <w:p w14:paraId="693493D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kern w:val="2"/>
                      <w:position w:val="0"/>
                      <w:sz w:val="21"/>
                      <w:szCs w:val="21"/>
                      <w:highlight w:val="none"/>
                      <w:lang w:val="en-US" w:eastAsia="zh-CN" w:bidi="ar-SA"/>
                    </w:rPr>
                  </w:pPr>
                  <w:r>
                    <w:rPr>
                      <w:rFonts w:hint="eastAsia" w:cs="Times New Roman"/>
                      <w:color w:val="auto"/>
                      <w:spacing w:val="0"/>
                      <w:position w:val="0"/>
                      <w:sz w:val="21"/>
                      <w:szCs w:val="21"/>
                      <w:highlight w:val="none"/>
                      <w:lang w:val="en-US" w:eastAsia="zh-CN"/>
                    </w:rPr>
                    <w:t>二甲苯</w:t>
                  </w:r>
                </w:p>
              </w:tc>
              <w:tc>
                <w:tcPr>
                  <w:tcW w:w="1484" w:type="dxa"/>
                  <w:tcBorders>
                    <w:tl2br w:val="nil"/>
                    <w:tr2bl w:val="nil"/>
                  </w:tcBorders>
                  <w:shd w:val="clear" w:color="auto" w:fill="auto"/>
                  <w:noWrap w:val="0"/>
                  <w:vAlign w:val="center"/>
                </w:tcPr>
                <w:p w14:paraId="54F83DE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kern w:val="2"/>
                      <w:position w:val="0"/>
                      <w:sz w:val="21"/>
                      <w:szCs w:val="21"/>
                      <w:highlight w:val="none"/>
                      <w:lang w:val="en-US" w:eastAsia="zh-CN" w:bidi="ar-SA"/>
                    </w:rPr>
                  </w:pPr>
                  <w:r>
                    <w:rPr>
                      <w:rFonts w:hint="eastAsia" w:cs="Times New Roman"/>
                      <w:bCs/>
                      <w:color w:val="auto"/>
                      <w:spacing w:val="0"/>
                      <w:kern w:val="2"/>
                      <w:position w:val="0"/>
                      <w:sz w:val="21"/>
                      <w:szCs w:val="21"/>
                      <w:highlight w:val="none"/>
                      <w:lang w:val="en-US" w:eastAsia="zh-CN" w:bidi="ar-SA"/>
                    </w:rPr>
                    <w:t>15</w:t>
                  </w:r>
                </w:p>
              </w:tc>
              <w:tc>
                <w:tcPr>
                  <w:tcW w:w="836" w:type="dxa"/>
                  <w:vMerge w:val="restart"/>
                  <w:tcBorders>
                    <w:tl2br w:val="nil"/>
                    <w:tr2bl w:val="nil"/>
                  </w:tcBorders>
                  <w:shd w:val="clear" w:color="auto" w:fill="auto"/>
                  <w:noWrap w:val="0"/>
                  <w:vAlign w:val="center"/>
                </w:tcPr>
                <w:p w14:paraId="2A9946D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kern w:val="2"/>
                      <w:position w:val="0"/>
                      <w:sz w:val="21"/>
                      <w:szCs w:val="21"/>
                      <w:highlight w:val="none"/>
                      <w:lang w:val="en-US" w:eastAsia="zh-CN" w:bidi="ar-SA"/>
                    </w:rPr>
                  </w:pPr>
                  <w:r>
                    <w:rPr>
                      <w:rFonts w:hint="eastAsia" w:cs="Times New Roman"/>
                      <w:bCs/>
                      <w:color w:val="auto"/>
                      <w:spacing w:val="0"/>
                      <w:kern w:val="2"/>
                      <w:position w:val="0"/>
                      <w:sz w:val="21"/>
                      <w:szCs w:val="21"/>
                      <w:highlight w:val="none"/>
                      <w:lang w:val="en-US" w:eastAsia="zh-CN" w:bidi="ar-SA"/>
                    </w:rPr>
                    <w:t>25</w:t>
                  </w:r>
                </w:p>
              </w:tc>
              <w:tc>
                <w:tcPr>
                  <w:tcW w:w="1432" w:type="dxa"/>
                  <w:tcBorders>
                    <w:tl2br w:val="nil"/>
                    <w:tr2bl w:val="nil"/>
                  </w:tcBorders>
                  <w:shd w:val="clear" w:color="auto" w:fill="auto"/>
                  <w:noWrap w:val="0"/>
                  <w:vAlign w:val="center"/>
                </w:tcPr>
                <w:p w14:paraId="22C11BB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kern w:val="2"/>
                      <w:position w:val="0"/>
                      <w:sz w:val="21"/>
                      <w:szCs w:val="21"/>
                      <w:highlight w:val="none"/>
                      <w:lang w:val="en-US" w:eastAsia="zh-CN" w:bidi="ar-SA"/>
                    </w:rPr>
                  </w:pPr>
                  <w:r>
                    <w:rPr>
                      <w:rFonts w:hint="eastAsia" w:cs="Times New Roman"/>
                      <w:bCs/>
                      <w:color w:val="auto"/>
                      <w:spacing w:val="0"/>
                      <w:position w:val="0"/>
                      <w:sz w:val="21"/>
                      <w:szCs w:val="21"/>
                      <w:highlight w:val="none"/>
                      <w:lang w:val="en-US" w:eastAsia="zh-CN"/>
                    </w:rPr>
                    <w:t>2.2</w:t>
                  </w:r>
                </w:p>
              </w:tc>
              <w:tc>
                <w:tcPr>
                  <w:tcW w:w="2923" w:type="dxa"/>
                  <w:vMerge w:val="restart"/>
                  <w:tcBorders>
                    <w:tl2br w:val="nil"/>
                    <w:tr2bl w:val="nil"/>
                  </w:tcBorders>
                  <w:noWrap w:val="0"/>
                  <w:vAlign w:val="center"/>
                </w:tcPr>
                <w:p w14:paraId="4709F800">
                  <w:pPr>
                    <w:keepNext w:val="0"/>
                    <w:keepLines w:val="0"/>
                    <w:pageBreakBefore w:val="0"/>
                    <w:widowControl w:val="0"/>
                    <w:kinsoku/>
                    <w:wordWrap/>
                    <w:overflowPunct/>
                    <w:topLinePunct w:val="0"/>
                    <w:autoSpaceDE/>
                    <w:autoSpaceDN/>
                    <w:bidi w:val="0"/>
                    <w:adjustRightInd/>
                    <w:snapToGrid w:val="0"/>
                    <w:spacing w:line="300" w:lineRule="exact"/>
                    <w:jc w:val="both"/>
                    <w:textAlignment w:val="auto"/>
                    <w:rPr>
                      <w:rFonts w:hint="eastAsia" w:ascii="Times New Roman" w:hAnsi="Times New Roman" w:eastAsia="宋体" w:cs="Times New Roman"/>
                      <w:bCs/>
                      <w:color w:val="auto"/>
                      <w:spacing w:val="0"/>
                      <w:position w:val="0"/>
                      <w:sz w:val="21"/>
                      <w:szCs w:val="21"/>
                      <w:highlight w:val="none"/>
                      <w:lang w:eastAsia="zh-CN"/>
                    </w:rPr>
                  </w:pPr>
                  <w:r>
                    <w:rPr>
                      <w:rFonts w:hint="default" w:ascii="Times New Roman" w:hAnsi="Times New Roman" w:eastAsia="宋体" w:cs="Times New Roman"/>
                      <w:bCs/>
                      <w:color w:val="auto"/>
                      <w:spacing w:val="0"/>
                      <w:position w:val="0"/>
                      <w:sz w:val="21"/>
                      <w:szCs w:val="21"/>
                      <w:highlight w:val="none"/>
                    </w:rPr>
                    <w:t>《工业涂装工序挥发性有机物排放标准》（DB35/1783-2018）</w:t>
                  </w:r>
                  <w:r>
                    <w:rPr>
                      <w:rFonts w:hint="eastAsia" w:ascii="Times New Roman" w:hAnsi="Times New Roman" w:eastAsia="宋体" w:cs="Times New Roman"/>
                      <w:bCs/>
                      <w:color w:val="auto"/>
                      <w:spacing w:val="0"/>
                      <w:position w:val="0"/>
                      <w:sz w:val="21"/>
                      <w:szCs w:val="21"/>
                      <w:highlight w:val="none"/>
                      <w:lang w:val="en-US" w:eastAsia="zh-CN"/>
                    </w:rPr>
                    <w:t>表1</w:t>
                  </w:r>
                  <w:r>
                    <w:rPr>
                      <w:rFonts w:hint="eastAsia" w:cs="Times New Roman"/>
                      <w:bCs/>
                      <w:color w:val="auto"/>
                      <w:spacing w:val="0"/>
                      <w:position w:val="0"/>
                      <w:sz w:val="21"/>
                      <w:szCs w:val="21"/>
                      <w:highlight w:val="none"/>
                      <w:lang w:val="en-US" w:eastAsia="zh-CN"/>
                    </w:rPr>
                    <w:t>相关标准</w:t>
                  </w:r>
                </w:p>
              </w:tc>
            </w:tr>
            <w:tr w14:paraId="1ECFD6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99" w:type="dxa"/>
                  <w:tcBorders>
                    <w:tl2br w:val="nil"/>
                    <w:tr2bl w:val="nil"/>
                  </w:tcBorders>
                  <w:shd w:val="clear" w:color="auto" w:fill="auto"/>
                  <w:noWrap w:val="0"/>
                  <w:vAlign w:val="center"/>
                </w:tcPr>
                <w:p w14:paraId="7B838C7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苯系物</w:t>
                  </w:r>
                </w:p>
              </w:tc>
              <w:tc>
                <w:tcPr>
                  <w:tcW w:w="1484" w:type="dxa"/>
                  <w:tcBorders>
                    <w:tl2br w:val="nil"/>
                    <w:tr2bl w:val="nil"/>
                  </w:tcBorders>
                  <w:shd w:val="clear" w:color="auto" w:fill="auto"/>
                  <w:noWrap w:val="0"/>
                  <w:vAlign w:val="center"/>
                </w:tcPr>
                <w:p w14:paraId="0EEAFEB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cs="Times New Roman"/>
                      <w:bCs/>
                      <w:color w:val="auto"/>
                      <w:spacing w:val="0"/>
                      <w:kern w:val="2"/>
                      <w:position w:val="0"/>
                      <w:sz w:val="21"/>
                      <w:szCs w:val="21"/>
                      <w:highlight w:val="none"/>
                      <w:lang w:val="en-US" w:eastAsia="zh-CN" w:bidi="ar-SA"/>
                    </w:rPr>
                  </w:pPr>
                  <w:r>
                    <w:rPr>
                      <w:rFonts w:hint="eastAsia" w:cs="Times New Roman"/>
                      <w:bCs/>
                      <w:color w:val="auto"/>
                      <w:spacing w:val="0"/>
                      <w:kern w:val="2"/>
                      <w:position w:val="0"/>
                      <w:sz w:val="21"/>
                      <w:szCs w:val="21"/>
                      <w:highlight w:val="none"/>
                      <w:lang w:val="en-US" w:eastAsia="zh-CN" w:bidi="ar-SA"/>
                    </w:rPr>
                    <w:t>30</w:t>
                  </w:r>
                </w:p>
              </w:tc>
              <w:tc>
                <w:tcPr>
                  <w:tcW w:w="836" w:type="dxa"/>
                  <w:vMerge w:val="continue"/>
                  <w:tcBorders>
                    <w:tl2br w:val="nil"/>
                    <w:tr2bl w:val="nil"/>
                  </w:tcBorders>
                  <w:shd w:val="clear" w:color="auto" w:fill="auto"/>
                  <w:noWrap w:val="0"/>
                  <w:vAlign w:val="center"/>
                </w:tcPr>
                <w:p w14:paraId="78BD5B3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cs="Times New Roman"/>
                      <w:bCs/>
                      <w:color w:val="auto"/>
                      <w:spacing w:val="0"/>
                      <w:kern w:val="2"/>
                      <w:position w:val="0"/>
                      <w:sz w:val="21"/>
                      <w:szCs w:val="21"/>
                      <w:highlight w:val="none"/>
                      <w:lang w:val="en-US" w:eastAsia="zh-CN" w:bidi="ar-SA"/>
                    </w:rPr>
                  </w:pPr>
                </w:p>
              </w:tc>
              <w:tc>
                <w:tcPr>
                  <w:tcW w:w="1432" w:type="dxa"/>
                  <w:tcBorders>
                    <w:tl2br w:val="nil"/>
                    <w:tr2bl w:val="nil"/>
                  </w:tcBorders>
                  <w:shd w:val="clear" w:color="auto" w:fill="auto"/>
                  <w:noWrap w:val="0"/>
                  <w:vAlign w:val="center"/>
                </w:tcPr>
                <w:p w14:paraId="1AF4006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cs="Times New Roman"/>
                      <w:bCs/>
                      <w:color w:val="auto"/>
                      <w:spacing w:val="0"/>
                      <w:position w:val="0"/>
                      <w:sz w:val="21"/>
                      <w:szCs w:val="21"/>
                      <w:highlight w:val="none"/>
                      <w:lang w:val="en-US" w:eastAsia="zh-CN"/>
                    </w:rPr>
                  </w:pPr>
                  <w:r>
                    <w:rPr>
                      <w:rFonts w:hint="eastAsia" w:cs="Times New Roman"/>
                      <w:bCs/>
                      <w:color w:val="auto"/>
                      <w:spacing w:val="0"/>
                      <w:position w:val="0"/>
                      <w:sz w:val="21"/>
                      <w:szCs w:val="21"/>
                      <w:highlight w:val="none"/>
                      <w:lang w:val="en-US" w:eastAsia="zh-CN"/>
                    </w:rPr>
                    <w:t>6.6</w:t>
                  </w:r>
                </w:p>
              </w:tc>
              <w:tc>
                <w:tcPr>
                  <w:tcW w:w="2923" w:type="dxa"/>
                  <w:vMerge w:val="continue"/>
                  <w:tcBorders>
                    <w:tl2br w:val="nil"/>
                    <w:tr2bl w:val="nil"/>
                  </w:tcBorders>
                  <w:noWrap w:val="0"/>
                  <w:vAlign w:val="center"/>
                </w:tcPr>
                <w:p w14:paraId="459F5250">
                  <w:pPr>
                    <w:keepNext w:val="0"/>
                    <w:keepLines w:val="0"/>
                    <w:pageBreakBefore w:val="0"/>
                    <w:widowControl w:val="0"/>
                    <w:kinsoku/>
                    <w:wordWrap/>
                    <w:overflowPunct/>
                    <w:topLinePunct w:val="0"/>
                    <w:autoSpaceDE/>
                    <w:autoSpaceDN/>
                    <w:bidi w:val="0"/>
                    <w:adjustRightInd/>
                    <w:snapToGrid w:val="0"/>
                    <w:spacing w:line="300" w:lineRule="exact"/>
                    <w:jc w:val="both"/>
                    <w:textAlignment w:val="auto"/>
                    <w:rPr>
                      <w:rFonts w:hint="default" w:ascii="Times New Roman" w:hAnsi="Times New Roman" w:eastAsia="宋体" w:cs="Times New Roman"/>
                      <w:bCs/>
                      <w:color w:val="auto"/>
                      <w:spacing w:val="0"/>
                      <w:position w:val="0"/>
                      <w:sz w:val="21"/>
                      <w:szCs w:val="21"/>
                      <w:highlight w:val="none"/>
                    </w:rPr>
                  </w:pPr>
                </w:p>
              </w:tc>
            </w:tr>
            <w:tr w14:paraId="6F9223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99" w:type="dxa"/>
                  <w:tcBorders>
                    <w:tl2br w:val="nil"/>
                    <w:tr2bl w:val="nil"/>
                  </w:tcBorders>
                  <w:shd w:val="clear" w:color="auto" w:fill="auto"/>
                  <w:noWrap w:val="0"/>
                  <w:vAlign w:val="center"/>
                </w:tcPr>
                <w:p w14:paraId="24E16AC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乙酸乙酯与</w:t>
                  </w:r>
                  <w:r>
                    <w:rPr>
                      <w:rFonts w:hint="default" w:ascii="Times New Roman" w:hAnsi="Times New Roman" w:eastAsia="宋体" w:cs="Times New Roman"/>
                      <w:color w:val="auto"/>
                      <w:spacing w:val="0"/>
                      <w:position w:val="0"/>
                      <w:sz w:val="21"/>
                      <w:szCs w:val="21"/>
                      <w:highlight w:val="none"/>
                    </w:rPr>
                    <w:t>乙酸丁酯</w:t>
                  </w:r>
                  <w:r>
                    <w:rPr>
                      <w:rFonts w:hint="eastAsia" w:ascii="Times New Roman" w:hAnsi="Times New Roman" w:eastAsia="宋体" w:cs="Times New Roman"/>
                      <w:color w:val="auto"/>
                      <w:spacing w:val="0"/>
                      <w:position w:val="0"/>
                      <w:sz w:val="21"/>
                      <w:szCs w:val="21"/>
                      <w:highlight w:val="none"/>
                      <w:lang w:val="en-US" w:eastAsia="zh-CN"/>
                    </w:rPr>
                    <w:t>合计</w:t>
                  </w:r>
                </w:p>
              </w:tc>
              <w:tc>
                <w:tcPr>
                  <w:tcW w:w="1484" w:type="dxa"/>
                  <w:tcBorders>
                    <w:tl2br w:val="nil"/>
                    <w:tr2bl w:val="nil"/>
                  </w:tcBorders>
                  <w:shd w:val="clear" w:color="auto" w:fill="auto"/>
                  <w:noWrap w:val="0"/>
                  <w:vAlign w:val="center"/>
                </w:tcPr>
                <w:p w14:paraId="14FCB27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kern w:val="2"/>
                      <w:position w:val="0"/>
                      <w:sz w:val="21"/>
                      <w:szCs w:val="21"/>
                      <w:highlight w:val="none"/>
                      <w:lang w:val="en-US" w:eastAsia="zh-CN" w:bidi="ar-SA"/>
                    </w:rPr>
                  </w:pPr>
                  <w:r>
                    <w:rPr>
                      <w:rFonts w:hint="eastAsia" w:ascii="Times New Roman" w:hAnsi="Times New Roman" w:eastAsia="宋体" w:cs="Times New Roman"/>
                      <w:bCs/>
                      <w:color w:val="auto"/>
                      <w:spacing w:val="0"/>
                      <w:position w:val="0"/>
                      <w:sz w:val="21"/>
                      <w:szCs w:val="21"/>
                      <w:highlight w:val="none"/>
                      <w:lang w:val="en-US" w:eastAsia="zh-CN"/>
                    </w:rPr>
                    <w:t>50</w:t>
                  </w:r>
                </w:p>
              </w:tc>
              <w:tc>
                <w:tcPr>
                  <w:tcW w:w="836" w:type="dxa"/>
                  <w:vMerge w:val="continue"/>
                  <w:tcBorders>
                    <w:tl2br w:val="nil"/>
                    <w:tr2bl w:val="nil"/>
                  </w:tcBorders>
                  <w:shd w:val="clear" w:color="auto" w:fill="auto"/>
                  <w:noWrap w:val="0"/>
                  <w:vAlign w:val="center"/>
                </w:tcPr>
                <w:p w14:paraId="5A1C5C5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kern w:val="2"/>
                      <w:position w:val="0"/>
                      <w:sz w:val="21"/>
                      <w:szCs w:val="21"/>
                      <w:highlight w:val="none"/>
                      <w:lang w:val="en-US" w:eastAsia="zh-CN" w:bidi="ar-SA"/>
                    </w:rPr>
                  </w:pPr>
                </w:p>
              </w:tc>
              <w:tc>
                <w:tcPr>
                  <w:tcW w:w="1432" w:type="dxa"/>
                  <w:tcBorders>
                    <w:tl2br w:val="nil"/>
                    <w:tr2bl w:val="nil"/>
                  </w:tcBorders>
                  <w:shd w:val="clear" w:color="auto" w:fill="auto"/>
                  <w:noWrap w:val="0"/>
                  <w:vAlign w:val="center"/>
                </w:tcPr>
                <w:p w14:paraId="5C9D9E0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kern w:val="2"/>
                      <w:position w:val="0"/>
                      <w:sz w:val="21"/>
                      <w:szCs w:val="21"/>
                      <w:highlight w:val="none"/>
                      <w:lang w:val="en-US" w:eastAsia="zh-CN" w:bidi="ar-SA"/>
                    </w:rPr>
                  </w:pPr>
                  <w:r>
                    <w:rPr>
                      <w:rFonts w:hint="eastAsia" w:cs="Times New Roman"/>
                      <w:bCs/>
                      <w:color w:val="auto"/>
                      <w:spacing w:val="0"/>
                      <w:position w:val="0"/>
                      <w:sz w:val="21"/>
                      <w:szCs w:val="21"/>
                      <w:highlight w:val="none"/>
                      <w:lang w:val="en-US" w:eastAsia="zh-CN"/>
                    </w:rPr>
                    <w:t>3.65</w:t>
                  </w:r>
                </w:p>
              </w:tc>
              <w:tc>
                <w:tcPr>
                  <w:tcW w:w="2923" w:type="dxa"/>
                  <w:vMerge w:val="continue"/>
                  <w:tcBorders>
                    <w:tl2br w:val="nil"/>
                    <w:tr2bl w:val="nil"/>
                  </w:tcBorders>
                  <w:noWrap w:val="0"/>
                  <w:vAlign w:val="center"/>
                </w:tcPr>
                <w:p w14:paraId="70B4EA0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position w:val="0"/>
                      <w:sz w:val="21"/>
                      <w:szCs w:val="21"/>
                      <w:highlight w:val="none"/>
                    </w:rPr>
                  </w:pPr>
                </w:p>
              </w:tc>
            </w:tr>
            <w:tr w14:paraId="199D93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99" w:type="dxa"/>
                  <w:tcBorders>
                    <w:tl2br w:val="nil"/>
                    <w:tr2bl w:val="nil"/>
                  </w:tcBorders>
                  <w:shd w:val="clear" w:color="auto" w:fill="auto"/>
                  <w:noWrap w:val="0"/>
                  <w:vAlign w:val="center"/>
                </w:tcPr>
                <w:p w14:paraId="13F2C62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auto"/>
                      <w:spacing w:val="0"/>
                      <w:kern w:val="2"/>
                      <w:position w:val="0"/>
                      <w:sz w:val="21"/>
                      <w:szCs w:val="21"/>
                      <w:highlight w:val="none"/>
                      <w:lang w:val="en-US" w:eastAsia="zh-CN" w:bidi="ar-SA"/>
                    </w:rPr>
                  </w:pPr>
                  <w:r>
                    <w:rPr>
                      <w:rFonts w:hint="default" w:ascii="Times New Roman" w:hAnsi="Times New Roman" w:eastAsia="宋体" w:cs="Times New Roman"/>
                      <w:bCs/>
                      <w:color w:val="auto"/>
                      <w:spacing w:val="0"/>
                      <w:position w:val="0"/>
                      <w:sz w:val="21"/>
                      <w:szCs w:val="21"/>
                      <w:highlight w:val="none"/>
                    </w:rPr>
                    <w:t>非甲烷总烃</w:t>
                  </w:r>
                </w:p>
              </w:tc>
              <w:tc>
                <w:tcPr>
                  <w:tcW w:w="1484" w:type="dxa"/>
                  <w:tcBorders>
                    <w:tl2br w:val="nil"/>
                    <w:tr2bl w:val="nil"/>
                  </w:tcBorders>
                  <w:shd w:val="clear" w:color="auto" w:fill="auto"/>
                  <w:noWrap w:val="0"/>
                  <w:vAlign w:val="center"/>
                </w:tcPr>
                <w:p w14:paraId="12BDB48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auto"/>
                      <w:spacing w:val="0"/>
                      <w:kern w:val="2"/>
                      <w:position w:val="0"/>
                      <w:sz w:val="21"/>
                      <w:szCs w:val="21"/>
                      <w:highlight w:val="none"/>
                      <w:lang w:val="en-US" w:eastAsia="zh-CN" w:bidi="ar-SA"/>
                    </w:rPr>
                  </w:pPr>
                  <w:r>
                    <w:rPr>
                      <w:rFonts w:hint="eastAsia" w:ascii="Times New Roman" w:hAnsi="Times New Roman" w:eastAsia="宋体" w:cs="Times New Roman"/>
                      <w:bCs/>
                      <w:color w:val="auto"/>
                      <w:spacing w:val="0"/>
                      <w:position w:val="0"/>
                      <w:sz w:val="21"/>
                      <w:szCs w:val="21"/>
                      <w:highlight w:val="none"/>
                      <w:lang w:val="en-US" w:eastAsia="zh-CN"/>
                    </w:rPr>
                    <w:t>60</w:t>
                  </w:r>
                </w:p>
              </w:tc>
              <w:tc>
                <w:tcPr>
                  <w:tcW w:w="836" w:type="dxa"/>
                  <w:vMerge w:val="continue"/>
                  <w:tcBorders>
                    <w:tl2br w:val="nil"/>
                    <w:tr2bl w:val="nil"/>
                  </w:tcBorders>
                  <w:shd w:val="clear" w:color="auto" w:fill="auto"/>
                  <w:noWrap w:val="0"/>
                  <w:vAlign w:val="center"/>
                </w:tcPr>
                <w:p w14:paraId="42CCE97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kern w:val="2"/>
                      <w:position w:val="0"/>
                      <w:sz w:val="21"/>
                      <w:szCs w:val="21"/>
                      <w:highlight w:val="none"/>
                      <w:lang w:val="en-US" w:eastAsia="zh-CN" w:bidi="ar-SA"/>
                    </w:rPr>
                  </w:pPr>
                </w:p>
              </w:tc>
              <w:tc>
                <w:tcPr>
                  <w:tcW w:w="1432" w:type="dxa"/>
                  <w:tcBorders>
                    <w:tl2br w:val="nil"/>
                    <w:tr2bl w:val="nil"/>
                  </w:tcBorders>
                  <w:shd w:val="clear" w:color="auto" w:fill="auto"/>
                  <w:noWrap w:val="0"/>
                  <w:vAlign w:val="center"/>
                </w:tcPr>
                <w:p w14:paraId="0224F15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kern w:val="2"/>
                      <w:position w:val="0"/>
                      <w:sz w:val="21"/>
                      <w:szCs w:val="21"/>
                      <w:highlight w:val="none"/>
                      <w:lang w:val="en-US" w:eastAsia="zh-CN" w:bidi="ar-SA"/>
                    </w:rPr>
                  </w:pPr>
                  <w:r>
                    <w:rPr>
                      <w:rFonts w:hint="eastAsia" w:cs="Times New Roman"/>
                      <w:bCs/>
                      <w:color w:val="auto"/>
                      <w:spacing w:val="0"/>
                      <w:position w:val="0"/>
                      <w:sz w:val="21"/>
                      <w:szCs w:val="21"/>
                      <w:highlight w:val="none"/>
                      <w:lang w:val="en-US" w:eastAsia="zh-CN"/>
                    </w:rPr>
                    <w:t>10.3</w:t>
                  </w:r>
                </w:p>
              </w:tc>
              <w:tc>
                <w:tcPr>
                  <w:tcW w:w="2923" w:type="dxa"/>
                  <w:vMerge w:val="continue"/>
                  <w:tcBorders>
                    <w:tl2br w:val="nil"/>
                    <w:tr2bl w:val="nil"/>
                  </w:tcBorders>
                  <w:noWrap w:val="0"/>
                  <w:vAlign w:val="center"/>
                </w:tcPr>
                <w:p w14:paraId="712E168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position w:val="0"/>
                      <w:sz w:val="21"/>
                      <w:szCs w:val="21"/>
                      <w:highlight w:val="none"/>
                    </w:rPr>
                  </w:pPr>
                </w:p>
              </w:tc>
            </w:tr>
            <w:tr w14:paraId="385208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99" w:type="dxa"/>
                  <w:tcBorders>
                    <w:tl2br w:val="nil"/>
                    <w:tr2bl w:val="nil"/>
                  </w:tcBorders>
                  <w:noWrap w:val="0"/>
                  <w:vAlign w:val="center"/>
                </w:tcPr>
                <w:p w14:paraId="3A5C543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auto"/>
                      <w:spacing w:val="0"/>
                      <w:position w:val="0"/>
                      <w:sz w:val="21"/>
                      <w:szCs w:val="21"/>
                      <w:highlight w:val="none"/>
                    </w:rPr>
                  </w:pPr>
                  <w:r>
                    <w:rPr>
                      <w:rFonts w:hint="eastAsia" w:ascii="Times New Roman" w:hAnsi="Times New Roman" w:eastAsia="宋体" w:cs="Times New Roman"/>
                      <w:color w:val="auto"/>
                      <w:spacing w:val="0"/>
                      <w:kern w:val="2"/>
                      <w:position w:val="0"/>
                      <w:sz w:val="21"/>
                      <w:szCs w:val="21"/>
                      <w:highlight w:val="none"/>
                      <w:lang w:val="en-US" w:eastAsia="zh-CN" w:bidi="ar-SA"/>
                    </w:rPr>
                    <w:t>颗粒物</w:t>
                  </w:r>
                </w:p>
              </w:tc>
              <w:tc>
                <w:tcPr>
                  <w:tcW w:w="1484" w:type="dxa"/>
                  <w:tcBorders>
                    <w:tl2br w:val="nil"/>
                    <w:tr2bl w:val="nil"/>
                  </w:tcBorders>
                  <w:noWrap w:val="0"/>
                  <w:vAlign w:val="center"/>
                </w:tcPr>
                <w:p w14:paraId="57D584F3">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120</w:t>
                  </w:r>
                </w:p>
              </w:tc>
              <w:tc>
                <w:tcPr>
                  <w:tcW w:w="836" w:type="dxa"/>
                  <w:vMerge w:val="continue"/>
                  <w:tcBorders>
                    <w:tl2br w:val="nil"/>
                    <w:tr2bl w:val="nil"/>
                  </w:tcBorders>
                  <w:noWrap w:val="0"/>
                  <w:vAlign w:val="center"/>
                </w:tcPr>
                <w:p w14:paraId="125897EE">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p>
              </w:tc>
              <w:tc>
                <w:tcPr>
                  <w:tcW w:w="1432" w:type="dxa"/>
                  <w:tcBorders>
                    <w:tl2br w:val="nil"/>
                    <w:tr2bl w:val="nil"/>
                  </w:tcBorders>
                  <w:noWrap w:val="0"/>
                  <w:vAlign w:val="center"/>
                </w:tcPr>
                <w:p w14:paraId="5FE07A54">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14.45（7.225）</w:t>
                  </w:r>
                  <w:r>
                    <w:rPr>
                      <w:rFonts w:hint="eastAsia" w:cs="Times New Roman"/>
                      <w:color w:val="auto"/>
                      <w:spacing w:val="0"/>
                      <w:position w:val="0"/>
                      <w:sz w:val="21"/>
                      <w:szCs w:val="21"/>
                      <w:highlight w:val="none"/>
                      <w:vertAlign w:val="superscript"/>
                      <w:lang w:val="en-US" w:eastAsia="zh-CN"/>
                    </w:rPr>
                    <w:fldChar w:fldCharType="begin"/>
                  </w:r>
                  <w:r>
                    <w:rPr>
                      <w:rFonts w:hint="eastAsia" w:cs="Times New Roman"/>
                      <w:color w:val="auto"/>
                      <w:spacing w:val="0"/>
                      <w:position w:val="0"/>
                      <w:sz w:val="21"/>
                      <w:szCs w:val="21"/>
                      <w:highlight w:val="none"/>
                      <w:vertAlign w:val="superscript"/>
                      <w:lang w:val="en-US" w:eastAsia="zh-CN"/>
                    </w:rPr>
                    <w:instrText xml:space="preserve"> = 1 \* GB3 \* MERGEFORMAT </w:instrText>
                  </w:r>
                  <w:r>
                    <w:rPr>
                      <w:rFonts w:hint="eastAsia" w:cs="Times New Roman"/>
                      <w:color w:val="auto"/>
                      <w:spacing w:val="0"/>
                      <w:position w:val="0"/>
                      <w:sz w:val="21"/>
                      <w:szCs w:val="21"/>
                      <w:highlight w:val="none"/>
                      <w:vertAlign w:val="superscript"/>
                      <w:lang w:val="en-US" w:eastAsia="zh-CN"/>
                    </w:rPr>
                    <w:fldChar w:fldCharType="separate"/>
                  </w:r>
                  <w:r>
                    <w:rPr>
                      <w:color w:val="auto"/>
                      <w:highlight w:val="none"/>
                      <w:vertAlign w:val="superscript"/>
                    </w:rPr>
                    <w:t>①</w:t>
                  </w:r>
                  <w:r>
                    <w:rPr>
                      <w:rFonts w:hint="eastAsia" w:cs="Times New Roman"/>
                      <w:color w:val="auto"/>
                      <w:spacing w:val="0"/>
                      <w:position w:val="0"/>
                      <w:sz w:val="21"/>
                      <w:szCs w:val="21"/>
                      <w:highlight w:val="none"/>
                      <w:vertAlign w:val="superscript"/>
                      <w:lang w:val="en-US" w:eastAsia="zh-CN"/>
                    </w:rPr>
                    <w:fldChar w:fldCharType="end"/>
                  </w:r>
                </w:p>
              </w:tc>
              <w:tc>
                <w:tcPr>
                  <w:tcW w:w="2923" w:type="dxa"/>
                  <w:tcBorders>
                    <w:tl2br w:val="nil"/>
                    <w:tr2bl w:val="nil"/>
                  </w:tcBorders>
                  <w:noWrap w:val="0"/>
                  <w:vAlign w:val="center"/>
                </w:tcPr>
                <w:p w14:paraId="52D2E265">
                  <w:pPr>
                    <w:keepNext w:val="0"/>
                    <w:keepLines w:val="0"/>
                    <w:pageBreakBefore w:val="0"/>
                    <w:widowControl w:val="0"/>
                    <w:kinsoku/>
                    <w:wordWrap/>
                    <w:overflowPunct/>
                    <w:topLinePunct w:val="0"/>
                    <w:autoSpaceDE/>
                    <w:autoSpaceDN/>
                    <w:bidi w:val="0"/>
                    <w:adjustRightInd/>
                    <w:snapToGrid w:val="0"/>
                    <w:spacing w:line="300" w:lineRule="exact"/>
                    <w:jc w:val="both"/>
                    <w:textAlignment w:val="auto"/>
                    <w:rPr>
                      <w:rFonts w:hint="default" w:ascii="Times New Roman" w:hAnsi="Times New Roman" w:eastAsia="宋体" w:cs="Times New Roman"/>
                      <w:bCs/>
                      <w:color w:val="auto"/>
                      <w:spacing w:val="0"/>
                      <w:position w:val="0"/>
                      <w:sz w:val="21"/>
                      <w:szCs w:val="21"/>
                      <w:highlight w:val="none"/>
                    </w:rPr>
                  </w:pPr>
                  <w:r>
                    <w:rPr>
                      <w:rFonts w:hint="default" w:ascii="Times New Roman" w:hAnsi="Times New Roman" w:eastAsia="宋体" w:cs="Times New Roman"/>
                      <w:bCs/>
                      <w:color w:val="auto"/>
                      <w:spacing w:val="0"/>
                      <w:position w:val="0"/>
                      <w:sz w:val="21"/>
                      <w:szCs w:val="21"/>
                      <w:highlight w:val="none"/>
                    </w:rPr>
                    <w:t>《大气污染物综合排放标准》（GB16297-1996）表2</w:t>
                  </w:r>
                  <w:r>
                    <w:rPr>
                      <w:rFonts w:hint="eastAsia" w:cs="Times New Roman"/>
                      <w:bCs/>
                      <w:color w:val="auto"/>
                      <w:spacing w:val="0"/>
                      <w:position w:val="0"/>
                      <w:sz w:val="21"/>
                      <w:szCs w:val="21"/>
                      <w:highlight w:val="none"/>
                      <w:lang w:val="en-US" w:eastAsia="zh-CN"/>
                    </w:rPr>
                    <w:t>相关标准</w:t>
                  </w:r>
                </w:p>
              </w:tc>
            </w:tr>
            <w:tr w14:paraId="7018E8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74" w:type="dxa"/>
                  <w:gridSpan w:val="5"/>
                  <w:tcBorders>
                    <w:tl2br w:val="nil"/>
                    <w:tr2bl w:val="nil"/>
                  </w:tcBorders>
                  <w:noWrap w:val="0"/>
                  <w:vAlign w:val="center"/>
                </w:tcPr>
                <w:p w14:paraId="783FF83D">
                  <w:pPr>
                    <w:keepNext w:val="0"/>
                    <w:keepLines w:val="0"/>
                    <w:pageBreakBefore w:val="0"/>
                    <w:widowControl w:val="0"/>
                    <w:kinsoku/>
                    <w:wordWrap/>
                    <w:overflowPunct/>
                    <w:topLinePunct w:val="0"/>
                    <w:autoSpaceDE/>
                    <w:autoSpaceDN/>
                    <w:bidi w:val="0"/>
                    <w:adjustRightInd/>
                    <w:snapToGrid w:val="0"/>
                    <w:spacing w:line="300" w:lineRule="exact"/>
                    <w:jc w:val="both"/>
                    <w:textAlignment w:val="auto"/>
                    <w:rPr>
                      <w:rFonts w:hint="eastAsia" w:cs="Times New Roman"/>
                      <w:bCs/>
                      <w:color w:val="auto"/>
                      <w:spacing w:val="0"/>
                      <w:position w:val="0"/>
                      <w:sz w:val="18"/>
                      <w:szCs w:val="18"/>
                      <w:highlight w:val="none"/>
                      <w:lang w:val="en-US" w:eastAsia="zh-CN"/>
                    </w:rPr>
                  </w:pPr>
                  <w:r>
                    <w:rPr>
                      <w:rFonts w:hint="eastAsia" w:cs="Times New Roman"/>
                      <w:bCs/>
                      <w:color w:val="auto"/>
                      <w:spacing w:val="0"/>
                      <w:position w:val="0"/>
                      <w:sz w:val="18"/>
                      <w:szCs w:val="18"/>
                      <w:highlight w:val="none"/>
                      <w:lang w:val="en-US" w:eastAsia="zh-CN"/>
                    </w:rPr>
                    <w:t>备注：</w:t>
                  </w:r>
                </w:p>
                <w:p w14:paraId="4A7B5041">
                  <w:pPr>
                    <w:keepNext w:val="0"/>
                    <w:keepLines w:val="0"/>
                    <w:pageBreakBefore w:val="0"/>
                    <w:widowControl w:val="0"/>
                    <w:kinsoku/>
                    <w:wordWrap/>
                    <w:overflowPunct/>
                    <w:topLinePunct w:val="0"/>
                    <w:autoSpaceDE/>
                    <w:autoSpaceDN/>
                    <w:bidi w:val="0"/>
                    <w:adjustRightInd/>
                    <w:snapToGrid w:val="0"/>
                    <w:spacing w:line="300" w:lineRule="exact"/>
                    <w:jc w:val="both"/>
                    <w:textAlignment w:val="auto"/>
                    <w:rPr>
                      <w:rFonts w:hint="eastAsia" w:ascii="Times New Roman" w:hAnsi="Times New Roman" w:eastAsia="宋体" w:cs="Times New Roman"/>
                      <w:color w:val="auto"/>
                      <w:spacing w:val="0"/>
                      <w:position w:val="0"/>
                      <w:sz w:val="18"/>
                      <w:szCs w:val="18"/>
                      <w:highlight w:val="none"/>
                      <w:lang w:val="en-US" w:eastAsia="zh-CN" w:bidi="ar"/>
                    </w:rPr>
                  </w:pPr>
                  <w:r>
                    <w:rPr>
                      <w:rFonts w:hint="eastAsia" w:cs="Times New Roman"/>
                      <w:color w:val="auto"/>
                      <w:spacing w:val="0"/>
                      <w:position w:val="0"/>
                      <w:sz w:val="18"/>
                      <w:szCs w:val="18"/>
                      <w:highlight w:val="none"/>
                      <w:vertAlign w:val="baseline"/>
                      <w:lang w:val="en-US" w:eastAsia="zh-CN"/>
                    </w:rPr>
                    <w:fldChar w:fldCharType="begin"/>
                  </w:r>
                  <w:r>
                    <w:rPr>
                      <w:rFonts w:hint="eastAsia" w:cs="Times New Roman"/>
                      <w:color w:val="auto"/>
                      <w:spacing w:val="0"/>
                      <w:position w:val="0"/>
                      <w:sz w:val="18"/>
                      <w:szCs w:val="18"/>
                      <w:highlight w:val="none"/>
                      <w:vertAlign w:val="baseline"/>
                      <w:lang w:val="en-US" w:eastAsia="zh-CN"/>
                    </w:rPr>
                    <w:instrText xml:space="preserve"> = 1 \* GB3 \* MERGEFORMAT </w:instrText>
                  </w:r>
                  <w:r>
                    <w:rPr>
                      <w:rFonts w:hint="eastAsia" w:cs="Times New Roman"/>
                      <w:color w:val="auto"/>
                      <w:spacing w:val="0"/>
                      <w:position w:val="0"/>
                      <w:sz w:val="18"/>
                      <w:szCs w:val="18"/>
                      <w:highlight w:val="none"/>
                      <w:vertAlign w:val="baseline"/>
                      <w:lang w:val="en-US" w:eastAsia="zh-CN"/>
                    </w:rPr>
                    <w:fldChar w:fldCharType="separate"/>
                  </w:r>
                  <w:r>
                    <w:rPr>
                      <w:color w:val="auto"/>
                      <w:sz w:val="18"/>
                      <w:szCs w:val="18"/>
                      <w:highlight w:val="none"/>
                      <w:vertAlign w:val="baseline"/>
                    </w:rPr>
                    <w:t>①</w:t>
                  </w:r>
                  <w:r>
                    <w:rPr>
                      <w:rFonts w:hint="eastAsia" w:cs="Times New Roman"/>
                      <w:color w:val="auto"/>
                      <w:spacing w:val="0"/>
                      <w:position w:val="0"/>
                      <w:sz w:val="18"/>
                      <w:szCs w:val="18"/>
                      <w:highlight w:val="none"/>
                      <w:vertAlign w:val="baseline"/>
                      <w:lang w:val="en-US" w:eastAsia="zh-CN"/>
                    </w:rPr>
                    <w:fldChar w:fldCharType="end"/>
                  </w:r>
                  <w:r>
                    <w:rPr>
                      <w:rFonts w:hint="default" w:ascii="Times New Roman" w:hAnsi="Times New Roman" w:eastAsia="宋体" w:cs="Times New Roman"/>
                      <w:bCs/>
                      <w:color w:val="auto"/>
                      <w:spacing w:val="0"/>
                      <w:position w:val="0"/>
                      <w:sz w:val="18"/>
                      <w:szCs w:val="18"/>
                      <w:highlight w:val="none"/>
                    </w:rPr>
                    <w:t>根据《大气污染物综合排放标准》（GB16297-1996</w:t>
                  </w:r>
                  <w:r>
                    <w:rPr>
                      <w:rFonts w:hint="eastAsia" w:cs="Times New Roman"/>
                      <w:bCs/>
                      <w:color w:val="auto"/>
                      <w:spacing w:val="0"/>
                      <w:position w:val="0"/>
                      <w:sz w:val="18"/>
                      <w:szCs w:val="18"/>
                      <w:highlight w:val="none"/>
                      <w:lang w:eastAsia="zh-CN"/>
                    </w:rPr>
                    <w:t>）</w:t>
                  </w:r>
                  <w:r>
                    <w:rPr>
                      <w:rFonts w:hint="default" w:ascii="Times New Roman" w:hAnsi="Times New Roman" w:eastAsia="宋体" w:cs="Times New Roman"/>
                      <w:bCs/>
                      <w:color w:val="auto"/>
                      <w:spacing w:val="0"/>
                      <w:position w:val="0"/>
                      <w:sz w:val="18"/>
                      <w:szCs w:val="18"/>
                      <w:highlight w:val="none"/>
                    </w:rPr>
                    <w:t>中</w:t>
                  </w:r>
                  <w:r>
                    <w:rPr>
                      <w:rFonts w:hint="eastAsia" w:cs="Times New Roman"/>
                      <w:bCs/>
                      <w:color w:val="auto"/>
                      <w:spacing w:val="0"/>
                      <w:position w:val="0"/>
                      <w:sz w:val="18"/>
                      <w:szCs w:val="18"/>
                      <w:highlight w:val="none"/>
                      <w:lang w:eastAsia="zh-CN"/>
                    </w:rPr>
                    <w:t>“</w:t>
                  </w:r>
                  <w:r>
                    <w:rPr>
                      <w:rFonts w:hint="default" w:ascii="Times New Roman" w:hAnsi="Times New Roman" w:eastAsia="宋体" w:cs="Times New Roman"/>
                      <w:bCs/>
                      <w:color w:val="auto"/>
                      <w:spacing w:val="0"/>
                      <w:position w:val="0"/>
                      <w:sz w:val="18"/>
                      <w:szCs w:val="18"/>
                      <w:highlight w:val="none"/>
                    </w:rPr>
                    <w:t>7.1其他规定</w:t>
                  </w:r>
                  <w:r>
                    <w:rPr>
                      <w:rFonts w:hint="eastAsia" w:cs="Times New Roman"/>
                      <w:bCs/>
                      <w:color w:val="auto"/>
                      <w:spacing w:val="0"/>
                      <w:position w:val="0"/>
                      <w:sz w:val="18"/>
                      <w:szCs w:val="18"/>
                      <w:highlight w:val="none"/>
                      <w:lang w:eastAsia="zh-CN"/>
                    </w:rPr>
                    <w:t>”</w:t>
                  </w:r>
                  <w:r>
                    <w:rPr>
                      <w:rFonts w:hint="default" w:ascii="Times New Roman" w:hAnsi="Times New Roman" w:eastAsia="宋体" w:cs="Times New Roman"/>
                      <w:bCs/>
                      <w:color w:val="auto"/>
                      <w:spacing w:val="0"/>
                      <w:position w:val="0"/>
                      <w:sz w:val="18"/>
                      <w:szCs w:val="18"/>
                      <w:highlight w:val="none"/>
                    </w:rPr>
                    <w:t>要求，项目应高出周围200m半径范围的建筑5m以上，不能达到该要求的排气筒，其排放速率标准值严格50%执行</w:t>
                  </w:r>
                  <w:r>
                    <w:rPr>
                      <w:rFonts w:hint="eastAsia" w:cs="Times New Roman"/>
                      <w:bCs/>
                      <w:color w:val="auto"/>
                      <w:spacing w:val="0"/>
                      <w:position w:val="0"/>
                      <w:sz w:val="18"/>
                      <w:szCs w:val="18"/>
                      <w:highlight w:val="none"/>
                      <w:lang w:val="en-US" w:eastAsia="zh-CN"/>
                    </w:rPr>
                    <w:t>，项目</w:t>
                  </w:r>
                  <w:r>
                    <w:rPr>
                      <w:rFonts w:hint="eastAsia" w:ascii="Times New Roman" w:hAnsi="Times New Roman" w:eastAsia="宋体" w:cs="Times New Roman"/>
                      <w:color w:val="auto"/>
                      <w:spacing w:val="0"/>
                      <w:position w:val="0"/>
                      <w:sz w:val="18"/>
                      <w:szCs w:val="18"/>
                      <w:highlight w:val="none"/>
                      <w:lang w:val="en-US" w:eastAsia="zh-CN" w:bidi="ar"/>
                    </w:rPr>
                    <w:t>排气筒高度</w:t>
                  </w:r>
                  <w:r>
                    <w:rPr>
                      <w:rFonts w:hint="eastAsia" w:cs="Times New Roman"/>
                      <w:color w:val="auto"/>
                      <w:spacing w:val="0"/>
                      <w:position w:val="0"/>
                      <w:sz w:val="18"/>
                      <w:szCs w:val="18"/>
                      <w:highlight w:val="none"/>
                      <w:lang w:val="en-US" w:eastAsia="zh-CN" w:bidi="ar"/>
                    </w:rPr>
                    <w:t>未</w:t>
                  </w:r>
                  <w:r>
                    <w:rPr>
                      <w:rFonts w:hint="eastAsia" w:ascii="Times New Roman" w:hAnsi="Times New Roman" w:eastAsia="宋体" w:cs="Times New Roman"/>
                      <w:color w:val="auto"/>
                      <w:spacing w:val="0"/>
                      <w:position w:val="0"/>
                      <w:sz w:val="18"/>
                      <w:szCs w:val="18"/>
                      <w:highlight w:val="none"/>
                      <w:lang w:val="en-US" w:eastAsia="zh-CN" w:bidi="ar"/>
                    </w:rPr>
                    <w:t>高出周围200m半径范围的最高建筑物5m以上。</w:t>
                  </w:r>
                </w:p>
                <w:p w14:paraId="0938BBB2">
                  <w:pPr>
                    <w:pStyle w:val="3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eastAsia"/>
                      <w:color w:val="auto"/>
                      <w:highlight w:val="none"/>
                      <w:lang w:eastAsia="zh-CN"/>
                    </w:rPr>
                  </w:pPr>
                  <w:r>
                    <w:rPr>
                      <w:rFonts w:hint="eastAsia"/>
                      <w:color w:val="auto"/>
                      <w:sz w:val="18"/>
                      <w:szCs w:val="18"/>
                      <w:highlight w:val="none"/>
                      <w:lang w:eastAsia="zh-CN"/>
                    </w:rPr>
                    <w:fldChar w:fldCharType="begin"/>
                  </w:r>
                  <w:r>
                    <w:rPr>
                      <w:rFonts w:hint="eastAsia"/>
                      <w:color w:val="auto"/>
                      <w:sz w:val="18"/>
                      <w:szCs w:val="18"/>
                      <w:highlight w:val="none"/>
                      <w:lang w:eastAsia="zh-CN"/>
                    </w:rPr>
                    <w:instrText xml:space="preserve"> = 2 \* GB3 \* MERGEFORMAT </w:instrText>
                  </w:r>
                  <w:r>
                    <w:rPr>
                      <w:rFonts w:hint="eastAsia"/>
                      <w:color w:val="auto"/>
                      <w:sz w:val="18"/>
                      <w:szCs w:val="18"/>
                      <w:highlight w:val="none"/>
                      <w:lang w:eastAsia="zh-CN"/>
                    </w:rPr>
                    <w:fldChar w:fldCharType="separate"/>
                  </w:r>
                  <w:r>
                    <w:rPr>
                      <w:color w:val="auto"/>
                      <w:sz w:val="18"/>
                      <w:szCs w:val="18"/>
                      <w:highlight w:val="none"/>
                    </w:rPr>
                    <w:t>②</w:t>
                  </w:r>
                  <w:r>
                    <w:rPr>
                      <w:rFonts w:hint="eastAsia"/>
                      <w:color w:val="auto"/>
                      <w:sz w:val="18"/>
                      <w:szCs w:val="18"/>
                      <w:highlight w:val="none"/>
                      <w:lang w:eastAsia="zh-CN"/>
                    </w:rPr>
                    <w:fldChar w:fldCharType="end"/>
                  </w:r>
                  <w:r>
                    <w:rPr>
                      <w:rFonts w:hint="eastAsia" w:ascii="Times New Roman" w:hAnsi="Times New Roman" w:eastAsia="宋体" w:cs="Times New Roman"/>
                      <w:color w:val="auto"/>
                      <w:spacing w:val="0"/>
                      <w:sz w:val="18"/>
                      <w:szCs w:val="18"/>
                      <w:highlight w:val="none"/>
                      <w:lang w:val="en-US" w:eastAsia="zh-CN"/>
                    </w:rPr>
                    <w:t>项目排气筒高度为25m，处于“20m~30m”两列高度之间，用内插法计算其最高允许排放速率，计算公式：Q=Q</w:t>
                  </w:r>
                  <w:r>
                    <w:rPr>
                      <w:rFonts w:hint="eastAsia" w:ascii="Times New Roman" w:hAnsi="Times New Roman" w:eastAsia="宋体" w:cs="Times New Roman"/>
                      <w:color w:val="auto"/>
                      <w:spacing w:val="0"/>
                      <w:sz w:val="18"/>
                      <w:szCs w:val="18"/>
                      <w:highlight w:val="none"/>
                      <w:vertAlign w:val="subscript"/>
                      <w:lang w:val="en-US" w:eastAsia="zh-CN"/>
                    </w:rPr>
                    <w:t>a</w:t>
                  </w:r>
                  <w:r>
                    <w:rPr>
                      <w:rFonts w:hint="eastAsia" w:ascii="Times New Roman" w:hAnsi="Times New Roman" w:eastAsia="宋体" w:cs="Times New Roman"/>
                      <w:color w:val="auto"/>
                      <w:spacing w:val="0"/>
                      <w:sz w:val="18"/>
                      <w:szCs w:val="18"/>
                      <w:highlight w:val="none"/>
                      <w:lang w:val="en-US" w:eastAsia="zh-CN"/>
                    </w:rPr>
                    <w:t>+(Q</w:t>
                  </w:r>
                  <w:r>
                    <w:rPr>
                      <w:rFonts w:hint="eastAsia" w:ascii="Times New Roman" w:hAnsi="Times New Roman" w:eastAsia="宋体" w:cs="Times New Roman"/>
                      <w:color w:val="auto"/>
                      <w:spacing w:val="0"/>
                      <w:sz w:val="18"/>
                      <w:szCs w:val="18"/>
                      <w:highlight w:val="none"/>
                      <w:vertAlign w:val="subscript"/>
                      <w:lang w:val="en-US" w:eastAsia="zh-CN"/>
                    </w:rPr>
                    <w:t>a+1</w:t>
                  </w:r>
                  <w:r>
                    <w:rPr>
                      <w:rFonts w:hint="eastAsia" w:ascii="Times New Roman" w:hAnsi="Times New Roman" w:eastAsia="宋体" w:cs="Times New Roman"/>
                      <w:color w:val="auto"/>
                      <w:spacing w:val="0"/>
                      <w:sz w:val="18"/>
                      <w:szCs w:val="18"/>
                      <w:highlight w:val="none"/>
                      <w:lang w:val="en-US" w:eastAsia="zh-CN"/>
                    </w:rPr>
                    <w:t>-Q</w:t>
                  </w:r>
                  <w:r>
                    <w:rPr>
                      <w:rFonts w:hint="eastAsia" w:ascii="Times New Roman" w:hAnsi="Times New Roman" w:eastAsia="宋体" w:cs="Times New Roman"/>
                      <w:color w:val="auto"/>
                      <w:spacing w:val="0"/>
                      <w:sz w:val="18"/>
                      <w:szCs w:val="18"/>
                      <w:highlight w:val="none"/>
                      <w:vertAlign w:val="subscript"/>
                      <w:lang w:val="en-US" w:eastAsia="zh-CN"/>
                    </w:rPr>
                    <w:t>a</w:t>
                  </w:r>
                  <w:r>
                    <w:rPr>
                      <w:rFonts w:hint="eastAsia" w:ascii="Times New Roman" w:hAnsi="Times New Roman" w:eastAsia="宋体" w:cs="Times New Roman"/>
                      <w:color w:val="auto"/>
                      <w:spacing w:val="0"/>
                      <w:sz w:val="18"/>
                      <w:szCs w:val="18"/>
                      <w:highlight w:val="none"/>
                      <w:lang w:val="en-US" w:eastAsia="zh-CN"/>
                    </w:rPr>
                    <w:t>)(h-h</w:t>
                  </w:r>
                  <w:r>
                    <w:rPr>
                      <w:rFonts w:hint="eastAsia" w:ascii="Times New Roman" w:hAnsi="Times New Roman" w:eastAsia="宋体" w:cs="Times New Roman"/>
                      <w:color w:val="auto"/>
                      <w:spacing w:val="0"/>
                      <w:sz w:val="18"/>
                      <w:szCs w:val="18"/>
                      <w:highlight w:val="none"/>
                      <w:vertAlign w:val="subscript"/>
                      <w:lang w:val="en-US" w:eastAsia="zh-CN"/>
                    </w:rPr>
                    <w:t>a</w:t>
                  </w:r>
                  <w:r>
                    <w:rPr>
                      <w:rFonts w:hint="eastAsia" w:ascii="Times New Roman" w:hAnsi="Times New Roman" w:eastAsia="宋体" w:cs="Times New Roman"/>
                      <w:color w:val="auto"/>
                      <w:spacing w:val="0"/>
                      <w:sz w:val="18"/>
                      <w:szCs w:val="18"/>
                      <w:highlight w:val="none"/>
                      <w:lang w:val="en-US" w:eastAsia="zh-CN"/>
                    </w:rPr>
                    <w:t>)/(h</w:t>
                  </w:r>
                  <w:r>
                    <w:rPr>
                      <w:rFonts w:hint="eastAsia" w:ascii="Times New Roman" w:hAnsi="Times New Roman" w:eastAsia="宋体" w:cs="Times New Roman"/>
                      <w:color w:val="auto"/>
                      <w:spacing w:val="0"/>
                      <w:sz w:val="18"/>
                      <w:szCs w:val="18"/>
                      <w:highlight w:val="none"/>
                      <w:vertAlign w:val="subscript"/>
                      <w:lang w:val="en-US" w:eastAsia="zh-CN"/>
                    </w:rPr>
                    <w:t>a+1</w:t>
                  </w:r>
                  <w:r>
                    <w:rPr>
                      <w:rFonts w:hint="eastAsia" w:ascii="Times New Roman" w:hAnsi="Times New Roman" w:eastAsia="宋体" w:cs="Times New Roman"/>
                      <w:color w:val="auto"/>
                      <w:spacing w:val="0"/>
                      <w:sz w:val="18"/>
                      <w:szCs w:val="18"/>
                      <w:highlight w:val="none"/>
                      <w:lang w:val="en-US" w:eastAsia="zh-CN"/>
                    </w:rPr>
                    <w:t>-h</w:t>
                  </w:r>
                  <w:r>
                    <w:rPr>
                      <w:rFonts w:hint="eastAsia" w:ascii="Times New Roman" w:hAnsi="Times New Roman" w:eastAsia="宋体" w:cs="Times New Roman"/>
                      <w:color w:val="auto"/>
                      <w:spacing w:val="0"/>
                      <w:sz w:val="18"/>
                      <w:szCs w:val="18"/>
                      <w:highlight w:val="none"/>
                      <w:vertAlign w:val="subscript"/>
                      <w:lang w:val="en-US" w:eastAsia="zh-CN"/>
                    </w:rPr>
                    <w:t>a</w:t>
                  </w:r>
                  <w:r>
                    <w:rPr>
                      <w:rFonts w:hint="eastAsia" w:ascii="Times New Roman" w:hAnsi="Times New Roman" w:eastAsia="宋体" w:cs="Times New Roman"/>
                      <w:color w:val="auto"/>
                      <w:spacing w:val="0"/>
                      <w:sz w:val="18"/>
                      <w:szCs w:val="18"/>
                      <w:highlight w:val="none"/>
                      <w:lang w:val="en-US" w:eastAsia="zh-CN"/>
                    </w:rPr>
                    <w:t>)。</w:t>
                  </w:r>
                </w:p>
              </w:tc>
            </w:tr>
          </w:tbl>
          <w:p w14:paraId="38F5E29A">
            <w:pPr>
              <w:keepNext w:val="0"/>
              <w:keepLines w:val="0"/>
              <w:pageBreakBefore w:val="0"/>
              <w:widowControl/>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宋体" w:cs="Times New Roman"/>
                <w:b/>
                <w:color w:val="auto"/>
                <w:spacing w:val="0"/>
                <w:position w:val="0"/>
                <w:sz w:val="24"/>
                <w:szCs w:val="24"/>
                <w:highlight w:val="none"/>
                <w:lang w:val="en-US" w:eastAsia="zh-CN"/>
              </w:rPr>
            </w:pPr>
            <w:r>
              <w:rPr>
                <w:rFonts w:hint="default" w:ascii="Times New Roman" w:hAnsi="Times New Roman" w:eastAsia="宋体" w:cs="Times New Roman"/>
                <w:b/>
                <w:color w:val="auto"/>
                <w:spacing w:val="0"/>
                <w:position w:val="0"/>
                <w:sz w:val="24"/>
                <w:szCs w:val="24"/>
                <w:highlight w:val="none"/>
                <w:lang w:eastAsia="zh-CN"/>
              </w:rPr>
              <w:t>表</w:t>
            </w:r>
            <w:r>
              <w:rPr>
                <w:rFonts w:hint="eastAsia" w:ascii="Times New Roman" w:hAnsi="Times New Roman" w:eastAsia="宋体" w:cs="Times New Roman"/>
                <w:b/>
                <w:color w:val="auto"/>
                <w:spacing w:val="0"/>
                <w:position w:val="0"/>
                <w:sz w:val="24"/>
                <w:szCs w:val="24"/>
                <w:highlight w:val="none"/>
                <w:lang w:val="en-US" w:eastAsia="zh-CN"/>
              </w:rPr>
              <w:t>3.</w:t>
            </w:r>
            <w:r>
              <w:rPr>
                <w:rFonts w:hint="eastAsia" w:cs="Times New Roman"/>
                <w:b/>
                <w:color w:val="auto"/>
                <w:spacing w:val="0"/>
                <w:position w:val="0"/>
                <w:sz w:val="24"/>
                <w:szCs w:val="24"/>
                <w:highlight w:val="none"/>
                <w:lang w:val="en-US" w:eastAsia="zh-CN"/>
              </w:rPr>
              <w:t>4-3</w:t>
            </w:r>
            <w:r>
              <w:rPr>
                <w:rFonts w:hint="eastAsia" w:ascii="Times New Roman" w:hAnsi="Times New Roman" w:eastAsia="宋体" w:cs="Times New Roman"/>
                <w:b/>
                <w:color w:val="auto"/>
                <w:spacing w:val="0"/>
                <w:position w:val="0"/>
                <w:sz w:val="24"/>
                <w:szCs w:val="24"/>
                <w:highlight w:val="none"/>
                <w:lang w:val="en-US" w:eastAsia="zh-CN"/>
              </w:rPr>
              <w:t xml:space="preserve">  企业边界无组织排放标准限值</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007"/>
              <w:gridCol w:w="1750"/>
              <w:gridCol w:w="3737"/>
            </w:tblGrid>
            <w:tr w14:paraId="5A06C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vMerge w:val="restart"/>
                  <w:tcBorders>
                    <w:tl2br w:val="nil"/>
                    <w:tr2bl w:val="nil"/>
                  </w:tcBorders>
                  <w:vAlign w:val="center"/>
                </w:tcPr>
                <w:p w14:paraId="3D8BADF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pacing w:val="0"/>
                      <w:position w:val="0"/>
                      <w:sz w:val="21"/>
                      <w:szCs w:val="21"/>
                      <w:highlight w:val="none"/>
                      <w:vertAlign w:val="baseline"/>
                    </w:rPr>
                  </w:pPr>
                  <w:r>
                    <w:rPr>
                      <w:rFonts w:hint="eastAsia" w:ascii="Times New Roman" w:hAnsi="Times New Roman" w:eastAsia="宋体" w:cs="Times New Roman"/>
                      <w:b/>
                      <w:bCs w:val="0"/>
                      <w:color w:val="auto"/>
                      <w:spacing w:val="0"/>
                      <w:position w:val="0"/>
                      <w:sz w:val="21"/>
                      <w:szCs w:val="21"/>
                      <w:highlight w:val="none"/>
                      <w:lang w:eastAsia="zh-CN"/>
                    </w:rPr>
                    <w:t>污染物</w:t>
                  </w:r>
                </w:p>
              </w:tc>
              <w:tc>
                <w:tcPr>
                  <w:tcW w:w="2757" w:type="dxa"/>
                  <w:gridSpan w:val="2"/>
                  <w:tcBorders>
                    <w:tl2br w:val="nil"/>
                    <w:tr2bl w:val="nil"/>
                  </w:tcBorders>
                  <w:vAlign w:val="center"/>
                </w:tcPr>
                <w:p w14:paraId="4C8CB548">
                  <w:pPr>
                    <w:keepNext w:val="0"/>
                    <w:keepLines w:val="0"/>
                    <w:widowControl/>
                    <w:suppressLineNumbers w:val="0"/>
                    <w:jc w:val="center"/>
                    <w:rPr>
                      <w:rFonts w:hint="default" w:ascii="Times New Roman" w:hAnsi="Times New Roman" w:eastAsia="宋体" w:cs="Times New Roman"/>
                      <w:b/>
                      <w:bCs w:val="0"/>
                      <w:color w:val="auto"/>
                      <w:spacing w:val="0"/>
                      <w:position w:val="0"/>
                      <w:sz w:val="21"/>
                      <w:szCs w:val="21"/>
                      <w:highlight w:val="none"/>
                      <w:vertAlign w:val="baseline"/>
                    </w:rPr>
                  </w:pPr>
                  <w:r>
                    <w:rPr>
                      <w:rFonts w:hint="eastAsia" w:ascii="Times New Roman" w:hAnsi="Times New Roman" w:eastAsia="宋体" w:cs="Times New Roman"/>
                      <w:b/>
                      <w:bCs w:val="0"/>
                      <w:color w:val="auto"/>
                      <w:spacing w:val="0"/>
                      <w:kern w:val="0"/>
                      <w:position w:val="0"/>
                      <w:sz w:val="21"/>
                      <w:szCs w:val="21"/>
                      <w:highlight w:val="none"/>
                      <w:lang w:val="en-US" w:eastAsia="zh-CN" w:bidi="ar"/>
                    </w:rPr>
                    <w:t>无组织排放监控浓度限值</w:t>
                  </w:r>
                </w:p>
              </w:tc>
              <w:tc>
                <w:tcPr>
                  <w:tcW w:w="3737" w:type="dxa"/>
                  <w:vMerge w:val="restart"/>
                  <w:tcBorders>
                    <w:tl2br w:val="nil"/>
                    <w:tr2bl w:val="nil"/>
                  </w:tcBorders>
                  <w:vAlign w:val="center"/>
                </w:tcPr>
                <w:p w14:paraId="714A6EF9">
                  <w:pPr>
                    <w:keepNext w:val="0"/>
                    <w:keepLines w:val="0"/>
                    <w:widowControl/>
                    <w:suppressLineNumbers w:val="0"/>
                    <w:jc w:val="center"/>
                    <w:rPr>
                      <w:rFonts w:hint="default" w:ascii="Times New Roman" w:hAnsi="Times New Roman" w:eastAsia="宋体" w:cs="Times New Roman"/>
                      <w:b/>
                      <w:color w:val="auto"/>
                      <w:spacing w:val="0"/>
                      <w:position w:val="0"/>
                      <w:sz w:val="21"/>
                      <w:szCs w:val="21"/>
                      <w:highlight w:val="none"/>
                      <w:vertAlign w:val="baseline"/>
                    </w:rPr>
                  </w:pPr>
                  <w:r>
                    <w:rPr>
                      <w:rFonts w:hint="eastAsia" w:ascii="Times New Roman" w:hAnsi="Times New Roman" w:eastAsia="宋体" w:cs="Times New Roman"/>
                      <w:b/>
                      <w:bCs/>
                      <w:color w:val="auto"/>
                      <w:spacing w:val="0"/>
                      <w:kern w:val="0"/>
                      <w:position w:val="0"/>
                      <w:sz w:val="21"/>
                      <w:szCs w:val="21"/>
                      <w:highlight w:val="none"/>
                      <w:lang w:val="en-US" w:eastAsia="zh-CN" w:bidi="ar"/>
                    </w:rPr>
                    <w:t>标准来源</w:t>
                  </w:r>
                </w:p>
              </w:tc>
            </w:tr>
            <w:tr w14:paraId="0153CB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vMerge w:val="continue"/>
                  <w:tcBorders>
                    <w:tl2br w:val="nil"/>
                    <w:tr2bl w:val="nil"/>
                  </w:tcBorders>
                  <w:vAlign w:val="center"/>
                </w:tcPr>
                <w:p w14:paraId="027AB0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pacing w:val="0"/>
                      <w:position w:val="0"/>
                      <w:sz w:val="21"/>
                      <w:szCs w:val="21"/>
                      <w:highlight w:val="none"/>
                      <w:vertAlign w:val="baseline"/>
                    </w:rPr>
                  </w:pPr>
                </w:p>
              </w:tc>
              <w:tc>
                <w:tcPr>
                  <w:tcW w:w="1007" w:type="dxa"/>
                  <w:tcBorders>
                    <w:tl2br w:val="nil"/>
                    <w:tr2bl w:val="nil"/>
                  </w:tcBorders>
                  <w:vAlign w:val="center"/>
                </w:tcPr>
                <w:p w14:paraId="6AD1516B">
                  <w:pPr>
                    <w:keepNext w:val="0"/>
                    <w:keepLines w:val="0"/>
                    <w:widowControl/>
                    <w:suppressLineNumbers w:val="0"/>
                    <w:jc w:val="center"/>
                    <w:rPr>
                      <w:rFonts w:hint="default" w:ascii="Times New Roman" w:hAnsi="Times New Roman" w:eastAsia="宋体" w:cs="Times New Roman"/>
                      <w:b/>
                      <w:bCs w:val="0"/>
                      <w:color w:val="auto"/>
                      <w:spacing w:val="0"/>
                      <w:position w:val="0"/>
                      <w:sz w:val="21"/>
                      <w:szCs w:val="21"/>
                      <w:highlight w:val="none"/>
                      <w:vertAlign w:val="baseline"/>
                    </w:rPr>
                  </w:pPr>
                  <w:r>
                    <w:rPr>
                      <w:rFonts w:hint="eastAsia" w:ascii="Times New Roman" w:hAnsi="Times New Roman" w:eastAsia="宋体" w:cs="Times New Roman"/>
                      <w:b/>
                      <w:bCs w:val="0"/>
                      <w:color w:val="auto"/>
                      <w:spacing w:val="0"/>
                      <w:kern w:val="0"/>
                      <w:position w:val="0"/>
                      <w:sz w:val="21"/>
                      <w:szCs w:val="21"/>
                      <w:highlight w:val="none"/>
                      <w:lang w:val="en-US" w:eastAsia="zh-CN" w:bidi="ar"/>
                    </w:rPr>
                    <w:t>监控点</w:t>
                  </w:r>
                </w:p>
              </w:tc>
              <w:tc>
                <w:tcPr>
                  <w:tcW w:w="1750" w:type="dxa"/>
                  <w:tcBorders>
                    <w:tl2br w:val="nil"/>
                    <w:tr2bl w:val="nil"/>
                  </w:tcBorders>
                  <w:vAlign w:val="center"/>
                </w:tcPr>
                <w:p w14:paraId="5C84D85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pacing w:val="0"/>
                      <w:position w:val="0"/>
                      <w:sz w:val="21"/>
                      <w:szCs w:val="21"/>
                      <w:highlight w:val="none"/>
                      <w:vertAlign w:val="baseline"/>
                    </w:rPr>
                  </w:pPr>
                  <w:r>
                    <w:rPr>
                      <w:rFonts w:ascii="Times New Roman" w:hAnsi="Times New Roman" w:eastAsia="宋体" w:cs="Times New Roman"/>
                      <w:b/>
                      <w:bCs w:val="0"/>
                      <w:color w:val="auto"/>
                      <w:spacing w:val="0"/>
                      <w:position w:val="0"/>
                      <w:sz w:val="21"/>
                      <w:szCs w:val="21"/>
                      <w:highlight w:val="none"/>
                    </w:rPr>
                    <w:t>浓度（mg/m</w:t>
                  </w:r>
                  <w:r>
                    <w:rPr>
                      <w:rFonts w:ascii="Times New Roman" w:hAnsi="Times New Roman" w:eastAsia="宋体" w:cs="Times New Roman"/>
                      <w:b/>
                      <w:bCs w:val="0"/>
                      <w:color w:val="auto"/>
                      <w:spacing w:val="0"/>
                      <w:position w:val="0"/>
                      <w:sz w:val="21"/>
                      <w:szCs w:val="21"/>
                      <w:highlight w:val="none"/>
                      <w:vertAlign w:val="superscript"/>
                    </w:rPr>
                    <w:t>3</w:t>
                  </w:r>
                  <w:r>
                    <w:rPr>
                      <w:rFonts w:ascii="Times New Roman" w:hAnsi="Times New Roman" w:eastAsia="宋体" w:cs="Times New Roman"/>
                      <w:b/>
                      <w:bCs w:val="0"/>
                      <w:color w:val="auto"/>
                      <w:spacing w:val="0"/>
                      <w:position w:val="0"/>
                      <w:sz w:val="21"/>
                      <w:szCs w:val="21"/>
                      <w:highlight w:val="none"/>
                    </w:rPr>
                    <w:t>）</w:t>
                  </w:r>
                </w:p>
              </w:tc>
              <w:tc>
                <w:tcPr>
                  <w:tcW w:w="3737" w:type="dxa"/>
                  <w:vMerge w:val="continue"/>
                  <w:tcBorders>
                    <w:tl2br w:val="nil"/>
                    <w:tr2bl w:val="nil"/>
                  </w:tcBorders>
                  <w:vAlign w:val="center"/>
                </w:tcPr>
                <w:p w14:paraId="4219C8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pacing w:val="0"/>
                      <w:position w:val="0"/>
                      <w:sz w:val="21"/>
                      <w:szCs w:val="21"/>
                      <w:highlight w:val="none"/>
                      <w:vertAlign w:val="baseline"/>
                    </w:rPr>
                  </w:pPr>
                </w:p>
              </w:tc>
            </w:tr>
            <w:tr w14:paraId="07BF21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17C68EB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pacing w:val="0"/>
                      <w:position w:val="0"/>
                      <w:sz w:val="21"/>
                      <w:szCs w:val="21"/>
                      <w:highlight w:val="none"/>
                      <w:vertAlign w:val="baseline"/>
                    </w:rPr>
                  </w:pPr>
                  <w:r>
                    <w:rPr>
                      <w:rFonts w:ascii="Times New Roman" w:hAnsi="Times New Roman" w:eastAsia="宋体" w:cs="Times New Roman"/>
                      <w:color w:val="auto"/>
                      <w:spacing w:val="0"/>
                      <w:position w:val="0"/>
                      <w:sz w:val="21"/>
                      <w:szCs w:val="21"/>
                      <w:highlight w:val="none"/>
                    </w:rPr>
                    <w:t>颗粒物</w:t>
                  </w:r>
                </w:p>
              </w:tc>
              <w:tc>
                <w:tcPr>
                  <w:tcW w:w="1007" w:type="dxa"/>
                  <w:vMerge w:val="restart"/>
                  <w:tcBorders>
                    <w:tl2br w:val="nil"/>
                    <w:tr2bl w:val="nil"/>
                  </w:tcBorders>
                  <w:vAlign w:val="center"/>
                </w:tcPr>
                <w:p w14:paraId="684778D4">
                  <w:pPr>
                    <w:keepNext w:val="0"/>
                    <w:keepLines w:val="0"/>
                    <w:widowControl/>
                    <w:suppressLineNumbers w:val="0"/>
                    <w:jc w:val="center"/>
                    <w:rPr>
                      <w:rFonts w:hint="default" w:ascii="Times New Roman" w:hAnsi="Times New Roman" w:eastAsia="宋体" w:cs="Times New Roman"/>
                      <w:b/>
                      <w:color w:val="auto"/>
                      <w:spacing w:val="0"/>
                      <w:position w:val="0"/>
                      <w:sz w:val="21"/>
                      <w:szCs w:val="21"/>
                      <w:highlight w:val="none"/>
                      <w:vertAlign w:val="baseline"/>
                    </w:rPr>
                  </w:pPr>
                  <w:r>
                    <w:rPr>
                      <w:rFonts w:hint="eastAsia" w:ascii="Times New Roman" w:hAnsi="Times New Roman" w:eastAsia="宋体" w:cs="Times New Roman"/>
                      <w:color w:val="auto"/>
                      <w:spacing w:val="0"/>
                      <w:kern w:val="0"/>
                      <w:position w:val="0"/>
                      <w:sz w:val="21"/>
                      <w:szCs w:val="21"/>
                      <w:highlight w:val="none"/>
                      <w:lang w:val="en-US" w:eastAsia="zh-CN" w:bidi="ar"/>
                    </w:rPr>
                    <w:t>企业边界监控点浓度限值</w:t>
                  </w:r>
                </w:p>
              </w:tc>
              <w:tc>
                <w:tcPr>
                  <w:tcW w:w="1750" w:type="dxa"/>
                  <w:tcBorders>
                    <w:tl2br w:val="nil"/>
                    <w:tr2bl w:val="nil"/>
                  </w:tcBorders>
                  <w:vAlign w:val="center"/>
                </w:tcPr>
                <w:p w14:paraId="003A56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pacing w:val="0"/>
                      <w:position w:val="0"/>
                      <w:sz w:val="21"/>
                      <w:szCs w:val="21"/>
                      <w:highlight w:val="none"/>
                      <w:vertAlign w:val="baseline"/>
                      <w:lang w:val="en-US" w:eastAsia="zh-CN"/>
                    </w:rPr>
                  </w:pPr>
                  <w:r>
                    <w:rPr>
                      <w:rFonts w:hint="eastAsia" w:ascii="Times New Roman" w:hAnsi="Times New Roman" w:eastAsia="宋体" w:cs="Times New Roman"/>
                      <w:b w:val="0"/>
                      <w:bCs/>
                      <w:color w:val="auto"/>
                      <w:spacing w:val="0"/>
                      <w:position w:val="0"/>
                      <w:sz w:val="21"/>
                      <w:szCs w:val="21"/>
                      <w:highlight w:val="none"/>
                      <w:vertAlign w:val="baseline"/>
                      <w:lang w:val="en-US" w:eastAsia="zh-CN"/>
                    </w:rPr>
                    <w:t>1.0</w:t>
                  </w:r>
                </w:p>
              </w:tc>
              <w:tc>
                <w:tcPr>
                  <w:tcW w:w="3737" w:type="dxa"/>
                  <w:tcBorders>
                    <w:tl2br w:val="nil"/>
                    <w:tr2bl w:val="nil"/>
                  </w:tcBorders>
                  <w:vAlign w:val="center"/>
                </w:tcPr>
                <w:p w14:paraId="461E933A">
                  <w:pPr>
                    <w:keepNext w:val="0"/>
                    <w:keepLines w:val="0"/>
                    <w:widowControl/>
                    <w:suppressLineNumbers w:val="0"/>
                    <w:jc w:val="center"/>
                    <w:rPr>
                      <w:rFonts w:hint="default" w:ascii="Times New Roman" w:hAnsi="Times New Roman" w:eastAsia="宋体" w:cs="Times New Roman"/>
                      <w:b/>
                      <w:color w:val="auto"/>
                      <w:spacing w:val="0"/>
                      <w:position w:val="0"/>
                      <w:sz w:val="21"/>
                      <w:szCs w:val="21"/>
                      <w:highlight w:val="none"/>
                      <w:vertAlign w:val="baseline"/>
                      <w:lang w:val="en-US" w:eastAsia="zh-CN"/>
                    </w:rPr>
                  </w:pPr>
                  <w:r>
                    <w:rPr>
                      <w:rFonts w:hint="default" w:ascii="Times New Roman" w:hAnsi="Times New Roman" w:eastAsia="宋体" w:cs="Times New Roman"/>
                      <w:b w:val="0"/>
                      <w:bCs/>
                      <w:color w:val="auto"/>
                      <w:spacing w:val="0"/>
                      <w:position w:val="0"/>
                      <w:sz w:val="21"/>
                      <w:szCs w:val="21"/>
                      <w:highlight w:val="none"/>
                      <w:vertAlign w:val="baseline"/>
                      <w:lang w:val="en-US" w:eastAsia="zh-CN"/>
                    </w:rPr>
                    <w:t>《大气污染物综合排放标准》（GB16297-1996）表2</w:t>
                  </w:r>
                  <w:r>
                    <w:rPr>
                      <w:rFonts w:hint="eastAsia" w:cs="Times New Roman"/>
                      <w:bCs/>
                      <w:color w:val="auto"/>
                      <w:spacing w:val="0"/>
                      <w:position w:val="0"/>
                      <w:sz w:val="21"/>
                      <w:szCs w:val="21"/>
                      <w:highlight w:val="none"/>
                      <w:lang w:val="en-US" w:eastAsia="zh-CN"/>
                    </w:rPr>
                    <w:t>相关标准</w:t>
                  </w:r>
                </w:p>
              </w:tc>
            </w:tr>
            <w:tr w14:paraId="1F5998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5AF2A0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二甲苯</w:t>
                  </w:r>
                </w:p>
              </w:tc>
              <w:tc>
                <w:tcPr>
                  <w:tcW w:w="1007" w:type="dxa"/>
                  <w:vMerge w:val="continue"/>
                  <w:tcBorders>
                    <w:tl2br w:val="nil"/>
                    <w:tr2bl w:val="nil"/>
                  </w:tcBorders>
                  <w:vAlign w:val="center"/>
                </w:tcPr>
                <w:p w14:paraId="00F7A666">
                  <w:pPr>
                    <w:keepNext w:val="0"/>
                    <w:keepLines w:val="0"/>
                    <w:widowControl/>
                    <w:suppressLineNumbers w:val="0"/>
                    <w:jc w:val="center"/>
                    <w:rPr>
                      <w:rFonts w:hint="default" w:ascii="Times New Roman" w:hAnsi="Times New Roman" w:eastAsia="宋体" w:cs="Times New Roman"/>
                      <w:b/>
                      <w:color w:val="auto"/>
                      <w:spacing w:val="0"/>
                      <w:position w:val="0"/>
                      <w:sz w:val="21"/>
                      <w:szCs w:val="21"/>
                      <w:highlight w:val="none"/>
                      <w:vertAlign w:val="baseline"/>
                    </w:rPr>
                  </w:pPr>
                </w:p>
              </w:tc>
              <w:tc>
                <w:tcPr>
                  <w:tcW w:w="1750" w:type="dxa"/>
                  <w:tcBorders>
                    <w:tl2br w:val="nil"/>
                    <w:tr2bl w:val="nil"/>
                  </w:tcBorders>
                  <w:vAlign w:val="center"/>
                </w:tcPr>
                <w:p w14:paraId="162E62C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pacing w:val="0"/>
                      <w:position w:val="0"/>
                      <w:sz w:val="21"/>
                      <w:szCs w:val="21"/>
                      <w:highlight w:val="none"/>
                      <w:vertAlign w:val="baseline"/>
                      <w:lang w:val="en-US" w:eastAsia="zh-CN"/>
                    </w:rPr>
                  </w:pPr>
                  <w:r>
                    <w:rPr>
                      <w:rFonts w:hint="eastAsia" w:cs="Times New Roman"/>
                      <w:b w:val="0"/>
                      <w:bCs/>
                      <w:color w:val="auto"/>
                      <w:spacing w:val="0"/>
                      <w:position w:val="0"/>
                      <w:sz w:val="21"/>
                      <w:szCs w:val="21"/>
                      <w:highlight w:val="none"/>
                      <w:vertAlign w:val="baseline"/>
                      <w:lang w:val="en-US" w:eastAsia="zh-CN"/>
                    </w:rPr>
                    <w:t>0.2</w:t>
                  </w:r>
                </w:p>
              </w:tc>
              <w:tc>
                <w:tcPr>
                  <w:tcW w:w="3737" w:type="dxa"/>
                  <w:vMerge w:val="restart"/>
                  <w:tcBorders>
                    <w:tl2br w:val="nil"/>
                    <w:tr2bl w:val="nil"/>
                  </w:tcBorders>
                  <w:vAlign w:val="center"/>
                </w:tcPr>
                <w:p w14:paraId="4D1928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pacing w:val="0"/>
                      <w:position w:val="0"/>
                      <w:sz w:val="21"/>
                      <w:szCs w:val="21"/>
                      <w:highlight w:val="none"/>
                    </w:rPr>
                  </w:pPr>
                  <w:r>
                    <w:rPr>
                      <w:rFonts w:hint="default" w:ascii="Times New Roman" w:hAnsi="Times New Roman" w:eastAsia="宋体" w:cs="Times New Roman"/>
                      <w:bCs/>
                      <w:color w:val="auto"/>
                      <w:spacing w:val="0"/>
                      <w:position w:val="0"/>
                      <w:sz w:val="21"/>
                      <w:szCs w:val="21"/>
                      <w:highlight w:val="none"/>
                    </w:rPr>
                    <w:t>《工业涂装工序挥发性有机物排放标准》（DB35/1783-2018）</w:t>
                  </w:r>
                  <w:r>
                    <w:rPr>
                      <w:rFonts w:hint="eastAsia" w:ascii="Times New Roman" w:hAnsi="Times New Roman" w:eastAsia="宋体" w:cs="Times New Roman"/>
                      <w:bCs/>
                      <w:color w:val="auto"/>
                      <w:spacing w:val="0"/>
                      <w:position w:val="0"/>
                      <w:sz w:val="21"/>
                      <w:szCs w:val="21"/>
                      <w:highlight w:val="none"/>
                      <w:lang w:val="en-US" w:eastAsia="zh-CN"/>
                    </w:rPr>
                    <w:t>表4</w:t>
                  </w:r>
                  <w:r>
                    <w:rPr>
                      <w:rFonts w:hint="eastAsia" w:cs="Times New Roman"/>
                      <w:bCs/>
                      <w:color w:val="auto"/>
                      <w:spacing w:val="0"/>
                      <w:position w:val="0"/>
                      <w:sz w:val="21"/>
                      <w:szCs w:val="21"/>
                      <w:highlight w:val="none"/>
                      <w:lang w:val="en-US" w:eastAsia="zh-CN"/>
                    </w:rPr>
                    <w:t>相关标准</w:t>
                  </w:r>
                </w:p>
              </w:tc>
            </w:tr>
            <w:tr w14:paraId="7900EC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2986A7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乙酸</w:t>
                  </w:r>
                  <w:r>
                    <w:rPr>
                      <w:rFonts w:hint="eastAsia" w:ascii="Times New Roman" w:hAnsi="Times New Roman" w:eastAsia="宋体" w:cs="Times New Roman"/>
                      <w:color w:val="auto"/>
                      <w:spacing w:val="0"/>
                      <w:position w:val="0"/>
                      <w:sz w:val="21"/>
                      <w:szCs w:val="21"/>
                      <w:highlight w:val="none"/>
                      <w:lang w:val="en-US" w:eastAsia="zh-CN"/>
                    </w:rPr>
                    <w:t>乙</w:t>
                  </w:r>
                  <w:r>
                    <w:rPr>
                      <w:rFonts w:hint="default" w:ascii="Times New Roman" w:hAnsi="Times New Roman" w:eastAsia="宋体" w:cs="Times New Roman"/>
                      <w:color w:val="auto"/>
                      <w:spacing w:val="0"/>
                      <w:position w:val="0"/>
                      <w:sz w:val="21"/>
                      <w:szCs w:val="21"/>
                      <w:highlight w:val="none"/>
                    </w:rPr>
                    <w:t>酯</w:t>
                  </w:r>
                </w:p>
              </w:tc>
              <w:tc>
                <w:tcPr>
                  <w:tcW w:w="1007" w:type="dxa"/>
                  <w:vMerge w:val="continue"/>
                  <w:tcBorders>
                    <w:tl2br w:val="nil"/>
                    <w:tr2bl w:val="nil"/>
                  </w:tcBorders>
                  <w:vAlign w:val="center"/>
                </w:tcPr>
                <w:p w14:paraId="5821CC59">
                  <w:pPr>
                    <w:keepNext w:val="0"/>
                    <w:keepLines w:val="0"/>
                    <w:widowControl/>
                    <w:suppressLineNumbers w:val="0"/>
                    <w:jc w:val="center"/>
                    <w:rPr>
                      <w:rFonts w:hint="default" w:ascii="Times New Roman" w:hAnsi="Times New Roman" w:eastAsia="宋体" w:cs="Times New Roman"/>
                      <w:b/>
                      <w:color w:val="auto"/>
                      <w:spacing w:val="0"/>
                      <w:position w:val="0"/>
                      <w:sz w:val="21"/>
                      <w:szCs w:val="21"/>
                      <w:highlight w:val="none"/>
                      <w:vertAlign w:val="baseline"/>
                    </w:rPr>
                  </w:pPr>
                </w:p>
              </w:tc>
              <w:tc>
                <w:tcPr>
                  <w:tcW w:w="1750" w:type="dxa"/>
                  <w:tcBorders>
                    <w:tl2br w:val="nil"/>
                    <w:tr2bl w:val="nil"/>
                  </w:tcBorders>
                  <w:vAlign w:val="center"/>
                </w:tcPr>
                <w:p w14:paraId="38A9258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pacing w:val="0"/>
                      <w:position w:val="0"/>
                      <w:sz w:val="21"/>
                      <w:szCs w:val="21"/>
                      <w:highlight w:val="none"/>
                      <w:vertAlign w:val="baseline"/>
                    </w:rPr>
                  </w:pPr>
                  <w:r>
                    <w:rPr>
                      <w:rFonts w:hint="eastAsia" w:ascii="Times New Roman" w:hAnsi="Times New Roman" w:eastAsia="宋体" w:cs="Times New Roman"/>
                      <w:b w:val="0"/>
                      <w:bCs/>
                      <w:color w:val="auto"/>
                      <w:spacing w:val="0"/>
                      <w:position w:val="0"/>
                      <w:sz w:val="21"/>
                      <w:szCs w:val="21"/>
                      <w:highlight w:val="none"/>
                      <w:vertAlign w:val="baseline"/>
                      <w:lang w:val="en-US" w:eastAsia="zh-CN"/>
                    </w:rPr>
                    <w:t>1.0</w:t>
                  </w:r>
                </w:p>
              </w:tc>
              <w:tc>
                <w:tcPr>
                  <w:tcW w:w="3737" w:type="dxa"/>
                  <w:vMerge w:val="continue"/>
                  <w:tcBorders>
                    <w:tl2br w:val="nil"/>
                    <w:tr2bl w:val="nil"/>
                  </w:tcBorders>
                  <w:vAlign w:val="center"/>
                </w:tcPr>
                <w:p w14:paraId="38AC9E8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pacing w:val="0"/>
                      <w:position w:val="0"/>
                      <w:sz w:val="21"/>
                      <w:szCs w:val="21"/>
                      <w:highlight w:val="none"/>
                      <w:vertAlign w:val="baseline"/>
                    </w:rPr>
                  </w:pPr>
                </w:p>
              </w:tc>
            </w:tr>
            <w:tr w14:paraId="75E9DD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0" w:type="dxa"/>
                  <w:tcBorders>
                    <w:tl2br w:val="nil"/>
                    <w:tr2bl w:val="nil"/>
                  </w:tcBorders>
                  <w:vAlign w:val="center"/>
                </w:tcPr>
                <w:p w14:paraId="08D1A9C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非甲烷总烃</w:t>
                  </w:r>
                </w:p>
              </w:tc>
              <w:tc>
                <w:tcPr>
                  <w:tcW w:w="1007" w:type="dxa"/>
                  <w:vMerge w:val="continue"/>
                  <w:tcBorders>
                    <w:tl2br w:val="nil"/>
                    <w:tr2bl w:val="nil"/>
                  </w:tcBorders>
                  <w:vAlign w:val="center"/>
                </w:tcPr>
                <w:p w14:paraId="3002C3B8">
                  <w:pPr>
                    <w:keepNext w:val="0"/>
                    <w:keepLines w:val="0"/>
                    <w:widowControl/>
                    <w:suppressLineNumbers w:val="0"/>
                    <w:jc w:val="center"/>
                    <w:rPr>
                      <w:rFonts w:hint="default" w:ascii="Times New Roman" w:hAnsi="Times New Roman" w:eastAsia="宋体" w:cs="Times New Roman"/>
                      <w:b/>
                      <w:color w:val="auto"/>
                      <w:spacing w:val="0"/>
                      <w:position w:val="0"/>
                      <w:sz w:val="21"/>
                      <w:szCs w:val="21"/>
                      <w:highlight w:val="none"/>
                      <w:vertAlign w:val="baseline"/>
                    </w:rPr>
                  </w:pPr>
                </w:p>
              </w:tc>
              <w:tc>
                <w:tcPr>
                  <w:tcW w:w="1750" w:type="dxa"/>
                  <w:tcBorders>
                    <w:tl2br w:val="nil"/>
                    <w:tr2bl w:val="nil"/>
                  </w:tcBorders>
                  <w:vAlign w:val="center"/>
                </w:tcPr>
                <w:p w14:paraId="4BC65EC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pacing w:val="0"/>
                      <w:position w:val="0"/>
                      <w:sz w:val="21"/>
                      <w:szCs w:val="21"/>
                      <w:highlight w:val="none"/>
                      <w:vertAlign w:val="baseline"/>
                      <w:lang w:val="en-US"/>
                    </w:rPr>
                  </w:pPr>
                  <w:r>
                    <w:rPr>
                      <w:rFonts w:hint="eastAsia" w:ascii="Times New Roman" w:hAnsi="Times New Roman" w:eastAsia="宋体" w:cs="Times New Roman"/>
                      <w:b w:val="0"/>
                      <w:bCs/>
                      <w:color w:val="auto"/>
                      <w:spacing w:val="0"/>
                      <w:position w:val="0"/>
                      <w:sz w:val="21"/>
                      <w:szCs w:val="21"/>
                      <w:highlight w:val="none"/>
                      <w:vertAlign w:val="baseline"/>
                      <w:lang w:val="en-US" w:eastAsia="zh-CN"/>
                    </w:rPr>
                    <w:t>2.0</w:t>
                  </w:r>
                </w:p>
              </w:tc>
              <w:tc>
                <w:tcPr>
                  <w:tcW w:w="3737" w:type="dxa"/>
                  <w:vMerge w:val="continue"/>
                  <w:tcBorders>
                    <w:tl2br w:val="nil"/>
                    <w:tr2bl w:val="nil"/>
                  </w:tcBorders>
                  <w:vAlign w:val="center"/>
                </w:tcPr>
                <w:p w14:paraId="5CFFC7C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pacing w:val="0"/>
                      <w:position w:val="0"/>
                      <w:sz w:val="21"/>
                      <w:szCs w:val="21"/>
                      <w:highlight w:val="none"/>
                      <w:vertAlign w:val="baseline"/>
                    </w:rPr>
                  </w:pPr>
                </w:p>
              </w:tc>
            </w:tr>
          </w:tbl>
          <w:p w14:paraId="269D50E4">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b/>
                <w:bCs/>
                <w:color w:val="auto"/>
                <w:spacing w:val="0"/>
                <w:kern w:val="0"/>
                <w:position w:val="0"/>
                <w:sz w:val="24"/>
                <w:szCs w:val="24"/>
                <w:highlight w:val="none"/>
                <w:lang w:val="en-US" w:eastAsia="zh-CN" w:bidi="ar"/>
              </w:rPr>
              <w:t xml:space="preserve">表 </w:t>
            </w:r>
            <w:r>
              <w:rPr>
                <w:rFonts w:hint="default" w:ascii="Times New Roman" w:hAnsi="Times New Roman" w:eastAsia="宋体" w:cs="Times New Roman"/>
                <w:b/>
                <w:bCs/>
                <w:color w:val="auto"/>
                <w:spacing w:val="0"/>
                <w:kern w:val="0"/>
                <w:position w:val="0"/>
                <w:sz w:val="24"/>
                <w:szCs w:val="24"/>
                <w:highlight w:val="none"/>
                <w:lang w:val="en-US" w:eastAsia="zh-CN" w:bidi="ar"/>
              </w:rPr>
              <w:t>3</w:t>
            </w:r>
            <w:r>
              <w:rPr>
                <w:rFonts w:hint="eastAsia" w:ascii="Times New Roman" w:hAnsi="Times New Roman" w:eastAsia="宋体" w:cs="Times New Roman"/>
                <w:b/>
                <w:bCs/>
                <w:color w:val="auto"/>
                <w:spacing w:val="0"/>
                <w:kern w:val="0"/>
                <w:position w:val="0"/>
                <w:sz w:val="24"/>
                <w:szCs w:val="24"/>
                <w:highlight w:val="none"/>
                <w:lang w:val="en-US" w:eastAsia="zh-CN" w:bidi="ar"/>
              </w:rPr>
              <w:t>.</w:t>
            </w:r>
            <w:r>
              <w:rPr>
                <w:rFonts w:hint="eastAsia" w:cs="Times New Roman"/>
                <w:b/>
                <w:bCs/>
                <w:color w:val="auto"/>
                <w:spacing w:val="0"/>
                <w:kern w:val="0"/>
                <w:position w:val="0"/>
                <w:sz w:val="24"/>
                <w:szCs w:val="24"/>
                <w:highlight w:val="none"/>
                <w:lang w:val="en-US" w:eastAsia="zh-CN" w:bidi="ar"/>
              </w:rPr>
              <w:t>4-4</w:t>
            </w:r>
            <w:r>
              <w:rPr>
                <w:rFonts w:hint="default" w:ascii="Times New Roman" w:hAnsi="Times New Roman" w:eastAsia="宋体" w:cs="Times New Roman"/>
                <w:b/>
                <w:bCs/>
                <w:color w:val="auto"/>
                <w:spacing w:val="0"/>
                <w:kern w:val="0"/>
                <w:position w:val="0"/>
                <w:sz w:val="24"/>
                <w:szCs w:val="24"/>
                <w:highlight w:val="none"/>
                <w:lang w:val="en-US" w:eastAsia="zh-CN" w:bidi="ar"/>
              </w:rPr>
              <w:t xml:space="preserve"> </w:t>
            </w:r>
            <w:r>
              <w:rPr>
                <w:rFonts w:hint="eastAsia" w:ascii="Times New Roman" w:hAnsi="Times New Roman" w:eastAsia="宋体" w:cs="Times New Roman"/>
                <w:b/>
                <w:bCs/>
                <w:color w:val="auto"/>
                <w:spacing w:val="0"/>
                <w:kern w:val="0"/>
                <w:position w:val="0"/>
                <w:sz w:val="24"/>
                <w:szCs w:val="24"/>
                <w:highlight w:val="none"/>
                <w:lang w:val="en-US" w:eastAsia="zh-CN" w:bidi="ar"/>
              </w:rPr>
              <w:t>企业厂区内无组织排放标准限值</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501"/>
              <w:gridCol w:w="1501"/>
              <w:gridCol w:w="3841"/>
            </w:tblGrid>
            <w:tr w14:paraId="6E7F57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tcBorders>
                    <w:tl2br w:val="nil"/>
                    <w:tr2bl w:val="nil"/>
                  </w:tcBorders>
                  <w:vAlign w:val="center"/>
                </w:tcPr>
                <w:p w14:paraId="3B7B3E01">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hint="default" w:ascii="Times New Roman" w:hAnsi="Times New Roman" w:eastAsia="宋体" w:cs="Times New Roman"/>
                      <w:b/>
                      <w:bCs w:val="0"/>
                      <w:color w:val="auto"/>
                      <w:spacing w:val="0"/>
                      <w:position w:val="0"/>
                      <w:sz w:val="21"/>
                      <w:szCs w:val="21"/>
                      <w:highlight w:val="none"/>
                      <w:vertAlign w:val="baseline"/>
                      <w:lang w:val="en-US" w:eastAsia="zh-CN"/>
                    </w:rPr>
                  </w:pPr>
                  <w:r>
                    <w:rPr>
                      <w:rFonts w:hint="eastAsia" w:ascii="Times New Roman" w:hAnsi="Times New Roman" w:eastAsia="宋体" w:cs="Times New Roman"/>
                      <w:b/>
                      <w:bCs w:val="0"/>
                      <w:color w:val="auto"/>
                      <w:spacing w:val="0"/>
                      <w:position w:val="0"/>
                      <w:sz w:val="21"/>
                      <w:szCs w:val="21"/>
                      <w:highlight w:val="none"/>
                      <w:vertAlign w:val="baseline"/>
                      <w:lang w:val="en-US" w:eastAsia="zh-CN"/>
                    </w:rPr>
                    <w:t>污染因子</w:t>
                  </w:r>
                </w:p>
              </w:tc>
              <w:tc>
                <w:tcPr>
                  <w:tcW w:w="1523" w:type="dxa"/>
                  <w:tcBorders>
                    <w:tl2br w:val="nil"/>
                    <w:tr2bl w:val="nil"/>
                  </w:tcBorders>
                  <w:vAlign w:val="center"/>
                </w:tcPr>
                <w:p w14:paraId="12A8A9C1">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hint="eastAsia" w:ascii="Times New Roman" w:hAnsi="Times New Roman" w:eastAsia="宋体" w:cs="Times New Roman"/>
                      <w:b/>
                      <w:bCs w:val="0"/>
                      <w:color w:val="auto"/>
                      <w:spacing w:val="0"/>
                      <w:position w:val="0"/>
                      <w:sz w:val="21"/>
                      <w:szCs w:val="21"/>
                      <w:highlight w:val="none"/>
                      <w:vertAlign w:val="baseline"/>
                      <w:lang w:val="en-US" w:eastAsia="zh-CN"/>
                    </w:rPr>
                  </w:pPr>
                  <w:r>
                    <w:rPr>
                      <w:rFonts w:hint="eastAsia" w:ascii="Times New Roman" w:hAnsi="Times New Roman" w:eastAsia="宋体" w:cs="Times New Roman"/>
                      <w:b/>
                      <w:bCs w:val="0"/>
                      <w:color w:val="auto"/>
                      <w:spacing w:val="0"/>
                      <w:position w:val="0"/>
                      <w:sz w:val="21"/>
                      <w:szCs w:val="21"/>
                      <w:highlight w:val="none"/>
                      <w:vertAlign w:val="baseline"/>
                      <w:lang w:val="en-US" w:eastAsia="zh-CN"/>
                    </w:rPr>
                    <w:t>监控点</w:t>
                  </w:r>
                </w:p>
              </w:tc>
              <w:tc>
                <w:tcPr>
                  <w:tcW w:w="1523" w:type="dxa"/>
                  <w:tcBorders>
                    <w:tl2br w:val="nil"/>
                    <w:tr2bl w:val="nil"/>
                  </w:tcBorders>
                  <w:vAlign w:val="center"/>
                </w:tcPr>
                <w:p w14:paraId="404DA57D">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hint="default" w:ascii="Times New Roman" w:hAnsi="Times New Roman" w:eastAsia="宋体" w:cs="Times New Roman"/>
                      <w:b/>
                      <w:bCs w:val="0"/>
                      <w:color w:val="auto"/>
                      <w:spacing w:val="0"/>
                      <w:position w:val="0"/>
                      <w:sz w:val="21"/>
                      <w:szCs w:val="21"/>
                      <w:highlight w:val="none"/>
                      <w:vertAlign w:val="baseline"/>
                    </w:rPr>
                  </w:pPr>
                  <w:r>
                    <w:rPr>
                      <w:rFonts w:ascii="Times New Roman" w:hAnsi="Times New Roman" w:eastAsia="宋体" w:cs="Times New Roman"/>
                      <w:b/>
                      <w:bCs w:val="0"/>
                      <w:color w:val="auto"/>
                      <w:spacing w:val="0"/>
                      <w:position w:val="0"/>
                      <w:sz w:val="21"/>
                      <w:szCs w:val="21"/>
                      <w:highlight w:val="none"/>
                    </w:rPr>
                    <w:t>浓度（mg/m</w:t>
                  </w:r>
                  <w:r>
                    <w:rPr>
                      <w:rFonts w:ascii="Times New Roman" w:hAnsi="Times New Roman" w:eastAsia="宋体" w:cs="Times New Roman"/>
                      <w:b/>
                      <w:bCs w:val="0"/>
                      <w:color w:val="auto"/>
                      <w:spacing w:val="0"/>
                      <w:position w:val="0"/>
                      <w:sz w:val="21"/>
                      <w:szCs w:val="21"/>
                      <w:highlight w:val="none"/>
                      <w:vertAlign w:val="superscript"/>
                    </w:rPr>
                    <w:t>3</w:t>
                  </w:r>
                  <w:r>
                    <w:rPr>
                      <w:rFonts w:ascii="Times New Roman" w:hAnsi="Times New Roman" w:eastAsia="宋体" w:cs="Times New Roman"/>
                      <w:b/>
                      <w:bCs w:val="0"/>
                      <w:color w:val="auto"/>
                      <w:spacing w:val="0"/>
                      <w:position w:val="0"/>
                      <w:sz w:val="21"/>
                      <w:szCs w:val="21"/>
                      <w:highlight w:val="none"/>
                    </w:rPr>
                    <w:t>）</w:t>
                  </w:r>
                </w:p>
              </w:tc>
              <w:tc>
                <w:tcPr>
                  <w:tcW w:w="3902" w:type="dxa"/>
                  <w:tcBorders>
                    <w:tl2br w:val="nil"/>
                    <w:tr2bl w:val="nil"/>
                  </w:tcBorders>
                  <w:vAlign w:val="center"/>
                </w:tcPr>
                <w:p w14:paraId="1DA01242">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hint="default" w:ascii="Times New Roman" w:hAnsi="Times New Roman" w:eastAsia="宋体" w:cs="Times New Roman"/>
                      <w:b/>
                      <w:bCs w:val="0"/>
                      <w:color w:val="auto"/>
                      <w:spacing w:val="0"/>
                      <w:position w:val="0"/>
                      <w:sz w:val="21"/>
                      <w:szCs w:val="21"/>
                      <w:highlight w:val="none"/>
                      <w:vertAlign w:val="baseline"/>
                    </w:rPr>
                  </w:pPr>
                  <w:r>
                    <w:rPr>
                      <w:rFonts w:hint="eastAsia" w:ascii="Times New Roman" w:hAnsi="Times New Roman" w:eastAsia="宋体" w:cs="Times New Roman"/>
                      <w:b/>
                      <w:bCs w:val="0"/>
                      <w:color w:val="auto"/>
                      <w:spacing w:val="0"/>
                      <w:kern w:val="0"/>
                      <w:position w:val="0"/>
                      <w:sz w:val="21"/>
                      <w:szCs w:val="21"/>
                      <w:highlight w:val="none"/>
                      <w:lang w:val="en-US" w:eastAsia="zh-CN" w:bidi="ar"/>
                    </w:rPr>
                    <w:t>标准来源</w:t>
                  </w:r>
                </w:p>
              </w:tc>
            </w:tr>
            <w:tr w14:paraId="784F4B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restart"/>
                  <w:tcBorders>
                    <w:tl2br w:val="nil"/>
                    <w:tr2bl w:val="nil"/>
                  </w:tcBorders>
                  <w:vAlign w:val="center"/>
                </w:tcPr>
                <w:p w14:paraId="162B4F88">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hint="default" w:ascii="Times New Roman" w:hAnsi="Times New Roman" w:eastAsia="宋体" w:cs="Times New Roman"/>
                      <w:b w:val="0"/>
                      <w:bCs/>
                      <w:color w:val="auto"/>
                      <w:spacing w:val="0"/>
                      <w:position w:val="0"/>
                      <w:sz w:val="21"/>
                      <w:szCs w:val="21"/>
                      <w:highlight w:val="none"/>
                    </w:rPr>
                  </w:pPr>
                  <w:r>
                    <w:rPr>
                      <w:rFonts w:hint="default" w:ascii="Times New Roman" w:hAnsi="Times New Roman" w:eastAsia="宋体" w:cs="Times New Roman"/>
                      <w:b w:val="0"/>
                      <w:bCs/>
                      <w:color w:val="auto"/>
                      <w:spacing w:val="0"/>
                      <w:position w:val="0"/>
                      <w:sz w:val="21"/>
                      <w:szCs w:val="21"/>
                      <w:highlight w:val="none"/>
                    </w:rPr>
                    <w:t>非甲烷</w:t>
                  </w:r>
                </w:p>
                <w:p w14:paraId="616DFED2">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hint="default" w:ascii="Times New Roman" w:hAnsi="Times New Roman" w:eastAsia="宋体" w:cs="Times New Roman"/>
                      <w:b w:val="0"/>
                      <w:bCs/>
                      <w:color w:val="auto"/>
                      <w:spacing w:val="0"/>
                      <w:position w:val="0"/>
                      <w:sz w:val="21"/>
                      <w:szCs w:val="21"/>
                      <w:highlight w:val="none"/>
                      <w:vertAlign w:val="baseline"/>
                    </w:rPr>
                  </w:pPr>
                  <w:r>
                    <w:rPr>
                      <w:rFonts w:hint="default" w:ascii="Times New Roman" w:hAnsi="Times New Roman" w:eastAsia="宋体" w:cs="Times New Roman"/>
                      <w:b w:val="0"/>
                      <w:bCs/>
                      <w:color w:val="auto"/>
                      <w:spacing w:val="0"/>
                      <w:position w:val="0"/>
                      <w:sz w:val="21"/>
                      <w:szCs w:val="21"/>
                      <w:highlight w:val="none"/>
                    </w:rPr>
                    <w:t>总烃</w:t>
                  </w:r>
                </w:p>
              </w:tc>
              <w:tc>
                <w:tcPr>
                  <w:tcW w:w="1523" w:type="dxa"/>
                  <w:tcBorders>
                    <w:tl2br w:val="nil"/>
                    <w:tr2bl w:val="nil"/>
                  </w:tcBorders>
                  <w:vAlign w:val="center"/>
                </w:tcPr>
                <w:p w14:paraId="4C32A347">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hint="default" w:ascii="Times New Roman" w:hAnsi="Times New Roman" w:eastAsia="宋体" w:cs="Times New Roman"/>
                      <w:b w:val="0"/>
                      <w:bCs/>
                      <w:color w:val="auto"/>
                      <w:spacing w:val="0"/>
                      <w:position w:val="0"/>
                      <w:sz w:val="21"/>
                      <w:szCs w:val="21"/>
                      <w:highlight w:val="none"/>
                      <w:vertAlign w:val="baseline"/>
                      <w:lang w:val="en-US" w:eastAsia="zh-CN"/>
                    </w:rPr>
                  </w:pPr>
                  <w:r>
                    <w:rPr>
                      <w:rFonts w:hint="eastAsia" w:ascii="Times New Roman" w:hAnsi="Times New Roman" w:eastAsia="宋体" w:cs="Times New Roman"/>
                      <w:b w:val="0"/>
                      <w:bCs/>
                      <w:color w:val="auto"/>
                      <w:spacing w:val="0"/>
                      <w:position w:val="0"/>
                      <w:sz w:val="21"/>
                      <w:szCs w:val="21"/>
                      <w:highlight w:val="none"/>
                      <w:vertAlign w:val="baseline"/>
                      <w:lang w:val="en-US" w:eastAsia="zh-CN"/>
                    </w:rPr>
                    <w:t>厂区内监控点浓度限值</w:t>
                  </w:r>
                </w:p>
              </w:tc>
              <w:tc>
                <w:tcPr>
                  <w:tcW w:w="1523" w:type="dxa"/>
                  <w:tcBorders>
                    <w:tl2br w:val="nil"/>
                    <w:tr2bl w:val="nil"/>
                  </w:tcBorders>
                  <w:vAlign w:val="center"/>
                </w:tcPr>
                <w:p w14:paraId="32BE6DAD">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hint="default" w:ascii="Times New Roman" w:hAnsi="Times New Roman" w:eastAsia="宋体" w:cs="Times New Roman"/>
                      <w:b w:val="0"/>
                      <w:bCs/>
                      <w:color w:val="auto"/>
                      <w:spacing w:val="0"/>
                      <w:position w:val="0"/>
                      <w:sz w:val="21"/>
                      <w:szCs w:val="21"/>
                      <w:highlight w:val="none"/>
                      <w:vertAlign w:val="baseline"/>
                      <w:lang w:val="en-US" w:eastAsia="zh-CN"/>
                    </w:rPr>
                  </w:pPr>
                  <w:r>
                    <w:rPr>
                      <w:rFonts w:hint="eastAsia" w:ascii="Times New Roman" w:hAnsi="Times New Roman" w:eastAsia="宋体" w:cs="Times New Roman"/>
                      <w:b w:val="0"/>
                      <w:bCs/>
                      <w:color w:val="auto"/>
                      <w:spacing w:val="0"/>
                      <w:position w:val="0"/>
                      <w:sz w:val="21"/>
                      <w:szCs w:val="21"/>
                      <w:highlight w:val="none"/>
                      <w:vertAlign w:val="baseline"/>
                      <w:lang w:val="en-US" w:eastAsia="zh-CN"/>
                    </w:rPr>
                    <w:t>8.0</w:t>
                  </w:r>
                </w:p>
              </w:tc>
              <w:tc>
                <w:tcPr>
                  <w:tcW w:w="3902" w:type="dxa"/>
                  <w:tcBorders>
                    <w:tl2br w:val="nil"/>
                    <w:tr2bl w:val="nil"/>
                  </w:tcBorders>
                  <w:vAlign w:val="center"/>
                </w:tcPr>
                <w:p w14:paraId="6B6400A3">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hint="default" w:ascii="Times New Roman" w:hAnsi="Times New Roman" w:eastAsia="宋体" w:cs="Times New Roman"/>
                      <w:b w:val="0"/>
                      <w:bCs/>
                      <w:color w:val="auto"/>
                      <w:spacing w:val="0"/>
                      <w:position w:val="0"/>
                      <w:sz w:val="21"/>
                      <w:szCs w:val="21"/>
                      <w:highlight w:val="none"/>
                      <w:vertAlign w:val="baseline"/>
                    </w:rPr>
                  </w:pPr>
                  <w:r>
                    <w:rPr>
                      <w:rFonts w:hint="default" w:ascii="Times New Roman" w:hAnsi="Times New Roman" w:eastAsia="宋体" w:cs="Times New Roman"/>
                      <w:b w:val="0"/>
                      <w:bCs/>
                      <w:color w:val="auto"/>
                      <w:spacing w:val="0"/>
                      <w:position w:val="0"/>
                      <w:sz w:val="21"/>
                      <w:szCs w:val="21"/>
                      <w:highlight w:val="none"/>
                    </w:rPr>
                    <w:t>《工业涂装工序挥发性有机物排放标准》（DB35/1783-2018）表3标准</w:t>
                  </w:r>
                </w:p>
              </w:tc>
            </w:tr>
            <w:tr w14:paraId="330350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tcBorders>
                    <w:tl2br w:val="nil"/>
                    <w:tr2bl w:val="nil"/>
                  </w:tcBorders>
                  <w:vAlign w:val="center"/>
                </w:tcPr>
                <w:p w14:paraId="7E2CD4E3">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hint="default" w:ascii="Times New Roman" w:hAnsi="Times New Roman" w:eastAsia="宋体" w:cs="Times New Roman"/>
                      <w:b w:val="0"/>
                      <w:bCs/>
                      <w:color w:val="auto"/>
                      <w:spacing w:val="0"/>
                      <w:position w:val="0"/>
                      <w:sz w:val="21"/>
                      <w:szCs w:val="21"/>
                      <w:highlight w:val="none"/>
                      <w:vertAlign w:val="baseline"/>
                    </w:rPr>
                  </w:pPr>
                </w:p>
              </w:tc>
              <w:tc>
                <w:tcPr>
                  <w:tcW w:w="1523" w:type="dxa"/>
                  <w:tcBorders>
                    <w:tl2br w:val="nil"/>
                    <w:tr2bl w:val="nil"/>
                  </w:tcBorders>
                  <w:vAlign w:val="center"/>
                </w:tcPr>
                <w:p w14:paraId="76C82274">
                  <w:pPr>
                    <w:keepNext w:val="0"/>
                    <w:keepLines w:val="0"/>
                    <w:widowControl/>
                    <w:suppressLineNumbers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lang w:val="en-US" w:eastAsia="zh-CN" w:bidi="ar"/>
                    </w:rPr>
                    <w:t>厂区内监控点任意一次浓</w:t>
                  </w:r>
                </w:p>
                <w:p w14:paraId="49C43DEF">
                  <w:pPr>
                    <w:keepNext w:val="0"/>
                    <w:keepLines w:val="0"/>
                    <w:widowControl/>
                    <w:suppressLineNumbers w:val="0"/>
                    <w:jc w:val="center"/>
                    <w:rPr>
                      <w:rFonts w:hint="default" w:ascii="Times New Roman" w:hAnsi="Times New Roman" w:eastAsia="宋体" w:cs="Times New Roman"/>
                      <w:b w:val="0"/>
                      <w:bCs/>
                      <w:color w:val="auto"/>
                      <w:spacing w:val="0"/>
                      <w:position w:val="0"/>
                      <w:sz w:val="21"/>
                      <w:szCs w:val="21"/>
                      <w:highlight w:val="none"/>
                      <w:vertAlign w:val="baseline"/>
                    </w:rPr>
                  </w:pPr>
                  <w:r>
                    <w:rPr>
                      <w:rFonts w:hint="eastAsia" w:ascii="Times New Roman" w:hAnsi="Times New Roman" w:eastAsia="宋体" w:cs="Times New Roman"/>
                      <w:color w:val="auto"/>
                      <w:spacing w:val="0"/>
                      <w:kern w:val="0"/>
                      <w:position w:val="0"/>
                      <w:sz w:val="21"/>
                      <w:szCs w:val="21"/>
                      <w:highlight w:val="none"/>
                      <w:lang w:val="en-US" w:eastAsia="zh-CN" w:bidi="ar"/>
                    </w:rPr>
                    <w:t>度值</w:t>
                  </w:r>
                </w:p>
              </w:tc>
              <w:tc>
                <w:tcPr>
                  <w:tcW w:w="1523" w:type="dxa"/>
                  <w:tcBorders>
                    <w:tl2br w:val="nil"/>
                    <w:tr2bl w:val="nil"/>
                  </w:tcBorders>
                  <w:vAlign w:val="center"/>
                </w:tcPr>
                <w:p w14:paraId="7AAA14B9">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hint="default" w:ascii="Times New Roman" w:hAnsi="Times New Roman" w:eastAsia="宋体" w:cs="Times New Roman"/>
                      <w:b w:val="0"/>
                      <w:bCs/>
                      <w:color w:val="auto"/>
                      <w:spacing w:val="0"/>
                      <w:position w:val="0"/>
                      <w:sz w:val="21"/>
                      <w:szCs w:val="21"/>
                      <w:highlight w:val="none"/>
                      <w:vertAlign w:val="baseline"/>
                      <w:lang w:val="en-US" w:eastAsia="zh-CN"/>
                    </w:rPr>
                  </w:pPr>
                  <w:r>
                    <w:rPr>
                      <w:rFonts w:hint="eastAsia" w:ascii="Times New Roman" w:hAnsi="Times New Roman" w:eastAsia="宋体" w:cs="Times New Roman"/>
                      <w:b w:val="0"/>
                      <w:bCs/>
                      <w:color w:val="auto"/>
                      <w:spacing w:val="0"/>
                      <w:position w:val="0"/>
                      <w:sz w:val="21"/>
                      <w:szCs w:val="21"/>
                      <w:highlight w:val="none"/>
                      <w:vertAlign w:val="baseline"/>
                      <w:lang w:val="en-US" w:eastAsia="zh-CN"/>
                    </w:rPr>
                    <w:t>30</w:t>
                  </w:r>
                </w:p>
              </w:tc>
              <w:tc>
                <w:tcPr>
                  <w:tcW w:w="3902" w:type="dxa"/>
                  <w:tcBorders>
                    <w:tl2br w:val="nil"/>
                    <w:tr2bl w:val="nil"/>
                  </w:tcBorders>
                  <w:vAlign w:val="center"/>
                </w:tcPr>
                <w:p w14:paraId="63769075">
                  <w:pPr>
                    <w:keepNext w:val="0"/>
                    <w:keepLines w:val="0"/>
                    <w:widowControl/>
                    <w:suppressLineNumbers w:val="0"/>
                    <w:jc w:val="center"/>
                    <w:rPr>
                      <w:rFonts w:hint="default" w:ascii="Times New Roman" w:hAnsi="Times New Roman" w:eastAsia="宋体" w:cs="Times New Roman"/>
                      <w:b w:val="0"/>
                      <w:bCs/>
                      <w:color w:val="auto"/>
                      <w:spacing w:val="0"/>
                      <w:position w:val="0"/>
                      <w:sz w:val="21"/>
                      <w:szCs w:val="21"/>
                      <w:highlight w:val="none"/>
                      <w:vertAlign w:val="baseline"/>
                    </w:rPr>
                  </w:pPr>
                  <w:r>
                    <w:rPr>
                      <w:rFonts w:hint="eastAsia" w:ascii="Times New Roman" w:hAnsi="Times New Roman" w:eastAsia="宋体" w:cs="Times New Roman"/>
                      <w:color w:val="auto"/>
                      <w:spacing w:val="0"/>
                      <w:kern w:val="0"/>
                      <w:position w:val="0"/>
                      <w:sz w:val="21"/>
                      <w:szCs w:val="21"/>
                      <w:highlight w:val="none"/>
                      <w:lang w:val="en-US" w:eastAsia="zh-CN" w:bidi="ar"/>
                    </w:rPr>
                    <w:t>《挥发性有机物无组织排放控制标准》（</w:t>
                  </w:r>
                  <w:r>
                    <w:rPr>
                      <w:rFonts w:hint="default" w:ascii="Times New Roman" w:hAnsi="Times New Roman" w:eastAsia="宋体" w:cs="Times New Roman"/>
                      <w:color w:val="auto"/>
                      <w:spacing w:val="0"/>
                      <w:kern w:val="0"/>
                      <w:position w:val="0"/>
                      <w:sz w:val="21"/>
                      <w:szCs w:val="21"/>
                      <w:highlight w:val="none"/>
                      <w:lang w:val="en-US" w:eastAsia="zh-CN" w:bidi="ar"/>
                    </w:rPr>
                    <w:t>GB37822-2019</w:t>
                  </w:r>
                  <w:r>
                    <w:rPr>
                      <w:rFonts w:hint="eastAsia" w:ascii="Times New Roman" w:hAnsi="Times New Roman" w:eastAsia="宋体" w:cs="Times New Roman"/>
                      <w:color w:val="auto"/>
                      <w:spacing w:val="0"/>
                      <w:kern w:val="0"/>
                      <w:position w:val="0"/>
                      <w:sz w:val="21"/>
                      <w:szCs w:val="21"/>
                      <w:highlight w:val="none"/>
                      <w:lang w:val="en-US" w:eastAsia="zh-CN" w:bidi="ar"/>
                    </w:rPr>
                    <w:t>）附录</w:t>
                  </w:r>
                  <w:r>
                    <w:rPr>
                      <w:rFonts w:hint="default" w:ascii="Times New Roman" w:hAnsi="Times New Roman" w:eastAsia="宋体" w:cs="Times New Roman"/>
                      <w:color w:val="auto"/>
                      <w:spacing w:val="0"/>
                      <w:kern w:val="0"/>
                      <w:position w:val="0"/>
                      <w:sz w:val="21"/>
                      <w:szCs w:val="21"/>
                      <w:highlight w:val="none"/>
                      <w:lang w:val="en-US" w:eastAsia="zh-CN" w:bidi="ar"/>
                    </w:rPr>
                    <w:t>A</w:t>
                  </w:r>
                  <w:r>
                    <w:rPr>
                      <w:rFonts w:hint="eastAsia" w:ascii="Times New Roman" w:hAnsi="Times New Roman" w:eastAsia="宋体" w:cs="Times New Roman"/>
                      <w:color w:val="auto"/>
                      <w:spacing w:val="0"/>
                      <w:kern w:val="0"/>
                      <w:position w:val="0"/>
                      <w:sz w:val="21"/>
                      <w:szCs w:val="21"/>
                      <w:highlight w:val="none"/>
                      <w:lang w:val="en-US" w:eastAsia="zh-CN" w:bidi="ar"/>
                    </w:rPr>
                    <w:t>表</w:t>
                  </w:r>
                  <w:r>
                    <w:rPr>
                      <w:rFonts w:hint="default" w:ascii="Times New Roman" w:hAnsi="Times New Roman" w:eastAsia="宋体" w:cs="Times New Roman"/>
                      <w:color w:val="auto"/>
                      <w:spacing w:val="0"/>
                      <w:kern w:val="0"/>
                      <w:position w:val="0"/>
                      <w:sz w:val="21"/>
                      <w:szCs w:val="21"/>
                      <w:highlight w:val="none"/>
                      <w:lang w:val="en-US" w:eastAsia="zh-CN" w:bidi="ar"/>
                    </w:rPr>
                    <w:t>A.1</w:t>
                  </w:r>
                  <w:r>
                    <w:rPr>
                      <w:rFonts w:hint="eastAsia" w:ascii="Times New Roman" w:hAnsi="Times New Roman" w:eastAsia="宋体" w:cs="Times New Roman"/>
                      <w:color w:val="auto"/>
                      <w:spacing w:val="0"/>
                      <w:kern w:val="0"/>
                      <w:position w:val="0"/>
                      <w:sz w:val="21"/>
                      <w:szCs w:val="21"/>
                      <w:highlight w:val="none"/>
                      <w:lang w:val="en-US" w:eastAsia="zh-CN" w:bidi="ar"/>
                    </w:rPr>
                    <w:t>标准</w:t>
                  </w:r>
                </w:p>
              </w:tc>
            </w:tr>
          </w:tbl>
          <w:p w14:paraId="574D9AF3">
            <w:pPr>
              <w:pStyle w:val="17"/>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both"/>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3.4.3噪声排放标准</w:t>
            </w:r>
          </w:p>
          <w:p w14:paraId="5531BEE0">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color w:val="auto"/>
                <w:spacing w:val="0"/>
                <w:sz w:val="24"/>
                <w:highlight w:val="none"/>
              </w:rPr>
            </w:pPr>
            <w:r>
              <w:rPr>
                <w:rFonts w:hint="default" w:ascii="Times New Roman" w:hAnsi="Times New Roman" w:cs="Times New Roman"/>
                <w:color w:val="auto"/>
                <w:sz w:val="24"/>
                <w:highlight w:val="none"/>
              </w:rPr>
              <w:t>项目运营期厂界噪声执行《工业企业厂界环境噪声排放标准》(GB12348-2008)中</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类</w:t>
            </w:r>
            <w:r>
              <w:rPr>
                <w:rFonts w:hint="eastAsia"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具体标准限值见表</w:t>
            </w:r>
            <w:r>
              <w:rPr>
                <w:rFonts w:hint="eastAsia" w:ascii="Times New Roman" w:hAnsi="Times New Roman" w:eastAsia="宋体" w:cs="Times New Roman"/>
                <w:color w:val="auto"/>
                <w:spacing w:val="0"/>
                <w:sz w:val="24"/>
                <w:highlight w:val="none"/>
                <w:lang w:val="en-US" w:eastAsia="zh-CN"/>
              </w:rPr>
              <w:t>3.4-5</w:t>
            </w:r>
            <w:r>
              <w:rPr>
                <w:rFonts w:hint="default" w:ascii="Times New Roman" w:hAnsi="Times New Roman" w:eastAsia="宋体" w:cs="Times New Roman"/>
                <w:color w:val="auto"/>
                <w:spacing w:val="0"/>
                <w:sz w:val="24"/>
                <w:highlight w:val="none"/>
              </w:rPr>
              <w:t>。</w:t>
            </w:r>
          </w:p>
          <w:p w14:paraId="597BEBA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pacing w:val="0"/>
                <w:sz w:val="24"/>
                <w:highlight w:val="none"/>
              </w:rPr>
            </w:pPr>
            <w:r>
              <w:rPr>
                <w:rFonts w:hint="default" w:ascii="Times New Roman" w:hAnsi="Times New Roman" w:eastAsia="宋体" w:cs="Times New Roman"/>
                <w:b/>
                <w:color w:val="auto"/>
                <w:spacing w:val="0"/>
                <w:sz w:val="24"/>
                <w:highlight w:val="none"/>
              </w:rPr>
              <w:t>表</w:t>
            </w:r>
            <w:r>
              <w:rPr>
                <w:rFonts w:hint="eastAsia" w:ascii="Times New Roman" w:hAnsi="Times New Roman" w:eastAsia="宋体" w:cs="Times New Roman"/>
                <w:b/>
                <w:color w:val="auto"/>
                <w:spacing w:val="0"/>
                <w:sz w:val="24"/>
                <w:highlight w:val="none"/>
                <w:lang w:val="en-US" w:eastAsia="zh-CN"/>
              </w:rPr>
              <w:t>3.4-5</w:t>
            </w:r>
            <w:r>
              <w:rPr>
                <w:rFonts w:hint="default" w:ascii="Times New Roman" w:hAnsi="Times New Roman" w:eastAsia="宋体" w:cs="Times New Roman"/>
                <w:b/>
                <w:color w:val="auto"/>
                <w:spacing w:val="0"/>
                <w:sz w:val="24"/>
                <w:highlight w:val="none"/>
                <w:lang w:val="en-US" w:eastAsia="zh-CN"/>
              </w:rPr>
              <w:t xml:space="preserve"> </w:t>
            </w:r>
            <w:r>
              <w:rPr>
                <w:rFonts w:hint="default" w:ascii="Times New Roman" w:hAnsi="Times New Roman" w:eastAsia="宋体" w:cs="Times New Roman"/>
                <w:b/>
                <w:color w:val="auto"/>
                <w:spacing w:val="0"/>
                <w:sz w:val="24"/>
                <w:highlight w:val="none"/>
              </w:rPr>
              <w:t xml:space="preserve"> 噪声排放标准  单位</w:t>
            </w:r>
            <w:r>
              <w:rPr>
                <w:rFonts w:hint="eastAsia" w:ascii="Times New Roman" w:hAnsi="Times New Roman" w:eastAsia="宋体" w:cs="Times New Roman"/>
                <w:b/>
                <w:color w:val="auto"/>
                <w:spacing w:val="0"/>
                <w:sz w:val="24"/>
                <w:highlight w:val="none"/>
                <w:lang w:eastAsia="zh-CN"/>
              </w:rPr>
              <w:t>：</w:t>
            </w:r>
            <w:r>
              <w:rPr>
                <w:rFonts w:hint="default" w:ascii="Times New Roman" w:hAnsi="Times New Roman" w:eastAsia="宋体" w:cs="Times New Roman"/>
                <w:b/>
                <w:color w:val="auto"/>
                <w:spacing w:val="0"/>
                <w:sz w:val="24"/>
                <w:highlight w:val="none"/>
              </w:rPr>
              <w:t>L</w:t>
            </w:r>
            <w:r>
              <w:rPr>
                <w:rFonts w:hint="default" w:ascii="Times New Roman" w:hAnsi="Times New Roman" w:eastAsia="宋体" w:cs="Times New Roman"/>
                <w:b/>
                <w:color w:val="auto"/>
                <w:spacing w:val="0"/>
                <w:sz w:val="24"/>
                <w:highlight w:val="none"/>
                <w:vertAlign w:val="subscript"/>
              </w:rPr>
              <w:t>eq</w:t>
            </w:r>
            <w:r>
              <w:rPr>
                <w:rFonts w:hint="default" w:ascii="Times New Roman" w:hAnsi="Times New Roman" w:eastAsia="宋体" w:cs="Times New Roman"/>
                <w:b/>
                <w:color w:val="auto"/>
                <w:spacing w:val="0"/>
                <w:sz w:val="24"/>
                <w:highlight w:val="none"/>
              </w:rPr>
              <w:t>[dB</w:t>
            </w:r>
            <w:r>
              <w:rPr>
                <w:rFonts w:hint="eastAsia" w:ascii="Times New Roman" w:hAnsi="Times New Roman" w:eastAsia="宋体" w:cs="Times New Roman"/>
                <w:b/>
                <w:color w:val="auto"/>
                <w:spacing w:val="0"/>
                <w:sz w:val="24"/>
                <w:highlight w:val="none"/>
                <w:lang w:eastAsia="zh-CN"/>
              </w:rPr>
              <w:t>（</w:t>
            </w:r>
            <w:r>
              <w:rPr>
                <w:rFonts w:hint="default" w:ascii="Times New Roman" w:hAnsi="Times New Roman" w:eastAsia="宋体" w:cs="Times New Roman"/>
                <w:b/>
                <w:color w:val="auto"/>
                <w:spacing w:val="0"/>
                <w:sz w:val="24"/>
                <w:highlight w:val="none"/>
              </w:rPr>
              <w:t>A</w:t>
            </w:r>
            <w:r>
              <w:rPr>
                <w:rFonts w:hint="eastAsia" w:ascii="Times New Roman" w:hAnsi="Times New Roman" w:eastAsia="宋体" w:cs="Times New Roman"/>
                <w:b/>
                <w:color w:val="auto"/>
                <w:spacing w:val="0"/>
                <w:sz w:val="24"/>
                <w:highlight w:val="none"/>
                <w:lang w:eastAsia="zh-CN"/>
              </w:rPr>
              <w:t>）</w:t>
            </w:r>
            <w:r>
              <w:rPr>
                <w:rFonts w:hint="default" w:ascii="Times New Roman" w:hAnsi="Times New Roman" w:eastAsia="宋体" w:cs="Times New Roman"/>
                <w:b/>
                <w:color w:val="auto"/>
                <w:spacing w:val="0"/>
                <w:sz w:val="24"/>
                <w:highlight w:val="none"/>
              </w:rPr>
              <w:t>]</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38"/>
              <w:gridCol w:w="2627"/>
              <w:gridCol w:w="1253"/>
              <w:gridCol w:w="1156"/>
            </w:tblGrid>
            <w:tr w14:paraId="6035A4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8" w:type="dxa"/>
                  <w:tcBorders>
                    <w:tl2br w:val="nil"/>
                    <w:tr2bl w:val="nil"/>
                  </w:tcBorders>
                  <w:noWrap w:val="0"/>
                  <w:vAlign w:val="center"/>
                </w:tcPr>
                <w:p w14:paraId="1BB15796">
                  <w:pPr>
                    <w:spacing w:line="300" w:lineRule="exact"/>
                    <w:jc w:val="center"/>
                    <w:rPr>
                      <w:rFonts w:hint="default" w:ascii="Times New Roman" w:hAnsi="Times New Roman" w:eastAsia="宋体" w:cs="Times New Roman"/>
                      <w:b/>
                      <w:bCs/>
                      <w:color w:val="auto"/>
                      <w:spacing w:val="0"/>
                      <w:highlight w:val="none"/>
                    </w:rPr>
                  </w:pPr>
                  <w:r>
                    <w:rPr>
                      <w:rFonts w:hint="default" w:ascii="Times New Roman" w:hAnsi="Times New Roman" w:eastAsia="宋体" w:cs="Times New Roman"/>
                      <w:b/>
                      <w:bCs/>
                      <w:color w:val="auto"/>
                      <w:spacing w:val="0"/>
                      <w:highlight w:val="none"/>
                    </w:rPr>
                    <w:t>标准来源</w:t>
                  </w:r>
                </w:p>
              </w:tc>
              <w:tc>
                <w:tcPr>
                  <w:tcW w:w="2627" w:type="dxa"/>
                  <w:tcBorders>
                    <w:tl2br w:val="nil"/>
                    <w:tr2bl w:val="nil"/>
                  </w:tcBorders>
                  <w:noWrap w:val="0"/>
                  <w:vAlign w:val="center"/>
                </w:tcPr>
                <w:p w14:paraId="045317CC">
                  <w:pPr>
                    <w:spacing w:line="300" w:lineRule="exact"/>
                    <w:jc w:val="center"/>
                    <w:rPr>
                      <w:rFonts w:hint="default" w:ascii="Times New Roman" w:hAnsi="Times New Roman" w:eastAsia="宋体" w:cs="Times New Roman"/>
                      <w:b/>
                      <w:bCs/>
                      <w:color w:val="auto"/>
                      <w:spacing w:val="0"/>
                      <w:highlight w:val="none"/>
                    </w:rPr>
                  </w:pPr>
                  <w:r>
                    <w:rPr>
                      <w:rFonts w:hint="default" w:ascii="Times New Roman" w:hAnsi="Times New Roman" w:eastAsia="宋体" w:cs="Times New Roman"/>
                      <w:b/>
                      <w:bCs/>
                      <w:color w:val="auto"/>
                      <w:spacing w:val="0"/>
                      <w:highlight w:val="none"/>
                    </w:rPr>
                    <w:t>厂界外声环境功能区类别</w:t>
                  </w:r>
                </w:p>
              </w:tc>
              <w:tc>
                <w:tcPr>
                  <w:tcW w:w="1253" w:type="dxa"/>
                  <w:tcBorders>
                    <w:tl2br w:val="nil"/>
                    <w:tr2bl w:val="nil"/>
                  </w:tcBorders>
                  <w:noWrap w:val="0"/>
                  <w:vAlign w:val="center"/>
                </w:tcPr>
                <w:p w14:paraId="341CB856">
                  <w:pPr>
                    <w:spacing w:line="300" w:lineRule="exact"/>
                    <w:jc w:val="center"/>
                    <w:rPr>
                      <w:rFonts w:hint="default" w:ascii="Times New Roman" w:hAnsi="Times New Roman" w:eastAsia="宋体" w:cs="Times New Roman"/>
                      <w:b/>
                      <w:bCs/>
                      <w:color w:val="auto"/>
                      <w:spacing w:val="0"/>
                      <w:highlight w:val="none"/>
                    </w:rPr>
                  </w:pPr>
                  <w:r>
                    <w:rPr>
                      <w:rFonts w:hint="default" w:ascii="Times New Roman" w:hAnsi="Times New Roman" w:eastAsia="宋体" w:cs="Times New Roman"/>
                      <w:b/>
                      <w:bCs/>
                      <w:color w:val="auto"/>
                      <w:spacing w:val="0"/>
                      <w:highlight w:val="none"/>
                    </w:rPr>
                    <w:t>昼间</w:t>
                  </w:r>
                </w:p>
              </w:tc>
              <w:tc>
                <w:tcPr>
                  <w:tcW w:w="1156" w:type="dxa"/>
                  <w:tcBorders>
                    <w:tl2br w:val="nil"/>
                    <w:tr2bl w:val="nil"/>
                  </w:tcBorders>
                  <w:noWrap w:val="0"/>
                  <w:vAlign w:val="center"/>
                </w:tcPr>
                <w:p w14:paraId="40A2A2E2">
                  <w:pPr>
                    <w:spacing w:line="300" w:lineRule="exact"/>
                    <w:jc w:val="center"/>
                    <w:rPr>
                      <w:rFonts w:hint="default" w:ascii="Times New Roman" w:hAnsi="Times New Roman" w:eastAsia="宋体" w:cs="Times New Roman"/>
                      <w:b/>
                      <w:bCs/>
                      <w:color w:val="auto"/>
                      <w:spacing w:val="0"/>
                      <w:highlight w:val="none"/>
                    </w:rPr>
                  </w:pPr>
                  <w:r>
                    <w:rPr>
                      <w:rFonts w:hint="default" w:ascii="Times New Roman" w:hAnsi="Times New Roman" w:eastAsia="宋体" w:cs="Times New Roman"/>
                      <w:b/>
                      <w:bCs/>
                      <w:color w:val="auto"/>
                      <w:spacing w:val="0"/>
                      <w:highlight w:val="none"/>
                    </w:rPr>
                    <w:t>夜间</w:t>
                  </w:r>
                </w:p>
              </w:tc>
            </w:tr>
            <w:tr w14:paraId="367CDD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8" w:type="dxa"/>
                  <w:tcBorders>
                    <w:tl2br w:val="nil"/>
                    <w:tr2bl w:val="nil"/>
                  </w:tcBorders>
                  <w:noWrap w:val="0"/>
                  <w:vAlign w:val="center"/>
                </w:tcPr>
                <w:p w14:paraId="4EB32103">
                  <w:pPr>
                    <w:spacing w:line="300" w:lineRule="exact"/>
                    <w:jc w:val="center"/>
                    <w:rPr>
                      <w:rFonts w:hint="eastAsia"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0"/>
                      <w:highlight w:val="none"/>
                    </w:rPr>
                    <w:t>《工业企业厂界环境噪声排放标准》</w:t>
                  </w:r>
                  <w:r>
                    <w:rPr>
                      <w:rFonts w:hint="eastAsia"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rPr>
                    <w:t>GB12348-2008</w:t>
                  </w:r>
                  <w:r>
                    <w:rPr>
                      <w:rFonts w:hint="eastAsia" w:ascii="Times New Roman" w:hAnsi="Times New Roman" w:eastAsia="宋体" w:cs="Times New Roman"/>
                      <w:color w:val="auto"/>
                      <w:spacing w:val="0"/>
                      <w:highlight w:val="none"/>
                      <w:lang w:eastAsia="zh-CN"/>
                    </w:rPr>
                    <w:t>）</w:t>
                  </w:r>
                </w:p>
              </w:tc>
              <w:tc>
                <w:tcPr>
                  <w:tcW w:w="2627" w:type="dxa"/>
                  <w:tcBorders>
                    <w:tl2br w:val="nil"/>
                    <w:tr2bl w:val="nil"/>
                  </w:tcBorders>
                  <w:noWrap w:val="0"/>
                  <w:vAlign w:val="center"/>
                </w:tcPr>
                <w:p w14:paraId="7AE60BCF">
                  <w:pPr>
                    <w:spacing w:line="300" w:lineRule="exact"/>
                    <w:jc w:val="center"/>
                    <w:rPr>
                      <w:rFonts w:hint="default" w:ascii="Times New Roman" w:hAnsi="Times New Roman" w:eastAsia="宋体" w:cs="Times New Roman"/>
                      <w:color w:val="auto"/>
                      <w:spacing w:val="0"/>
                      <w:highlight w:val="none"/>
                      <w:lang w:eastAsia="zh-CN"/>
                    </w:rPr>
                  </w:pPr>
                  <w:r>
                    <w:rPr>
                      <w:rFonts w:hint="eastAsia" w:ascii="Times New Roman" w:hAnsi="Times New Roman" w:eastAsia="宋体" w:cs="Times New Roman"/>
                      <w:color w:val="auto"/>
                      <w:spacing w:val="0"/>
                      <w:highlight w:val="none"/>
                      <w:lang w:val="en-US" w:eastAsia="zh-CN"/>
                    </w:rPr>
                    <w:t>3</w:t>
                  </w:r>
                  <w:r>
                    <w:rPr>
                      <w:rFonts w:hint="default" w:ascii="Times New Roman" w:hAnsi="Times New Roman" w:eastAsia="宋体" w:cs="Times New Roman"/>
                      <w:color w:val="auto"/>
                      <w:spacing w:val="0"/>
                      <w:highlight w:val="none"/>
                      <w:lang w:eastAsia="zh-CN"/>
                    </w:rPr>
                    <w:t>类</w:t>
                  </w:r>
                </w:p>
              </w:tc>
              <w:tc>
                <w:tcPr>
                  <w:tcW w:w="1253" w:type="dxa"/>
                  <w:tcBorders>
                    <w:tl2br w:val="nil"/>
                    <w:tr2bl w:val="nil"/>
                  </w:tcBorders>
                  <w:noWrap w:val="0"/>
                  <w:vAlign w:val="center"/>
                </w:tcPr>
                <w:p w14:paraId="5DA811DB">
                  <w:pPr>
                    <w:spacing w:line="300" w:lineRule="exact"/>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65</w:t>
                  </w:r>
                </w:p>
              </w:tc>
              <w:tc>
                <w:tcPr>
                  <w:tcW w:w="1156" w:type="dxa"/>
                  <w:tcBorders>
                    <w:tl2br w:val="nil"/>
                    <w:tr2bl w:val="nil"/>
                  </w:tcBorders>
                  <w:noWrap w:val="0"/>
                  <w:vAlign w:val="center"/>
                </w:tcPr>
                <w:p w14:paraId="4F3AC7BF">
                  <w:pPr>
                    <w:spacing w:line="300" w:lineRule="exact"/>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55</w:t>
                  </w:r>
                </w:p>
              </w:tc>
            </w:tr>
            <w:tr w14:paraId="57FBC1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4" w:type="dxa"/>
                  <w:gridSpan w:val="4"/>
                  <w:tcBorders>
                    <w:tl2br w:val="nil"/>
                    <w:tr2bl w:val="nil"/>
                  </w:tcBorders>
                  <w:noWrap w:val="0"/>
                  <w:vAlign w:val="center"/>
                </w:tcPr>
                <w:p w14:paraId="05ABD723">
                  <w:pPr>
                    <w:spacing w:line="300" w:lineRule="exact"/>
                    <w:jc w:val="both"/>
                    <w:rPr>
                      <w:rFonts w:hint="default" w:ascii="Times New Roman" w:hAnsi="Times New Roman" w:eastAsia="宋体" w:cs="Times New Roman"/>
                      <w:color w:val="auto"/>
                      <w:spacing w:val="0"/>
                      <w:highlight w:val="none"/>
                      <w:lang w:val="en-US" w:eastAsia="zh-CN"/>
                    </w:rPr>
                  </w:pPr>
                  <w:r>
                    <w:rPr>
                      <w:rFonts w:hint="eastAsia" w:cs="Times New Roman"/>
                      <w:color w:val="auto"/>
                      <w:spacing w:val="0"/>
                      <w:sz w:val="18"/>
                      <w:szCs w:val="18"/>
                      <w:highlight w:val="none"/>
                      <w:lang w:val="en-US" w:eastAsia="zh-CN"/>
                    </w:rPr>
                    <w:t>备注：项目夜间不生产。</w:t>
                  </w:r>
                </w:p>
              </w:tc>
            </w:tr>
          </w:tbl>
          <w:p w14:paraId="21D7F31C">
            <w:pPr>
              <w:pStyle w:val="17"/>
              <w:keepNext w:val="0"/>
              <w:keepLines w:val="0"/>
              <w:pageBreakBefore w:val="0"/>
              <w:widowControl w:val="0"/>
              <w:kinsoku/>
              <w:wordWrap/>
              <w:overflowPunct/>
              <w:topLinePunct w:val="0"/>
              <w:autoSpaceDE/>
              <w:autoSpaceDN/>
              <w:bidi w:val="0"/>
              <w:adjustRightInd/>
              <w:snapToGrid/>
              <w:spacing w:before="157" w:beforeLines="50" w:line="360" w:lineRule="auto"/>
              <w:ind w:right="0" w:firstLine="482" w:firstLineChars="200"/>
              <w:jc w:val="both"/>
              <w:textAlignment w:val="auto"/>
              <w:rPr>
                <w:rFonts w:hint="eastAsia" w:ascii="Times New Roman" w:hAnsi="Times New Roman" w:eastAsia="宋体" w:cs="Times New Roman"/>
                <w:b/>
                <w:bCs/>
                <w:color w:val="auto"/>
                <w:spacing w:val="0"/>
                <w:kern w:val="2"/>
                <w:sz w:val="24"/>
                <w:szCs w:val="24"/>
                <w:highlight w:val="none"/>
                <w:lang w:val="en-US" w:eastAsia="zh-CN" w:bidi="ar-SA"/>
              </w:rPr>
            </w:pPr>
            <w:r>
              <w:rPr>
                <w:rFonts w:hint="eastAsia" w:ascii="Times New Roman" w:hAnsi="Times New Roman" w:eastAsia="宋体" w:cs="Times New Roman"/>
                <w:b/>
                <w:bCs/>
                <w:color w:val="auto"/>
                <w:spacing w:val="0"/>
                <w:sz w:val="24"/>
                <w:szCs w:val="24"/>
                <w:highlight w:val="none"/>
                <w:lang w:val="en-US" w:eastAsia="zh-CN"/>
              </w:rPr>
              <w:t>3.</w:t>
            </w:r>
            <w:r>
              <w:rPr>
                <w:rFonts w:hint="eastAsia" w:ascii="Times New Roman" w:hAnsi="Times New Roman" w:eastAsia="宋体" w:cs="Times New Roman"/>
                <w:b/>
                <w:bCs/>
                <w:color w:val="auto"/>
                <w:spacing w:val="0"/>
                <w:kern w:val="2"/>
                <w:sz w:val="24"/>
                <w:szCs w:val="24"/>
                <w:highlight w:val="none"/>
                <w:lang w:val="en-US" w:eastAsia="zh-CN" w:bidi="ar-SA"/>
              </w:rPr>
              <w:t>4.4固体废物排放标准</w:t>
            </w:r>
          </w:p>
          <w:p w14:paraId="687D8988">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auto"/>
                <w:spacing w:val="0"/>
                <w:kern w:val="0"/>
                <w:position w:val="0"/>
                <w:szCs w:val="21"/>
                <w:highlight w:val="none"/>
              </w:rPr>
            </w:pPr>
            <w:r>
              <w:rPr>
                <w:rFonts w:hint="eastAsia" w:ascii="Times New Roman" w:hAnsi="Times New Roman" w:eastAsia="宋体"/>
                <w:color w:val="auto"/>
                <w:sz w:val="24"/>
                <w:szCs w:val="24"/>
                <w:highlight w:val="none"/>
              </w:rPr>
              <w:t>项目固体废物控制中一般工业固体废物处置应执行《一般固体废物分类与代码》（GB/T 39198-2020）、《一般工业固体废物贮存和填埋污染控制标准》（GB 18599-2020）中规范要求，危险废物处置执行《危险废物贮存污染控制标准》（GB18597-2023）、《危险废物转移管理办法》及《危险废物收集</w:t>
            </w:r>
            <w:r>
              <w:rPr>
                <w:rFonts w:hint="eastAsia" w:ascii="Times New Roman" w:hAnsi="Times New Roman" w:eastAsia="宋体"/>
                <w:color w:val="auto"/>
                <w:sz w:val="24"/>
                <w:szCs w:val="24"/>
                <w:highlight w:val="none"/>
                <w:lang w:val="en-US" w:eastAsia="zh-CN"/>
              </w:rPr>
              <w:t xml:space="preserve"> </w:t>
            </w:r>
            <w:r>
              <w:rPr>
                <w:rFonts w:hint="eastAsia" w:ascii="Times New Roman" w:hAnsi="Times New Roman" w:eastAsia="宋体"/>
                <w:color w:val="auto"/>
                <w:sz w:val="24"/>
                <w:szCs w:val="24"/>
                <w:highlight w:val="none"/>
              </w:rPr>
              <w:t>贮存</w:t>
            </w:r>
            <w:r>
              <w:rPr>
                <w:rFonts w:hint="eastAsia" w:ascii="Times New Roman" w:hAnsi="Times New Roman" w:eastAsia="宋体"/>
                <w:color w:val="auto"/>
                <w:sz w:val="24"/>
                <w:szCs w:val="24"/>
                <w:highlight w:val="none"/>
                <w:lang w:val="en-US" w:eastAsia="zh-CN"/>
              </w:rPr>
              <w:t xml:space="preserve"> </w:t>
            </w:r>
            <w:r>
              <w:rPr>
                <w:rFonts w:hint="eastAsia" w:ascii="Times New Roman" w:hAnsi="Times New Roman" w:eastAsia="宋体"/>
                <w:color w:val="auto"/>
                <w:sz w:val="24"/>
                <w:szCs w:val="24"/>
                <w:highlight w:val="none"/>
              </w:rPr>
              <w:t>运输技术规范》（HJ 2025-2012）相关要求。生活垃圾处置执行《中华人民共和国固体废物污染环境防治法》（2020年4月29日修订）</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第四章生活垃圾</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的相关规定。</w:t>
            </w:r>
          </w:p>
        </w:tc>
      </w:tr>
      <w:bookmarkEnd w:id="40"/>
      <w:bookmarkEnd w:id="41"/>
      <w:tr w14:paraId="14EB0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0" w:hRule="atLeast"/>
          <w:jc w:val="center"/>
        </w:trPr>
        <w:tc>
          <w:tcPr>
            <w:tcW w:w="800" w:type="dxa"/>
            <w:vAlign w:val="center"/>
          </w:tcPr>
          <w:p w14:paraId="70204A83">
            <w:pPr>
              <w:adjustRightInd w:val="0"/>
              <w:snapToGrid w:val="0"/>
              <w:jc w:val="center"/>
              <w:rPr>
                <w:rFonts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rPr>
              <w:t>总量</w:t>
            </w:r>
          </w:p>
          <w:p w14:paraId="5C9D5B78">
            <w:pPr>
              <w:adjustRightInd w:val="0"/>
              <w:snapToGrid w:val="0"/>
              <w:jc w:val="center"/>
              <w:rPr>
                <w:rFonts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rPr>
              <w:t>控制</w:t>
            </w:r>
          </w:p>
          <w:p w14:paraId="56E6C3E1">
            <w:pPr>
              <w:adjustRightInd w:val="0"/>
              <w:snapToGrid w:val="0"/>
              <w:jc w:val="center"/>
              <w:rPr>
                <w:rFonts w:ascii="Times New Roman" w:hAnsi="Times New Roman" w:eastAsia="宋体" w:cs="Times New Roman"/>
                <w:color w:val="auto"/>
                <w:spacing w:val="0"/>
                <w:kern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rPr>
              <w:t>指标</w:t>
            </w:r>
          </w:p>
        </w:tc>
        <w:tc>
          <w:tcPr>
            <w:tcW w:w="8190" w:type="dxa"/>
            <w:vAlign w:val="center"/>
          </w:tcPr>
          <w:p w14:paraId="61CAA2DE">
            <w:pPr>
              <w:pStyle w:val="63"/>
              <w:keepNext w:val="0"/>
              <w:keepLines w:val="0"/>
              <w:pageBreakBefore w:val="0"/>
              <w:widowControl/>
              <w:kinsoku/>
              <w:wordWrap/>
              <w:overflowPunct/>
              <w:topLinePunct w:val="0"/>
              <w:autoSpaceDE/>
              <w:autoSpaceDN/>
              <w:bidi w:val="0"/>
              <w:adjustRightInd/>
              <w:snapToGrid w:val="0"/>
              <w:spacing w:before="157" w:beforeLines="50"/>
              <w:ind w:left="0" w:leftChars="0" w:firstLine="0" w:firstLineChars="0"/>
              <w:textAlignment w:val="auto"/>
              <w:rPr>
                <w:rFonts w:hint="eastAsia" w:ascii="Times New Roman" w:hAnsi="Times New Roman" w:eastAsia="宋体" w:cs="Times New Roman"/>
                <w:b/>
                <w:bCs/>
                <w:color w:val="auto"/>
                <w:spacing w:val="0"/>
                <w:kern w:val="0"/>
                <w:sz w:val="24"/>
                <w:szCs w:val="24"/>
                <w:highlight w:val="none"/>
                <w:lang w:val="en-US" w:eastAsia="zh-CN" w:bidi="ar"/>
              </w:rPr>
            </w:pPr>
            <w:r>
              <w:rPr>
                <w:rFonts w:hint="eastAsia" w:ascii="Times New Roman" w:hAnsi="Times New Roman" w:eastAsia="宋体" w:cs="Times New Roman"/>
                <w:b/>
                <w:bCs/>
                <w:color w:val="auto"/>
                <w:spacing w:val="0"/>
                <w:kern w:val="0"/>
                <w:sz w:val="24"/>
                <w:szCs w:val="24"/>
                <w:highlight w:val="none"/>
                <w:lang w:val="en-US" w:eastAsia="zh-CN" w:bidi="ar"/>
              </w:rPr>
              <w:t>3.5总量控制指标</w:t>
            </w:r>
          </w:p>
          <w:p w14:paraId="5CEFD8CD">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b/>
                <w:bCs/>
                <w:color w:val="auto"/>
                <w:spacing w:val="0"/>
                <w:sz w:val="24"/>
                <w:szCs w:val="24"/>
                <w:highlight w:val="none"/>
                <w:lang w:eastAsia="zh-CN"/>
              </w:rPr>
            </w:pPr>
            <w:r>
              <w:rPr>
                <w:rFonts w:hint="eastAsia" w:ascii="Times New Roman" w:hAnsi="Times New Roman" w:eastAsia="宋体" w:cs="Times New Roman"/>
                <w:color w:val="auto"/>
                <w:spacing w:val="0"/>
                <w:sz w:val="24"/>
                <w:szCs w:val="24"/>
                <w:highlight w:val="none"/>
              </w:rPr>
              <w:t>根据《福建省人民政府关于全面实施排污权有偿使用和交易工作的意见》</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rPr>
              <w:t>闽政〔2016〕54号</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rPr>
              <w:t>及《泉州市环保局关于全面实施排污权有偿使用和交易后做好建设项目总量指标管理工作有关意见的通知》</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rPr>
              <w:t>泉环保总量[2017]1号</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rPr>
              <w:t>等相关规定</w:t>
            </w:r>
            <w:r>
              <w:rPr>
                <w:rFonts w:hint="eastAsia" w:ascii="Times New Roman" w:hAnsi="Times New Roman" w:eastAsia="宋体" w:cs="Times New Roman"/>
                <w:color w:val="auto"/>
                <w:spacing w:val="0"/>
                <w:sz w:val="24"/>
                <w:szCs w:val="24"/>
                <w:highlight w:val="none"/>
                <w:lang w:eastAsia="zh-CN"/>
              </w:rPr>
              <w:t>，</w:t>
            </w:r>
            <w:r>
              <w:rPr>
                <w:rFonts w:ascii="Times New Roman" w:hAnsi="Times New Roman" w:eastAsia="宋体" w:cs="Times New Roman"/>
                <w:color w:val="auto"/>
                <w:spacing w:val="0"/>
                <w:kern w:val="0"/>
                <w:sz w:val="24"/>
                <w:szCs w:val="24"/>
                <w:highlight w:val="none"/>
              </w:rPr>
              <w:t>我省主要污染物排放总量指标为</w:t>
            </w:r>
            <w:r>
              <w:rPr>
                <w:rFonts w:ascii="Times New Roman" w:hAnsi="Times New Roman" w:eastAsia="宋体" w:cs="Times New Roman"/>
                <w:color w:val="auto"/>
                <w:spacing w:val="0"/>
                <w:sz w:val="24"/>
                <w:szCs w:val="24"/>
                <w:highlight w:val="none"/>
              </w:rPr>
              <w:t>COD</w:t>
            </w:r>
            <w:r>
              <w:rPr>
                <w:rFonts w:hint="eastAsia" w:ascii="Times New Roman" w:hAnsi="Times New Roman" w:eastAsia="宋体" w:cs="Times New Roman"/>
                <w:color w:val="auto"/>
                <w:spacing w:val="0"/>
                <w:sz w:val="24"/>
                <w:szCs w:val="24"/>
                <w:highlight w:val="none"/>
                <w:vertAlign w:val="subscript"/>
                <w:lang w:val="en-US" w:eastAsia="zh-CN"/>
              </w:rPr>
              <w:t>Cr</w:t>
            </w:r>
            <w:r>
              <w:rPr>
                <w:rFonts w:ascii="Times New Roman" w:hAnsi="Times New Roman" w:eastAsia="宋体" w:cs="Times New Roman"/>
                <w:color w:val="auto"/>
                <w:spacing w:val="0"/>
                <w:sz w:val="24"/>
                <w:szCs w:val="24"/>
                <w:highlight w:val="none"/>
              </w:rPr>
              <w:t>、</w:t>
            </w:r>
            <w:r>
              <w:rPr>
                <w:rFonts w:hint="eastAsia" w:ascii="Times New Roman" w:hAnsi="Times New Roman" w:eastAsia="宋体" w:cs="Times New Roman"/>
                <w:color w:val="auto"/>
                <w:spacing w:val="0"/>
                <w:sz w:val="24"/>
                <w:szCs w:val="24"/>
                <w:highlight w:val="none"/>
                <w:lang w:eastAsia="zh-CN"/>
              </w:rPr>
              <w:t>氨氮</w:t>
            </w:r>
            <w:r>
              <w:rPr>
                <w:rFonts w:hint="eastAsia" w:ascii="Times New Roman" w:hAnsi="Times New Roman" w:eastAsia="宋体" w:cs="Times New Roman"/>
                <w:color w:val="auto"/>
                <w:spacing w:val="0"/>
                <w:sz w:val="24"/>
                <w:szCs w:val="24"/>
                <w:highlight w:val="none"/>
              </w:rPr>
              <w:t>、S</w:t>
            </w:r>
            <w:r>
              <w:rPr>
                <w:rFonts w:ascii="Times New Roman" w:hAnsi="Times New Roman" w:eastAsia="宋体" w:cs="Times New Roman"/>
                <w:color w:val="auto"/>
                <w:spacing w:val="0"/>
                <w:sz w:val="24"/>
                <w:szCs w:val="24"/>
                <w:highlight w:val="none"/>
              </w:rPr>
              <w:t>O</w:t>
            </w:r>
            <w:r>
              <w:rPr>
                <w:rFonts w:ascii="Times New Roman" w:hAnsi="Times New Roman" w:eastAsia="宋体" w:cs="Times New Roman"/>
                <w:color w:val="auto"/>
                <w:spacing w:val="0"/>
                <w:sz w:val="24"/>
                <w:szCs w:val="24"/>
                <w:highlight w:val="none"/>
                <w:vertAlign w:val="subscript"/>
              </w:rPr>
              <w:t>2</w:t>
            </w:r>
            <w:r>
              <w:rPr>
                <w:rFonts w:hint="eastAsia" w:ascii="Times New Roman" w:hAnsi="Times New Roman" w:eastAsia="宋体" w:cs="Times New Roman"/>
                <w:color w:val="auto"/>
                <w:spacing w:val="0"/>
                <w:sz w:val="24"/>
                <w:szCs w:val="24"/>
                <w:highlight w:val="none"/>
              </w:rPr>
              <w:t>、N</w:t>
            </w:r>
            <w:r>
              <w:rPr>
                <w:rFonts w:ascii="Times New Roman" w:hAnsi="Times New Roman" w:eastAsia="宋体" w:cs="Times New Roman"/>
                <w:color w:val="auto"/>
                <w:spacing w:val="0"/>
                <w:sz w:val="24"/>
                <w:szCs w:val="24"/>
                <w:highlight w:val="none"/>
              </w:rPr>
              <w:t>Ox</w:t>
            </w:r>
            <w:r>
              <w:rPr>
                <w:rFonts w:ascii="Times New Roman" w:hAnsi="Times New Roman" w:eastAsia="宋体" w:cs="Times New Roman"/>
                <w:color w:val="auto"/>
                <w:spacing w:val="0"/>
                <w:kern w:val="0"/>
                <w:sz w:val="24"/>
                <w:szCs w:val="24"/>
                <w:highlight w:val="none"/>
              </w:rPr>
              <w:t>。</w:t>
            </w:r>
          </w:p>
          <w:p w14:paraId="32B1678C">
            <w:pPr>
              <w:pStyle w:val="63"/>
              <w:keepNext w:val="0"/>
              <w:keepLines w:val="0"/>
              <w:pageBreakBefore w:val="0"/>
              <w:widowControl/>
              <w:kinsoku/>
              <w:wordWrap/>
              <w:overflowPunct/>
              <w:topLinePunct w:val="0"/>
              <w:autoSpaceDE/>
              <w:autoSpaceDN/>
              <w:bidi w:val="0"/>
              <w:adjustRightInd/>
              <w:snapToGrid w:val="0"/>
              <w:ind w:left="0" w:leftChars="0" w:firstLine="482" w:firstLineChars="200"/>
              <w:textAlignment w:val="auto"/>
              <w:rPr>
                <w:rFonts w:hint="eastAsia" w:ascii="Times New Roman" w:hAnsi="Times New Roman" w:eastAsia="宋体" w:cs="Times New Roman"/>
                <w:b/>
                <w:bCs/>
                <w:color w:val="auto"/>
                <w:spacing w:val="0"/>
                <w:sz w:val="24"/>
                <w:szCs w:val="24"/>
                <w:highlight w:val="none"/>
                <w:lang w:eastAsia="zh-CN"/>
              </w:rPr>
            </w:pPr>
            <w:r>
              <w:rPr>
                <w:rFonts w:hint="eastAsia" w:ascii="Times New Roman" w:hAnsi="Times New Roman" w:eastAsia="宋体" w:cs="Times New Roman"/>
                <w:b/>
                <w:bCs/>
                <w:color w:val="auto"/>
                <w:spacing w:val="0"/>
                <w:sz w:val="24"/>
                <w:szCs w:val="24"/>
                <w:highlight w:val="none"/>
                <w:lang w:eastAsia="zh-CN"/>
              </w:rPr>
              <w:t>（</w:t>
            </w:r>
            <w:r>
              <w:rPr>
                <w:rFonts w:hint="eastAsia" w:ascii="Times New Roman" w:hAnsi="Times New Roman" w:eastAsia="宋体" w:cs="Times New Roman"/>
                <w:b/>
                <w:bCs/>
                <w:color w:val="auto"/>
                <w:spacing w:val="0"/>
                <w:sz w:val="24"/>
                <w:szCs w:val="24"/>
                <w:highlight w:val="none"/>
                <w:lang w:val="en-US" w:eastAsia="zh-CN"/>
              </w:rPr>
              <w:t>1</w:t>
            </w:r>
            <w:r>
              <w:rPr>
                <w:rFonts w:hint="eastAsia" w:ascii="Times New Roman" w:hAnsi="Times New Roman" w:eastAsia="宋体" w:cs="Times New Roman"/>
                <w:b/>
                <w:bCs/>
                <w:color w:val="auto"/>
                <w:spacing w:val="0"/>
                <w:sz w:val="24"/>
                <w:szCs w:val="24"/>
                <w:highlight w:val="none"/>
                <w:lang w:eastAsia="zh-CN"/>
              </w:rPr>
              <w:t>）废水</w:t>
            </w:r>
          </w:p>
          <w:p w14:paraId="0EC36274">
            <w:pPr>
              <w:pStyle w:val="63"/>
              <w:keepNext w:val="0"/>
              <w:keepLines w:val="0"/>
              <w:pageBreakBefore w:val="0"/>
              <w:widowControl/>
              <w:kinsoku/>
              <w:wordWrap/>
              <w:overflowPunct/>
              <w:topLinePunct w:val="0"/>
              <w:autoSpaceDE/>
              <w:autoSpaceDN/>
              <w:bidi w:val="0"/>
              <w:adjustRightInd/>
              <w:snapToGrid w:val="0"/>
              <w:ind w:firstLine="480"/>
              <w:textAlignment w:val="auto"/>
              <w:rPr>
                <w:rFonts w:ascii="Times New Roman" w:hAnsi="Times New Roman" w:eastAsia="宋体" w:cs="Times New Roman"/>
                <w:color w:val="auto"/>
                <w:spacing w:val="0"/>
                <w:kern w:val="0"/>
                <w:sz w:val="24"/>
                <w:szCs w:val="24"/>
                <w:highlight w:val="none"/>
              </w:rPr>
            </w:pPr>
            <w:r>
              <w:rPr>
                <w:rFonts w:hint="eastAsia" w:ascii="Times New Roman" w:hAnsi="Times New Roman" w:eastAsia="宋体" w:cs="Times New Roman"/>
                <w:color w:val="auto"/>
                <w:spacing w:val="0"/>
                <w:kern w:val="0"/>
                <w:sz w:val="24"/>
                <w:szCs w:val="24"/>
                <w:highlight w:val="none"/>
                <w:lang w:val="en-US" w:eastAsia="zh-CN" w:bidi="ar"/>
              </w:rPr>
              <w:t>迁建前后，</w:t>
            </w:r>
            <w:r>
              <w:rPr>
                <w:rFonts w:hint="eastAsia" w:ascii="Times New Roman" w:hAnsi="Times New Roman" w:eastAsia="宋体" w:cs="Times New Roman"/>
                <w:color w:val="auto"/>
                <w:kern w:val="0"/>
                <w:sz w:val="24"/>
                <w:highlight w:val="none"/>
                <w:lang w:bidi="ar"/>
              </w:rPr>
              <w:t>项目生产废水</w:t>
            </w:r>
            <w:r>
              <w:rPr>
                <w:rFonts w:hint="eastAsia" w:ascii="Times New Roman" w:hAnsi="Times New Roman" w:eastAsia="宋体" w:cs="Times New Roman"/>
                <w:color w:val="auto"/>
                <w:kern w:val="0"/>
                <w:sz w:val="24"/>
                <w:highlight w:val="none"/>
                <w:lang w:val="en-US" w:eastAsia="zh-CN" w:bidi="ar"/>
              </w:rPr>
              <w:t>不外排</w:t>
            </w:r>
            <w:r>
              <w:rPr>
                <w:rFonts w:hint="eastAsia" w:ascii="Times New Roman" w:hAnsi="Times New Roman" w:eastAsia="宋体" w:cs="Times New Roman"/>
                <w:color w:val="auto"/>
                <w:spacing w:val="0"/>
                <w:sz w:val="24"/>
                <w:szCs w:val="24"/>
                <w:highlight w:val="none"/>
                <w:lang w:eastAsia="zh-CN"/>
              </w:rPr>
              <w:t>，外排废水为生活污水</w:t>
            </w:r>
            <w:r>
              <w:rPr>
                <w:rFonts w:ascii="Times New Roman" w:hAnsi="Times New Roman" w:eastAsia="宋体" w:cs="Times New Roman"/>
                <w:color w:val="auto"/>
                <w:spacing w:val="0"/>
                <w:sz w:val="24"/>
                <w:szCs w:val="24"/>
                <w:highlight w:val="none"/>
              </w:rPr>
              <w:t>。</w:t>
            </w:r>
            <w:r>
              <w:rPr>
                <w:rFonts w:hint="eastAsia" w:ascii="Times New Roman" w:hAnsi="Times New Roman" w:eastAsia="宋体" w:cs="Times New Roman"/>
                <w:color w:val="auto"/>
                <w:spacing w:val="0"/>
                <w:sz w:val="24"/>
                <w:szCs w:val="24"/>
                <w:highlight w:val="none"/>
              </w:rPr>
              <w:t>废水</w:t>
            </w:r>
            <w:r>
              <w:rPr>
                <w:rFonts w:ascii="Times New Roman" w:hAnsi="Times New Roman" w:eastAsia="宋体" w:cs="Times New Roman"/>
                <w:color w:val="auto"/>
                <w:spacing w:val="0"/>
                <w:sz w:val="24"/>
                <w:szCs w:val="24"/>
                <w:highlight w:val="none"/>
              </w:rPr>
              <w:t>污染物排放总量控制指标见表</w:t>
            </w:r>
            <w:r>
              <w:rPr>
                <w:rFonts w:ascii="Times New Roman" w:hAnsi="Times New Roman" w:eastAsia="宋体" w:cs="Times New Roman"/>
                <w:color w:val="auto"/>
                <w:spacing w:val="0"/>
                <w:kern w:val="0"/>
                <w:sz w:val="24"/>
                <w:szCs w:val="24"/>
                <w:highlight w:val="none"/>
              </w:rPr>
              <w:t>3</w:t>
            </w:r>
            <w:r>
              <w:rPr>
                <w:rFonts w:hint="eastAsia" w:ascii="Times New Roman" w:hAnsi="Times New Roman" w:eastAsia="宋体" w:cs="Times New Roman"/>
                <w:color w:val="auto"/>
                <w:spacing w:val="0"/>
                <w:kern w:val="0"/>
                <w:sz w:val="24"/>
                <w:szCs w:val="24"/>
                <w:highlight w:val="none"/>
                <w:lang w:val="en-US" w:eastAsia="zh-CN"/>
              </w:rPr>
              <w:t>.5-1</w:t>
            </w:r>
            <w:r>
              <w:rPr>
                <w:rFonts w:hint="eastAsia" w:ascii="Times New Roman" w:hAnsi="Times New Roman" w:eastAsia="宋体" w:cs="Times New Roman"/>
                <w:color w:val="auto"/>
                <w:spacing w:val="0"/>
                <w:kern w:val="0"/>
                <w:sz w:val="24"/>
                <w:szCs w:val="24"/>
                <w:highlight w:val="none"/>
              </w:rPr>
              <w:t>。</w:t>
            </w:r>
          </w:p>
          <w:p w14:paraId="4D785D23">
            <w:pPr>
              <w:pStyle w:val="73"/>
              <w:spacing w:before="48"/>
              <w:rPr>
                <w:rFonts w:ascii="Times New Roman" w:hAnsi="Times New Roman" w:eastAsia="宋体" w:cs="Times New Roman"/>
                <w:color w:val="auto"/>
                <w:highlight w:val="none"/>
              </w:rPr>
            </w:pPr>
            <w:r>
              <w:rPr>
                <w:rFonts w:ascii="Times New Roman" w:hAnsi="Times New Roman" w:eastAsia="宋体" w:cs="Times New Roman"/>
                <w:color w:val="auto"/>
                <w:spacing w:val="0"/>
                <w:highlight w:val="none"/>
              </w:rPr>
              <w:t>表3</w:t>
            </w:r>
            <w:r>
              <w:rPr>
                <w:rFonts w:hint="eastAsia" w:ascii="Times New Roman" w:hAnsi="Times New Roman" w:eastAsia="宋体" w:cs="Times New Roman"/>
                <w:color w:val="auto"/>
                <w:spacing w:val="0"/>
                <w:highlight w:val="none"/>
                <w:lang w:val="en-US" w:eastAsia="zh-CN"/>
              </w:rPr>
              <w:t>.5-1</w:t>
            </w:r>
            <w:r>
              <w:rPr>
                <w:rFonts w:ascii="Times New Roman" w:hAnsi="Times New Roman" w:eastAsia="宋体" w:cs="Times New Roman"/>
                <w:color w:val="auto"/>
                <w:spacing w:val="0"/>
                <w:highlight w:val="none"/>
              </w:rPr>
              <w:t xml:space="preserve"> </w:t>
            </w:r>
            <w:r>
              <w:rPr>
                <w:rFonts w:hint="eastAsia" w:ascii="Times New Roman" w:hAnsi="Times New Roman" w:eastAsia="宋体" w:cs="Times New Roman"/>
                <w:color w:val="auto"/>
                <w:spacing w:val="0"/>
                <w:highlight w:val="none"/>
              </w:rPr>
              <w:t>项目主要水</w:t>
            </w:r>
            <w:r>
              <w:rPr>
                <w:rFonts w:ascii="Times New Roman" w:hAnsi="Times New Roman" w:eastAsia="宋体" w:cs="Times New Roman"/>
                <w:color w:val="auto"/>
                <w:spacing w:val="0"/>
                <w:highlight w:val="none"/>
              </w:rPr>
              <w:t>污染物总排放情况</w:t>
            </w:r>
            <w:r>
              <w:rPr>
                <w:rFonts w:ascii="Times New Roman" w:hAnsi="Times New Roman" w:eastAsia="宋体" w:cs="Times New Roman"/>
                <w:color w:val="auto"/>
                <w:highlight w:val="none"/>
              </w:rPr>
              <w:t>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817"/>
              <w:gridCol w:w="1528"/>
              <w:gridCol w:w="1253"/>
              <w:gridCol w:w="1924"/>
              <w:gridCol w:w="1452"/>
            </w:tblGrid>
            <w:tr w14:paraId="14A3469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949" w:type="dxa"/>
                  <w:vMerge w:val="restart"/>
                  <w:tcBorders>
                    <w:tl2br w:val="nil"/>
                    <w:tr2bl w:val="nil"/>
                  </w:tcBorders>
                  <w:noWrap w:val="0"/>
                  <w:vAlign w:val="center"/>
                </w:tcPr>
                <w:p w14:paraId="7FBC5E2F">
                  <w:pPr>
                    <w:adjustRightInd w:val="0"/>
                    <w:jc w:val="center"/>
                    <w:rPr>
                      <w:rFonts w:ascii="Times New Roman" w:hAnsi="Times New Roman" w:eastAsia="宋体" w:cs="Times New Roman"/>
                      <w:b/>
                      <w:bCs w:val="0"/>
                      <w:color w:val="auto"/>
                      <w:kern w:val="0"/>
                      <w:sz w:val="21"/>
                      <w:szCs w:val="21"/>
                      <w:highlight w:val="none"/>
                    </w:rPr>
                  </w:pPr>
                  <w:r>
                    <w:rPr>
                      <w:rFonts w:hint="eastAsia" w:ascii="Times New Roman" w:hAnsi="Times New Roman" w:eastAsia="宋体" w:cs="Times New Roman"/>
                      <w:b/>
                      <w:bCs w:val="0"/>
                      <w:color w:val="auto"/>
                      <w:kern w:val="0"/>
                      <w:sz w:val="21"/>
                      <w:szCs w:val="21"/>
                      <w:highlight w:val="none"/>
                    </w:rPr>
                    <w:t>类别</w:t>
                  </w:r>
                </w:p>
              </w:tc>
              <w:tc>
                <w:tcPr>
                  <w:tcW w:w="1638" w:type="dxa"/>
                  <w:vMerge w:val="restart"/>
                  <w:tcBorders>
                    <w:tl2br w:val="nil"/>
                    <w:tr2bl w:val="nil"/>
                  </w:tcBorders>
                  <w:noWrap w:val="0"/>
                  <w:vAlign w:val="center"/>
                </w:tcPr>
                <w:p w14:paraId="5268BEC4">
                  <w:pPr>
                    <w:adjustRightInd w:val="0"/>
                    <w:jc w:val="center"/>
                    <w:rPr>
                      <w:rFonts w:hint="eastAsia" w:ascii="Times New Roman" w:hAnsi="Times New Roman" w:eastAsia="宋体" w:cs="Times New Roman"/>
                      <w:b/>
                      <w:bCs w:val="0"/>
                      <w:color w:val="auto"/>
                      <w:kern w:val="0"/>
                      <w:sz w:val="21"/>
                      <w:szCs w:val="21"/>
                      <w:highlight w:val="none"/>
                      <w:lang w:eastAsia="zh-CN"/>
                    </w:rPr>
                  </w:pPr>
                  <w:r>
                    <w:rPr>
                      <w:rFonts w:hint="eastAsia" w:ascii="Times New Roman" w:hAnsi="Times New Roman" w:eastAsia="宋体" w:cs="Times New Roman"/>
                      <w:b/>
                      <w:bCs w:val="0"/>
                      <w:color w:val="auto"/>
                      <w:kern w:val="0"/>
                      <w:sz w:val="21"/>
                      <w:szCs w:val="21"/>
                      <w:highlight w:val="none"/>
                    </w:rPr>
                    <w:t>废水</w:t>
                  </w:r>
                  <w:r>
                    <w:rPr>
                      <w:rFonts w:ascii="Times New Roman" w:hAnsi="Times New Roman" w:eastAsia="宋体" w:cs="Times New Roman"/>
                      <w:b/>
                      <w:bCs w:val="0"/>
                      <w:color w:val="auto"/>
                      <w:kern w:val="0"/>
                      <w:sz w:val="21"/>
                      <w:szCs w:val="21"/>
                      <w:highlight w:val="none"/>
                    </w:rPr>
                    <w:t>量</w:t>
                  </w:r>
                  <w:r>
                    <w:rPr>
                      <w:rFonts w:hint="eastAsia" w:ascii="Times New Roman" w:hAnsi="Times New Roman" w:eastAsia="宋体" w:cs="Times New Roman"/>
                      <w:b/>
                      <w:bCs w:val="0"/>
                      <w:color w:val="auto"/>
                      <w:kern w:val="0"/>
                      <w:sz w:val="21"/>
                      <w:szCs w:val="21"/>
                      <w:highlight w:val="none"/>
                      <w:lang w:eastAsia="zh-CN"/>
                    </w:rPr>
                    <w:t>（</w:t>
                  </w:r>
                  <w:r>
                    <w:rPr>
                      <w:rFonts w:hint="eastAsia" w:ascii="Times New Roman" w:hAnsi="Times New Roman" w:eastAsia="宋体" w:cs="Times New Roman"/>
                      <w:b/>
                      <w:bCs w:val="0"/>
                      <w:color w:val="auto"/>
                      <w:kern w:val="0"/>
                      <w:sz w:val="21"/>
                      <w:szCs w:val="21"/>
                      <w:highlight w:val="none"/>
                      <w:lang w:val="en-US" w:eastAsia="zh-CN"/>
                    </w:rPr>
                    <w:t>t</w:t>
                  </w:r>
                  <w:r>
                    <w:rPr>
                      <w:rFonts w:ascii="Times New Roman" w:hAnsi="Times New Roman" w:eastAsia="宋体" w:cs="Times New Roman"/>
                      <w:b/>
                      <w:bCs w:val="0"/>
                      <w:color w:val="auto"/>
                      <w:kern w:val="0"/>
                      <w:sz w:val="21"/>
                      <w:szCs w:val="21"/>
                      <w:highlight w:val="none"/>
                    </w:rPr>
                    <w:t>/a</w:t>
                  </w:r>
                  <w:r>
                    <w:rPr>
                      <w:rFonts w:hint="eastAsia" w:ascii="Times New Roman" w:hAnsi="Times New Roman" w:eastAsia="宋体" w:cs="Times New Roman"/>
                      <w:b/>
                      <w:bCs w:val="0"/>
                      <w:color w:val="auto"/>
                      <w:kern w:val="0"/>
                      <w:sz w:val="21"/>
                      <w:szCs w:val="21"/>
                      <w:highlight w:val="none"/>
                      <w:lang w:eastAsia="zh-CN"/>
                    </w:rPr>
                    <w:t>）</w:t>
                  </w:r>
                </w:p>
              </w:tc>
              <w:tc>
                <w:tcPr>
                  <w:tcW w:w="1342" w:type="dxa"/>
                  <w:vMerge w:val="restart"/>
                  <w:tcBorders>
                    <w:tl2br w:val="nil"/>
                    <w:tr2bl w:val="nil"/>
                  </w:tcBorders>
                  <w:noWrap w:val="0"/>
                  <w:vAlign w:val="center"/>
                </w:tcPr>
                <w:p w14:paraId="57555C92">
                  <w:pPr>
                    <w:adjustRightInd w:val="0"/>
                    <w:jc w:val="center"/>
                    <w:rPr>
                      <w:rFonts w:ascii="Times New Roman" w:hAnsi="Times New Roman" w:eastAsia="宋体" w:cs="Times New Roman"/>
                      <w:b/>
                      <w:bCs w:val="0"/>
                      <w:color w:val="auto"/>
                      <w:kern w:val="0"/>
                      <w:sz w:val="21"/>
                      <w:szCs w:val="21"/>
                      <w:highlight w:val="none"/>
                    </w:rPr>
                  </w:pPr>
                  <w:r>
                    <w:rPr>
                      <w:rFonts w:hint="eastAsia" w:ascii="Times New Roman" w:hAnsi="Times New Roman" w:eastAsia="宋体" w:cs="Times New Roman"/>
                      <w:b/>
                      <w:bCs w:val="0"/>
                      <w:color w:val="auto"/>
                      <w:kern w:val="0"/>
                      <w:sz w:val="21"/>
                      <w:szCs w:val="21"/>
                      <w:highlight w:val="none"/>
                    </w:rPr>
                    <w:t>污染物项目</w:t>
                  </w:r>
                </w:p>
              </w:tc>
              <w:tc>
                <w:tcPr>
                  <w:tcW w:w="3620" w:type="dxa"/>
                  <w:gridSpan w:val="2"/>
                  <w:tcBorders>
                    <w:tl2br w:val="nil"/>
                    <w:tr2bl w:val="nil"/>
                  </w:tcBorders>
                  <w:noWrap w:val="0"/>
                  <w:vAlign w:val="center"/>
                </w:tcPr>
                <w:p w14:paraId="233F911A">
                  <w:pPr>
                    <w:adjustRightInd w:val="0"/>
                    <w:jc w:val="center"/>
                    <w:rPr>
                      <w:rFonts w:ascii="Times New Roman" w:hAnsi="Times New Roman" w:eastAsia="宋体" w:cs="Times New Roman"/>
                      <w:b/>
                      <w:bCs w:val="0"/>
                      <w:color w:val="auto"/>
                      <w:kern w:val="0"/>
                      <w:sz w:val="21"/>
                      <w:szCs w:val="21"/>
                      <w:highlight w:val="none"/>
                    </w:rPr>
                  </w:pPr>
                  <w:r>
                    <w:rPr>
                      <w:rFonts w:ascii="Times New Roman" w:hAnsi="Times New Roman" w:eastAsia="宋体" w:cs="Times New Roman"/>
                      <w:b/>
                      <w:bCs w:val="0"/>
                      <w:color w:val="auto"/>
                      <w:kern w:val="0"/>
                      <w:sz w:val="21"/>
                      <w:szCs w:val="21"/>
                      <w:highlight w:val="none"/>
                    </w:rPr>
                    <w:t>最终达标排放量</w:t>
                  </w:r>
                </w:p>
              </w:tc>
            </w:tr>
            <w:tr w14:paraId="3B042A8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949" w:type="dxa"/>
                  <w:vMerge w:val="continue"/>
                  <w:tcBorders>
                    <w:tl2br w:val="nil"/>
                    <w:tr2bl w:val="nil"/>
                  </w:tcBorders>
                  <w:noWrap w:val="0"/>
                  <w:vAlign w:val="center"/>
                </w:tcPr>
                <w:p w14:paraId="1169BB59">
                  <w:pPr>
                    <w:adjustRightInd w:val="0"/>
                    <w:jc w:val="center"/>
                    <w:rPr>
                      <w:rFonts w:ascii="Times New Roman" w:hAnsi="Times New Roman" w:eastAsia="宋体" w:cs="Times New Roman"/>
                      <w:b/>
                      <w:bCs w:val="0"/>
                      <w:color w:val="auto"/>
                      <w:kern w:val="0"/>
                      <w:sz w:val="21"/>
                      <w:szCs w:val="21"/>
                      <w:highlight w:val="none"/>
                    </w:rPr>
                  </w:pPr>
                </w:p>
              </w:tc>
              <w:tc>
                <w:tcPr>
                  <w:tcW w:w="1638" w:type="dxa"/>
                  <w:vMerge w:val="continue"/>
                  <w:tcBorders>
                    <w:tl2br w:val="nil"/>
                    <w:tr2bl w:val="nil"/>
                  </w:tcBorders>
                  <w:noWrap w:val="0"/>
                  <w:vAlign w:val="center"/>
                </w:tcPr>
                <w:p w14:paraId="35E490F0">
                  <w:pPr>
                    <w:adjustRightInd w:val="0"/>
                    <w:jc w:val="center"/>
                    <w:rPr>
                      <w:rFonts w:ascii="Times New Roman" w:hAnsi="Times New Roman" w:eastAsia="宋体" w:cs="Times New Roman"/>
                      <w:b/>
                      <w:bCs w:val="0"/>
                      <w:color w:val="auto"/>
                      <w:kern w:val="0"/>
                      <w:sz w:val="21"/>
                      <w:szCs w:val="21"/>
                      <w:highlight w:val="none"/>
                    </w:rPr>
                  </w:pPr>
                </w:p>
              </w:tc>
              <w:tc>
                <w:tcPr>
                  <w:tcW w:w="1342" w:type="dxa"/>
                  <w:vMerge w:val="continue"/>
                  <w:tcBorders>
                    <w:tl2br w:val="nil"/>
                    <w:tr2bl w:val="nil"/>
                  </w:tcBorders>
                  <w:noWrap w:val="0"/>
                  <w:vAlign w:val="center"/>
                </w:tcPr>
                <w:p w14:paraId="119DC7C3">
                  <w:pPr>
                    <w:adjustRightInd w:val="0"/>
                    <w:jc w:val="center"/>
                    <w:rPr>
                      <w:rFonts w:ascii="Times New Roman" w:hAnsi="Times New Roman" w:eastAsia="宋体" w:cs="Times New Roman"/>
                      <w:b/>
                      <w:bCs w:val="0"/>
                      <w:color w:val="auto"/>
                      <w:kern w:val="0"/>
                      <w:sz w:val="21"/>
                      <w:szCs w:val="21"/>
                      <w:highlight w:val="none"/>
                    </w:rPr>
                  </w:pPr>
                </w:p>
              </w:tc>
              <w:tc>
                <w:tcPr>
                  <w:tcW w:w="2064" w:type="dxa"/>
                  <w:tcBorders>
                    <w:tl2br w:val="nil"/>
                    <w:tr2bl w:val="nil"/>
                  </w:tcBorders>
                  <w:noWrap w:val="0"/>
                  <w:vAlign w:val="center"/>
                </w:tcPr>
                <w:p w14:paraId="43C540A1">
                  <w:pPr>
                    <w:adjustRightInd w:val="0"/>
                    <w:jc w:val="center"/>
                    <w:rPr>
                      <w:rFonts w:hint="eastAsia" w:ascii="Times New Roman" w:hAnsi="Times New Roman" w:eastAsia="宋体" w:cs="Times New Roman"/>
                      <w:b/>
                      <w:bCs w:val="0"/>
                      <w:color w:val="auto"/>
                      <w:kern w:val="0"/>
                      <w:sz w:val="21"/>
                      <w:szCs w:val="21"/>
                      <w:highlight w:val="none"/>
                      <w:lang w:eastAsia="zh-CN"/>
                    </w:rPr>
                  </w:pPr>
                  <w:r>
                    <w:rPr>
                      <w:rFonts w:hint="eastAsia" w:ascii="Times New Roman" w:hAnsi="Times New Roman" w:eastAsia="宋体" w:cs="Times New Roman"/>
                      <w:b/>
                      <w:bCs w:val="0"/>
                      <w:color w:val="auto"/>
                      <w:kern w:val="0"/>
                      <w:sz w:val="21"/>
                      <w:szCs w:val="21"/>
                      <w:highlight w:val="none"/>
                    </w:rPr>
                    <w:t>浓度</w:t>
                  </w:r>
                  <w:r>
                    <w:rPr>
                      <w:rFonts w:hint="eastAsia" w:ascii="Times New Roman" w:hAnsi="Times New Roman" w:eastAsia="宋体" w:cs="Times New Roman"/>
                      <w:b/>
                      <w:bCs w:val="0"/>
                      <w:color w:val="auto"/>
                      <w:kern w:val="0"/>
                      <w:sz w:val="21"/>
                      <w:szCs w:val="21"/>
                      <w:highlight w:val="none"/>
                      <w:lang w:eastAsia="zh-CN"/>
                    </w:rPr>
                    <w:t>（</w:t>
                  </w:r>
                  <w:r>
                    <w:rPr>
                      <w:rFonts w:ascii="Times New Roman" w:hAnsi="Times New Roman" w:eastAsia="宋体" w:cs="Times New Roman"/>
                      <w:b/>
                      <w:bCs w:val="0"/>
                      <w:color w:val="auto"/>
                      <w:kern w:val="0"/>
                      <w:sz w:val="21"/>
                      <w:szCs w:val="21"/>
                      <w:highlight w:val="none"/>
                    </w:rPr>
                    <w:t>mg/L</w:t>
                  </w:r>
                  <w:r>
                    <w:rPr>
                      <w:rFonts w:hint="eastAsia" w:ascii="Times New Roman" w:hAnsi="Times New Roman" w:eastAsia="宋体" w:cs="Times New Roman"/>
                      <w:b/>
                      <w:bCs w:val="0"/>
                      <w:color w:val="auto"/>
                      <w:kern w:val="0"/>
                      <w:sz w:val="21"/>
                      <w:szCs w:val="21"/>
                      <w:highlight w:val="none"/>
                      <w:lang w:eastAsia="zh-CN"/>
                    </w:rPr>
                    <w:t>）</w:t>
                  </w:r>
                </w:p>
              </w:tc>
              <w:tc>
                <w:tcPr>
                  <w:tcW w:w="1556" w:type="dxa"/>
                  <w:tcBorders>
                    <w:tl2br w:val="nil"/>
                    <w:tr2bl w:val="nil"/>
                  </w:tcBorders>
                  <w:noWrap w:val="0"/>
                  <w:vAlign w:val="center"/>
                </w:tcPr>
                <w:p w14:paraId="768EC789">
                  <w:pPr>
                    <w:adjustRightInd w:val="0"/>
                    <w:jc w:val="center"/>
                    <w:rPr>
                      <w:rFonts w:hint="eastAsia" w:ascii="Times New Roman" w:hAnsi="Times New Roman" w:eastAsia="宋体" w:cs="Times New Roman"/>
                      <w:b/>
                      <w:bCs w:val="0"/>
                      <w:color w:val="auto"/>
                      <w:kern w:val="0"/>
                      <w:sz w:val="21"/>
                      <w:szCs w:val="21"/>
                      <w:highlight w:val="none"/>
                      <w:lang w:eastAsia="zh-CN"/>
                    </w:rPr>
                  </w:pPr>
                  <w:r>
                    <w:rPr>
                      <w:rFonts w:ascii="Times New Roman" w:hAnsi="Times New Roman" w:eastAsia="宋体" w:cs="Times New Roman"/>
                      <w:b/>
                      <w:bCs w:val="0"/>
                      <w:color w:val="auto"/>
                      <w:kern w:val="0"/>
                      <w:sz w:val="21"/>
                      <w:szCs w:val="21"/>
                      <w:highlight w:val="none"/>
                    </w:rPr>
                    <w:t>排放量</w:t>
                  </w:r>
                  <w:r>
                    <w:rPr>
                      <w:rFonts w:hint="eastAsia" w:ascii="Times New Roman" w:hAnsi="Times New Roman" w:eastAsia="宋体" w:cs="Times New Roman"/>
                      <w:b/>
                      <w:bCs w:val="0"/>
                      <w:color w:val="auto"/>
                      <w:kern w:val="0"/>
                      <w:sz w:val="21"/>
                      <w:szCs w:val="21"/>
                      <w:highlight w:val="none"/>
                      <w:lang w:eastAsia="zh-CN"/>
                    </w:rPr>
                    <w:t>（</w:t>
                  </w:r>
                  <w:r>
                    <w:rPr>
                      <w:rFonts w:ascii="Times New Roman" w:hAnsi="Times New Roman" w:eastAsia="宋体" w:cs="Times New Roman"/>
                      <w:b/>
                      <w:bCs w:val="0"/>
                      <w:color w:val="auto"/>
                      <w:kern w:val="0"/>
                      <w:sz w:val="21"/>
                      <w:szCs w:val="21"/>
                      <w:highlight w:val="none"/>
                    </w:rPr>
                    <w:t>t/a</w:t>
                  </w:r>
                  <w:r>
                    <w:rPr>
                      <w:rFonts w:hint="eastAsia" w:ascii="Times New Roman" w:hAnsi="Times New Roman" w:eastAsia="宋体" w:cs="Times New Roman"/>
                      <w:b/>
                      <w:bCs w:val="0"/>
                      <w:color w:val="auto"/>
                      <w:kern w:val="0"/>
                      <w:sz w:val="21"/>
                      <w:szCs w:val="21"/>
                      <w:highlight w:val="none"/>
                      <w:lang w:eastAsia="zh-CN"/>
                    </w:rPr>
                    <w:t>）</w:t>
                  </w:r>
                </w:p>
              </w:tc>
            </w:tr>
            <w:tr w14:paraId="4110266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949" w:type="dxa"/>
                  <w:vMerge w:val="restart"/>
                  <w:tcBorders>
                    <w:tl2br w:val="nil"/>
                    <w:tr2bl w:val="nil"/>
                  </w:tcBorders>
                  <w:noWrap w:val="0"/>
                  <w:vAlign w:val="center"/>
                </w:tcPr>
                <w:p w14:paraId="36172784">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bidi="ar"/>
                    </w:rPr>
                    <w:t>迁建前</w:t>
                  </w:r>
                  <w:r>
                    <w:rPr>
                      <w:rFonts w:hint="eastAsia" w:ascii="Times New Roman" w:hAnsi="Times New Roman" w:eastAsia="宋体" w:cs="Times New Roman"/>
                      <w:color w:val="auto"/>
                      <w:sz w:val="21"/>
                      <w:szCs w:val="21"/>
                      <w:highlight w:val="none"/>
                      <w:lang w:val="en-US" w:eastAsia="zh-CN"/>
                    </w:rPr>
                    <w:t>生活污水</w:t>
                  </w:r>
                </w:p>
              </w:tc>
              <w:tc>
                <w:tcPr>
                  <w:tcW w:w="1638" w:type="dxa"/>
                  <w:vMerge w:val="restart"/>
                  <w:tcBorders>
                    <w:tl2br w:val="nil"/>
                    <w:tr2bl w:val="nil"/>
                  </w:tcBorders>
                  <w:noWrap w:val="0"/>
                  <w:vAlign w:val="center"/>
                </w:tcPr>
                <w:p w14:paraId="7369056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w:t>
                  </w:r>
                </w:p>
              </w:tc>
              <w:tc>
                <w:tcPr>
                  <w:tcW w:w="1342" w:type="dxa"/>
                  <w:tcBorders>
                    <w:tl2br w:val="nil"/>
                    <w:tr2bl w:val="nil"/>
                  </w:tcBorders>
                  <w:noWrap w:val="0"/>
                  <w:vAlign w:val="center"/>
                </w:tcPr>
                <w:p w14:paraId="09D8372C">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r>
                    <w:rPr>
                      <w:rFonts w:hint="eastAsia" w:ascii="Times New Roman" w:hAnsi="Times New Roman" w:eastAsia="宋体" w:cs="Times New Roman"/>
                      <w:color w:val="auto"/>
                      <w:sz w:val="21"/>
                      <w:szCs w:val="21"/>
                      <w:highlight w:val="none"/>
                      <w:vertAlign w:val="subscript"/>
                      <w:lang w:val="en-US" w:eastAsia="zh-CN"/>
                    </w:rPr>
                    <w:t>Cr</w:t>
                  </w:r>
                </w:p>
              </w:tc>
              <w:tc>
                <w:tcPr>
                  <w:tcW w:w="2064" w:type="dxa"/>
                  <w:tcBorders>
                    <w:tl2br w:val="nil"/>
                    <w:tr2bl w:val="nil"/>
                  </w:tcBorders>
                  <w:noWrap w:val="0"/>
                  <w:vAlign w:val="center"/>
                </w:tcPr>
                <w:p w14:paraId="69A5FC1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556" w:type="dxa"/>
                  <w:tcBorders>
                    <w:tl2br w:val="nil"/>
                    <w:tr2bl w:val="nil"/>
                  </w:tcBorders>
                  <w:noWrap w:val="0"/>
                  <w:vAlign w:val="center"/>
                </w:tcPr>
                <w:p w14:paraId="6B0DD8B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12</w:t>
                  </w:r>
                </w:p>
              </w:tc>
            </w:tr>
            <w:tr w14:paraId="6B3F1E3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949" w:type="dxa"/>
                  <w:vMerge w:val="continue"/>
                  <w:tcBorders>
                    <w:tl2br w:val="nil"/>
                    <w:tr2bl w:val="nil"/>
                  </w:tcBorders>
                  <w:noWrap w:val="0"/>
                  <w:vAlign w:val="center"/>
                </w:tcPr>
                <w:p w14:paraId="13C8FC9C">
                  <w:pPr>
                    <w:jc w:val="center"/>
                    <w:rPr>
                      <w:rFonts w:hint="eastAsia" w:ascii="Times New Roman" w:hAnsi="Times New Roman" w:eastAsia="宋体" w:cs="Times New Roman"/>
                      <w:color w:val="auto"/>
                      <w:sz w:val="21"/>
                      <w:szCs w:val="21"/>
                      <w:highlight w:val="none"/>
                      <w:lang w:val="en-US" w:eastAsia="zh-CN"/>
                    </w:rPr>
                  </w:pPr>
                </w:p>
              </w:tc>
              <w:tc>
                <w:tcPr>
                  <w:tcW w:w="1638" w:type="dxa"/>
                  <w:vMerge w:val="continue"/>
                  <w:tcBorders>
                    <w:tl2br w:val="nil"/>
                    <w:tr2bl w:val="nil"/>
                  </w:tcBorders>
                  <w:noWrap w:val="0"/>
                  <w:vAlign w:val="center"/>
                </w:tcPr>
                <w:p w14:paraId="52BBB88A">
                  <w:pPr>
                    <w:jc w:val="center"/>
                    <w:rPr>
                      <w:rFonts w:hint="eastAsia" w:ascii="Times New Roman" w:hAnsi="Times New Roman" w:eastAsia="宋体" w:cs="Times New Roman"/>
                      <w:color w:val="auto"/>
                      <w:sz w:val="21"/>
                      <w:szCs w:val="21"/>
                      <w:highlight w:val="none"/>
                      <w:lang w:val="en-US" w:eastAsia="zh-CN"/>
                    </w:rPr>
                  </w:pPr>
                </w:p>
              </w:tc>
              <w:tc>
                <w:tcPr>
                  <w:tcW w:w="1342" w:type="dxa"/>
                  <w:tcBorders>
                    <w:tl2br w:val="nil"/>
                    <w:tr2bl w:val="nil"/>
                  </w:tcBorders>
                  <w:noWrap w:val="0"/>
                  <w:vAlign w:val="center"/>
                </w:tcPr>
                <w:p w14:paraId="534355D3">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w:t>
                  </w:r>
                </w:p>
              </w:tc>
              <w:tc>
                <w:tcPr>
                  <w:tcW w:w="2064" w:type="dxa"/>
                  <w:tcBorders>
                    <w:tl2br w:val="nil"/>
                    <w:tr2bl w:val="nil"/>
                  </w:tcBorders>
                  <w:noWrap w:val="0"/>
                  <w:vAlign w:val="center"/>
                </w:tcPr>
                <w:p w14:paraId="693A6C7C">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556" w:type="dxa"/>
                  <w:tcBorders>
                    <w:tl2br w:val="nil"/>
                    <w:tr2bl w:val="nil"/>
                  </w:tcBorders>
                  <w:noWrap w:val="0"/>
                  <w:vAlign w:val="center"/>
                </w:tcPr>
                <w:p w14:paraId="6137177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12</w:t>
                  </w:r>
                </w:p>
              </w:tc>
            </w:tr>
            <w:tr w14:paraId="182E251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949" w:type="dxa"/>
                  <w:vMerge w:val="restart"/>
                  <w:tcBorders>
                    <w:tl2br w:val="nil"/>
                    <w:tr2bl w:val="nil"/>
                  </w:tcBorders>
                  <w:noWrap w:val="0"/>
                  <w:vAlign w:val="center"/>
                </w:tcPr>
                <w:p w14:paraId="41F421F5">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bidi="ar"/>
                    </w:rPr>
                    <w:t>迁建后</w:t>
                  </w:r>
                  <w:r>
                    <w:rPr>
                      <w:rFonts w:hint="eastAsia" w:ascii="Times New Roman" w:hAnsi="Times New Roman" w:eastAsia="宋体" w:cs="Times New Roman"/>
                      <w:color w:val="auto"/>
                      <w:sz w:val="21"/>
                      <w:szCs w:val="21"/>
                      <w:highlight w:val="none"/>
                      <w:lang w:val="en-US" w:eastAsia="zh-CN"/>
                    </w:rPr>
                    <w:t>生活污水</w:t>
                  </w:r>
                </w:p>
              </w:tc>
              <w:tc>
                <w:tcPr>
                  <w:tcW w:w="1638" w:type="dxa"/>
                  <w:vMerge w:val="restart"/>
                  <w:tcBorders>
                    <w:tl2br w:val="nil"/>
                    <w:tr2bl w:val="nil"/>
                  </w:tcBorders>
                  <w:noWrap w:val="0"/>
                  <w:vAlign w:val="center"/>
                </w:tcPr>
                <w:p w14:paraId="5D04771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w:t>
                  </w:r>
                </w:p>
              </w:tc>
              <w:tc>
                <w:tcPr>
                  <w:tcW w:w="1342" w:type="dxa"/>
                  <w:tcBorders>
                    <w:tl2br w:val="nil"/>
                    <w:tr2bl w:val="nil"/>
                  </w:tcBorders>
                  <w:noWrap w:val="0"/>
                  <w:vAlign w:val="center"/>
                </w:tcPr>
                <w:p w14:paraId="6DE7DF28">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r>
                    <w:rPr>
                      <w:rFonts w:hint="eastAsia" w:ascii="Times New Roman" w:hAnsi="Times New Roman" w:eastAsia="宋体" w:cs="Times New Roman"/>
                      <w:color w:val="auto"/>
                      <w:sz w:val="21"/>
                      <w:szCs w:val="21"/>
                      <w:highlight w:val="none"/>
                      <w:vertAlign w:val="subscript"/>
                      <w:lang w:val="en-US" w:eastAsia="zh-CN"/>
                    </w:rPr>
                    <w:t>Cr</w:t>
                  </w:r>
                </w:p>
              </w:tc>
              <w:tc>
                <w:tcPr>
                  <w:tcW w:w="2064" w:type="dxa"/>
                  <w:tcBorders>
                    <w:tl2br w:val="nil"/>
                    <w:tr2bl w:val="nil"/>
                  </w:tcBorders>
                  <w:noWrap w:val="0"/>
                  <w:vAlign w:val="center"/>
                </w:tcPr>
                <w:p w14:paraId="11E897E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556" w:type="dxa"/>
                  <w:tcBorders>
                    <w:tl2br w:val="nil"/>
                    <w:tr2bl w:val="nil"/>
                  </w:tcBorders>
                  <w:noWrap w:val="0"/>
                  <w:vAlign w:val="center"/>
                </w:tcPr>
                <w:p w14:paraId="15969EDF">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12</w:t>
                  </w:r>
                </w:p>
              </w:tc>
            </w:tr>
            <w:tr w14:paraId="53D3754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949" w:type="dxa"/>
                  <w:vMerge w:val="continue"/>
                  <w:tcBorders>
                    <w:tl2br w:val="nil"/>
                    <w:tr2bl w:val="nil"/>
                  </w:tcBorders>
                  <w:noWrap w:val="0"/>
                  <w:vAlign w:val="center"/>
                </w:tcPr>
                <w:p w14:paraId="47A363DE">
                  <w:pPr>
                    <w:jc w:val="center"/>
                    <w:rPr>
                      <w:rFonts w:hint="eastAsia" w:ascii="Times New Roman" w:hAnsi="Times New Roman" w:eastAsia="宋体" w:cs="Times New Roman"/>
                      <w:color w:val="auto"/>
                      <w:sz w:val="21"/>
                      <w:szCs w:val="21"/>
                      <w:highlight w:val="none"/>
                      <w:lang w:val="en-US" w:eastAsia="zh-CN"/>
                    </w:rPr>
                  </w:pPr>
                </w:p>
              </w:tc>
              <w:tc>
                <w:tcPr>
                  <w:tcW w:w="1638" w:type="dxa"/>
                  <w:vMerge w:val="continue"/>
                  <w:tcBorders>
                    <w:tl2br w:val="nil"/>
                    <w:tr2bl w:val="nil"/>
                  </w:tcBorders>
                  <w:noWrap w:val="0"/>
                  <w:vAlign w:val="center"/>
                </w:tcPr>
                <w:p w14:paraId="38761B2B">
                  <w:pPr>
                    <w:jc w:val="center"/>
                    <w:rPr>
                      <w:rFonts w:hint="eastAsia" w:ascii="Times New Roman" w:hAnsi="Times New Roman" w:eastAsia="宋体" w:cs="Times New Roman"/>
                      <w:color w:val="auto"/>
                      <w:sz w:val="21"/>
                      <w:szCs w:val="21"/>
                      <w:highlight w:val="none"/>
                      <w:lang w:val="en-US" w:eastAsia="zh-CN"/>
                    </w:rPr>
                  </w:pPr>
                </w:p>
              </w:tc>
              <w:tc>
                <w:tcPr>
                  <w:tcW w:w="1342" w:type="dxa"/>
                  <w:tcBorders>
                    <w:tl2br w:val="nil"/>
                    <w:tr2bl w:val="nil"/>
                  </w:tcBorders>
                  <w:noWrap w:val="0"/>
                  <w:vAlign w:val="center"/>
                </w:tcPr>
                <w:p w14:paraId="60A8D3D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w:t>
                  </w:r>
                </w:p>
              </w:tc>
              <w:tc>
                <w:tcPr>
                  <w:tcW w:w="2064" w:type="dxa"/>
                  <w:tcBorders>
                    <w:tl2br w:val="nil"/>
                    <w:tr2bl w:val="nil"/>
                  </w:tcBorders>
                  <w:noWrap w:val="0"/>
                  <w:vAlign w:val="center"/>
                </w:tcPr>
                <w:p w14:paraId="7C31A59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556" w:type="dxa"/>
                  <w:tcBorders>
                    <w:tl2br w:val="nil"/>
                    <w:tr2bl w:val="nil"/>
                  </w:tcBorders>
                  <w:noWrap w:val="0"/>
                  <w:vAlign w:val="center"/>
                </w:tcPr>
                <w:p w14:paraId="585D05C8">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12</w:t>
                  </w:r>
                </w:p>
              </w:tc>
            </w:tr>
          </w:tbl>
          <w:p w14:paraId="6D396E74">
            <w:pPr>
              <w:keepNext w:val="0"/>
              <w:keepLines w:val="0"/>
              <w:pageBreakBefore w:val="0"/>
              <w:widowControl/>
              <w:kinsoku/>
              <w:wordWrap/>
              <w:overflowPunct/>
              <w:topLinePunct w:val="0"/>
              <w:autoSpaceDE/>
              <w:autoSpaceDN/>
              <w:bidi w:val="0"/>
              <w:adjustRightInd/>
              <w:snapToGrid w:val="0"/>
              <w:spacing w:before="157" w:beforeLines="50" w:line="360" w:lineRule="auto"/>
              <w:ind w:firstLine="480" w:firstLineChars="200"/>
              <w:textAlignment w:val="auto"/>
              <w:rPr>
                <w:rFonts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pacing w:val="0"/>
                <w:sz w:val="24"/>
                <w:szCs w:val="24"/>
                <w:highlight w:val="none"/>
              </w:rPr>
              <w:t>根据《福建省人民政府关于推进排污权有偿使用和交易工作的意见》</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rPr>
              <w:t>闽政[2016]54号</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rPr>
              <w:t>相关要求</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rPr>
              <w:t>生活污水排放暂不需要购买相应的排污权指标。因此</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rPr>
              <w:t>项目生活污水COD</w:t>
            </w:r>
            <w:r>
              <w:rPr>
                <w:rFonts w:hint="eastAsia" w:ascii="Times New Roman" w:hAnsi="Times New Roman" w:eastAsia="宋体" w:cs="Times New Roman"/>
                <w:color w:val="auto"/>
                <w:spacing w:val="0"/>
                <w:sz w:val="24"/>
                <w:szCs w:val="24"/>
                <w:highlight w:val="none"/>
                <w:vertAlign w:val="subscript"/>
                <w:lang w:val="en-US" w:eastAsia="zh-CN"/>
              </w:rPr>
              <w:t>Cr</w:t>
            </w:r>
            <w:r>
              <w:rPr>
                <w:rFonts w:hint="eastAsia" w:ascii="Times New Roman" w:hAnsi="Times New Roman" w:eastAsia="宋体" w:cs="Times New Roman"/>
                <w:color w:val="auto"/>
                <w:spacing w:val="0"/>
                <w:sz w:val="24"/>
                <w:szCs w:val="24"/>
                <w:highlight w:val="none"/>
              </w:rPr>
              <w:t>、</w:t>
            </w:r>
            <w:r>
              <w:rPr>
                <w:rFonts w:hint="eastAsia" w:ascii="Times New Roman" w:hAnsi="Times New Roman" w:eastAsia="宋体" w:cs="Times New Roman"/>
                <w:color w:val="auto"/>
                <w:spacing w:val="0"/>
                <w:sz w:val="24"/>
                <w:szCs w:val="24"/>
                <w:highlight w:val="none"/>
                <w:lang w:eastAsia="zh-CN"/>
              </w:rPr>
              <w:t>氨氮</w:t>
            </w:r>
            <w:r>
              <w:rPr>
                <w:rFonts w:hint="eastAsia" w:ascii="Times New Roman" w:hAnsi="Times New Roman" w:eastAsia="宋体" w:cs="Times New Roman"/>
                <w:color w:val="auto"/>
                <w:spacing w:val="0"/>
                <w:sz w:val="24"/>
                <w:szCs w:val="24"/>
                <w:highlight w:val="none"/>
              </w:rPr>
              <w:t>排放不需纳入总量来源控制</w:t>
            </w:r>
            <w:r>
              <w:rPr>
                <w:rFonts w:ascii="Times New Roman" w:hAnsi="Times New Roman" w:eastAsia="宋体" w:cs="Times New Roman"/>
                <w:color w:val="auto"/>
                <w:spacing w:val="0"/>
                <w:sz w:val="24"/>
                <w:szCs w:val="24"/>
                <w:highlight w:val="none"/>
              </w:rPr>
              <w:t>。</w:t>
            </w:r>
          </w:p>
          <w:p w14:paraId="1762FF69">
            <w:pPr>
              <w:pStyle w:val="63"/>
              <w:keepNext w:val="0"/>
              <w:keepLines w:val="0"/>
              <w:pageBreakBefore w:val="0"/>
              <w:widowControl/>
              <w:kinsoku/>
              <w:wordWrap/>
              <w:overflowPunct/>
              <w:topLinePunct w:val="0"/>
              <w:autoSpaceDE/>
              <w:autoSpaceDN/>
              <w:bidi w:val="0"/>
              <w:adjustRightInd/>
              <w:snapToGrid w:val="0"/>
              <w:ind w:left="0" w:leftChars="0" w:firstLine="0" w:firstLineChars="0"/>
              <w:textAlignment w:val="auto"/>
              <w:rPr>
                <w:rFonts w:hint="eastAsia" w:ascii="Times New Roman" w:hAnsi="Times New Roman" w:eastAsia="宋体" w:cs="Times New Roman"/>
                <w:b/>
                <w:bCs/>
                <w:color w:val="auto"/>
                <w:spacing w:val="0"/>
                <w:sz w:val="24"/>
                <w:szCs w:val="24"/>
                <w:highlight w:val="none"/>
                <w:lang w:eastAsia="zh-CN"/>
              </w:rPr>
            </w:pPr>
            <w:r>
              <w:rPr>
                <w:rFonts w:hint="eastAsia" w:ascii="Times New Roman" w:hAnsi="Times New Roman" w:eastAsia="宋体" w:cs="Times New Roman"/>
                <w:b/>
                <w:bCs/>
                <w:color w:val="auto"/>
                <w:spacing w:val="0"/>
                <w:sz w:val="24"/>
                <w:szCs w:val="24"/>
                <w:highlight w:val="none"/>
                <w:lang w:eastAsia="zh-CN"/>
              </w:rPr>
              <w:t>（</w:t>
            </w:r>
            <w:r>
              <w:rPr>
                <w:rFonts w:hint="eastAsia" w:ascii="Times New Roman" w:hAnsi="Times New Roman" w:eastAsia="宋体" w:cs="Times New Roman"/>
                <w:b/>
                <w:bCs/>
                <w:color w:val="auto"/>
                <w:spacing w:val="0"/>
                <w:sz w:val="24"/>
                <w:szCs w:val="24"/>
                <w:highlight w:val="none"/>
                <w:lang w:val="en-US" w:eastAsia="zh-CN"/>
              </w:rPr>
              <w:t>2</w:t>
            </w:r>
            <w:r>
              <w:rPr>
                <w:rFonts w:hint="eastAsia" w:ascii="Times New Roman" w:hAnsi="Times New Roman" w:eastAsia="宋体" w:cs="Times New Roman"/>
                <w:b/>
                <w:bCs/>
                <w:color w:val="auto"/>
                <w:spacing w:val="0"/>
                <w:sz w:val="24"/>
                <w:szCs w:val="24"/>
                <w:highlight w:val="none"/>
                <w:lang w:eastAsia="zh-CN"/>
              </w:rPr>
              <w:t>）废气</w:t>
            </w:r>
          </w:p>
          <w:p w14:paraId="751BB9BE">
            <w:pPr>
              <w:pStyle w:val="63"/>
              <w:ind w:firstLine="480"/>
              <w:rPr>
                <w:rFonts w:hint="default" w:ascii="Times New Roman" w:hAnsi="Times New Roman" w:eastAsia="宋体" w:cs="Times New Roman"/>
                <w:color w:val="auto"/>
                <w:spacing w:val="0"/>
                <w:kern w:val="0"/>
                <w:sz w:val="24"/>
                <w:szCs w:val="24"/>
                <w:highlight w:val="none"/>
                <w:lang w:val="en-US" w:eastAsia="zh-CN"/>
              </w:rPr>
            </w:pPr>
            <w:r>
              <w:rPr>
                <w:rFonts w:hint="eastAsia" w:ascii="Times New Roman" w:hAnsi="Times New Roman" w:eastAsia="宋体" w:cs="Times New Roman"/>
                <w:color w:val="auto"/>
                <w:spacing w:val="0"/>
                <w:highlight w:val="none"/>
                <w:lang w:eastAsia="zh-CN"/>
              </w:rPr>
              <w:t>本项目有机废气排放总量指标见表</w:t>
            </w:r>
            <w:r>
              <w:rPr>
                <w:rFonts w:hint="default" w:ascii="Times New Roman" w:hAnsi="Times New Roman" w:eastAsia="宋体" w:cs="Times New Roman"/>
                <w:color w:val="auto"/>
                <w:spacing w:val="0"/>
                <w:sz w:val="24"/>
                <w:szCs w:val="24"/>
                <w:highlight w:val="none"/>
              </w:rPr>
              <w:t>3</w:t>
            </w:r>
            <w:r>
              <w:rPr>
                <w:rFonts w:hint="eastAsia" w:ascii="Times New Roman" w:hAnsi="Times New Roman" w:eastAsia="宋体" w:cs="Times New Roman"/>
                <w:color w:val="auto"/>
                <w:spacing w:val="0"/>
                <w:sz w:val="24"/>
                <w:szCs w:val="24"/>
                <w:highlight w:val="none"/>
                <w:lang w:val="en-US" w:eastAsia="zh-CN"/>
              </w:rPr>
              <w:t>.5-2。</w:t>
            </w:r>
          </w:p>
          <w:p w14:paraId="7768E9F1">
            <w:pPr>
              <w:pStyle w:val="69"/>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b/>
                <w:bCs/>
                <w:color w:val="auto"/>
                <w:spacing w:val="0"/>
                <w:sz w:val="24"/>
                <w:szCs w:val="24"/>
                <w:highlight w:val="none"/>
              </w:rPr>
            </w:pPr>
            <w:r>
              <w:rPr>
                <w:b/>
                <w:bCs/>
                <w:color w:val="auto"/>
                <w:spacing w:val="0"/>
                <w:kern w:val="0"/>
                <w:sz w:val="24"/>
                <w:highlight w:val="none"/>
              </w:rPr>
              <w:t>表3</w:t>
            </w:r>
            <w:r>
              <w:rPr>
                <w:rFonts w:hint="eastAsia"/>
                <w:b/>
                <w:bCs/>
                <w:color w:val="auto"/>
                <w:spacing w:val="0"/>
                <w:kern w:val="0"/>
                <w:sz w:val="24"/>
                <w:highlight w:val="none"/>
                <w:lang w:val="en-US" w:eastAsia="zh-CN"/>
              </w:rPr>
              <w:t>.5-2</w:t>
            </w:r>
            <w:r>
              <w:rPr>
                <w:b/>
                <w:bCs/>
                <w:color w:val="auto"/>
                <w:spacing w:val="0"/>
                <w:kern w:val="0"/>
                <w:sz w:val="24"/>
                <w:highlight w:val="none"/>
              </w:rPr>
              <w:t xml:space="preserve"> </w:t>
            </w:r>
            <w:r>
              <w:rPr>
                <w:rFonts w:hint="eastAsia"/>
                <w:b/>
                <w:bCs/>
                <w:color w:val="auto"/>
                <w:spacing w:val="0"/>
                <w:kern w:val="0"/>
                <w:sz w:val="24"/>
                <w:highlight w:val="none"/>
                <w:lang w:val="en-US" w:eastAsia="zh-CN"/>
              </w:rPr>
              <w:t xml:space="preserve"> </w:t>
            </w:r>
            <w:r>
              <w:rPr>
                <w:b/>
                <w:bCs/>
                <w:color w:val="auto"/>
                <w:spacing w:val="0"/>
                <w:sz w:val="24"/>
                <w:highlight w:val="none"/>
              </w:rPr>
              <w:t>废气污染物排放总量核算</w:t>
            </w:r>
            <w:r>
              <w:rPr>
                <w:rFonts w:hint="eastAsia"/>
                <w:b/>
                <w:bCs/>
                <w:color w:val="auto"/>
                <w:spacing w:val="0"/>
                <w:sz w:val="24"/>
                <w:highlight w:val="none"/>
              </w:rPr>
              <w:t>一览</w:t>
            </w:r>
            <w:r>
              <w:rPr>
                <w:b/>
                <w:bCs/>
                <w:color w:val="auto"/>
                <w:spacing w:val="0"/>
                <w:sz w:val="24"/>
                <w:highlight w:val="none"/>
              </w:rPr>
              <w:t>表</w:t>
            </w:r>
          </w:p>
          <w:tbl>
            <w:tblPr>
              <w:tblStyle w:val="29"/>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57"/>
              <w:gridCol w:w="724"/>
              <w:gridCol w:w="1247"/>
              <w:gridCol w:w="1296"/>
              <w:gridCol w:w="1259"/>
              <w:gridCol w:w="1514"/>
              <w:gridCol w:w="1277"/>
            </w:tblGrid>
            <w:tr w14:paraId="0234758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4" w:type="dxa"/>
                  <w:vMerge w:val="restart"/>
                  <w:tcBorders>
                    <w:tl2br w:val="nil"/>
                    <w:tr2bl w:val="nil"/>
                  </w:tcBorders>
                  <w:noWrap w:val="0"/>
                  <w:vAlign w:val="center"/>
                </w:tcPr>
                <w:p w14:paraId="119D122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项目</w:t>
                  </w:r>
                </w:p>
              </w:tc>
              <w:tc>
                <w:tcPr>
                  <w:tcW w:w="776" w:type="dxa"/>
                  <w:vMerge w:val="restart"/>
                  <w:tcBorders>
                    <w:tl2br w:val="nil"/>
                    <w:tr2bl w:val="nil"/>
                  </w:tcBorders>
                  <w:noWrap w:val="0"/>
                  <w:vAlign w:val="center"/>
                </w:tcPr>
                <w:p w14:paraId="35C5AFB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迁建前</w:t>
                  </w:r>
                  <w:r>
                    <w:rPr>
                      <w:rFonts w:ascii="Times New Roman" w:hAnsi="Times New Roman" w:eastAsia="宋体"/>
                      <w:b/>
                      <w:bCs/>
                      <w:color w:val="auto"/>
                      <w:sz w:val="21"/>
                      <w:szCs w:val="21"/>
                      <w:highlight w:val="none"/>
                    </w:rPr>
                    <w:t>（t/a）</w:t>
                  </w:r>
                </w:p>
              </w:tc>
              <w:tc>
                <w:tcPr>
                  <w:tcW w:w="5700" w:type="dxa"/>
                  <w:gridSpan w:val="4"/>
                  <w:tcBorders>
                    <w:tl2br w:val="nil"/>
                    <w:tr2bl w:val="nil"/>
                  </w:tcBorders>
                  <w:noWrap w:val="0"/>
                  <w:vAlign w:val="center"/>
                </w:tcPr>
                <w:p w14:paraId="489CEF59">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迁建后</w:t>
                  </w:r>
                </w:p>
              </w:tc>
              <w:tc>
                <w:tcPr>
                  <w:tcW w:w="1369" w:type="dxa"/>
                  <w:vMerge w:val="restart"/>
                  <w:tcBorders>
                    <w:tl2br w:val="nil"/>
                    <w:tr2bl w:val="nil"/>
                  </w:tcBorders>
                  <w:noWrap w:val="0"/>
                  <w:vAlign w:val="center"/>
                </w:tcPr>
                <w:p w14:paraId="20F051F5">
                  <w:pPr>
                    <w:keepNext w:val="0"/>
                    <w:keepLines w:val="0"/>
                    <w:pageBreakBefore w:val="0"/>
                    <w:widowControl w:val="0"/>
                    <w:kinsoku/>
                    <w:wordWrap/>
                    <w:overflowPunct/>
                    <w:topLinePunct/>
                    <w:autoSpaceDE/>
                    <w:autoSpaceDN/>
                    <w:bidi w:val="0"/>
                    <w:adjustRightInd w:val="0"/>
                    <w:snapToGrid w:val="0"/>
                    <w:spacing w:line="240" w:lineRule="auto"/>
                    <w:ind w:left="0" w:leftChars="0"/>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迁建前后排放增减量（t/a）</w:t>
                  </w:r>
                </w:p>
              </w:tc>
            </w:tr>
            <w:tr w14:paraId="6B80736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4" w:type="dxa"/>
                  <w:vMerge w:val="continue"/>
                  <w:tcBorders>
                    <w:tl2br w:val="nil"/>
                    <w:tr2bl w:val="nil"/>
                  </w:tcBorders>
                  <w:noWrap w:val="0"/>
                  <w:vAlign w:val="center"/>
                </w:tcPr>
                <w:p w14:paraId="2C5171BF">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b/>
                      <w:bCs/>
                      <w:color w:val="auto"/>
                      <w:sz w:val="21"/>
                      <w:szCs w:val="21"/>
                      <w:highlight w:val="none"/>
                    </w:rPr>
                  </w:pPr>
                </w:p>
              </w:tc>
              <w:tc>
                <w:tcPr>
                  <w:tcW w:w="776" w:type="dxa"/>
                  <w:vMerge w:val="continue"/>
                  <w:tcBorders>
                    <w:tl2br w:val="nil"/>
                    <w:tr2bl w:val="nil"/>
                  </w:tcBorders>
                  <w:noWrap w:val="0"/>
                  <w:vAlign w:val="center"/>
                </w:tcPr>
                <w:p w14:paraId="4474400D">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b/>
                      <w:bCs/>
                      <w:color w:val="auto"/>
                      <w:sz w:val="21"/>
                      <w:szCs w:val="21"/>
                      <w:highlight w:val="none"/>
                    </w:rPr>
                  </w:pPr>
                </w:p>
              </w:tc>
              <w:tc>
                <w:tcPr>
                  <w:tcW w:w="1337" w:type="dxa"/>
                  <w:tcBorders>
                    <w:tl2br w:val="nil"/>
                    <w:tr2bl w:val="nil"/>
                  </w:tcBorders>
                  <w:noWrap w:val="0"/>
                  <w:vAlign w:val="center"/>
                </w:tcPr>
                <w:p w14:paraId="5184883F">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排放形式</w:t>
                  </w:r>
                </w:p>
              </w:tc>
              <w:tc>
                <w:tcPr>
                  <w:tcW w:w="1390" w:type="dxa"/>
                  <w:tcBorders>
                    <w:tl2br w:val="nil"/>
                    <w:tr2bl w:val="nil"/>
                  </w:tcBorders>
                  <w:noWrap w:val="0"/>
                  <w:vAlign w:val="center"/>
                </w:tcPr>
                <w:p w14:paraId="58111F6A">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产生量（t/a）</w:t>
                  </w:r>
                </w:p>
              </w:tc>
              <w:tc>
                <w:tcPr>
                  <w:tcW w:w="1350" w:type="dxa"/>
                  <w:tcBorders>
                    <w:tl2br w:val="nil"/>
                    <w:tr2bl w:val="nil"/>
                  </w:tcBorders>
                  <w:noWrap w:val="0"/>
                  <w:vAlign w:val="center"/>
                </w:tcPr>
                <w:p w14:paraId="1E74927E">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削减量（t/a）</w:t>
                  </w:r>
                </w:p>
              </w:tc>
              <w:tc>
                <w:tcPr>
                  <w:tcW w:w="1623" w:type="dxa"/>
                  <w:tcBorders>
                    <w:tl2br w:val="nil"/>
                    <w:tr2bl w:val="nil"/>
                  </w:tcBorders>
                  <w:noWrap w:val="0"/>
                  <w:vAlign w:val="center"/>
                </w:tcPr>
                <w:p w14:paraId="4842376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排放量（t/a）</w:t>
                  </w:r>
                </w:p>
              </w:tc>
              <w:tc>
                <w:tcPr>
                  <w:tcW w:w="1369" w:type="dxa"/>
                  <w:vMerge w:val="continue"/>
                  <w:tcBorders>
                    <w:tl2br w:val="nil"/>
                    <w:tr2bl w:val="nil"/>
                  </w:tcBorders>
                  <w:noWrap w:val="0"/>
                  <w:vAlign w:val="center"/>
                </w:tcPr>
                <w:p w14:paraId="0245BED7">
                  <w:pPr>
                    <w:keepNext w:val="0"/>
                    <w:keepLines w:val="0"/>
                    <w:pageBreakBefore w:val="0"/>
                    <w:widowControl w:val="0"/>
                    <w:suppressLineNumbers w:val="0"/>
                    <w:kinsoku/>
                    <w:wordWrap/>
                    <w:overflowPunct/>
                    <w:topLinePunct/>
                    <w:autoSpaceDE/>
                    <w:autoSpaceDN/>
                    <w:bidi w:val="0"/>
                    <w:ind w:left="0" w:leftChars="0"/>
                    <w:jc w:val="center"/>
                    <w:textAlignment w:val="auto"/>
                    <w:rPr>
                      <w:rFonts w:hint="default" w:ascii="Times New Roman" w:hAnsi="Times New Roman" w:eastAsia="宋体"/>
                      <w:b/>
                      <w:bCs/>
                      <w:color w:val="auto"/>
                      <w:sz w:val="21"/>
                      <w:szCs w:val="21"/>
                      <w:highlight w:val="none"/>
                      <w:lang w:val="en-US"/>
                    </w:rPr>
                  </w:pPr>
                </w:p>
              </w:tc>
            </w:tr>
            <w:tr w14:paraId="66E21BD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4" w:type="dxa"/>
                  <w:vMerge w:val="restart"/>
                  <w:tcBorders>
                    <w:tl2br w:val="nil"/>
                    <w:tr2bl w:val="nil"/>
                  </w:tcBorders>
                  <w:noWrap w:val="0"/>
                  <w:vAlign w:val="center"/>
                </w:tcPr>
                <w:p w14:paraId="5E75729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rPr>
                    <w:t>VOC</w:t>
                  </w:r>
                  <w:r>
                    <w:rPr>
                      <w:rFonts w:hint="eastAsia" w:ascii="Times New Roman" w:hAnsi="Times New Roman" w:eastAsia="宋体"/>
                      <w:color w:val="auto"/>
                      <w:sz w:val="21"/>
                      <w:szCs w:val="21"/>
                      <w:highlight w:val="none"/>
                      <w:vertAlign w:val="baseline"/>
                      <w:lang w:val="en-US" w:eastAsia="zh-CN"/>
                    </w:rPr>
                    <w:t>s</w:t>
                  </w:r>
                </w:p>
              </w:tc>
              <w:tc>
                <w:tcPr>
                  <w:tcW w:w="776" w:type="dxa"/>
                  <w:vMerge w:val="restart"/>
                  <w:tcBorders>
                    <w:tl2br w:val="nil"/>
                    <w:tr2bl w:val="nil"/>
                  </w:tcBorders>
                  <w:noWrap w:val="0"/>
                  <w:vAlign w:val="center"/>
                </w:tcPr>
                <w:p w14:paraId="37BDE7F5">
                  <w:pPr>
                    <w:pStyle w:val="28"/>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snapToGrid w:val="0"/>
                      <w:color w:val="auto"/>
                      <w:spacing w:val="0"/>
                      <w:kern w:val="21"/>
                      <w:sz w:val="21"/>
                      <w:szCs w:val="21"/>
                      <w:highlight w:val="none"/>
                      <w:lang w:val="en-US" w:eastAsia="zh-CN"/>
                    </w:rPr>
                    <w:t>0.388</w:t>
                  </w:r>
                </w:p>
              </w:tc>
              <w:tc>
                <w:tcPr>
                  <w:tcW w:w="1337" w:type="dxa"/>
                  <w:tcBorders>
                    <w:tl2br w:val="nil"/>
                    <w:tr2bl w:val="nil"/>
                  </w:tcBorders>
                  <w:noWrap w:val="0"/>
                  <w:vAlign w:val="center"/>
                </w:tcPr>
                <w:p w14:paraId="4A14854D">
                  <w:pPr>
                    <w:pStyle w:val="28"/>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390" w:type="dxa"/>
                  <w:tcBorders>
                    <w:tl2br w:val="nil"/>
                    <w:tr2bl w:val="nil"/>
                  </w:tcBorders>
                  <w:noWrap w:val="0"/>
                  <w:vAlign w:val="center"/>
                </w:tcPr>
                <w:p w14:paraId="56A8A90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1.3986</w:t>
                  </w:r>
                </w:p>
              </w:tc>
              <w:tc>
                <w:tcPr>
                  <w:tcW w:w="1350" w:type="dxa"/>
                  <w:tcBorders>
                    <w:tl2br w:val="nil"/>
                    <w:tr2bl w:val="nil"/>
                  </w:tcBorders>
                  <w:noWrap w:val="0"/>
                  <w:vAlign w:val="center"/>
                </w:tcPr>
                <w:p w14:paraId="3BDE86E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1.1189</w:t>
                  </w:r>
                </w:p>
              </w:tc>
              <w:tc>
                <w:tcPr>
                  <w:tcW w:w="1623" w:type="dxa"/>
                  <w:tcBorders>
                    <w:tl2br w:val="nil"/>
                    <w:tr2bl w:val="nil"/>
                  </w:tcBorders>
                  <w:noWrap w:val="0"/>
                  <w:vAlign w:val="center"/>
                </w:tcPr>
                <w:p w14:paraId="7FE7AD7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0.2797</w:t>
                  </w:r>
                </w:p>
              </w:tc>
              <w:tc>
                <w:tcPr>
                  <w:tcW w:w="1369" w:type="dxa"/>
                  <w:vMerge w:val="restart"/>
                  <w:tcBorders>
                    <w:tl2br w:val="nil"/>
                    <w:tr2bl w:val="nil"/>
                  </w:tcBorders>
                  <w:noWrap w:val="0"/>
                  <w:vAlign w:val="center"/>
                </w:tcPr>
                <w:p w14:paraId="06042F74">
                  <w:pPr>
                    <w:keepNext w:val="0"/>
                    <w:keepLines w:val="0"/>
                    <w:widowControl/>
                    <w:suppressLineNumbers w:val="0"/>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+0.0471</w:t>
                  </w:r>
                </w:p>
              </w:tc>
            </w:tr>
            <w:tr w14:paraId="75F93B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4" w:type="dxa"/>
                  <w:vMerge w:val="continue"/>
                  <w:tcBorders>
                    <w:tl2br w:val="nil"/>
                    <w:tr2bl w:val="nil"/>
                  </w:tcBorders>
                  <w:noWrap w:val="0"/>
                  <w:vAlign w:val="center"/>
                </w:tcPr>
                <w:p w14:paraId="37BD55A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color w:val="auto"/>
                      <w:sz w:val="21"/>
                      <w:szCs w:val="21"/>
                      <w:highlight w:val="none"/>
                    </w:rPr>
                  </w:pPr>
                </w:p>
              </w:tc>
              <w:tc>
                <w:tcPr>
                  <w:tcW w:w="776" w:type="dxa"/>
                  <w:vMerge w:val="continue"/>
                  <w:tcBorders>
                    <w:tl2br w:val="nil"/>
                    <w:tr2bl w:val="nil"/>
                  </w:tcBorders>
                  <w:noWrap w:val="0"/>
                  <w:vAlign w:val="center"/>
                </w:tcPr>
                <w:p w14:paraId="2663140F">
                  <w:pPr>
                    <w:pStyle w:val="28"/>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337" w:type="dxa"/>
                  <w:tcBorders>
                    <w:tl2br w:val="nil"/>
                    <w:tr2bl w:val="nil"/>
                  </w:tcBorders>
                  <w:noWrap w:val="0"/>
                  <w:vAlign w:val="center"/>
                </w:tcPr>
                <w:p w14:paraId="7E594D0D">
                  <w:pPr>
                    <w:pStyle w:val="28"/>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390" w:type="dxa"/>
                  <w:tcBorders>
                    <w:tl2br w:val="nil"/>
                    <w:tr2bl w:val="nil"/>
                  </w:tcBorders>
                  <w:noWrap w:val="0"/>
                  <w:vAlign w:val="center"/>
                </w:tcPr>
                <w:p w14:paraId="2705150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0.1554</w:t>
                  </w:r>
                </w:p>
              </w:tc>
              <w:tc>
                <w:tcPr>
                  <w:tcW w:w="1350" w:type="dxa"/>
                  <w:tcBorders>
                    <w:tl2br w:val="nil"/>
                    <w:tr2bl w:val="nil"/>
                  </w:tcBorders>
                  <w:noWrap w:val="0"/>
                  <w:vAlign w:val="center"/>
                </w:tcPr>
                <w:p w14:paraId="6EE3FA9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623" w:type="dxa"/>
                  <w:tcBorders>
                    <w:tl2br w:val="nil"/>
                    <w:tr2bl w:val="nil"/>
                  </w:tcBorders>
                  <w:noWrap w:val="0"/>
                  <w:vAlign w:val="center"/>
                </w:tcPr>
                <w:p w14:paraId="5224E2F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0.1554</w:t>
                  </w:r>
                </w:p>
              </w:tc>
              <w:tc>
                <w:tcPr>
                  <w:tcW w:w="1369" w:type="dxa"/>
                  <w:vMerge w:val="continue"/>
                  <w:tcBorders>
                    <w:tl2br w:val="nil"/>
                    <w:tr2bl w:val="nil"/>
                  </w:tcBorders>
                  <w:noWrap w:val="0"/>
                  <w:vAlign w:val="center"/>
                </w:tcPr>
                <w:p w14:paraId="70F09893">
                  <w:pPr>
                    <w:ind w:left="0" w:leftChars="0"/>
                    <w:jc w:val="center"/>
                    <w:rPr>
                      <w:rFonts w:hint="default" w:ascii="Times New Roman" w:hAnsi="Times New Roman" w:eastAsia="宋体" w:cs="Times New Roman"/>
                      <w:color w:val="auto"/>
                      <w:kern w:val="2"/>
                      <w:sz w:val="21"/>
                      <w:szCs w:val="21"/>
                      <w:highlight w:val="none"/>
                      <w:lang w:val="en-US" w:eastAsia="zh-CN" w:bidi="ar-SA"/>
                    </w:rPr>
                  </w:pPr>
                </w:p>
              </w:tc>
            </w:tr>
            <w:tr w14:paraId="5DC7747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4" w:type="dxa"/>
                  <w:vMerge w:val="continue"/>
                  <w:tcBorders>
                    <w:tl2br w:val="nil"/>
                    <w:tr2bl w:val="nil"/>
                  </w:tcBorders>
                  <w:noWrap w:val="0"/>
                  <w:vAlign w:val="center"/>
                </w:tcPr>
                <w:p w14:paraId="7E62D30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color w:val="auto"/>
                      <w:sz w:val="21"/>
                      <w:szCs w:val="21"/>
                      <w:highlight w:val="none"/>
                    </w:rPr>
                  </w:pPr>
                </w:p>
              </w:tc>
              <w:tc>
                <w:tcPr>
                  <w:tcW w:w="776" w:type="dxa"/>
                  <w:vMerge w:val="continue"/>
                  <w:tcBorders>
                    <w:tl2br w:val="nil"/>
                    <w:tr2bl w:val="nil"/>
                  </w:tcBorders>
                  <w:noWrap w:val="0"/>
                  <w:vAlign w:val="center"/>
                </w:tcPr>
                <w:p w14:paraId="06B9259F">
                  <w:pPr>
                    <w:pStyle w:val="28"/>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337" w:type="dxa"/>
                  <w:tcBorders>
                    <w:tl2br w:val="nil"/>
                    <w:tr2bl w:val="nil"/>
                  </w:tcBorders>
                  <w:noWrap w:val="0"/>
                  <w:vAlign w:val="center"/>
                </w:tcPr>
                <w:p w14:paraId="7B9FBB8B">
                  <w:pPr>
                    <w:pStyle w:val="28"/>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总计</w:t>
                  </w:r>
                </w:p>
              </w:tc>
              <w:tc>
                <w:tcPr>
                  <w:tcW w:w="1390" w:type="dxa"/>
                  <w:tcBorders>
                    <w:tl2br w:val="nil"/>
                    <w:tr2bl w:val="nil"/>
                  </w:tcBorders>
                  <w:noWrap w:val="0"/>
                  <w:vAlign w:val="center"/>
                </w:tcPr>
                <w:p w14:paraId="51CF0D9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1.554</w:t>
                  </w:r>
                </w:p>
              </w:tc>
              <w:tc>
                <w:tcPr>
                  <w:tcW w:w="1350" w:type="dxa"/>
                  <w:tcBorders>
                    <w:tl2br w:val="nil"/>
                    <w:tr2bl w:val="nil"/>
                  </w:tcBorders>
                  <w:noWrap w:val="0"/>
                  <w:vAlign w:val="center"/>
                </w:tcPr>
                <w:p w14:paraId="1A67F3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1.1189</w:t>
                  </w:r>
                </w:p>
              </w:tc>
              <w:tc>
                <w:tcPr>
                  <w:tcW w:w="1623" w:type="dxa"/>
                  <w:tcBorders>
                    <w:tl2br w:val="nil"/>
                    <w:tr2bl w:val="nil"/>
                  </w:tcBorders>
                  <w:noWrap w:val="0"/>
                  <w:vAlign w:val="center"/>
                </w:tcPr>
                <w:p w14:paraId="2E49CF5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0.4351</w:t>
                  </w:r>
                </w:p>
              </w:tc>
              <w:tc>
                <w:tcPr>
                  <w:tcW w:w="1369" w:type="dxa"/>
                  <w:vMerge w:val="continue"/>
                  <w:tcBorders>
                    <w:tl2br w:val="nil"/>
                    <w:tr2bl w:val="nil"/>
                  </w:tcBorders>
                  <w:noWrap w:val="0"/>
                  <w:vAlign w:val="center"/>
                </w:tcPr>
                <w:p w14:paraId="4CA2D765">
                  <w:pPr>
                    <w:ind w:left="0" w:leftChars="0"/>
                    <w:jc w:val="center"/>
                    <w:rPr>
                      <w:rFonts w:hint="default" w:ascii="Times New Roman" w:hAnsi="Times New Roman" w:eastAsia="宋体" w:cs="Times New Roman"/>
                      <w:color w:val="auto"/>
                      <w:kern w:val="2"/>
                      <w:sz w:val="21"/>
                      <w:szCs w:val="21"/>
                      <w:highlight w:val="none"/>
                      <w:lang w:val="en-US" w:eastAsia="zh-CN" w:bidi="ar-SA"/>
                    </w:rPr>
                  </w:pPr>
                </w:p>
              </w:tc>
            </w:tr>
            <w:tr w14:paraId="046F714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549" w:type="dxa"/>
                  <w:gridSpan w:val="7"/>
                  <w:tcBorders>
                    <w:tl2br w:val="nil"/>
                    <w:tr2bl w:val="nil"/>
                  </w:tcBorders>
                  <w:noWrap w:val="0"/>
                  <w:vAlign w:val="center"/>
                </w:tcPr>
                <w:p w14:paraId="4A2B4B80">
                  <w:pPr>
                    <w:ind w:left="0" w:left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18"/>
                      <w:szCs w:val="18"/>
                      <w:highlight w:val="none"/>
                      <w:lang w:val="en-US" w:eastAsia="zh-CN"/>
                    </w:rPr>
                    <w:t>备注：</w:t>
                  </w:r>
                  <w:r>
                    <w:rPr>
                      <w:rFonts w:hint="eastAsia" w:cs="Times New Roman"/>
                      <w:color w:val="auto"/>
                      <w:sz w:val="18"/>
                      <w:szCs w:val="18"/>
                      <w:highlight w:val="none"/>
                      <w:lang w:val="en-US" w:eastAsia="zh-CN"/>
                    </w:rPr>
                    <w:t>迁建</w:t>
                  </w:r>
                  <w:r>
                    <w:rPr>
                      <w:rFonts w:hint="eastAsia" w:ascii="Times New Roman" w:hAnsi="Times New Roman" w:eastAsia="宋体" w:cs="Times New Roman"/>
                      <w:color w:val="auto"/>
                      <w:sz w:val="18"/>
                      <w:szCs w:val="18"/>
                      <w:highlight w:val="none"/>
                      <w:lang w:val="en-US" w:eastAsia="zh-CN"/>
                    </w:rPr>
                    <w:t>前</w:t>
                  </w:r>
                  <w:r>
                    <w:rPr>
                      <w:rFonts w:ascii="Times New Roman" w:hAnsi="Times New Roman" w:eastAsia="宋体"/>
                      <w:color w:val="auto"/>
                      <w:sz w:val="18"/>
                      <w:szCs w:val="18"/>
                      <w:highlight w:val="none"/>
                    </w:rPr>
                    <w:t>VOC</w:t>
                  </w:r>
                  <w:r>
                    <w:rPr>
                      <w:rFonts w:hint="eastAsia" w:ascii="Times New Roman" w:hAnsi="Times New Roman" w:eastAsia="宋体"/>
                      <w:color w:val="auto"/>
                      <w:sz w:val="18"/>
                      <w:szCs w:val="18"/>
                      <w:highlight w:val="none"/>
                      <w:vertAlign w:val="baseline"/>
                      <w:lang w:val="en-US" w:eastAsia="zh-CN"/>
                    </w:rPr>
                    <w:t>s</w:t>
                  </w:r>
                  <w:r>
                    <w:rPr>
                      <w:rFonts w:hint="eastAsia" w:ascii="Times New Roman" w:hAnsi="Times New Roman" w:eastAsia="宋体" w:cs="Times New Roman"/>
                      <w:color w:val="auto"/>
                      <w:sz w:val="18"/>
                      <w:szCs w:val="18"/>
                      <w:highlight w:val="none"/>
                      <w:lang w:val="en-US" w:eastAsia="zh-CN"/>
                    </w:rPr>
                    <w:t>总量来源《</w:t>
                  </w:r>
                  <w:r>
                    <w:rPr>
                      <w:rFonts w:hint="eastAsia" w:ascii="Times New Roman" w:hAnsi="Times New Roman" w:eastAsia="宋体" w:cs="Times New Roman"/>
                      <w:color w:val="auto"/>
                      <w:spacing w:val="0"/>
                      <w:position w:val="0"/>
                      <w:sz w:val="18"/>
                      <w:szCs w:val="18"/>
                      <w:highlight w:val="none"/>
                      <w:u w:val="none"/>
                      <w:lang w:val="en-US" w:eastAsia="zh-CN"/>
                    </w:rPr>
                    <w:t>福州市搜一家具有限公司木质屏风生产项目环境影响报告表</w:t>
                  </w:r>
                  <w:r>
                    <w:rPr>
                      <w:rFonts w:hint="eastAsia" w:ascii="Times New Roman" w:hAnsi="Times New Roman" w:eastAsia="宋体" w:cs="Times New Roman"/>
                      <w:color w:val="auto"/>
                      <w:sz w:val="18"/>
                      <w:szCs w:val="18"/>
                      <w:highlight w:val="none"/>
                      <w:lang w:val="en-US" w:eastAsia="zh-CN"/>
                    </w:rPr>
                    <w:t>》</w:t>
                  </w:r>
                </w:p>
              </w:tc>
            </w:tr>
          </w:tbl>
          <w:p w14:paraId="44273494">
            <w:pPr>
              <w:pStyle w:val="63"/>
              <w:keepNext w:val="0"/>
              <w:keepLines w:val="0"/>
              <w:pageBreakBefore w:val="0"/>
              <w:widowControl/>
              <w:kinsoku/>
              <w:wordWrap/>
              <w:overflowPunct w:val="0"/>
              <w:topLinePunct w:val="0"/>
              <w:autoSpaceDE/>
              <w:autoSpaceDN/>
              <w:bidi w:val="0"/>
              <w:adjustRightInd/>
              <w:snapToGrid w:val="0"/>
              <w:spacing w:before="157" w:beforeLines="50" w:line="360" w:lineRule="auto"/>
              <w:ind w:firstLine="480" w:firstLineChars="200"/>
              <w:textAlignment w:val="auto"/>
              <w:rPr>
                <w:rFonts w:hint="eastAsia"/>
                <w:color w:val="auto"/>
                <w:highlight w:val="none"/>
              </w:rPr>
            </w:pPr>
            <w:r>
              <w:rPr>
                <w:rFonts w:hint="eastAsia"/>
                <w:color w:val="auto"/>
                <w:highlight w:val="none"/>
              </w:rPr>
              <w:t>迁建后，项目挥发性有机物（以非甲烷总烃计）总排放量为0.4351t/a，含迁建前原有排放量0.388t/a，迁建后新增排放量0.0471t/a。</w:t>
            </w:r>
          </w:p>
          <w:p w14:paraId="707D1ED6">
            <w:pPr>
              <w:pStyle w:val="63"/>
              <w:keepNext w:val="0"/>
              <w:keepLines w:val="0"/>
              <w:pageBreakBefore w:val="0"/>
              <w:widowControl/>
              <w:kinsoku/>
              <w:wordWrap/>
              <w:overflowPunct w:val="0"/>
              <w:topLinePunct w:val="0"/>
              <w:autoSpaceDE/>
              <w:autoSpaceDN/>
              <w:bidi w:val="0"/>
              <w:adjustRightInd/>
              <w:snapToGrid w:val="0"/>
              <w:spacing w:line="360" w:lineRule="auto"/>
              <w:ind w:firstLine="480" w:firstLineChars="200"/>
              <w:textAlignment w:val="auto"/>
              <w:rPr>
                <w:rFonts w:hint="eastAsia"/>
                <w:color w:val="auto"/>
                <w:highlight w:val="none"/>
              </w:rPr>
            </w:pPr>
            <w:r>
              <w:rPr>
                <w:rFonts w:hint="eastAsia"/>
                <w:color w:val="auto"/>
                <w:highlight w:val="none"/>
              </w:rPr>
              <w:t>迁建前原有排放量：根据2021年6月委托福建海涵环保咨询有限公司编制的《福州市搜一家具有限公司木质屏风生产项目环境影响报告表》，迁建前项目非甲烷总烃排放量为0.388t/a。</w:t>
            </w:r>
          </w:p>
          <w:p w14:paraId="4907BD97">
            <w:pPr>
              <w:pStyle w:val="63"/>
              <w:keepNext w:val="0"/>
              <w:keepLines w:val="0"/>
              <w:pageBreakBefore w:val="0"/>
              <w:widowControl/>
              <w:kinsoku/>
              <w:wordWrap/>
              <w:overflowPunct w:val="0"/>
              <w:topLinePunct w:val="0"/>
              <w:autoSpaceDE/>
              <w:autoSpaceDN/>
              <w:bidi w:val="0"/>
              <w:adjustRightInd/>
              <w:snapToGrid w:val="0"/>
              <w:spacing w:line="360" w:lineRule="auto"/>
              <w:ind w:firstLine="480" w:firstLineChars="200"/>
              <w:textAlignment w:val="auto"/>
              <w:rPr>
                <w:rFonts w:hint="default" w:ascii="Times New Roman" w:hAnsi="Times New Roman" w:cs="Times New Roman"/>
                <w:b w:val="0"/>
                <w:bCs w:val="0"/>
                <w:color w:val="auto"/>
                <w:sz w:val="24"/>
                <w:highlight w:val="none"/>
                <w:lang w:val="en-US" w:eastAsia="zh-CN"/>
              </w:rPr>
            </w:pPr>
            <w:r>
              <w:rPr>
                <w:rFonts w:hint="eastAsia"/>
                <w:color w:val="auto"/>
                <w:highlight w:val="none"/>
              </w:rPr>
              <w:t>迁建后</w:t>
            </w:r>
            <w:r>
              <w:rPr>
                <w:rFonts w:hint="eastAsia"/>
                <w:color w:val="auto"/>
                <w:highlight w:val="none"/>
                <w:lang w:val="en-US" w:eastAsia="zh-CN"/>
              </w:rPr>
              <w:t>VOCs</w:t>
            </w:r>
            <w:r>
              <w:rPr>
                <w:rFonts w:hint="eastAsia"/>
                <w:color w:val="auto"/>
                <w:highlight w:val="none"/>
              </w:rPr>
              <w:t>排放量：根据《福州市生态环境局关于落实“奋勇争先”行动进一步服务和促进民营经济高质量发展的通知》（榕环保综〔2025〕47号）：“对于挥发性有机污染物新增年排放量小于0.1吨的建设项目，无需提交总量来源说明，由市级生态环境部门统筹总量指标替代来源。”分析，迁建后，项目新增挥发性有机物年排放量为0.0471吨，小于0.1吨，无需提交总量来源说明，由市级生态环境部门统筹总量指标替代来源。</w:t>
            </w:r>
          </w:p>
        </w:tc>
      </w:tr>
    </w:tbl>
    <w:p w14:paraId="1995D07A">
      <w:pPr>
        <w:pStyle w:val="24"/>
        <w:snapToGrid w:val="0"/>
        <w:spacing w:before="0" w:beforeAutospacing="0" w:after="0" w:afterAutospacing="0"/>
        <w:jc w:val="center"/>
        <w:outlineLvl w:val="0"/>
        <w:rPr>
          <w:rFonts w:ascii="Times New Roman" w:hAnsi="Times New Roman" w:eastAsia="宋体" w:cs="Times New Roman"/>
          <w:snapToGrid w:val="0"/>
          <w:color w:val="auto"/>
          <w:spacing w:val="0"/>
          <w:position w:val="0"/>
          <w:sz w:val="36"/>
          <w:szCs w:val="36"/>
          <w:highlight w:val="none"/>
        </w:rPr>
      </w:pPr>
      <w:r>
        <w:rPr>
          <w:rFonts w:ascii="Times New Roman" w:hAnsi="Times New Roman" w:eastAsia="宋体" w:cs="Times New Roman"/>
          <w:snapToGrid w:val="0"/>
          <w:color w:val="auto"/>
          <w:spacing w:val="0"/>
          <w:position w:val="0"/>
          <w:sz w:val="36"/>
          <w:szCs w:val="36"/>
          <w:highlight w:val="none"/>
        </w:rPr>
        <w:br w:type="page"/>
      </w:r>
      <w:bookmarkStart w:id="42" w:name="_Toc28139"/>
      <w:bookmarkStart w:id="43" w:name="_Toc27643"/>
    </w:p>
    <w:p w14:paraId="31E2597F">
      <w:pPr>
        <w:pStyle w:val="24"/>
        <w:snapToGrid w:val="0"/>
        <w:spacing w:before="0" w:beforeAutospacing="0" w:after="0" w:afterAutospacing="0"/>
        <w:jc w:val="center"/>
        <w:outlineLvl w:val="0"/>
        <w:rPr>
          <w:rFonts w:ascii="Times New Roman" w:hAnsi="Times New Roman" w:eastAsia="宋体" w:cs="Times New Roman"/>
          <w:snapToGrid w:val="0"/>
          <w:color w:val="auto"/>
          <w:spacing w:val="0"/>
          <w:position w:val="0"/>
          <w:sz w:val="30"/>
          <w:szCs w:val="30"/>
          <w:highlight w:val="none"/>
        </w:rPr>
      </w:pPr>
      <w:r>
        <w:rPr>
          <w:rFonts w:hint="eastAsia" w:ascii="Times New Roman" w:hAnsi="Times New Roman" w:eastAsia="宋体" w:cs="Times New Roman"/>
          <w:b/>
          <w:bCs/>
          <w:snapToGrid w:val="0"/>
          <w:color w:val="auto"/>
          <w:spacing w:val="0"/>
          <w:position w:val="0"/>
          <w:sz w:val="32"/>
          <w:szCs w:val="32"/>
          <w:highlight w:val="none"/>
        </w:rPr>
        <w:t>四、主要环境影响和保护措施</w:t>
      </w:r>
      <w:bookmarkEnd w:id="42"/>
      <w:bookmarkEnd w:id="43"/>
    </w:p>
    <w:tbl>
      <w:tblPr>
        <w:tblStyle w:val="29"/>
        <w:tblW w:w="90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5"/>
        <w:gridCol w:w="8293"/>
      </w:tblGrid>
      <w:tr w14:paraId="7ECD17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05" w:type="dxa"/>
            <w:tcMar>
              <w:left w:w="28" w:type="dxa"/>
              <w:right w:w="28" w:type="dxa"/>
            </w:tcMar>
            <w:vAlign w:val="center"/>
          </w:tcPr>
          <w:p w14:paraId="62D2A1D4">
            <w:pPr>
              <w:pStyle w:val="24"/>
              <w:adjustRightInd w:val="0"/>
              <w:snapToGrid w:val="0"/>
              <w:spacing w:before="0" w:beforeAutospacing="0" w:after="0" w:afterAutospacing="0"/>
              <w:jc w:val="center"/>
              <w:rPr>
                <w:rFonts w:ascii="Times New Roman" w:hAnsi="Times New Roman" w:eastAsia="宋体" w:cs="Times New Roman"/>
                <w:bCs/>
                <w:color w:val="auto"/>
                <w:spacing w:val="0"/>
                <w:kern w:val="2"/>
                <w:position w:val="0"/>
                <w:sz w:val="24"/>
                <w:szCs w:val="24"/>
                <w:highlight w:val="none"/>
              </w:rPr>
            </w:pPr>
            <w:r>
              <w:rPr>
                <w:rFonts w:hint="eastAsia" w:ascii="Times New Roman" w:hAnsi="Times New Roman" w:eastAsia="宋体" w:cs="Times New Roman"/>
                <w:color w:val="auto"/>
                <w:spacing w:val="0"/>
                <w:kern w:val="2"/>
                <w:position w:val="0"/>
                <w:sz w:val="24"/>
                <w:szCs w:val="24"/>
                <w:highlight w:val="none"/>
              </w:rPr>
              <w:t>施工期环境保护措施</w:t>
            </w:r>
          </w:p>
        </w:tc>
        <w:tc>
          <w:tcPr>
            <w:tcW w:w="8293" w:type="dxa"/>
            <w:vAlign w:val="center"/>
          </w:tcPr>
          <w:p w14:paraId="3D503275">
            <w:pPr>
              <w:pStyle w:val="63"/>
              <w:ind w:left="0" w:leftChars="0" w:firstLine="0" w:firstLineChars="0"/>
              <w:jc w:val="both"/>
              <w:rPr>
                <w:rFonts w:ascii="Times New Roman" w:hAnsi="Times New Roman" w:eastAsia="宋体" w:cs="Times New Roman"/>
                <w:color w:val="auto"/>
                <w:spacing w:val="0"/>
                <w:position w:val="0"/>
                <w:highlight w:val="none"/>
              </w:rPr>
            </w:pPr>
            <w:r>
              <w:rPr>
                <w:rFonts w:hint="eastAsia" w:ascii="Times New Roman" w:hAnsi="Times New Roman" w:eastAsia="宋体" w:cs="Times New Roman"/>
                <w:color w:val="auto"/>
                <w:spacing w:val="0"/>
                <w:position w:val="0"/>
                <w:highlight w:val="none"/>
              </w:rPr>
              <w:t>本项目厂房为已建设完成的空置厂房，施工期仅对设备进行安装和调试后即可投入生产，主要的施工期污染物有废料和噪声等。施工期较短，采取一定隔声、消声、减振等防治措施，待项目施工期结束，施工对外界的影响也随之结束，对周围环境造成影响较小。</w:t>
            </w:r>
          </w:p>
        </w:tc>
      </w:tr>
      <w:tr w14:paraId="76920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805" w:type="dxa"/>
            <w:tcMar>
              <w:left w:w="28" w:type="dxa"/>
              <w:right w:w="28" w:type="dxa"/>
            </w:tcMar>
            <w:vAlign w:val="center"/>
          </w:tcPr>
          <w:p w14:paraId="234F6A9A">
            <w:pPr>
              <w:pStyle w:val="24"/>
              <w:adjustRightInd w:val="0"/>
              <w:snapToGrid w:val="0"/>
              <w:spacing w:before="0" w:beforeAutospacing="0" w:after="0" w:afterAutospacing="0"/>
              <w:jc w:val="center"/>
              <w:rPr>
                <w:rFonts w:ascii="Times New Roman" w:hAnsi="Times New Roman" w:eastAsia="宋体" w:cs="Times New Roman"/>
                <w:color w:val="auto"/>
                <w:spacing w:val="0"/>
                <w:kern w:val="2"/>
                <w:position w:val="0"/>
                <w:sz w:val="24"/>
                <w:szCs w:val="24"/>
                <w:highlight w:val="none"/>
              </w:rPr>
            </w:pPr>
            <w:r>
              <w:rPr>
                <w:rFonts w:hint="eastAsia" w:ascii="Times New Roman" w:hAnsi="Times New Roman" w:eastAsia="宋体" w:cs="Times New Roman"/>
                <w:bCs/>
                <w:color w:val="auto"/>
                <w:spacing w:val="0"/>
                <w:position w:val="0"/>
                <w:sz w:val="24"/>
                <w:szCs w:val="24"/>
                <w:highlight w:val="none"/>
              </w:rPr>
              <w:t>运营期环境影响和保护措施</w:t>
            </w:r>
          </w:p>
        </w:tc>
        <w:tc>
          <w:tcPr>
            <w:tcW w:w="8293" w:type="dxa"/>
          </w:tcPr>
          <w:p w14:paraId="37943303">
            <w:pPr>
              <w:autoSpaceDE w:val="0"/>
              <w:autoSpaceDN w:val="0"/>
              <w:adjustRightInd w:val="0"/>
              <w:snapToGrid w:val="0"/>
              <w:spacing w:before="120" w:beforeLines="50" w:line="360" w:lineRule="auto"/>
              <w:rPr>
                <w:rFonts w:hint="eastAsia" w:ascii="Times New Roman" w:hAnsi="Times New Roman" w:eastAsia="宋体" w:cs="Times New Roman"/>
                <w:b/>
                <w:bCs/>
                <w:color w:val="auto"/>
                <w:spacing w:val="0"/>
                <w:kern w:val="0"/>
                <w:position w:val="0"/>
                <w:sz w:val="24"/>
                <w:highlight w:val="none"/>
              </w:rPr>
            </w:pPr>
            <w:bookmarkStart w:id="44" w:name="_Toc5261"/>
            <w:bookmarkStart w:id="45" w:name="_Toc668"/>
            <w:r>
              <w:rPr>
                <w:rFonts w:hint="eastAsia" w:ascii="Times New Roman" w:hAnsi="Times New Roman" w:eastAsia="宋体" w:cs="Times New Roman"/>
                <w:b/>
                <w:bCs/>
                <w:color w:val="auto"/>
                <w:spacing w:val="0"/>
                <w:kern w:val="0"/>
                <w:position w:val="0"/>
                <w:sz w:val="24"/>
                <w:highlight w:val="none"/>
              </w:rPr>
              <w:t xml:space="preserve">4.1 </w:t>
            </w:r>
            <w:bookmarkEnd w:id="44"/>
            <w:bookmarkEnd w:id="45"/>
            <w:r>
              <w:rPr>
                <w:rFonts w:hint="eastAsia" w:ascii="Times New Roman" w:hAnsi="Times New Roman" w:eastAsia="宋体" w:cs="Times New Roman"/>
                <w:b/>
                <w:bCs/>
                <w:color w:val="auto"/>
                <w:spacing w:val="0"/>
                <w:kern w:val="0"/>
                <w:position w:val="0"/>
                <w:sz w:val="24"/>
                <w:highlight w:val="none"/>
                <w:lang w:bidi="ar"/>
              </w:rPr>
              <w:t>大气</w:t>
            </w:r>
            <w:r>
              <w:rPr>
                <w:rFonts w:hint="eastAsia" w:ascii="Times New Roman" w:hAnsi="Times New Roman" w:eastAsia="宋体" w:cs="Times New Roman"/>
                <w:b/>
                <w:bCs/>
                <w:color w:val="auto"/>
                <w:spacing w:val="0"/>
                <w:kern w:val="0"/>
                <w:position w:val="0"/>
                <w:sz w:val="24"/>
                <w:highlight w:val="none"/>
              </w:rPr>
              <w:t>环境影响分析及保护措施</w:t>
            </w:r>
          </w:p>
          <w:p w14:paraId="0166C55E">
            <w:pPr>
              <w:pStyle w:val="109"/>
              <w:adjustRightInd w:val="0"/>
              <w:snapToGrid w:val="0"/>
              <w:spacing w:line="360" w:lineRule="auto"/>
              <w:rPr>
                <w:rFonts w:hint="eastAsia" w:ascii="Times New Roman" w:hAnsi="Times New Roman" w:eastAsia="宋体" w:cs="Times New Roman"/>
                <w:b/>
                <w:bCs/>
                <w:color w:val="auto"/>
                <w:spacing w:val="0"/>
                <w:position w:val="0"/>
                <w:sz w:val="24"/>
                <w:szCs w:val="24"/>
                <w:highlight w:val="none"/>
              </w:rPr>
            </w:pPr>
            <w:r>
              <w:rPr>
                <w:rFonts w:ascii="Times New Roman" w:hAnsi="Times New Roman" w:eastAsia="宋体" w:cs="Times New Roman"/>
                <w:b/>
                <w:bCs/>
                <w:color w:val="auto"/>
                <w:spacing w:val="0"/>
                <w:position w:val="0"/>
                <w:sz w:val="24"/>
                <w:szCs w:val="24"/>
                <w:highlight w:val="none"/>
              </w:rPr>
              <w:t>4.</w:t>
            </w:r>
            <w:r>
              <w:rPr>
                <w:rFonts w:hint="eastAsia" w:ascii="Times New Roman" w:hAnsi="Times New Roman" w:eastAsia="宋体" w:cs="Times New Roman"/>
                <w:b/>
                <w:bCs/>
                <w:color w:val="auto"/>
                <w:spacing w:val="0"/>
                <w:position w:val="0"/>
                <w:sz w:val="24"/>
                <w:szCs w:val="24"/>
                <w:highlight w:val="none"/>
              </w:rPr>
              <w:t>1</w:t>
            </w:r>
            <w:r>
              <w:rPr>
                <w:rFonts w:ascii="Times New Roman" w:hAnsi="Times New Roman" w:eastAsia="宋体" w:cs="Times New Roman"/>
                <w:b/>
                <w:bCs/>
                <w:color w:val="auto"/>
                <w:spacing w:val="0"/>
                <w:position w:val="0"/>
                <w:sz w:val="24"/>
                <w:szCs w:val="24"/>
                <w:highlight w:val="none"/>
              </w:rPr>
              <w:t>.1废气污染</w:t>
            </w:r>
            <w:r>
              <w:rPr>
                <w:rFonts w:hint="eastAsia" w:ascii="Times New Roman" w:hAnsi="Times New Roman" w:eastAsia="宋体" w:cs="Times New Roman"/>
                <w:b/>
                <w:bCs/>
                <w:color w:val="auto"/>
                <w:spacing w:val="0"/>
                <w:position w:val="0"/>
                <w:sz w:val="24"/>
                <w:szCs w:val="24"/>
                <w:highlight w:val="none"/>
              </w:rPr>
              <w:t>物排放源汇总</w:t>
            </w:r>
          </w:p>
          <w:p w14:paraId="21A4C692">
            <w:pPr>
              <w:pStyle w:val="63"/>
              <w:ind w:firstLine="480"/>
              <w:rPr>
                <w:rFonts w:ascii="Times New Roman" w:hAnsi="Times New Roman" w:eastAsia="宋体" w:cs="Times New Roman"/>
                <w:color w:val="auto"/>
                <w:spacing w:val="0"/>
                <w:position w:val="0"/>
                <w:highlight w:val="none"/>
              </w:rPr>
            </w:pPr>
            <w:r>
              <w:rPr>
                <w:rFonts w:hint="eastAsia" w:ascii="Times New Roman" w:hAnsi="Times New Roman" w:eastAsia="宋体" w:cs="Times New Roman"/>
                <w:b w:val="0"/>
                <w:bCs w:val="0"/>
                <w:color w:val="auto"/>
                <w:spacing w:val="0"/>
                <w:position w:val="0"/>
                <w:highlight w:val="none"/>
              </w:rPr>
              <w:t>项目各</w:t>
            </w:r>
            <w:r>
              <w:rPr>
                <w:rFonts w:ascii="Times New Roman" w:hAnsi="Times New Roman" w:eastAsia="宋体" w:cs="Times New Roman"/>
                <w:b w:val="0"/>
                <w:bCs w:val="0"/>
                <w:color w:val="auto"/>
                <w:spacing w:val="0"/>
                <w:position w:val="0"/>
                <w:highlight w:val="none"/>
              </w:rPr>
              <w:t>废气</w:t>
            </w:r>
            <w:r>
              <w:rPr>
                <w:rFonts w:hint="eastAsia" w:ascii="Times New Roman" w:hAnsi="Times New Roman" w:eastAsia="宋体" w:cs="Times New Roman"/>
                <w:b w:val="0"/>
                <w:bCs w:val="0"/>
                <w:color w:val="auto"/>
                <w:spacing w:val="0"/>
                <w:position w:val="0"/>
                <w:highlight w:val="none"/>
              </w:rPr>
              <w:t>污染物</w:t>
            </w:r>
            <w:r>
              <w:rPr>
                <w:rFonts w:ascii="Times New Roman" w:hAnsi="Times New Roman" w:eastAsia="宋体" w:cs="Times New Roman"/>
                <w:b w:val="0"/>
                <w:bCs w:val="0"/>
                <w:color w:val="auto"/>
                <w:spacing w:val="0"/>
                <w:position w:val="0"/>
                <w:highlight w:val="none"/>
              </w:rPr>
              <w:t>产、排</w:t>
            </w:r>
            <w:r>
              <w:rPr>
                <w:rFonts w:hint="eastAsia" w:ascii="Times New Roman" w:hAnsi="Times New Roman" w:eastAsia="宋体" w:cs="Times New Roman"/>
                <w:b w:val="0"/>
                <w:bCs w:val="0"/>
                <w:color w:val="auto"/>
                <w:spacing w:val="0"/>
                <w:position w:val="0"/>
                <w:highlight w:val="none"/>
              </w:rPr>
              <w:t>情况</w:t>
            </w:r>
            <w:r>
              <w:rPr>
                <w:rFonts w:ascii="Times New Roman" w:hAnsi="Times New Roman" w:eastAsia="宋体" w:cs="Times New Roman"/>
                <w:b w:val="0"/>
                <w:bCs w:val="0"/>
                <w:color w:val="auto"/>
                <w:spacing w:val="0"/>
                <w:position w:val="0"/>
                <w:highlight w:val="none"/>
              </w:rPr>
              <w:t>汇总表</w:t>
            </w:r>
            <w:r>
              <w:rPr>
                <w:rFonts w:hint="eastAsia" w:ascii="Times New Roman" w:hAnsi="Times New Roman" w:eastAsia="宋体" w:cs="Times New Roman"/>
                <w:b w:val="0"/>
                <w:bCs w:val="0"/>
                <w:color w:val="auto"/>
                <w:spacing w:val="0"/>
                <w:kern w:val="2"/>
                <w:position w:val="0"/>
                <w:sz w:val="24"/>
                <w:szCs w:val="32"/>
                <w:highlight w:val="none"/>
                <w:lang w:val="en-US" w:eastAsia="zh-CN" w:bidi="ar-SA"/>
              </w:rPr>
              <w:t>详见表4.1</w:t>
            </w:r>
            <w:r>
              <w:rPr>
                <w:rFonts w:hint="eastAsia" w:cs="Times New Roman"/>
                <w:b w:val="0"/>
                <w:bCs w:val="0"/>
                <w:color w:val="auto"/>
                <w:spacing w:val="0"/>
                <w:kern w:val="2"/>
                <w:position w:val="0"/>
                <w:sz w:val="24"/>
                <w:szCs w:val="32"/>
                <w:highlight w:val="none"/>
                <w:lang w:val="en-US" w:eastAsia="zh-CN" w:bidi="ar-SA"/>
              </w:rPr>
              <w:t>.1</w:t>
            </w:r>
            <w:r>
              <w:rPr>
                <w:rFonts w:hint="eastAsia" w:ascii="Times New Roman" w:hAnsi="Times New Roman" w:eastAsia="宋体" w:cs="Times New Roman"/>
                <w:b w:val="0"/>
                <w:bCs w:val="0"/>
                <w:color w:val="auto"/>
                <w:spacing w:val="0"/>
                <w:kern w:val="2"/>
                <w:position w:val="0"/>
                <w:sz w:val="24"/>
                <w:szCs w:val="32"/>
                <w:highlight w:val="none"/>
                <w:lang w:val="en-US" w:eastAsia="zh-CN" w:bidi="ar-SA"/>
              </w:rPr>
              <w:t>-1</w:t>
            </w:r>
            <w:r>
              <w:rPr>
                <w:rFonts w:hint="eastAsia"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highlight w:val="none"/>
              </w:rPr>
              <w:t>废气污染物排放源信息汇总表（治理设施）</w:t>
            </w:r>
            <w:r>
              <w:rPr>
                <w:rFonts w:hint="eastAsia" w:ascii="Times New Roman" w:hAnsi="Times New Roman" w:eastAsia="宋体" w:cs="Times New Roman"/>
                <w:b w:val="0"/>
                <w:bCs w:val="0"/>
                <w:color w:val="auto"/>
                <w:spacing w:val="0"/>
                <w:kern w:val="2"/>
                <w:position w:val="0"/>
                <w:sz w:val="24"/>
                <w:szCs w:val="32"/>
                <w:highlight w:val="none"/>
                <w:lang w:val="en-US" w:eastAsia="zh-CN" w:bidi="ar-SA"/>
              </w:rPr>
              <w:t>详见表4.1</w:t>
            </w:r>
            <w:r>
              <w:rPr>
                <w:rFonts w:hint="eastAsia" w:cs="Times New Roman"/>
                <w:b w:val="0"/>
                <w:bCs w:val="0"/>
                <w:color w:val="auto"/>
                <w:spacing w:val="0"/>
                <w:kern w:val="2"/>
                <w:position w:val="0"/>
                <w:sz w:val="24"/>
                <w:szCs w:val="32"/>
                <w:highlight w:val="none"/>
                <w:lang w:val="en-US" w:eastAsia="zh-CN" w:bidi="ar-SA"/>
              </w:rPr>
              <w:t>.1</w:t>
            </w:r>
            <w:r>
              <w:rPr>
                <w:rFonts w:hint="eastAsia" w:ascii="Times New Roman" w:hAnsi="Times New Roman" w:eastAsia="宋体" w:cs="Times New Roman"/>
                <w:b w:val="0"/>
                <w:bCs w:val="0"/>
                <w:color w:val="auto"/>
                <w:spacing w:val="0"/>
                <w:kern w:val="2"/>
                <w:position w:val="0"/>
                <w:sz w:val="24"/>
                <w:szCs w:val="32"/>
                <w:highlight w:val="none"/>
                <w:lang w:val="en-US" w:eastAsia="zh-CN" w:bidi="ar-SA"/>
              </w:rPr>
              <w:t>-</w:t>
            </w:r>
            <w:r>
              <w:rPr>
                <w:rFonts w:hint="eastAsia" w:cs="Times New Roman"/>
                <w:b w:val="0"/>
                <w:bCs w:val="0"/>
                <w:color w:val="auto"/>
                <w:spacing w:val="0"/>
                <w:kern w:val="2"/>
                <w:position w:val="0"/>
                <w:sz w:val="24"/>
                <w:szCs w:val="32"/>
                <w:highlight w:val="none"/>
                <w:lang w:val="en-US" w:eastAsia="zh-CN" w:bidi="ar-SA"/>
              </w:rPr>
              <w:t>2</w:t>
            </w:r>
            <w:r>
              <w:rPr>
                <w:rFonts w:hint="eastAsia" w:ascii="Times New Roman" w:hAnsi="Times New Roman" w:eastAsia="宋体" w:cs="Times New Roman"/>
                <w:b w:val="0"/>
                <w:bCs w:val="0"/>
                <w:color w:val="auto"/>
                <w:spacing w:val="0"/>
                <w:kern w:val="2"/>
                <w:position w:val="0"/>
                <w:sz w:val="24"/>
                <w:szCs w:val="32"/>
                <w:highlight w:val="none"/>
                <w:lang w:val="en-US" w:eastAsia="zh-CN" w:bidi="ar-SA"/>
              </w:rPr>
              <w:t>；</w:t>
            </w:r>
            <w:r>
              <w:rPr>
                <w:rFonts w:hint="default" w:ascii="Times New Roman" w:hAnsi="Times New Roman" w:eastAsia="宋体" w:cs="Times New Roman"/>
                <w:b w:val="0"/>
                <w:bCs w:val="0"/>
                <w:color w:val="auto"/>
                <w:spacing w:val="0"/>
                <w:position w:val="0"/>
                <w:highlight w:val="none"/>
              </w:rPr>
              <w:t>废气污染物排放源信息汇总表（排放口信息及标准）</w:t>
            </w:r>
            <w:r>
              <w:rPr>
                <w:rFonts w:hint="eastAsia" w:ascii="Times New Roman" w:hAnsi="Times New Roman" w:eastAsia="宋体" w:cs="Times New Roman"/>
                <w:b w:val="0"/>
                <w:bCs w:val="0"/>
                <w:color w:val="auto"/>
                <w:spacing w:val="0"/>
                <w:kern w:val="2"/>
                <w:position w:val="0"/>
                <w:sz w:val="24"/>
                <w:szCs w:val="32"/>
                <w:highlight w:val="none"/>
                <w:lang w:val="en-US" w:eastAsia="zh-CN" w:bidi="ar-SA"/>
              </w:rPr>
              <w:t>详见表4.1</w:t>
            </w:r>
            <w:r>
              <w:rPr>
                <w:rFonts w:hint="eastAsia" w:cs="Times New Roman"/>
                <w:b w:val="0"/>
                <w:bCs w:val="0"/>
                <w:color w:val="auto"/>
                <w:spacing w:val="0"/>
                <w:kern w:val="2"/>
                <w:position w:val="0"/>
                <w:sz w:val="24"/>
                <w:szCs w:val="32"/>
                <w:highlight w:val="none"/>
                <w:lang w:val="en-US" w:eastAsia="zh-CN" w:bidi="ar-SA"/>
              </w:rPr>
              <w:t>.1</w:t>
            </w:r>
            <w:r>
              <w:rPr>
                <w:rFonts w:hint="eastAsia" w:ascii="Times New Roman" w:hAnsi="Times New Roman" w:eastAsia="宋体" w:cs="Times New Roman"/>
                <w:b w:val="0"/>
                <w:bCs w:val="0"/>
                <w:color w:val="auto"/>
                <w:spacing w:val="0"/>
                <w:kern w:val="2"/>
                <w:position w:val="0"/>
                <w:sz w:val="24"/>
                <w:szCs w:val="32"/>
                <w:highlight w:val="none"/>
                <w:lang w:val="en-US" w:eastAsia="zh-CN" w:bidi="ar-SA"/>
              </w:rPr>
              <w:t>-</w:t>
            </w:r>
            <w:r>
              <w:rPr>
                <w:rFonts w:hint="eastAsia" w:cs="Times New Roman"/>
                <w:b w:val="0"/>
                <w:bCs w:val="0"/>
                <w:color w:val="auto"/>
                <w:spacing w:val="0"/>
                <w:kern w:val="2"/>
                <w:position w:val="0"/>
                <w:sz w:val="24"/>
                <w:szCs w:val="32"/>
                <w:highlight w:val="none"/>
                <w:lang w:val="en-US" w:eastAsia="zh-CN" w:bidi="ar-SA"/>
              </w:rPr>
              <w:t>3</w:t>
            </w:r>
            <w:r>
              <w:rPr>
                <w:rFonts w:hint="eastAsia" w:ascii="Times New Roman" w:hAnsi="Times New Roman" w:eastAsia="宋体" w:cs="Times New Roman"/>
                <w:color w:val="auto"/>
                <w:spacing w:val="0"/>
                <w:position w:val="0"/>
                <w:highlight w:val="none"/>
              </w:rPr>
              <w:t>。</w:t>
            </w:r>
          </w:p>
          <w:p w14:paraId="43D33838">
            <w:pPr>
              <w:pStyle w:val="69"/>
              <w:rPr>
                <w:rFonts w:hint="default" w:ascii="Times New Roman" w:hAnsi="Times New Roman" w:eastAsia="宋体" w:cs="Times New Roman"/>
                <w:color w:val="auto"/>
                <w:spacing w:val="0"/>
                <w:position w:val="0"/>
                <w:highlight w:val="none"/>
              </w:rPr>
            </w:pPr>
            <w:r>
              <w:rPr>
                <w:rFonts w:hint="default" w:ascii="Times New Roman" w:hAnsi="Times New Roman" w:eastAsia="宋体" w:cs="Times New Roman"/>
                <w:b/>
                <w:bCs w:val="0"/>
                <w:color w:val="auto"/>
                <w:spacing w:val="0"/>
                <w:position w:val="0"/>
                <w:sz w:val="24"/>
                <w:szCs w:val="24"/>
                <w:highlight w:val="none"/>
              </w:rPr>
              <w:t>表4</w:t>
            </w:r>
            <w:r>
              <w:rPr>
                <w:rFonts w:hint="eastAsia" w:ascii="Times New Roman" w:hAnsi="Times New Roman" w:eastAsia="宋体" w:cs="Times New Roman"/>
                <w:b/>
                <w:bCs w:val="0"/>
                <w:color w:val="auto"/>
                <w:spacing w:val="0"/>
                <w:position w:val="0"/>
                <w:sz w:val="24"/>
                <w:szCs w:val="24"/>
                <w:highlight w:val="none"/>
                <w:lang w:val="en-US" w:eastAsia="zh-CN"/>
              </w:rPr>
              <w:t>.1</w:t>
            </w:r>
            <w:r>
              <w:rPr>
                <w:rFonts w:hint="eastAsia" w:cs="Times New Roman"/>
                <w:b/>
                <w:bCs w:val="0"/>
                <w:color w:val="auto"/>
                <w:spacing w:val="0"/>
                <w:position w:val="0"/>
                <w:sz w:val="24"/>
                <w:szCs w:val="24"/>
                <w:highlight w:val="none"/>
                <w:lang w:val="en-US" w:eastAsia="zh-CN"/>
              </w:rPr>
              <w:t>.1</w:t>
            </w:r>
            <w:r>
              <w:rPr>
                <w:rFonts w:hint="default" w:ascii="Times New Roman" w:hAnsi="Times New Roman" w:eastAsia="宋体" w:cs="Times New Roman"/>
                <w:b/>
                <w:bCs w:val="0"/>
                <w:color w:val="auto"/>
                <w:spacing w:val="0"/>
                <w:position w:val="0"/>
                <w:sz w:val="24"/>
                <w:szCs w:val="24"/>
                <w:highlight w:val="none"/>
              </w:rPr>
              <w:t xml:space="preserve">-1 </w:t>
            </w:r>
            <w:r>
              <w:rPr>
                <w:rFonts w:hint="eastAsia" w:ascii="Times New Roman" w:hAnsi="Times New Roman" w:eastAsia="宋体" w:cs="Times New Roman"/>
                <w:b/>
                <w:bCs/>
                <w:color w:val="auto"/>
                <w:spacing w:val="0"/>
                <w:position w:val="0"/>
                <w:highlight w:val="none"/>
              </w:rPr>
              <w:t>项目各</w:t>
            </w:r>
            <w:r>
              <w:rPr>
                <w:rFonts w:ascii="Times New Roman" w:hAnsi="Times New Roman" w:eastAsia="宋体" w:cs="Times New Roman"/>
                <w:b/>
                <w:bCs/>
                <w:color w:val="auto"/>
                <w:spacing w:val="0"/>
                <w:position w:val="0"/>
                <w:highlight w:val="none"/>
              </w:rPr>
              <w:t>废气</w:t>
            </w:r>
            <w:r>
              <w:rPr>
                <w:rFonts w:hint="eastAsia" w:ascii="Times New Roman" w:hAnsi="Times New Roman" w:eastAsia="宋体" w:cs="Times New Roman"/>
                <w:b/>
                <w:bCs/>
                <w:color w:val="auto"/>
                <w:spacing w:val="0"/>
                <w:position w:val="0"/>
                <w:highlight w:val="none"/>
              </w:rPr>
              <w:t>污染物</w:t>
            </w:r>
            <w:r>
              <w:rPr>
                <w:rFonts w:ascii="Times New Roman" w:hAnsi="Times New Roman" w:eastAsia="宋体" w:cs="Times New Roman"/>
                <w:b/>
                <w:bCs/>
                <w:color w:val="auto"/>
                <w:spacing w:val="0"/>
                <w:position w:val="0"/>
                <w:highlight w:val="none"/>
              </w:rPr>
              <w:t>产、排</w:t>
            </w:r>
            <w:r>
              <w:rPr>
                <w:rFonts w:hint="eastAsia" w:ascii="Times New Roman" w:hAnsi="Times New Roman" w:eastAsia="宋体" w:cs="Times New Roman"/>
                <w:b/>
                <w:bCs/>
                <w:color w:val="auto"/>
                <w:spacing w:val="0"/>
                <w:position w:val="0"/>
                <w:highlight w:val="none"/>
              </w:rPr>
              <w:t>情况</w:t>
            </w:r>
            <w:r>
              <w:rPr>
                <w:rFonts w:ascii="Times New Roman" w:hAnsi="Times New Roman" w:eastAsia="宋体" w:cs="Times New Roman"/>
                <w:b/>
                <w:bCs/>
                <w:color w:val="auto"/>
                <w:spacing w:val="0"/>
                <w:position w:val="0"/>
                <w:highlight w:val="none"/>
              </w:rPr>
              <w:t>汇总表</w:t>
            </w:r>
          </w:p>
          <w:tbl>
            <w:tblPr>
              <w:tblStyle w:val="30"/>
              <w:tblW w:w="80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53"/>
              <w:gridCol w:w="637"/>
              <w:gridCol w:w="663"/>
              <w:gridCol w:w="625"/>
              <w:gridCol w:w="662"/>
              <w:gridCol w:w="713"/>
              <w:gridCol w:w="625"/>
              <w:gridCol w:w="579"/>
              <w:gridCol w:w="600"/>
              <w:gridCol w:w="683"/>
              <w:gridCol w:w="525"/>
              <w:gridCol w:w="506"/>
              <w:gridCol w:w="506"/>
            </w:tblGrid>
            <w:tr w14:paraId="22CA4B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31" w:hRule="atLeast"/>
                <w:jc w:val="center"/>
              </w:trPr>
              <w:tc>
                <w:tcPr>
                  <w:tcW w:w="753" w:type="dxa"/>
                  <w:vMerge w:val="restart"/>
                  <w:tcBorders>
                    <w:tl2br w:val="nil"/>
                    <w:tr2bl w:val="nil"/>
                  </w:tcBorders>
                  <w:shd w:val="clear" w:color="auto" w:fill="auto"/>
                  <w:vAlign w:val="center"/>
                </w:tcPr>
                <w:p w14:paraId="42280409">
                  <w:pPr>
                    <w:adjustRightInd w:val="0"/>
                    <w:snapToGrid w:val="0"/>
                    <w:jc w:val="center"/>
                    <w:rPr>
                      <w:rFonts w:hint="eastAsia" w:ascii="Times New Roman" w:hAnsi="Times New Roman" w:eastAsia="宋体" w:cs="Times New Roman"/>
                      <w:b/>
                      <w:bCs/>
                      <w:color w:val="auto"/>
                      <w:spacing w:val="0"/>
                      <w:position w:val="0"/>
                      <w:sz w:val="18"/>
                      <w:szCs w:val="18"/>
                      <w:highlight w:val="none"/>
                    </w:rPr>
                  </w:pPr>
                  <w:bookmarkStart w:id="46" w:name="_Hlk66700955"/>
                  <w:r>
                    <w:rPr>
                      <w:rFonts w:hint="eastAsia" w:ascii="Times New Roman" w:hAnsi="Times New Roman" w:eastAsia="宋体" w:cs="Times New Roman"/>
                      <w:b/>
                      <w:bCs/>
                      <w:color w:val="auto"/>
                      <w:spacing w:val="0"/>
                      <w:position w:val="0"/>
                      <w:sz w:val="18"/>
                      <w:szCs w:val="18"/>
                      <w:highlight w:val="none"/>
                    </w:rPr>
                    <w:t>产排污</w:t>
                  </w:r>
                </w:p>
                <w:p w14:paraId="0DE372F4">
                  <w:pPr>
                    <w:adjustRightInd w:val="0"/>
                    <w:snapToGrid w:val="0"/>
                    <w:jc w:val="center"/>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环节</w:t>
                  </w:r>
                </w:p>
              </w:tc>
              <w:tc>
                <w:tcPr>
                  <w:tcW w:w="637" w:type="dxa"/>
                  <w:vMerge w:val="restart"/>
                  <w:tcBorders>
                    <w:tl2br w:val="nil"/>
                    <w:tr2bl w:val="nil"/>
                  </w:tcBorders>
                  <w:shd w:val="clear" w:color="auto" w:fill="auto"/>
                  <w:vAlign w:val="center"/>
                </w:tcPr>
                <w:p w14:paraId="14A586F6">
                  <w:pPr>
                    <w:adjustRightInd w:val="0"/>
                    <w:snapToGrid w:val="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污染物</w:t>
                  </w:r>
                </w:p>
                <w:p w14:paraId="5F8585E8">
                  <w:pPr>
                    <w:adjustRightInd w:val="0"/>
                    <w:snapToGrid w:val="0"/>
                    <w:jc w:val="center"/>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种类</w:t>
                  </w:r>
                </w:p>
              </w:tc>
              <w:tc>
                <w:tcPr>
                  <w:tcW w:w="663" w:type="dxa"/>
                  <w:vMerge w:val="restart"/>
                  <w:tcBorders>
                    <w:tl2br w:val="nil"/>
                    <w:tr2bl w:val="nil"/>
                  </w:tcBorders>
                  <w:shd w:val="clear" w:color="auto" w:fill="auto"/>
                  <w:vAlign w:val="center"/>
                </w:tcPr>
                <w:p w14:paraId="2C4AB251">
                  <w:pPr>
                    <w:adjustRightInd w:val="0"/>
                    <w:snapToGrid w:val="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排放</w:t>
                  </w:r>
                </w:p>
                <w:p w14:paraId="6D1FB2E4">
                  <w:pPr>
                    <w:adjustRightInd w:val="0"/>
                    <w:snapToGrid w:val="0"/>
                    <w:jc w:val="center"/>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形式</w:t>
                  </w:r>
                </w:p>
              </w:tc>
              <w:tc>
                <w:tcPr>
                  <w:tcW w:w="625" w:type="dxa"/>
                  <w:vMerge w:val="restart"/>
                  <w:tcBorders>
                    <w:tl2br w:val="nil"/>
                    <w:tr2bl w:val="nil"/>
                  </w:tcBorders>
                  <w:shd w:val="clear" w:color="auto" w:fill="auto"/>
                  <w:vAlign w:val="center"/>
                </w:tcPr>
                <w:p w14:paraId="7762AD36">
                  <w:pPr>
                    <w:adjustRightInd w:val="0"/>
                    <w:snapToGrid w:val="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产生量</w:t>
                  </w:r>
                </w:p>
                <w:p w14:paraId="18810765">
                  <w:pPr>
                    <w:adjustRightInd w:val="0"/>
                    <w:snapToGrid w:val="0"/>
                    <w:jc w:val="center"/>
                    <w:rPr>
                      <w:rFonts w:hint="eastAsia" w:ascii="Times New Roman" w:hAnsi="Times New Roman" w:eastAsia="宋体" w:cs="Times New Roman"/>
                      <w:b/>
                      <w:bCs/>
                      <w:color w:val="auto"/>
                      <w:spacing w:val="0"/>
                      <w:position w:val="0"/>
                      <w:sz w:val="18"/>
                      <w:szCs w:val="18"/>
                      <w:highlight w:val="none"/>
                      <w:lang w:eastAsia="zh-CN"/>
                    </w:rPr>
                  </w:pPr>
                  <w:r>
                    <w:rPr>
                      <w:rFonts w:hint="eastAsia" w:cs="Times New Roman"/>
                      <w:b/>
                      <w:bCs/>
                      <w:color w:val="auto"/>
                      <w:spacing w:val="0"/>
                      <w:position w:val="0"/>
                      <w:sz w:val="18"/>
                      <w:szCs w:val="18"/>
                      <w:highlight w:val="none"/>
                      <w:lang w:val="en-US" w:eastAsia="zh-CN"/>
                    </w:rPr>
                    <w:t>(</w:t>
                  </w:r>
                  <w:r>
                    <w:rPr>
                      <w:rFonts w:ascii="Times New Roman" w:hAnsi="Times New Roman" w:eastAsia="宋体" w:cs="Times New Roman"/>
                      <w:b/>
                      <w:bCs/>
                      <w:color w:val="auto"/>
                      <w:spacing w:val="0"/>
                      <w:position w:val="0"/>
                      <w:sz w:val="18"/>
                      <w:szCs w:val="18"/>
                      <w:highlight w:val="none"/>
                    </w:rPr>
                    <w:t>t/a</w:t>
                  </w:r>
                  <w:r>
                    <w:rPr>
                      <w:rFonts w:hint="eastAsia" w:cs="Times New Roman"/>
                      <w:b/>
                      <w:bCs/>
                      <w:color w:val="auto"/>
                      <w:spacing w:val="0"/>
                      <w:position w:val="0"/>
                      <w:sz w:val="18"/>
                      <w:szCs w:val="18"/>
                      <w:highlight w:val="none"/>
                      <w:lang w:val="en-US" w:eastAsia="zh-CN"/>
                    </w:rPr>
                    <w:t>)</w:t>
                  </w:r>
                </w:p>
              </w:tc>
              <w:tc>
                <w:tcPr>
                  <w:tcW w:w="662" w:type="dxa"/>
                  <w:vMerge w:val="restart"/>
                  <w:tcBorders>
                    <w:tl2br w:val="nil"/>
                    <w:tr2bl w:val="nil"/>
                  </w:tcBorders>
                  <w:shd w:val="clear" w:color="auto" w:fill="auto"/>
                  <w:vAlign w:val="center"/>
                </w:tcPr>
                <w:p w14:paraId="0104C874">
                  <w:pPr>
                    <w:adjustRightInd w:val="0"/>
                    <w:snapToGrid w:val="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产生</w:t>
                  </w:r>
                </w:p>
                <w:p w14:paraId="38CB4668">
                  <w:pPr>
                    <w:adjustRightInd w:val="0"/>
                    <w:snapToGrid w:val="0"/>
                    <w:jc w:val="center"/>
                    <w:rPr>
                      <w:rFonts w:hint="eastAsia" w:ascii="Times New Roman" w:hAnsi="Times New Roman" w:eastAsia="宋体" w:cs="Times New Roman"/>
                      <w:b/>
                      <w:bCs/>
                      <w:color w:val="auto"/>
                      <w:spacing w:val="0"/>
                      <w:position w:val="0"/>
                      <w:sz w:val="18"/>
                      <w:szCs w:val="18"/>
                      <w:highlight w:val="none"/>
                      <w:lang w:eastAsia="zh-CN"/>
                    </w:rPr>
                  </w:pPr>
                  <w:r>
                    <w:rPr>
                      <w:rFonts w:hint="eastAsia" w:ascii="Times New Roman" w:hAnsi="Times New Roman" w:eastAsia="宋体" w:cs="Times New Roman"/>
                      <w:b/>
                      <w:bCs/>
                      <w:color w:val="auto"/>
                      <w:spacing w:val="0"/>
                      <w:position w:val="0"/>
                      <w:sz w:val="18"/>
                      <w:szCs w:val="18"/>
                      <w:highlight w:val="none"/>
                      <w:lang w:eastAsia="zh-CN"/>
                    </w:rPr>
                    <w:t>速率</w:t>
                  </w:r>
                  <w:r>
                    <w:rPr>
                      <w:rFonts w:hint="eastAsia" w:cs="Times New Roman"/>
                      <w:b/>
                      <w:bCs/>
                      <w:color w:val="auto"/>
                      <w:spacing w:val="0"/>
                      <w:position w:val="0"/>
                      <w:sz w:val="18"/>
                      <w:szCs w:val="18"/>
                      <w:highlight w:val="none"/>
                      <w:lang w:val="en-US" w:eastAsia="zh-CN"/>
                    </w:rPr>
                    <w:t>(</w:t>
                  </w:r>
                  <w:r>
                    <w:rPr>
                      <w:rFonts w:ascii="Times New Roman" w:hAnsi="Times New Roman" w:eastAsia="宋体" w:cs="Times New Roman"/>
                      <w:b/>
                      <w:bCs/>
                      <w:color w:val="auto"/>
                      <w:spacing w:val="0"/>
                      <w:position w:val="0"/>
                      <w:sz w:val="18"/>
                      <w:szCs w:val="18"/>
                      <w:highlight w:val="none"/>
                    </w:rPr>
                    <w:t>kg/h</w:t>
                  </w:r>
                  <w:r>
                    <w:rPr>
                      <w:rFonts w:hint="eastAsia" w:cs="Times New Roman"/>
                      <w:b/>
                      <w:bCs/>
                      <w:color w:val="auto"/>
                      <w:spacing w:val="0"/>
                      <w:position w:val="0"/>
                      <w:sz w:val="18"/>
                      <w:szCs w:val="18"/>
                      <w:highlight w:val="none"/>
                      <w:lang w:val="en-US" w:eastAsia="zh-CN"/>
                    </w:rPr>
                    <w:t>)</w:t>
                  </w:r>
                </w:p>
              </w:tc>
              <w:tc>
                <w:tcPr>
                  <w:tcW w:w="713" w:type="dxa"/>
                  <w:vMerge w:val="restart"/>
                  <w:tcBorders>
                    <w:tl2br w:val="nil"/>
                    <w:tr2bl w:val="nil"/>
                  </w:tcBorders>
                  <w:shd w:val="clear" w:color="auto" w:fill="auto"/>
                  <w:vAlign w:val="center"/>
                </w:tcPr>
                <w:p w14:paraId="0E85B4E5">
                  <w:pPr>
                    <w:adjustRightInd w:val="0"/>
                    <w:snapToGrid w:val="0"/>
                    <w:jc w:val="center"/>
                    <w:rPr>
                      <w:rFonts w:hint="eastAsia" w:ascii="Times New Roman" w:hAnsi="Times New Roman" w:eastAsia="宋体" w:cs="Times New Roman"/>
                      <w:b/>
                      <w:bCs/>
                      <w:color w:val="auto"/>
                      <w:spacing w:val="0"/>
                      <w:position w:val="0"/>
                      <w:sz w:val="18"/>
                      <w:szCs w:val="18"/>
                      <w:highlight w:val="none"/>
                      <w:lang w:val="en-US" w:eastAsia="zh-CN"/>
                    </w:rPr>
                  </w:pPr>
                  <w:r>
                    <w:rPr>
                      <w:rFonts w:hint="eastAsia" w:ascii="Times New Roman" w:hAnsi="Times New Roman" w:eastAsia="宋体" w:cs="Times New Roman"/>
                      <w:b/>
                      <w:bCs/>
                      <w:color w:val="auto"/>
                      <w:spacing w:val="0"/>
                      <w:position w:val="0"/>
                      <w:sz w:val="18"/>
                      <w:szCs w:val="18"/>
                      <w:highlight w:val="none"/>
                      <w:lang w:val="en-US" w:eastAsia="zh-CN"/>
                    </w:rPr>
                    <w:t>产生</w:t>
                  </w:r>
                </w:p>
                <w:p w14:paraId="7E7D50F0">
                  <w:pPr>
                    <w:adjustRightInd w:val="0"/>
                    <w:snapToGrid w:val="0"/>
                    <w:jc w:val="center"/>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浓度</w:t>
                  </w:r>
                </w:p>
                <w:p w14:paraId="66DBF1D5">
                  <w:pPr>
                    <w:adjustRightInd w:val="0"/>
                    <w:snapToGrid w:val="0"/>
                    <w:jc w:val="center"/>
                    <w:rPr>
                      <w:rFonts w:hint="eastAsia" w:ascii="Times New Roman" w:hAnsi="Times New Roman" w:eastAsia="宋体" w:cs="Times New Roman"/>
                      <w:b/>
                      <w:bCs/>
                      <w:color w:val="auto"/>
                      <w:spacing w:val="0"/>
                      <w:position w:val="0"/>
                      <w:sz w:val="18"/>
                      <w:szCs w:val="18"/>
                      <w:highlight w:val="none"/>
                      <w:lang w:eastAsia="zh-CN"/>
                    </w:rPr>
                  </w:pPr>
                  <w:r>
                    <w:rPr>
                      <w:rFonts w:hint="eastAsia" w:cs="Times New Roman"/>
                      <w:b/>
                      <w:bCs/>
                      <w:color w:val="auto"/>
                      <w:spacing w:val="0"/>
                      <w:position w:val="0"/>
                      <w:sz w:val="18"/>
                      <w:szCs w:val="18"/>
                      <w:highlight w:val="none"/>
                      <w:lang w:val="en-US" w:eastAsia="zh-CN"/>
                    </w:rPr>
                    <w:t>(</w:t>
                  </w:r>
                  <w:r>
                    <w:rPr>
                      <w:rFonts w:ascii="Times New Roman" w:hAnsi="Times New Roman" w:eastAsia="宋体" w:cs="Times New Roman"/>
                      <w:b/>
                      <w:bCs/>
                      <w:color w:val="auto"/>
                      <w:spacing w:val="0"/>
                      <w:position w:val="0"/>
                      <w:sz w:val="18"/>
                      <w:szCs w:val="18"/>
                      <w:highlight w:val="none"/>
                    </w:rPr>
                    <w:t>mg/m</w:t>
                  </w:r>
                  <w:r>
                    <w:rPr>
                      <w:rFonts w:ascii="Times New Roman" w:hAnsi="Times New Roman" w:eastAsia="宋体" w:cs="Times New Roman"/>
                      <w:b/>
                      <w:bCs/>
                      <w:color w:val="auto"/>
                      <w:spacing w:val="0"/>
                      <w:position w:val="0"/>
                      <w:sz w:val="18"/>
                      <w:szCs w:val="18"/>
                      <w:highlight w:val="none"/>
                      <w:vertAlign w:val="superscript"/>
                    </w:rPr>
                    <w:t>3</w:t>
                  </w:r>
                  <w:r>
                    <w:rPr>
                      <w:rFonts w:hint="eastAsia" w:cs="Times New Roman"/>
                      <w:b/>
                      <w:bCs/>
                      <w:color w:val="auto"/>
                      <w:spacing w:val="0"/>
                      <w:position w:val="0"/>
                      <w:sz w:val="18"/>
                      <w:szCs w:val="18"/>
                      <w:highlight w:val="none"/>
                      <w:lang w:val="en-US" w:eastAsia="zh-CN"/>
                    </w:rPr>
                    <w:t>)</w:t>
                  </w:r>
                </w:p>
              </w:tc>
              <w:tc>
                <w:tcPr>
                  <w:tcW w:w="625" w:type="dxa"/>
                  <w:vMerge w:val="restart"/>
                  <w:tcBorders>
                    <w:tl2br w:val="nil"/>
                    <w:tr2bl w:val="nil"/>
                  </w:tcBorders>
                  <w:shd w:val="clear" w:color="auto" w:fill="auto"/>
                  <w:vAlign w:val="center"/>
                </w:tcPr>
                <w:p w14:paraId="3C079D7F">
                  <w:pPr>
                    <w:adjustRightInd w:val="0"/>
                    <w:snapToGrid w:val="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lang w:val="en-US" w:eastAsia="zh-CN"/>
                    </w:rPr>
                    <w:t>削减量</w:t>
                  </w:r>
                  <w:r>
                    <w:rPr>
                      <w:rFonts w:hint="default" w:ascii="Times New Roman" w:hAnsi="Times New Roman" w:eastAsia="宋体" w:cs="Times New Roman"/>
                      <w:b/>
                      <w:bCs/>
                      <w:color w:val="auto"/>
                      <w:spacing w:val="0"/>
                      <w:position w:val="0"/>
                      <w:sz w:val="18"/>
                      <w:szCs w:val="18"/>
                      <w:highlight w:val="none"/>
                    </w:rPr>
                    <w:t>t/a</w:t>
                  </w:r>
                </w:p>
              </w:tc>
              <w:tc>
                <w:tcPr>
                  <w:tcW w:w="579" w:type="dxa"/>
                  <w:vMerge w:val="restart"/>
                  <w:tcBorders>
                    <w:tl2br w:val="nil"/>
                    <w:tr2bl w:val="nil"/>
                  </w:tcBorders>
                  <w:shd w:val="clear" w:color="auto" w:fill="auto"/>
                  <w:vAlign w:val="center"/>
                </w:tcPr>
                <w:p w14:paraId="05747848">
                  <w:pPr>
                    <w:adjustRightInd w:val="0"/>
                    <w:snapToGrid w:val="0"/>
                    <w:jc w:val="center"/>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排放量</w:t>
                  </w:r>
                </w:p>
                <w:p w14:paraId="30F4BB66">
                  <w:pPr>
                    <w:adjustRightInd w:val="0"/>
                    <w:snapToGrid w:val="0"/>
                    <w:jc w:val="center"/>
                    <w:rPr>
                      <w:rFonts w:hint="eastAsia" w:ascii="Times New Roman" w:hAnsi="Times New Roman" w:eastAsia="宋体" w:cs="Times New Roman"/>
                      <w:b/>
                      <w:bCs/>
                      <w:color w:val="auto"/>
                      <w:spacing w:val="0"/>
                      <w:position w:val="0"/>
                      <w:sz w:val="18"/>
                      <w:szCs w:val="18"/>
                      <w:highlight w:val="none"/>
                      <w:lang w:eastAsia="zh-CN"/>
                    </w:rPr>
                  </w:pPr>
                  <w:r>
                    <w:rPr>
                      <w:rFonts w:hint="eastAsia" w:cs="Times New Roman"/>
                      <w:b/>
                      <w:bCs/>
                      <w:color w:val="auto"/>
                      <w:spacing w:val="0"/>
                      <w:position w:val="0"/>
                      <w:sz w:val="18"/>
                      <w:szCs w:val="18"/>
                      <w:highlight w:val="none"/>
                      <w:lang w:val="en-US" w:eastAsia="zh-CN"/>
                    </w:rPr>
                    <w:t>(</w:t>
                  </w:r>
                  <w:r>
                    <w:rPr>
                      <w:rFonts w:ascii="Times New Roman" w:hAnsi="Times New Roman" w:eastAsia="宋体" w:cs="Times New Roman"/>
                      <w:b/>
                      <w:bCs/>
                      <w:color w:val="auto"/>
                      <w:spacing w:val="0"/>
                      <w:position w:val="0"/>
                      <w:sz w:val="18"/>
                      <w:szCs w:val="18"/>
                      <w:highlight w:val="none"/>
                    </w:rPr>
                    <w:t>t/a</w:t>
                  </w:r>
                  <w:r>
                    <w:rPr>
                      <w:rFonts w:hint="eastAsia" w:cs="Times New Roman"/>
                      <w:b/>
                      <w:bCs/>
                      <w:color w:val="auto"/>
                      <w:spacing w:val="0"/>
                      <w:position w:val="0"/>
                      <w:sz w:val="18"/>
                      <w:szCs w:val="18"/>
                      <w:highlight w:val="none"/>
                      <w:lang w:val="en-US" w:eastAsia="zh-CN"/>
                    </w:rPr>
                    <w:t>)</w:t>
                  </w:r>
                </w:p>
              </w:tc>
              <w:tc>
                <w:tcPr>
                  <w:tcW w:w="600" w:type="dxa"/>
                  <w:vMerge w:val="restart"/>
                  <w:tcBorders>
                    <w:tl2br w:val="nil"/>
                    <w:tr2bl w:val="nil"/>
                  </w:tcBorders>
                  <w:shd w:val="clear" w:color="auto" w:fill="auto"/>
                  <w:vAlign w:val="center"/>
                </w:tcPr>
                <w:p w14:paraId="178971A2">
                  <w:pPr>
                    <w:adjustRightInd w:val="0"/>
                    <w:snapToGrid w:val="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排放</w:t>
                  </w:r>
                </w:p>
                <w:p w14:paraId="30308EAF">
                  <w:pPr>
                    <w:adjustRightInd w:val="0"/>
                    <w:snapToGrid w:val="0"/>
                    <w:jc w:val="center"/>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速率</w:t>
                  </w:r>
                </w:p>
                <w:p w14:paraId="3E44DB33">
                  <w:pPr>
                    <w:adjustRightInd w:val="0"/>
                    <w:snapToGrid w:val="0"/>
                    <w:jc w:val="center"/>
                    <w:rPr>
                      <w:rFonts w:hint="eastAsia" w:ascii="Times New Roman" w:hAnsi="Times New Roman" w:eastAsia="宋体" w:cs="Times New Roman"/>
                      <w:b/>
                      <w:bCs/>
                      <w:color w:val="auto"/>
                      <w:spacing w:val="0"/>
                      <w:position w:val="0"/>
                      <w:sz w:val="18"/>
                      <w:szCs w:val="18"/>
                      <w:highlight w:val="none"/>
                      <w:lang w:eastAsia="zh-CN"/>
                    </w:rPr>
                  </w:pPr>
                  <w:r>
                    <w:rPr>
                      <w:rFonts w:hint="eastAsia" w:cs="Times New Roman"/>
                      <w:b/>
                      <w:bCs/>
                      <w:color w:val="auto"/>
                      <w:spacing w:val="0"/>
                      <w:position w:val="0"/>
                      <w:sz w:val="18"/>
                      <w:szCs w:val="18"/>
                      <w:highlight w:val="none"/>
                      <w:lang w:val="en-US" w:eastAsia="zh-CN"/>
                    </w:rPr>
                    <w:t>(</w:t>
                  </w:r>
                  <w:r>
                    <w:rPr>
                      <w:rFonts w:ascii="Times New Roman" w:hAnsi="Times New Roman" w:eastAsia="宋体" w:cs="Times New Roman"/>
                      <w:b/>
                      <w:bCs/>
                      <w:color w:val="auto"/>
                      <w:spacing w:val="0"/>
                      <w:position w:val="0"/>
                      <w:sz w:val="18"/>
                      <w:szCs w:val="18"/>
                      <w:highlight w:val="none"/>
                    </w:rPr>
                    <w:t>kg/h</w:t>
                  </w:r>
                  <w:r>
                    <w:rPr>
                      <w:rFonts w:hint="eastAsia" w:cs="Times New Roman"/>
                      <w:b/>
                      <w:bCs/>
                      <w:color w:val="auto"/>
                      <w:spacing w:val="0"/>
                      <w:position w:val="0"/>
                      <w:sz w:val="18"/>
                      <w:szCs w:val="18"/>
                      <w:highlight w:val="none"/>
                      <w:lang w:val="en-US" w:eastAsia="zh-CN"/>
                    </w:rPr>
                    <w:t>)</w:t>
                  </w:r>
                </w:p>
              </w:tc>
              <w:tc>
                <w:tcPr>
                  <w:tcW w:w="683" w:type="dxa"/>
                  <w:vMerge w:val="restart"/>
                  <w:tcBorders>
                    <w:tl2br w:val="nil"/>
                    <w:tr2bl w:val="nil"/>
                  </w:tcBorders>
                  <w:shd w:val="clear" w:color="auto" w:fill="auto"/>
                  <w:vAlign w:val="center"/>
                </w:tcPr>
                <w:p w14:paraId="2A97E913">
                  <w:pPr>
                    <w:adjustRightInd w:val="0"/>
                    <w:snapToGrid w:val="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排放</w:t>
                  </w:r>
                </w:p>
                <w:p w14:paraId="4F205A87">
                  <w:pPr>
                    <w:adjustRightInd w:val="0"/>
                    <w:snapToGrid w:val="0"/>
                    <w:jc w:val="center"/>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浓度</w:t>
                  </w:r>
                </w:p>
                <w:p w14:paraId="5BCD8D44">
                  <w:pPr>
                    <w:adjustRightInd w:val="0"/>
                    <w:snapToGrid w:val="0"/>
                    <w:jc w:val="center"/>
                    <w:rPr>
                      <w:rFonts w:hint="eastAsia" w:ascii="Times New Roman" w:hAnsi="Times New Roman" w:eastAsia="宋体" w:cs="Times New Roman"/>
                      <w:b/>
                      <w:bCs/>
                      <w:color w:val="auto"/>
                      <w:spacing w:val="0"/>
                      <w:position w:val="0"/>
                      <w:sz w:val="18"/>
                      <w:szCs w:val="18"/>
                      <w:highlight w:val="none"/>
                      <w:lang w:eastAsia="zh-CN"/>
                    </w:rPr>
                  </w:pPr>
                  <w:r>
                    <w:rPr>
                      <w:rFonts w:hint="eastAsia" w:cs="Times New Roman"/>
                      <w:b/>
                      <w:bCs/>
                      <w:color w:val="auto"/>
                      <w:spacing w:val="0"/>
                      <w:position w:val="0"/>
                      <w:sz w:val="18"/>
                      <w:szCs w:val="18"/>
                      <w:highlight w:val="none"/>
                      <w:lang w:val="en-US" w:eastAsia="zh-CN"/>
                    </w:rPr>
                    <w:t>(</w:t>
                  </w:r>
                  <w:r>
                    <w:rPr>
                      <w:rFonts w:ascii="Times New Roman" w:hAnsi="Times New Roman" w:eastAsia="宋体" w:cs="Times New Roman"/>
                      <w:b/>
                      <w:bCs/>
                      <w:color w:val="auto"/>
                      <w:spacing w:val="0"/>
                      <w:position w:val="0"/>
                      <w:sz w:val="18"/>
                      <w:szCs w:val="18"/>
                      <w:highlight w:val="none"/>
                    </w:rPr>
                    <w:t>mg/m</w:t>
                  </w:r>
                  <w:r>
                    <w:rPr>
                      <w:rFonts w:ascii="Times New Roman" w:hAnsi="Times New Roman" w:eastAsia="宋体" w:cs="Times New Roman"/>
                      <w:b/>
                      <w:bCs/>
                      <w:color w:val="auto"/>
                      <w:spacing w:val="0"/>
                      <w:position w:val="0"/>
                      <w:sz w:val="18"/>
                      <w:szCs w:val="18"/>
                      <w:highlight w:val="none"/>
                      <w:vertAlign w:val="superscript"/>
                    </w:rPr>
                    <w:t>3</w:t>
                  </w:r>
                  <w:r>
                    <w:rPr>
                      <w:rFonts w:hint="eastAsia" w:cs="Times New Roman"/>
                      <w:b/>
                      <w:bCs/>
                      <w:color w:val="auto"/>
                      <w:spacing w:val="0"/>
                      <w:position w:val="0"/>
                      <w:sz w:val="18"/>
                      <w:szCs w:val="18"/>
                      <w:highlight w:val="none"/>
                      <w:lang w:val="en-US" w:eastAsia="zh-CN"/>
                    </w:rPr>
                    <w:t>)</w:t>
                  </w:r>
                </w:p>
              </w:tc>
              <w:tc>
                <w:tcPr>
                  <w:tcW w:w="525" w:type="dxa"/>
                  <w:vMerge w:val="restart"/>
                  <w:tcBorders>
                    <w:tl2br w:val="nil"/>
                    <w:tr2bl w:val="nil"/>
                  </w:tcBorders>
                  <w:shd w:val="clear" w:color="auto" w:fill="auto"/>
                  <w:vAlign w:val="center"/>
                </w:tcPr>
                <w:p w14:paraId="39589196">
                  <w:pPr>
                    <w:adjustRightInd w:val="0"/>
                    <w:snapToGrid w:val="0"/>
                    <w:jc w:val="center"/>
                    <w:rPr>
                      <w:rFonts w:hint="eastAsia" w:cs="Times New Roman"/>
                      <w:b/>
                      <w:bCs/>
                      <w:color w:val="auto"/>
                      <w:spacing w:val="0"/>
                      <w:position w:val="0"/>
                      <w:sz w:val="18"/>
                      <w:szCs w:val="18"/>
                      <w:highlight w:val="none"/>
                      <w:lang w:val="en-US" w:eastAsia="zh-CN"/>
                    </w:rPr>
                  </w:pPr>
                  <w:r>
                    <w:rPr>
                      <w:rFonts w:hint="eastAsia" w:cs="Times New Roman"/>
                      <w:b/>
                      <w:bCs/>
                      <w:color w:val="auto"/>
                      <w:spacing w:val="0"/>
                      <w:position w:val="0"/>
                      <w:sz w:val="18"/>
                      <w:szCs w:val="18"/>
                      <w:highlight w:val="none"/>
                      <w:lang w:val="en-US" w:eastAsia="zh-CN"/>
                    </w:rPr>
                    <w:t>排放</w:t>
                  </w:r>
                </w:p>
                <w:p w14:paraId="3830E88F">
                  <w:pPr>
                    <w:adjustRightInd w:val="0"/>
                    <w:snapToGrid w:val="0"/>
                    <w:jc w:val="center"/>
                    <w:rPr>
                      <w:rFonts w:hint="default" w:ascii="Times New Roman" w:hAnsi="Times New Roman" w:eastAsia="宋体" w:cs="Times New Roman"/>
                      <w:b/>
                      <w:bCs/>
                      <w:color w:val="auto"/>
                      <w:spacing w:val="0"/>
                      <w:position w:val="0"/>
                      <w:sz w:val="18"/>
                      <w:szCs w:val="18"/>
                      <w:highlight w:val="none"/>
                      <w:lang w:val="en-US" w:eastAsia="zh-CN"/>
                    </w:rPr>
                  </w:pPr>
                  <w:r>
                    <w:rPr>
                      <w:rFonts w:hint="eastAsia" w:cs="Times New Roman"/>
                      <w:b/>
                      <w:bCs/>
                      <w:color w:val="auto"/>
                      <w:spacing w:val="0"/>
                      <w:position w:val="0"/>
                      <w:sz w:val="18"/>
                      <w:szCs w:val="18"/>
                      <w:highlight w:val="none"/>
                      <w:lang w:val="en-US" w:eastAsia="zh-CN"/>
                    </w:rPr>
                    <w:t>时间h</w:t>
                  </w:r>
                </w:p>
              </w:tc>
              <w:tc>
                <w:tcPr>
                  <w:tcW w:w="1012" w:type="dxa"/>
                  <w:gridSpan w:val="2"/>
                  <w:tcBorders>
                    <w:tl2br w:val="nil"/>
                    <w:tr2bl w:val="nil"/>
                  </w:tcBorders>
                  <w:shd w:val="clear" w:color="auto" w:fill="auto"/>
                  <w:vAlign w:val="center"/>
                </w:tcPr>
                <w:p w14:paraId="631149CE">
                  <w:pPr>
                    <w:adjustRightInd w:val="0"/>
                    <w:snapToGrid w:val="0"/>
                    <w:jc w:val="center"/>
                    <w:rPr>
                      <w:rFonts w:hint="eastAsia" w:cs="Times New Roman"/>
                      <w:b/>
                      <w:bCs/>
                      <w:color w:val="auto"/>
                      <w:spacing w:val="0"/>
                      <w:position w:val="0"/>
                      <w:sz w:val="18"/>
                      <w:szCs w:val="18"/>
                      <w:highlight w:val="none"/>
                      <w:lang w:val="en-US" w:eastAsia="zh-CN"/>
                    </w:rPr>
                  </w:pPr>
                  <w:r>
                    <w:rPr>
                      <w:b/>
                      <w:bCs/>
                      <w:color w:val="auto"/>
                      <w:sz w:val="18"/>
                      <w:szCs w:val="18"/>
                      <w:highlight w:val="none"/>
                    </w:rPr>
                    <w:t>执行标准</w:t>
                  </w:r>
                </w:p>
              </w:tc>
            </w:tr>
            <w:tr w14:paraId="113C21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31" w:hRule="atLeast"/>
                <w:jc w:val="center"/>
              </w:trPr>
              <w:tc>
                <w:tcPr>
                  <w:tcW w:w="753" w:type="dxa"/>
                  <w:vMerge w:val="continue"/>
                  <w:tcBorders>
                    <w:tl2br w:val="nil"/>
                    <w:tr2bl w:val="nil"/>
                  </w:tcBorders>
                  <w:shd w:val="clear" w:color="auto" w:fill="auto"/>
                  <w:vAlign w:val="center"/>
                </w:tcPr>
                <w:p w14:paraId="6B7E5416">
                  <w:pPr>
                    <w:adjustRightInd w:val="0"/>
                    <w:snapToGrid w:val="0"/>
                    <w:jc w:val="center"/>
                    <w:rPr>
                      <w:color w:val="auto"/>
                      <w:highlight w:val="none"/>
                    </w:rPr>
                  </w:pPr>
                </w:p>
              </w:tc>
              <w:tc>
                <w:tcPr>
                  <w:tcW w:w="637" w:type="dxa"/>
                  <w:vMerge w:val="continue"/>
                  <w:tcBorders>
                    <w:tl2br w:val="nil"/>
                    <w:tr2bl w:val="nil"/>
                  </w:tcBorders>
                  <w:shd w:val="clear" w:color="auto" w:fill="auto"/>
                  <w:vAlign w:val="center"/>
                </w:tcPr>
                <w:p w14:paraId="5E22DDC4">
                  <w:pPr>
                    <w:adjustRightInd w:val="0"/>
                    <w:snapToGrid w:val="0"/>
                    <w:jc w:val="center"/>
                    <w:rPr>
                      <w:color w:val="auto"/>
                      <w:highlight w:val="none"/>
                    </w:rPr>
                  </w:pPr>
                </w:p>
              </w:tc>
              <w:tc>
                <w:tcPr>
                  <w:tcW w:w="663" w:type="dxa"/>
                  <w:vMerge w:val="continue"/>
                  <w:tcBorders>
                    <w:tl2br w:val="nil"/>
                    <w:tr2bl w:val="nil"/>
                  </w:tcBorders>
                  <w:shd w:val="clear" w:color="auto" w:fill="auto"/>
                  <w:vAlign w:val="center"/>
                </w:tcPr>
                <w:p w14:paraId="22B1081C">
                  <w:pPr>
                    <w:adjustRightInd w:val="0"/>
                    <w:snapToGrid w:val="0"/>
                    <w:jc w:val="center"/>
                    <w:rPr>
                      <w:color w:val="auto"/>
                      <w:highlight w:val="none"/>
                    </w:rPr>
                  </w:pPr>
                </w:p>
              </w:tc>
              <w:tc>
                <w:tcPr>
                  <w:tcW w:w="625" w:type="dxa"/>
                  <w:vMerge w:val="continue"/>
                  <w:tcBorders>
                    <w:tl2br w:val="nil"/>
                    <w:tr2bl w:val="nil"/>
                  </w:tcBorders>
                  <w:shd w:val="clear" w:color="auto" w:fill="auto"/>
                  <w:vAlign w:val="center"/>
                </w:tcPr>
                <w:p w14:paraId="43621AC1">
                  <w:pPr>
                    <w:adjustRightInd w:val="0"/>
                    <w:snapToGrid w:val="0"/>
                    <w:jc w:val="center"/>
                    <w:rPr>
                      <w:color w:val="auto"/>
                      <w:highlight w:val="none"/>
                    </w:rPr>
                  </w:pPr>
                </w:p>
              </w:tc>
              <w:tc>
                <w:tcPr>
                  <w:tcW w:w="662" w:type="dxa"/>
                  <w:vMerge w:val="continue"/>
                  <w:tcBorders>
                    <w:tl2br w:val="nil"/>
                    <w:tr2bl w:val="nil"/>
                  </w:tcBorders>
                  <w:shd w:val="clear" w:color="auto" w:fill="auto"/>
                  <w:vAlign w:val="center"/>
                </w:tcPr>
                <w:p w14:paraId="58B9442A">
                  <w:pPr>
                    <w:adjustRightInd w:val="0"/>
                    <w:snapToGrid w:val="0"/>
                    <w:jc w:val="center"/>
                    <w:rPr>
                      <w:color w:val="auto"/>
                      <w:highlight w:val="none"/>
                    </w:rPr>
                  </w:pPr>
                </w:p>
              </w:tc>
              <w:tc>
                <w:tcPr>
                  <w:tcW w:w="713" w:type="dxa"/>
                  <w:vMerge w:val="continue"/>
                  <w:tcBorders>
                    <w:tl2br w:val="nil"/>
                    <w:tr2bl w:val="nil"/>
                  </w:tcBorders>
                  <w:shd w:val="clear" w:color="auto" w:fill="auto"/>
                  <w:vAlign w:val="center"/>
                </w:tcPr>
                <w:p w14:paraId="71B12C79">
                  <w:pPr>
                    <w:adjustRightInd w:val="0"/>
                    <w:snapToGrid w:val="0"/>
                    <w:jc w:val="center"/>
                    <w:rPr>
                      <w:color w:val="auto"/>
                      <w:highlight w:val="none"/>
                    </w:rPr>
                  </w:pPr>
                </w:p>
              </w:tc>
              <w:tc>
                <w:tcPr>
                  <w:tcW w:w="625" w:type="dxa"/>
                  <w:vMerge w:val="continue"/>
                  <w:tcBorders>
                    <w:tl2br w:val="nil"/>
                    <w:tr2bl w:val="nil"/>
                  </w:tcBorders>
                  <w:shd w:val="clear" w:color="auto" w:fill="auto"/>
                  <w:vAlign w:val="center"/>
                </w:tcPr>
                <w:p w14:paraId="079483E7">
                  <w:pPr>
                    <w:adjustRightInd w:val="0"/>
                    <w:snapToGrid w:val="0"/>
                    <w:jc w:val="center"/>
                    <w:rPr>
                      <w:color w:val="auto"/>
                      <w:highlight w:val="none"/>
                    </w:rPr>
                  </w:pPr>
                </w:p>
              </w:tc>
              <w:tc>
                <w:tcPr>
                  <w:tcW w:w="579" w:type="dxa"/>
                  <w:vMerge w:val="continue"/>
                  <w:tcBorders>
                    <w:tl2br w:val="nil"/>
                    <w:tr2bl w:val="nil"/>
                  </w:tcBorders>
                  <w:shd w:val="clear" w:color="auto" w:fill="auto"/>
                  <w:vAlign w:val="center"/>
                </w:tcPr>
                <w:p w14:paraId="08AB50B8">
                  <w:pPr>
                    <w:adjustRightInd w:val="0"/>
                    <w:snapToGrid w:val="0"/>
                    <w:jc w:val="center"/>
                    <w:rPr>
                      <w:color w:val="auto"/>
                      <w:highlight w:val="none"/>
                    </w:rPr>
                  </w:pPr>
                </w:p>
              </w:tc>
              <w:tc>
                <w:tcPr>
                  <w:tcW w:w="600" w:type="dxa"/>
                  <w:vMerge w:val="continue"/>
                  <w:tcBorders>
                    <w:tl2br w:val="nil"/>
                    <w:tr2bl w:val="nil"/>
                  </w:tcBorders>
                  <w:shd w:val="clear" w:color="auto" w:fill="auto"/>
                  <w:vAlign w:val="center"/>
                </w:tcPr>
                <w:p w14:paraId="7B263AED">
                  <w:pPr>
                    <w:adjustRightInd w:val="0"/>
                    <w:snapToGrid w:val="0"/>
                    <w:jc w:val="center"/>
                    <w:rPr>
                      <w:color w:val="auto"/>
                      <w:highlight w:val="none"/>
                    </w:rPr>
                  </w:pPr>
                </w:p>
              </w:tc>
              <w:tc>
                <w:tcPr>
                  <w:tcW w:w="683" w:type="dxa"/>
                  <w:vMerge w:val="continue"/>
                  <w:tcBorders>
                    <w:tl2br w:val="nil"/>
                    <w:tr2bl w:val="nil"/>
                  </w:tcBorders>
                  <w:shd w:val="clear" w:color="auto" w:fill="auto"/>
                  <w:vAlign w:val="center"/>
                </w:tcPr>
                <w:p w14:paraId="4F3E781C">
                  <w:pPr>
                    <w:adjustRightInd w:val="0"/>
                    <w:snapToGrid w:val="0"/>
                    <w:jc w:val="center"/>
                    <w:rPr>
                      <w:color w:val="auto"/>
                      <w:highlight w:val="none"/>
                    </w:rPr>
                  </w:pPr>
                </w:p>
              </w:tc>
              <w:tc>
                <w:tcPr>
                  <w:tcW w:w="525" w:type="dxa"/>
                  <w:vMerge w:val="continue"/>
                  <w:tcBorders>
                    <w:tl2br w:val="nil"/>
                    <w:tr2bl w:val="nil"/>
                  </w:tcBorders>
                  <w:shd w:val="clear" w:color="auto" w:fill="auto"/>
                  <w:vAlign w:val="center"/>
                </w:tcPr>
                <w:p w14:paraId="7B98D907">
                  <w:pPr>
                    <w:adjustRightInd w:val="0"/>
                    <w:snapToGrid w:val="0"/>
                    <w:jc w:val="center"/>
                    <w:rPr>
                      <w:color w:val="auto"/>
                      <w:highlight w:val="none"/>
                    </w:rPr>
                  </w:pPr>
                </w:p>
              </w:tc>
              <w:tc>
                <w:tcPr>
                  <w:tcW w:w="506" w:type="dxa"/>
                  <w:tcBorders>
                    <w:tl2br w:val="nil"/>
                    <w:tr2bl w:val="nil"/>
                  </w:tcBorders>
                  <w:shd w:val="clear" w:color="auto" w:fill="auto"/>
                  <w:vAlign w:val="center"/>
                </w:tcPr>
                <w:p w14:paraId="1B50C6E2">
                  <w:pPr>
                    <w:adjustRightInd w:val="0"/>
                    <w:snapToGrid w:val="0"/>
                    <w:jc w:val="center"/>
                    <w:rPr>
                      <w:b/>
                      <w:bCs/>
                      <w:color w:val="auto"/>
                      <w:sz w:val="18"/>
                      <w:szCs w:val="18"/>
                      <w:highlight w:val="none"/>
                    </w:rPr>
                  </w:pPr>
                  <w:r>
                    <w:rPr>
                      <w:b/>
                      <w:bCs/>
                      <w:color w:val="auto"/>
                      <w:sz w:val="18"/>
                      <w:szCs w:val="18"/>
                      <w:highlight w:val="none"/>
                    </w:rPr>
                    <w:t>排放</w:t>
                  </w:r>
                </w:p>
                <w:p w14:paraId="232A33A4">
                  <w:pPr>
                    <w:adjustRightInd w:val="0"/>
                    <w:snapToGrid w:val="0"/>
                    <w:jc w:val="center"/>
                    <w:rPr>
                      <w:b/>
                      <w:bCs/>
                      <w:color w:val="auto"/>
                      <w:sz w:val="18"/>
                      <w:szCs w:val="18"/>
                      <w:highlight w:val="none"/>
                    </w:rPr>
                  </w:pPr>
                  <w:r>
                    <w:rPr>
                      <w:b/>
                      <w:bCs/>
                      <w:color w:val="auto"/>
                      <w:sz w:val="18"/>
                      <w:szCs w:val="18"/>
                      <w:highlight w:val="none"/>
                    </w:rPr>
                    <w:t>速率kg/h</w:t>
                  </w:r>
                </w:p>
              </w:tc>
              <w:tc>
                <w:tcPr>
                  <w:tcW w:w="506" w:type="dxa"/>
                  <w:tcBorders>
                    <w:tl2br w:val="nil"/>
                    <w:tr2bl w:val="nil"/>
                  </w:tcBorders>
                  <w:shd w:val="clear" w:color="auto" w:fill="auto"/>
                  <w:vAlign w:val="center"/>
                </w:tcPr>
                <w:p w14:paraId="4FE1C926">
                  <w:pPr>
                    <w:adjustRightInd w:val="0"/>
                    <w:snapToGrid w:val="0"/>
                    <w:jc w:val="center"/>
                    <w:rPr>
                      <w:b/>
                      <w:bCs/>
                      <w:color w:val="auto"/>
                      <w:sz w:val="18"/>
                      <w:szCs w:val="18"/>
                      <w:highlight w:val="none"/>
                    </w:rPr>
                  </w:pPr>
                  <w:r>
                    <w:rPr>
                      <w:b/>
                      <w:bCs/>
                      <w:color w:val="auto"/>
                      <w:sz w:val="18"/>
                      <w:szCs w:val="18"/>
                      <w:highlight w:val="none"/>
                    </w:rPr>
                    <w:t>排放</w:t>
                  </w:r>
                </w:p>
                <w:p w14:paraId="012AC5B8">
                  <w:pPr>
                    <w:adjustRightInd w:val="0"/>
                    <w:snapToGrid w:val="0"/>
                    <w:jc w:val="center"/>
                    <w:rPr>
                      <w:b/>
                      <w:bCs/>
                      <w:color w:val="auto"/>
                      <w:sz w:val="18"/>
                      <w:szCs w:val="18"/>
                      <w:highlight w:val="none"/>
                    </w:rPr>
                  </w:pPr>
                  <w:r>
                    <w:rPr>
                      <w:b/>
                      <w:bCs/>
                      <w:color w:val="auto"/>
                      <w:sz w:val="18"/>
                      <w:szCs w:val="18"/>
                      <w:highlight w:val="none"/>
                    </w:rPr>
                    <w:t>浓度mg/m</w:t>
                  </w:r>
                  <w:r>
                    <w:rPr>
                      <w:b/>
                      <w:bCs/>
                      <w:color w:val="auto"/>
                      <w:sz w:val="18"/>
                      <w:szCs w:val="18"/>
                      <w:highlight w:val="none"/>
                      <w:vertAlign w:val="superscript"/>
                    </w:rPr>
                    <w:t>3</w:t>
                  </w:r>
                </w:p>
              </w:tc>
            </w:tr>
            <w:tr w14:paraId="45C671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753" w:type="dxa"/>
                  <w:vMerge w:val="restart"/>
                  <w:tcBorders>
                    <w:tl2br w:val="nil"/>
                    <w:tr2bl w:val="nil"/>
                  </w:tcBorders>
                  <w:shd w:val="clear" w:color="auto" w:fill="auto"/>
                  <w:vAlign w:val="center"/>
                </w:tcPr>
                <w:p w14:paraId="1983899B">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r>
                    <w:rPr>
                      <w:rFonts w:hint="eastAsia" w:ascii="Times New Roman" w:hAnsi="Times New Roman" w:eastAsia="宋体" w:cs="Times New Roman"/>
                      <w:b w:val="0"/>
                      <w:bCs w:val="0"/>
                      <w:color w:val="auto"/>
                      <w:spacing w:val="0"/>
                      <w:position w:val="0"/>
                      <w:sz w:val="18"/>
                      <w:szCs w:val="18"/>
                      <w:highlight w:val="none"/>
                      <w:lang w:eastAsia="zh-CN"/>
                    </w:rPr>
                    <w:t>调漆、喷漆、晾干</w:t>
                  </w:r>
                  <w:r>
                    <w:rPr>
                      <w:rFonts w:hint="eastAsia" w:ascii="Times New Roman" w:hAnsi="Times New Roman" w:eastAsia="宋体" w:cs="Times New Roman"/>
                      <w:b w:val="0"/>
                      <w:bCs w:val="0"/>
                      <w:color w:val="auto"/>
                      <w:spacing w:val="0"/>
                      <w:position w:val="0"/>
                      <w:sz w:val="18"/>
                      <w:szCs w:val="18"/>
                      <w:highlight w:val="none"/>
                      <w:lang w:val="en-US" w:eastAsia="zh-CN"/>
                    </w:rPr>
                    <w:t>工序</w:t>
                  </w:r>
                </w:p>
              </w:tc>
              <w:tc>
                <w:tcPr>
                  <w:tcW w:w="637" w:type="dxa"/>
                  <w:vMerge w:val="restart"/>
                  <w:tcBorders>
                    <w:tl2br w:val="nil"/>
                    <w:tr2bl w:val="nil"/>
                  </w:tcBorders>
                  <w:shd w:val="clear" w:color="auto" w:fill="auto"/>
                  <w:vAlign w:val="center"/>
                </w:tcPr>
                <w:p w14:paraId="12800336">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eastAsia="zh-CN"/>
                    </w:rPr>
                  </w:pPr>
                  <w:r>
                    <w:rPr>
                      <w:rFonts w:hint="eastAsia" w:cs="Times New Roman"/>
                      <w:b w:val="0"/>
                      <w:bCs w:val="0"/>
                      <w:color w:val="auto"/>
                      <w:spacing w:val="0"/>
                      <w:position w:val="0"/>
                      <w:sz w:val="18"/>
                      <w:szCs w:val="18"/>
                      <w:highlight w:val="none"/>
                      <w:lang w:val="en-US" w:eastAsia="zh-CN"/>
                    </w:rPr>
                    <w:t>二</w:t>
                  </w:r>
                  <w:r>
                    <w:rPr>
                      <w:rFonts w:hint="eastAsia" w:ascii="Times New Roman" w:hAnsi="Times New Roman" w:eastAsia="宋体" w:cs="Times New Roman"/>
                      <w:b w:val="0"/>
                      <w:bCs w:val="0"/>
                      <w:color w:val="auto"/>
                      <w:spacing w:val="0"/>
                      <w:position w:val="0"/>
                      <w:sz w:val="18"/>
                      <w:szCs w:val="18"/>
                      <w:highlight w:val="none"/>
                      <w:lang w:val="en-US" w:eastAsia="zh-CN"/>
                    </w:rPr>
                    <w:t>甲苯</w:t>
                  </w:r>
                </w:p>
              </w:tc>
              <w:tc>
                <w:tcPr>
                  <w:tcW w:w="663" w:type="dxa"/>
                  <w:tcBorders>
                    <w:tl2br w:val="nil"/>
                    <w:tr2bl w:val="nil"/>
                  </w:tcBorders>
                  <w:shd w:val="clear" w:color="auto" w:fill="auto"/>
                  <w:vAlign w:val="center"/>
                </w:tcPr>
                <w:p w14:paraId="1A1FBE7F">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有组织</w:t>
                  </w:r>
                </w:p>
              </w:tc>
              <w:tc>
                <w:tcPr>
                  <w:tcW w:w="625" w:type="dxa"/>
                  <w:tcBorders>
                    <w:tl2br w:val="nil"/>
                    <w:tr2bl w:val="nil"/>
                  </w:tcBorders>
                  <w:shd w:val="clear" w:color="auto" w:fill="auto"/>
                  <w:vAlign w:val="center"/>
                </w:tcPr>
                <w:p w14:paraId="260BD758">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0.1458</w:t>
                  </w:r>
                </w:p>
              </w:tc>
              <w:tc>
                <w:tcPr>
                  <w:tcW w:w="662" w:type="dxa"/>
                  <w:tcBorders>
                    <w:tl2br w:val="nil"/>
                    <w:tr2bl w:val="nil"/>
                  </w:tcBorders>
                  <w:shd w:val="clear" w:color="auto" w:fill="auto"/>
                  <w:vAlign w:val="center"/>
                </w:tcPr>
                <w:p w14:paraId="21975562">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hint="default"/>
                      <w:color w:val="auto"/>
                      <w:highlight w:val="none"/>
                      <w:lang w:val="en-US" w:eastAsia="zh-CN"/>
                    </w:rPr>
                  </w:pPr>
                  <w:r>
                    <w:rPr>
                      <w:rFonts w:hint="eastAsia"/>
                      <w:color w:val="auto"/>
                      <w:highlight w:val="none"/>
                      <w:lang w:val="en-US" w:eastAsia="zh-CN"/>
                    </w:rPr>
                    <w:t>0.0608</w:t>
                  </w:r>
                </w:p>
              </w:tc>
              <w:tc>
                <w:tcPr>
                  <w:tcW w:w="713" w:type="dxa"/>
                  <w:tcBorders>
                    <w:tl2br w:val="nil"/>
                    <w:tr2bl w:val="nil"/>
                  </w:tcBorders>
                  <w:shd w:val="clear" w:color="auto" w:fill="auto"/>
                  <w:vAlign w:val="center"/>
                </w:tcPr>
                <w:p w14:paraId="13CBAAEB">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2.0267</w:t>
                  </w:r>
                </w:p>
              </w:tc>
              <w:tc>
                <w:tcPr>
                  <w:tcW w:w="625" w:type="dxa"/>
                  <w:tcBorders>
                    <w:tl2br w:val="nil"/>
                    <w:tr2bl w:val="nil"/>
                  </w:tcBorders>
                  <w:shd w:val="clear" w:color="auto" w:fill="auto"/>
                  <w:vAlign w:val="center"/>
                </w:tcPr>
                <w:p w14:paraId="33A1D204">
                  <w:pPr>
                    <w:adjustRightInd w:val="0"/>
                    <w:snapToGrid w:val="0"/>
                    <w:jc w:val="center"/>
                    <w:rPr>
                      <w:rFonts w:hint="default"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0.1166</w:t>
                  </w:r>
                </w:p>
              </w:tc>
              <w:tc>
                <w:tcPr>
                  <w:tcW w:w="579" w:type="dxa"/>
                  <w:tcBorders>
                    <w:tl2br w:val="nil"/>
                    <w:tr2bl w:val="nil"/>
                  </w:tcBorders>
                  <w:shd w:val="clear" w:color="auto" w:fill="auto"/>
                  <w:vAlign w:val="center"/>
                </w:tcPr>
                <w:p w14:paraId="375C0398">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0.0292</w:t>
                  </w:r>
                </w:p>
              </w:tc>
              <w:tc>
                <w:tcPr>
                  <w:tcW w:w="600" w:type="dxa"/>
                  <w:tcBorders>
                    <w:tl2br w:val="nil"/>
                    <w:tr2bl w:val="nil"/>
                  </w:tcBorders>
                  <w:shd w:val="clear" w:color="auto" w:fill="auto"/>
                  <w:vAlign w:val="center"/>
                </w:tcPr>
                <w:p w14:paraId="39C28AE3">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0.0122</w:t>
                  </w:r>
                </w:p>
              </w:tc>
              <w:tc>
                <w:tcPr>
                  <w:tcW w:w="683" w:type="dxa"/>
                  <w:tcBorders>
                    <w:tl2br w:val="nil"/>
                    <w:tr2bl w:val="nil"/>
                  </w:tcBorders>
                  <w:shd w:val="clear" w:color="auto" w:fill="auto"/>
                  <w:vAlign w:val="center"/>
                </w:tcPr>
                <w:p w14:paraId="6E6EFC0C">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0.4067</w:t>
                  </w:r>
                </w:p>
              </w:tc>
              <w:tc>
                <w:tcPr>
                  <w:tcW w:w="525" w:type="dxa"/>
                  <w:vMerge w:val="restart"/>
                  <w:tcBorders>
                    <w:tl2br w:val="nil"/>
                    <w:tr2bl w:val="nil"/>
                  </w:tcBorders>
                  <w:shd w:val="clear" w:color="auto" w:fill="auto"/>
                  <w:vAlign w:val="center"/>
                </w:tcPr>
                <w:p w14:paraId="627AE5E3">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2400</w:t>
                  </w:r>
                </w:p>
              </w:tc>
              <w:tc>
                <w:tcPr>
                  <w:tcW w:w="506" w:type="dxa"/>
                  <w:tcBorders>
                    <w:tl2br w:val="nil"/>
                    <w:tr2bl w:val="nil"/>
                  </w:tcBorders>
                  <w:shd w:val="clear" w:color="auto" w:fill="auto"/>
                  <w:vAlign w:val="center"/>
                </w:tcPr>
                <w:p w14:paraId="4A294E6D">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2.2</w:t>
                  </w:r>
                </w:p>
              </w:tc>
              <w:tc>
                <w:tcPr>
                  <w:tcW w:w="506" w:type="dxa"/>
                  <w:tcBorders>
                    <w:tl2br w:val="nil"/>
                    <w:tr2bl w:val="nil"/>
                  </w:tcBorders>
                  <w:shd w:val="clear" w:color="auto" w:fill="auto"/>
                  <w:vAlign w:val="center"/>
                </w:tcPr>
                <w:p w14:paraId="01EE56DB">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15</w:t>
                  </w:r>
                </w:p>
              </w:tc>
            </w:tr>
            <w:tr w14:paraId="593BFF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753" w:type="dxa"/>
                  <w:vMerge w:val="continue"/>
                  <w:tcBorders>
                    <w:tl2br w:val="nil"/>
                    <w:tr2bl w:val="nil"/>
                  </w:tcBorders>
                  <w:shd w:val="clear" w:color="auto" w:fill="auto"/>
                  <w:vAlign w:val="center"/>
                </w:tcPr>
                <w:p w14:paraId="41438B60">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37" w:type="dxa"/>
                  <w:vMerge w:val="continue"/>
                  <w:tcBorders>
                    <w:tl2br w:val="nil"/>
                    <w:tr2bl w:val="nil"/>
                  </w:tcBorders>
                  <w:shd w:val="clear" w:color="auto" w:fill="auto"/>
                  <w:vAlign w:val="center"/>
                </w:tcPr>
                <w:p w14:paraId="224873CF">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63" w:type="dxa"/>
                  <w:tcBorders>
                    <w:tl2br w:val="nil"/>
                    <w:tr2bl w:val="nil"/>
                  </w:tcBorders>
                  <w:shd w:val="clear" w:color="auto" w:fill="auto"/>
                  <w:vAlign w:val="center"/>
                </w:tcPr>
                <w:p w14:paraId="689CC488">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无组织</w:t>
                  </w:r>
                </w:p>
              </w:tc>
              <w:tc>
                <w:tcPr>
                  <w:tcW w:w="625" w:type="dxa"/>
                  <w:tcBorders>
                    <w:tl2br w:val="nil"/>
                    <w:tr2bl w:val="nil"/>
                  </w:tcBorders>
                  <w:shd w:val="clear" w:color="auto" w:fill="auto"/>
                  <w:vAlign w:val="center"/>
                </w:tcPr>
                <w:p w14:paraId="419F148A">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0.0162</w:t>
                  </w:r>
                </w:p>
              </w:tc>
              <w:tc>
                <w:tcPr>
                  <w:tcW w:w="662" w:type="dxa"/>
                  <w:tcBorders>
                    <w:tl2br w:val="nil"/>
                    <w:tr2bl w:val="nil"/>
                  </w:tcBorders>
                  <w:shd w:val="clear" w:color="auto" w:fill="auto"/>
                  <w:vAlign w:val="center"/>
                </w:tcPr>
                <w:p w14:paraId="26DEC87A">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0.0068</w:t>
                  </w:r>
                </w:p>
              </w:tc>
              <w:tc>
                <w:tcPr>
                  <w:tcW w:w="713" w:type="dxa"/>
                  <w:tcBorders>
                    <w:tl2br w:val="nil"/>
                    <w:tr2bl w:val="nil"/>
                  </w:tcBorders>
                  <w:shd w:val="clear" w:color="auto" w:fill="auto"/>
                  <w:vAlign w:val="center"/>
                </w:tcPr>
                <w:p w14:paraId="658A8DB2">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625" w:type="dxa"/>
                  <w:tcBorders>
                    <w:tl2br w:val="nil"/>
                    <w:tr2bl w:val="nil"/>
                  </w:tcBorders>
                  <w:shd w:val="clear" w:color="auto" w:fill="auto"/>
                  <w:vAlign w:val="center"/>
                </w:tcPr>
                <w:p w14:paraId="53E8A2E6">
                  <w:pPr>
                    <w:adjustRightInd w:val="0"/>
                    <w:snapToGrid w:val="0"/>
                    <w:jc w:val="center"/>
                    <w:rPr>
                      <w:rFonts w:hint="default"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579" w:type="dxa"/>
                  <w:tcBorders>
                    <w:tl2br w:val="nil"/>
                    <w:tr2bl w:val="nil"/>
                  </w:tcBorders>
                  <w:shd w:val="clear" w:color="auto" w:fill="auto"/>
                  <w:vAlign w:val="center"/>
                </w:tcPr>
                <w:p w14:paraId="288D8C56">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0.0162</w:t>
                  </w:r>
                </w:p>
              </w:tc>
              <w:tc>
                <w:tcPr>
                  <w:tcW w:w="600" w:type="dxa"/>
                  <w:tcBorders>
                    <w:tl2br w:val="nil"/>
                    <w:tr2bl w:val="nil"/>
                  </w:tcBorders>
                  <w:shd w:val="clear" w:color="auto" w:fill="auto"/>
                  <w:vAlign w:val="center"/>
                </w:tcPr>
                <w:p w14:paraId="5F4CB8B2">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0.0068</w:t>
                  </w:r>
                </w:p>
              </w:tc>
              <w:tc>
                <w:tcPr>
                  <w:tcW w:w="683" w:type="dxa"/>
                  <w:tcBorders>
                    <w:tl2br w:val="nil"/>
                    <w:tr2bl w:val="nil"/>
                  </w:tcBorders>
                  <w:shd w:val="clear" w:color="auto" w:fill="auto"/>
                  <w:vAlign w:val="center"/>
                </w:tcPr>
                <w:p w14:paraId="69C64C3D">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525" w:type="dxa"/>
                  <w:vMerge w:val="continue"/>
                  <w:tcBorders>
                    <w:tl2br w:val="nil"/>
                    <w:tr2bl w:val="nil"/>
                  </w:tcBorders>
                  <w:shd w:val="clear" w:color="auto" w:fill="auto"/>
                  <w:vAlign w:val="center"/>
                </w:tcPr>
                <w:p w14:paraId="6D771CC9">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p>
              </w:tc>
              <w:tc>
                <w:tcPr>
                  <w:tcW w:w="506" w:type="dxa"/>
                  <w:tcBorders>
                    <w:tl2br w:val="nil"/>
                    <w:tr2bl w:val="nil"/>
                  </w:tcBorders>
                  <w:shd w:val="clear" w:color="auto" w:fill="auto"/>
                  <w:vAlign w:val="center"/>
                </w:tcPr>
                <w:p w14:paraId="731B13AE">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w:t>
                  </w:r>
                </w:p>
              </w:tc>
              <w:tc>
                <w:tcPr>
                  <w:tcW w:w="506" w:type="dxa"/>
                  <w:tcBorders>
                    <w:tl2br w:val="nil"/>
                    <w:tr2bl w:val="nil"/>
                  </w:tcBorders>
                  <w:shd w:val="clear" w:color="auto" w:fill="auto"/>
                  <w:vAlign w:val="center"/>
                </w:tcPr>
                <w:p w14:paraId="541263E6">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0.2</w:t>
                  </w:r>
                </w:p>
              </w:tc>
            </w:tr>
            <w:tr w14:paraId="581ACE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3" w:type="dxa"/>
                  <w:vMerge w:val="continue"/>
                  <w:tcBorders>
                    <w:tl2br w:val="nil"/>
                    <w:tr2bl w:val="nil"/>
                  </w:tcBorders>
                  <w:shd w:val="clear" w:color="auto" w:fill="auto"/>
                  <w:vAlign w:val="center"/>
                </w:tcPr>
                <w:p w14:paraId="4555A953">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37" w:type="dxa"/>
                  <w:vMerge w:val="restart"/>
                  <w:tcBorders>
                    <w:tl2br w:val="nil"/>
                    <w:tr2bl w:val="nil"/>
                  </w:tcBorders>
                  <w:shd w:val="clear" w:color="auto" w:fill="auto"/>
                  <w:vAlign w:val="center"/>
                </w:tcPr>
                <w:p w14:paraId="104553E9">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position w:val="0"/>
                      <w:sz w:val="18"/>
                      <w:szCs w:val="18"/>
                      <w:highlight w:val="none"/>
                      <w:lang w:val="en-US" w:eastAsia="zh-CN"/>
                    </w:rPr>
                    <w:t>苯系物</w:t>
                  </w:r>
                </w:p>
              </w:tc>
              <w:tc>
                <w:tcPr>
                  <w:tcW w:w="663" w:type="dxa"/>
                  <w:tcBorders>
                    <w:tl2br w:val="nil"/>
                    <w:tr2bl w:val="nil"/>
                  </w:tcBorders>
                  <w:shd w:val="clear" w:color="auto" w:fill="auto"/>
                  <w:vAlign w:val="center"/>
                </w:tcPr>
                <w:p w14:paraId="10D497B7">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有组织</w:t>
                  </w:r>
                </w:p>
              </w:tc>
              <w:tc>
                <w:tcPr>
                  <w:tcW w:w="625" w:type="dxa"/>
                  <w:tcBorders>
                    <w:tl2br w:val="nil"/>
                    <w:tr2bl w:val="nil"/>
                  </w:tcBorders>
                  <w:shd w:val="clear" w:color="auto" w:fill="auto"/>
                  <w:vAlign w:val="center"/>
                </w:tcPr>
                <w:p w14:paraId="0333A932">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0.3888</w:t>
                  </w:r>
                </w:p>
              </w:tc>
              <w:tc>
                <w:tcPr>
                  <w:tcW w:w="662" w:type="dxa"/>
                  <w:tcBorders>
                    <w:tl2br w:val="nil"/>
                    <w:tr2bl w:val="nil"/>
                  </w:tcBorders>
                  <w:shd w:val="clear" w:color="auto" w:fill="auto"/>
                  <w:vAlign w:val="center"/>
                </w:tcPr>
                <w:p w14:paraId="00184F0C">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rightChars="0" w:firstLine="0" w:firstLineChars="0"/>
                    <w:jc w:val="center"/>
                    <w:textAlignment w:val="baseline"/>
                    <w:rPr>
                      <w:rFonts w:hint="default" w:ascii="Times New Roman" w:hAnsi="Times New Roman" w:eastAsia="宋体" w:cs="Times New Roman"/>
                      <w:b w:val="0"/>
                      <w:bCs w:val="0"/>
                      <w:color w:val="auto"/>
                      <w:spacing w:val="0"/>
                      <w:kern w:val="0"/>
                      <w:position w:val="0"/>
                      <w:sz w:val="18"/>
                      <w:szCs w:val="18"/>
                      <w:highlight w:val="none"/>
                      <w:lang w:val="en-US" w:eastAsia="zh-CN" w:bidi="ar-SA"/>
                    </w:rPr>
                  </w:pPr>
                  <w:r>
                    <w:rPr>
                      <w:rFonts w:hint="eastAsia" w:cs="Times New Roman"/>
                      <w:b w:val="0"/>
                      <w:bCs w:val="0"/>
                      <w:color w:val="auto"/>
                      <w:spacing w:val="0"/>
                      <w:kern w:val="0"/>
                      <w:position w:val="0"/>
                      <w:sz w:val="18"/>
                      <w:szCs w:val="18"/>
                      <w:highlight w:val="none"/>
                      <w:lang w:val="en-US" w:eastAsia="zh-CN" w:bidi="ar-SA"/>
                    </w:rPr>
                    <w:t>0.162</w:t>
                  </w:r>
                </w:p>
              </w:tc>
              <w:tc>
                <w:tcPr>
                  <w:tcW w:w="713" w:type="dxa"/>
                  <w:tcBorders>
                    <w:tl2br w:val="nil"/>
                    <w:tr2bl w:val="nil"/>
                  </w:tcBorders>
                  <w:shd w:val="clear" w:color="auto" w:fill="auto"/>
                  <w:vAlign w:val="center"/>
                </w:tcPr>
                <w:p w14:paraId="18EF298A">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5.4</w:t>
                  </w:r>
                </w:p>
              </w:tc>
              <w:tc>
                <w:tcPr>
                  <w:tcW w:w="625" w:type="dxa"/>
                  <w:tcBorders>
                    <w:tl2br w:val="nil"/>
                    <w:tr2bl w:val="nil"/>
                  </w:tcBorders>
                  <w:shd w:val="clear" w:color="auto" w:fill="auto"/>
                  <w:vAlign w:val="center"/>
                </w:tcPr>
                <w:p w14:paraId="18BCC8CD">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0.311</w:t>
                  </w:r>
                </w:p>
              </w:tc>
              <w:tc>
                <w:tcPr>
                  <w:tcW w:w="579" w:type="dxa"/>
                  <w:tcBorders>
                    <w:tl2br w:val="nil"/>
                    <w:tr2bl w:val="nil"/>
                  </w:tcBorders>
                  <w:shd w:val="clear" w:color="auto" w:fill="auto"/>
                  <w:vAlign w:val="center"/>
                </w:tcPr>
                <w:p w14:paraId="5635A9BC">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0.0778</w:t>
                  </w:r>
                </w:p>
              </w:tc>
              <w:tc>
                <w:tcPr>
                  <w:tcW w:w="600" w:type="dxa"/>
                  <w:tcBorders>
                    <w:tl2br w:val="nil"/>
                    <w:tr2bl w:val="nil"/>
                  </w:tcBorders>
                  <w:shd w:val="clear" w:color="auto" w:fill="auto"/>
                  <w:vAlign w:val="center"/>
                </w:tcPr>
                <w:p w14:paraId="75A773CE">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0.0324</w:t>
                  </w:r>
                </w:p>
              </w:tc>
              <w:tc>
                <w:tcPr>
                  <w:tcW w:w="683" w:type="dxa"/>
                  <w:tcBorders>
                    <w:tl2br w:val="nil"/>
                    <w:tr2bl w:val="nil"/>
                  </w:tcBorders>
                  <w:shd w:val="clear" w:color="auto" w:fill="auto"/>
                  <w:vAlign w:val="center"/>
                </w:tcPr>
                <w:p w14:paraId="0C829CB8">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1.08</w:t>
                  </w:r>
                </w:p>
              </w:tc>
              <w:tc>
                <w:tcPr>
                  <w:tcW w:w="525" w:type="dxa"/>
                  <w:vMerge w:val="continue"/>
                  <w:tcBorders>
                    <w:tl2br w:val="nil"/>
                    <w:tr2bl w:val="nil"/>
                  </w:tcBorders>
                  <w:shd w:val="clear" w:color="auto" w:fill="auto"/>
                  <w:vAlign w:val="center"/>
                </w:tcPr>
                <w:p w14:paraId="6947B52B">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p>
              </w:tc>
              <w:tc>
                <w:tcPr>
                  <w:tcW w:w="506" w:type="dxa"/>
                  <w:tcBorders>
                    <w:tl2br w:val="nil"/>
                    <w:tr2bl w:val="nil"/>
                  </w:tcBorders>
                  <w:shd w:val="clear" w:color="auto" w:fill="auto"/>
                  <w:vAlign w:val="center"/>
                </w:tcPr>
                <w:p w14:paraId="00F6F378">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6.6</w:t>
                  </w:r>
                </w:p>
              </w:tc>
              <w:tc>
                <w:tcPr>
                  <w:tcW w:w="506" w:type="dxa"/>
                  <w:tcBorders>
                    <w:tl2br w:val="nil"/>
                    <w:tr2bl w:val="nil"/>
                  </w:tcBorders>
                  <w:shd w:val="clear" w:color="auto" w:fill="auto"/>
                  <w:vAlign w:val="center"/>
                </w:tcPr>
                <w:p w14:paraId="7EEE316E">
                  <w:pPr>
                    <w:adjustRightInd w:val="0"/>
                    <w:snapToGrid w:val="0"/>
                    <w:jc w:val="center"/>
                    <w:rPr>
                      <w:rFonts w:hint="default"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30</w:t>
                  </w:r>
                </w:p>
              </w:tc>
            </w:tr>
            <w:tr w14:paraId="2D7623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753" w:type="dxa"/>
                  <w:vMerge w:val="continue"/>
                  <w:tcBorders>
                    <w:tl2br w:val="nil"/>
                    <w:tr2bl w:val="nil"/>
                  </w:tcBorders>
                  <w:shd w:val="clear" w:color="auto" w:fill="auto"/>
                  <w:vAlign w:val="center"/>
                </w:tcPr>
                <w:p w14:paraId="4DBBF46C">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37" w:type="dxa"/>
                  <w:vMerge w:val="continue"/>
                  <w:tcBorders>
                    <w:tl2br w:val="nil"/>
                    <w:tr2bl w:val="nil"/>
                  </w:tcBorders>
                  <w:shd w:val="clear" w:color="auto" w:fill="auto"/>
                  <w:vAlign w:val="center"/>
                </w:tcPr>
                <w:p w14:paraId="0086C793">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63" w:type="dxa"/>
                  <w:tcBorders>
                    <w:tl2br w:val="nil"/>
                    <w:tr2bl w:val="nil"/>
                  </w:tcBorders>
                  <w:shd w:val="clear" w:color="auto" w:fill="auto"/>
                  <w:vAlign w:val="center"/>
                </w:tcPr>
                <w:p w14:paraId="218DD6D1">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无组织</w:t>
                  </w:r>
                </w:p>
              </w:tc>
              <w:tc>
                <w:tcPr>
                  <w:tcW w:w="625" w:type="dxa"/>
                  <w:tcBorders>
                    <w:tl2br w:val="nil"/>
                    <w:tr2bl w:val="nil"/>
                  </w:tcBorders>
                  <w:shd w:val="clear" w:color="auto" w:fill="auto"/>
                  <w:vAlign w:val="center"/>
                </w:tcPr>
                <w:p w14:paraId="6946615C">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0.0432</w:t>
                  </w:r>
                </w:p>
              </w:tc>
              <w:tc>
                <w:tcPr>
                  <w:tcW w:w="662" w:type="dxa"/>
                  <w:tcBorders>
                    <w:tl2br w:val="nil"/>
                    <w:tr2bl w:val="nil"/>
                  </w:tcBorders>
                  <w:shd w:val="clear" w:color="auto" w:fill="auto"/>
                  <w:vAlign w:val="center"/>
                </w:tcPr>
                <w:p w14:paraId="1FB297BF">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0.018</w:t>
                  </w:r>
                </w:p>
              </w:tc>
              <w:tc>
                <w:tcPr>
                  <w:tcW w:w="713" w:type="dxa"/>
                  <w:tcBorders>
                    <w:tl2br w:val="nil"/>
                    <w:tr2bl w:val="nil"/>
                  </w:tcBorders>
                  <w:shd w:val="clear" w:color="auto" w:fill="auto"/>
                  <w:vAlign w:val="center"/>
                </w:tcPr>
                <w:p w14:paraId="0DAB9B1F">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w:t>
                  </w:r>
                </w:p>
              </w:tc>
              <w:tc>
                <w:tcPr>
                  <w:tcW w:w="625" w:type="dxa"/>
                  <w:tcBorders>
                    <w:tl2br w:val="nil"/>
                    <w:tr2bl w:val="nil"/>
                  </w:tcBorders>
                  <w:shd w:val="clear" w:color="auto" w:fill="auto"/>
                  <w:vAlign w:val="center"/>
                </w:tcPr>
                <w:p w14:paraId="36EFD6E6">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w:t>
                  </w:r>
                </w:p>
              </w:tc>
              <w:tc>
                <w:tcPr>
                  <w:tcW w:w="579" w:type="dxa"/>
                  <w:tcBorders>
                    <w:tl2br w:val="nil"/>
                    <w:tr2bl w:val="nil"/>
                  </w:tcBorders>
                  <w:shd w:val="clear" w:color="auto" w:fill="auto"/>
                  <w:vAlign w:val="center"/>
                </w:tcPr>
                <w:p w14:paraId="46FD5205">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0.0432</w:t>
                  </w:r>
                </w:p>
              </w:tc>
              <w:tc>
                <w:tcPr>
                  <w:tcW w:w="600" w:type="dxa"/>
                  <w:tcBorders>
                    <w:tl2br w:val="nil"/>
                    <w:tr2bl w:val="nil"/>
                  </w:tcBorders>
                  <w:shd w:val="clear" w:color="auto" w:fill="auto"/>
                  <w:vAlign w:val="center"/>
                </w:tcPr>
                <w:p w14:paraId="59B7856E">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0.018</w:t>
                  </w:r>
                </w:p>
              </w:tc>
              <w:tc>
                <w:tcPr>
                  <w:tcW w:w="683" w:type="dxa"/>
                  <w:tcBorders>
                    <w:tl2br w:val="nil"/>
                    <w:tr2bl w:val="nil"/>
                  </w:tcBorders>
                  <w:shd w:val="clear" w:color="auto" w:fill="auto"/>
                  <w:vAlign w:val="center"/>
                </w:tcPr>
                <w:p w14:paraId="29E2C42D">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w:t>
                  </w:r>
                </w:p>
              </w:tc>
              <w:tc>
                <w:tcPr>
                  <w:tcW w:w="525" w:type="dxa"/>
                  <w:vMerge w:val="continue"/>
                  <w:tcBorders>
                    <w:tl2br w:val="nil"/>
                    <w:tr2bl w:val="nil"/>
                  </w:tcBorders>
                  <w:shd w:val="clear" w:color="auto" w:fill="auto"/>
                  <w:vAlign w:val="center"/>
                </w:tcPr>
                <w:p w14:paraId="6680A6F9">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p>
              </w:tc>
              <w:tc>
                <w:tcPr>
                  <w:tcW w:w="506" w:type="dxa"/>
                  <w:tcBorders>
                    <w:tl2br w:val="nil"/>
                    <w:tr2bl w:val="nil"/>
                  </w:tcBorders>
                  <w:shd w:val="clear" w:color="auto" w:fill="auto"/>
                  <w:vAlign w:val="center"/>
                </w:tcPr>
                <w:p w14:paraId="63085D33">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w:t>
                  </w:r>
                </w:p>
              </w:tc>
              <w:tc>
                <w:tcPr>
                  <w:tcW w:w="506" w:type="dxa"/>
                  <w:tcBorders>
                    <w:tl2br w:val="nil"/>
                    <w:tr2bl w:val="nil"/>
                  </w:tcBorders>
                  <w:shd w:val="clear" w:color="auto" w:fill="auto"/>
                  <w:vAlign w:val="center"/>
                </w:tcPr>
                <w:p w14:paraId="5ACB26B9">
                  <w:pPr>
                    <w:adjustRightInd w:val="0"/>
                    <w:snapToGrid w:val="0"/>
                    <w:jc w:val="center"/>
                    <w:rPr>
                      <w:rFonts w:hint="default"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r>
            <w:tr w14:paraId="5DEEF2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3" w:type="dxa"/>
                  <w:vMerge w:val="continue"/>
                  <w:tcBorders>
                    <w:tl2br w:val="nil"/>
                    <w:tr2bl w:val="nil"/>
                  </w:tcBorders>
                  <w:shd w:val="clear" w:color="auto" w:fill="auto"/>
                  <w:vAlign w:val="center"/>
                </w:tcPr>
                <w:p w14:paraId="5318290C">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37" w:type="dxa"/>
                  <w:vMerge w:val="restart"/>
                  <w:tcBorders>
                    <w:tl2br w:val="nil"/>
                    <w:tr2bl w:val="nil"/>
                  </w:tcBorders>
                  <w:shd w:val="clear" w:color="auto" w:fill="auto"/>
                  <w:vAlign w:val="center"/>
                </w:tcPr>
                <w:p w14:paraId="5F6744C7">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r>
                    <w:rPr>
                      <w:rFonts w:hint="eastAsia" w:ascii="Times New Roman" w:hAnsi="Times New Roman" w:eastAsia="宋体" w:cs="Times New Roman"/>
                      <w:b w:val="0"/>
                      <w:bCs w:val="0"/>
                      <w:color w:val="auto"/>
                      <w:spacing w:val="0"/>
                      <w:position w:val="0"/>
                      <w:sz w:val="18"/>
                      <w:szCs w:val="18"/>
                      <w:highlight w:val="none"/>
                      <w:lang w:val="en-US" w:eastAsia="zh-CN"/>
                    </w:rPr>
                    <w:t>乙酸</w:t>
                  </w:r>
                </w:p>
                <w:p w14:paraId="34D1245D">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eastAsia="zh-CN"/>
                    </w:rPr>
                  </w:pPr>
                  <w:r>
                    <w:rPr>
                      <w:rFonts w:hint="eastAsia" w:ascii="Times New Roman" w:hAnsi="Times New Roman" w:eastAsia="宋体" w:cs="Times New Roman"/>
                      <w:b w:val="0"/>
                      <w:bCs w:val="0"/>
                      <w:color w:val="auto"/>
                      <w:spacing w:val="0"/>
                      <w:position w:val="0"/>
                      <w:sz w:val="18"/>
                      <w:szCs w:val="18"/>
                      <w:highlight w:val="none"/>
                      <w:lang w:val="en-US" w:eastAsia="zh-CN"/>
                    </w:rPr>
                    <w:t>乙酯</w:t>
                  </w:r>
                </w:p>
              </w:tc>
              <w:tc>
                <w:tcPr>
                  <w:tcW w:w="663" w:type="dxa"/>
                  <w:tcBorders>
                    <w:tl2br w:val="nil"/>
                    <w:tr2bl w:val="nil"/>
                  </w:tcBorders>
                  <w:shd w:val="clear" w:color="auto" w:fill="auto"/>
                  <w:vAlign w:val="center"/>
                </w:tcPr>
                <w:p w14:paraId="7CD1E83C">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有组织</w:t>
                  </w:r>
                </w:p>
              </w:tc>
              <w:tc>
                <w:tcPr>
                  <w:tcW w:w="625" w:type="dxa"/>
                  <w:tcBorders>
                    <w:tl2br w:val="nil"/>
                    <w:tr2bl w:val="nil"/>
                  </w:tcBorders>
                  <w:shd w:val="clear" w:color="auto" w:fill="auto"/>
                  <w:vAlign w:val="center"/>
                </w:tcPr>
                <w:p w14:paraId="09977940">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0.3078</w:t>
                  </w:r>
                </w:p>
              </w:tc>
              <w:tc>
                <w:tcPr>
                  <w:tcW w:w="662" w:type="dxa"/>
                  <w:tcBorders>
                    <w:tl2br w:val="nil"/>
                    <w:tr2bl w:val="nil"/>
                  </w:tcBorders>
                  <w:shd w:val="clear" w:color="auto" w:fill="auto"/>
                  <w:vAlign w:val="center"/>
                </w:tcPr>
                <w:p w14:paraId="4C68D9D8">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0.1283</w:t>
                  </w:r>
                </w:p>
              </w:tc>
              <w:tc>
                <w:tcPr>
                  <w:tcW w:w="713" w:type="dxa"/>
                  <w:tcBorders>
                    <w:tl2br w:val="nil"/>
                    <w:tr2bl w:val="nil"/>
                  </w:tcBorders>
                  <w:shd w:val="clear" w:color="auto" w:fill="auto"/>
                  <w:vAlign w:val="center"/>
                </w:tcPr>
                <w:p w14:paraId="6C789100">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4.0767</w:t>
                  </w:r>
                </w:p>
              </w:tc>
              <w:tc>
                <w:tcPr>
                  <w:tcW w:w="625" w:type="dxa"/>
                  <w:tcBorders>
                    <w:tl2br w:val="nil"/>
                    <w:tr2bl w:val="nil"/>
                  </w:tcBorders>
                  <w:shd w:val="clear" w:color="auto" w:fill="auto"/>
                  <w:vAlign w:val="center"/>
                </w:tcPr>
                <w:p w14:paraId="4E1E4995">
                  <w:pPr>
                    <w:adjustRightInd w:val="0"/>
                    <w:snapToGrid w:val="0"/>
                    <w:jc w:val="center"/>
                    <w:rPr>
                      <w:rFonts w:hint="default"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0.2462</w:t>
                  </w:r>
                </w:p>
              </w:tc>
              <w:tc>
                <w:tcPr>
                  <w:tcW w:w="579" w:type="dxa"/>
                  <w:tcBorders>
                    <w:tl2br w:val="nil"/>
                    <w:tr2bl w:val="nil"/>
                  </w:tcBorders>
                  <w:shd w:val="clear" w:color="auto" w:fill="auto"/>
                  <w:vAlign w:val="center"/>
                </w:tcPr>
                <w:p w14:paraId="18BF159F">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0.0616</w:t>
                  </w:r>
                </w:p>
              </w:tc>
              <w:tc>
                <w:tcPr>
                  <w:tcW w:w="600" w:type="dxa"/>
                  <w:tcBorders>
                    <w:tl2br w:val="nil"/>
                    <w:tr2bl w:val="nil"/>
                  </w:tcBorders>
                  <w:shd w:val="clear" w:color="auto" w:fill="auto"/>
                  <w:vAlign w:val="center"/>
                </w:tcPr>
                <w:p w14:paraId="63154C6C">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0.0257</w:t>
                  </w:r>
                </w:p>
              </w:tc>
              <w:tc>
                <w:tcPr>
                  <w:tcW w:w="683" w:type="dxa"/>
                  <w:tcBorders>
                    <w:tl2br w:val="nil"/>
                    <w:tr2bl w:val="nil"/>
                  </w:tcBorders>
                  <w:shd w:val="clear" w:color="auto" w:fill="auto"/>
                  <w:vAlign w:val="center"/>
                </w:tcPr>
                <w:p w14:paraId="5ADAC6B6">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0.8567</w:t>
                  </w:r>
                </w:p>
              </w:tc>
              <w:tc>
                <w:tcPr>
                  <w:tcW w:w="525" w:type="dxa"/>
                  <w:vMerge w:val="continue"/>
                  <w:tcBorders>
                    <w:tl2br w:val="nil"/>
                    <w:tr2bl w:val="nil"/>
                  </w:tcBorders>
                  <w:shd w:val="clear" w:color="auto" w:fill="auto"/>
                  <w:vAlign w:val="center"/>
                </w:tcPr>
                <w:p w14:paraId="3502B2E0">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p>
              </w:tc>
              <w:tc>
                <w:tcPr>
                  <w:tcW w:w="506" w:type="dxa"/>
                  <w:tcBorders>
                    <w:tl2br w:val="nil"/>
                    <w:tr2bl w:val="nil"/>
                  </w:tcBorders>
                  <w:shd w:val="clear" w:color="auto" w:fill="auto"/>
                  <w:vAlign w:val="center"/>
                </w:tcPr>
                <w:p w14:paraId="6F9B705E">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w:t>
                  </w:r>
                </w:p>
              </w:tc>
              <w:tc>
                <w:tcPr>
                  <w:tcW w:w="506" w:type="dxa"/>
                  <w:tcBorders>
                    <w:tl2br w:val="nil"/>
                    <w:tr2bl w:val="nil"/>
                  </w:tcBorders>
                  <w:shd w:val="clear" w:color="auto" w:fill="auto"/>
                  <w:vAlign w:val="center"/>
                </w:tcPr>
                <w:p w14:paraId="75110FF9">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r>
            <w:tr w14:paraId="2492A8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753" w:type="dxa"/>
                  <w:vMerge w:val="continue"/>
                  <w:tcBorders>
                    <w:tl2br w:val="nil"/>
                    <w:tr2bl w:val="nil"/>
                  </w:tcBorders>
                  <w:shd w:val="clear" w:color="auto" w:fill="auto"/>
                  <w:vAlign w:val="center"/>
                </w:tcPr>
                <w:p w14:paraId="3330DA4F">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37" w:type="dxa"/>
                  <w:vMerge w:val="continue"/>
                  <w:tcBorders>
                    <w:tl2br w:val="nil"/>
                    <w:tr2bl w:val="nil"/>
                  </w:tcBorders>
                  <w:shd w:val="clear" w:color="auto" w:fill="auto"/>
                  <w:vAlign w:val="center"/>
                </w:tcPr>
                <w:p w14:paraId="4FBD3AE8">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63" w:type="dxa"/>
                  <w:tcBorders>
                    <w:tl2br w:val="nil"/>
                    <w:tr2bl w:val="nil"/>
                  </w:tcBorders>
                  <w:shd w:val="clear" w:color="auto" w:fill="auto"/>
                  <w:vAlign w:val="center"/>
                </w:tcPr>
                <w:p w14:paraId="1A1817CB">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无组织</w:t>
                  </w:r>
                </w:p>
              </w:tc>
              <w:tc>
                <w:tcPr>
                  <w:tcW w:w="625" w:type="dxa"/>
                  <w:tcBorders>
                    <w:tl2br w:val="nil"/>
                    <w:tr2bl w:val="nil"/>
                  </w:tcBorders>
                  <w:shd w:val="clear" w:color="auto" w:fill="auto"/>
                  <w:vAlign w:val="center"/>
                </w:tcPr>
                <w:p w14:paraId="33C16BB2">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0.0342</w:t>
                  </w:r>
                </w:p>
              </w:tc>
              <w:tc>
                <w:tcPr>
                  <w:tcW w:w="662" w:type="dxa"/>
                  <w:tcBorders>
                    <w:tl2br w:val="nil"/>
                    <w:tr2bl w:val="nil"/>
                  </w:tcBorders>
                  <w:shd w:val="clear" w:color="auto" w:fill="auto"/>
                  <w:vAlign w:val="center"/>
                </w:tcPr>
                <w:p w14:paraId="0AF5B350">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0.0143</w:t>
                  </w:r>
                </w:p>
              </w:tc>
              <w:tc>
                <w:tcPr>
                  <w:tcW w:w="713" w:type="dxa"/>
                  <w:tcBorders>
                    <w:tl2br w:val="nil"/>
                    <w:tr2bl w:val="nil"/>
                  </w:tcBorders>
                  <w:shd w:val="clear" w:color="auto" w:fill="auto"/>
                  <w:vAlign w:val="center"/>
                </w:tcPr>
                <w:p w14:paraId="395A24AC">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625" w:type="dxa"/>
                  <w:tcBorders>
                    <w:tl2br w:val="nil"/>
                    <w:tr2bl w:val="nil"/>
                  </w:tcBorders>
                  <w:shd w:val="clear" w:color="auto" w:fill="auto"/>
                  <w:vAlign w:val="center"/>
                </w:tcPr>
                <w:p w14:paraId="239A602B">
                  <w:pPr>
                    <w:adjustRightInd w:val="0"/>
                    <w:snapToGrid w:val="0"/>
                    <w:jc w:val="center"/>
                    <w:rPr>
                      <w:rFonts w:hint="default"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579" w:type="dxa"/>
                  <w:tcBorders>
                    <w:tl2br w:val="nil"/>
                    <w:tr2bl w:val="nil"/>
                  </w:tcBorders>
                  <w:shd w:val="clear" w:color="auto" w:fill="auto"/>
                  <w:vAlign w:val="center"/>
                </w:tcPr>
                <w:p w14:paraId="5B281EC1">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0.0342</w:t>
                  </w:r>
                </w:p>
              </w:tc>
              <w:tc>
                <w:tcPr>
                  <w:tcW w:w="600" w:type="dxa"/>
                  <w:tcBorders>
                    <w:tl2br w:val="nil"/>
                    <w:tr2bl w:val="nil"/>
                  </w:tcBorders>
                  <w:shd w:val="clear" w:color="auto" w:fill="auto"/>
                  <w:vAlign w:val="center"/>
                </w:tcPr>
                <w:p w14:paraId="0B55B14B">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0.0143</w:t>
                  </w:r>
                </w:p>
              </w:tc>
              <w:tc>
                <w:tcPr>
                  <w:tcW w:w="683" w:type="dxa"/>
                  <w:tcBorders>
                    <w:tl2br w:val="nil"/>
                    <w:tr2bl w:val="nil"/>
                  </w:tcBorders>
                  <w:shd w:val="clear" w:color="auto" w:fill="auto"/>
                  <w:vAlign w:val="center"/>
                </w:tcPr>
                <w:p w14:paraId="3FF27402">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525" w:type="dxa"/>
                  <w:vMerge w:val="continue"/>
                  <w:tcBorders>
                    <w:tl2br w:val="nil"/>
                    <w:tr2bl w:val="nil"/>
                  </w:tcBorders>
                  <w:shd w:val="clear" w:color="auto" w:fill="auto"/>
                  <w:vAlign w:val="center"/>
                </w:tcPr>
                <w:p w14:paraId="7B61C895">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p>
              </w:tc>
              <w:tc>
                <w:tcPr>
                  <w:tcW w:w="506" w:type="dxa"/>
                  <w:tcBorders>
                    <w:tl2br w:val="nil"/>
                    <w:tr2bl w:val="nil"/>
                  </w:tcBorders>
                  <w:shd w:val="clear" w:color="auto" w:fill="auto"/>
                  <w:vAlign w:val="center"/>
                </w:tcPr>
                <w:p w14:paraId="63FFEB6B">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w:t>
                  </w:r>
                </w:p>
              </w:tc>
              <w:tc>
                <w:tcPr>
                  <w:tcW w:w="506" w:type="dxa"/>
                  <w:tcBorders>
                    <w:tl2br w:val="nil"/>
                    <w:tr2bl w:val="nil"/>
                  </w:tcBorders>
                  <w:shd w:val="clear" w:color="auto" w:fill="auto"/>
                  <w:vAlign w:val="center"/>
                </w:tcPr>
                <w:p w14:paraId="40727A58">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1.0</w:t>
                  </w:r>
                </w:p>
              </w:tc>
            </w:tr>
            <w:tr w14:paraId="62DAED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753" w:type="dxa"/>
                  <w:vMerge w:val="continue"/>
                  <w:tcBorders>
                    <w:tl2br w:val="nil"/>
                    <w:tr2bl w:val="nil"/>
                  </w:tcBorders>
                  <w:shd w:val="clear" w:color="auto" w:fill="auto"/>
                  <w:vAlign w:val="center"/>
                </w:tcPr>
                <w:p w14:paraId="396FDF23">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37" w:type="dxa"/>
                  <w:vMerge w:val="restart"/>
                  <w:tcBorders>
                    <w:tl2br w:val="nil"/>
                    <w:tr2bl w:val="nil"/>
                  </w:tcBorders>
                  <w:shd w:val="clear" w:color="auto" w:fill="auto"/>
                  <w:vAlign w:val="center"/>
                </w:tcPr>
                <w:p w14:paraId="2CAFD8DD">
                  <w:pPr>
                    <w:adjustRightInd w:val="0"/>
                    <w:snapToGrid w:val="0"/>
                    <w:jc w:val="center"/>
                    <w:rPr>
                      <w:rFonts w:hint="eastAsia"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乙酸</w:t>
                  </w:r>
                </w:p>
                <w:p w14:paraId="144E48D9">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丁酯</w:t>
                  </w:r>
                </w:p>
              </w:tc>
              <w:tc>
                <w:tcPr>
                  <w:tcW w:w="663" w:type="dxa"/>
                  <w:tcBorders>
                    <w:tl2br w:val="nil"/>
                    <w:tr2bl w:val="nil"/>
                  </w:tcBorders>
                  <w:shd w:val="clear" w:color="auto" w:fill="auto"/>
                  <w:vAlign w:val="center"/>
                </w:tcPr>
                <w:p w14:paraId="430BE5C3">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kern w:val="2"/>
                      <w:position w:val="0"/>
                      <w:sz w:val="18"/>
                      <w:szCs w:val="18"/>
                      <w:highlight w:val="none"/>
                      <w:lang w:val="en-US" w:eastAsia="zh-CN" w:bidi="ar-SA"/>
                    </w:rPr>
                    <w:t>有组织</w:t>
                  </w:r>
                </w:p>
              </w:tc>
              <w:tc>
                <w:tcPr>
                  <w:tcW w:w="625" w:type="dxa"/>
                  <w:tcBorders>
                    <w:tl2br w:val="nil"/>
                    <w:tr2bl w:val="nil"/>
                  </w:tcBorders>
                  <w:shd w:val="clear" w:color="auto" w:fill="auto"/>
                  <w:vAlign w:val="center"/>
                </w:tcPr>
                <w:p w14:paraId="6483018F">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0.459</w:t>
                  </w:r>
                </w:p>
              </w:tc>
              <w:tc>
                <w:tcPr>
                  <w:tcW w:w="662" w:type="dxa"/>
                  <w:tcBorders>
                    <w:tl2br w:val="nil"/>
                    <w:tr2bl w:val="nil"/>
                  </w:tcBorders>
                  <w:shd w:val="clear" w:color="auto" w:fill="auto"/>
                  <w:vAlign w:val="center"/>
                </w:tcPr>
                <w:p w14:paraId="5FAC0D9A">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0.1913</w:t>
                  </w:r>
                </w:p>
              </w:tc>
              <w:tc>
                <w:tcPr>
                  <w:tcW w:w="713" w:type="dxa"/>
                  <w:tcBorders>
                    <w:tl2br w:val="nil"/>
                    <w:tr2bl w:val="nil"/>
                  </w:tcBorders>
                  <w:shd w:val="clear" w:color="auto" w:fill="auto"/>
                  <w:vAlign w:val="center"/>
                </w:tcPr>
                <w:p w14:paraId="3E262D44">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6.3767</w:t>
                  </w:r>
                </w:p>
              </w:tc>
              <w:tc>
                <w:tcPr>
                  <w:tcW w:w="625" w:type="dxa"/>
                  <w:tcBorders>
                    <w:tl2br w:val="nil"/>
                    <w:tr2bl w:val="nil"/>
                  </w:tcBorders>
                  <w:shd w:val="clear" w:color="auto" w:fill="auto"/>
                  <w:vAlign w:val="center"/>
                </w:tcPr>
                <w:p w14:paraId="685006DD">
                  <w:pPr>
                    <w:adjustRightInd w:val="0"/>
                    <w:snapToGrid w:val="0"/>
                    <w:jc w:val="center"/>
                    <w:rPr>
                      <w:rFonts w:hint="default"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0.3672</w:t>
                  </w:r>
                </w:p>
              </w:tc>
              <w:tc>
                <w:tcPr>
                  <w:tcW w:w="579" w:type="dxa"/>
                  <w:tcBorders>
                    <w:tl2br w:val="nil"/>
                    <w:tr2bl w:val="nil"/>
                  </w:tcBorders>
                  <w:shd w:val="clear" w:color="auto" w:fill="auto"/>
                  <w:vAlign w:val="center"/>
                </w:tcPr>
                <w:p w14:paraId="0209B5E5">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0.0918</w:t>
                  </w:r>
                </w:p>
              </w:tc>
              <w:tc>
                <w:tcPr>
                  <w:tcW w:w="600" w:type="dxa"/>
                  <w:tcBorders>
                    <w:tl2br w:val="nil"/>
                    <w:tr2bl w:val="nil"/>
                  </w:tcBorders>
                  <w:shd w:val="clear" w:color="auto" w:fill="auto"/>
                  <w:vAlign w:val="center"/>
                </w:tcPr>
                <w:p w14:paraId="309D55DD">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0.0383</w:t>
                  </w:r>
                </w:p>
              </w:tc>
              <w:tc>
                <w:tcPr>
                  <w:tcW w:w="683" w:type="dxa"/>
                  <w:tcBorders>
                    <w:tl2br w:val="nil"/>
                    <w:tr2bl w:val="nil"/>
                  </w:tcBorders>
                  <w:shd w:val="clear" w:color="auto" w:fill="auto"/>
                  <w:vAlign w:val="center"/>
                </w:tcPr>
                <w:p w14:paraId="1402E5D8">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1.2767</w:t>
                  </w:r>
                </w:p>
              </w:tc>
              <w:tc>
                <w:tcPr>
                  <w:tcW w:w="525" w:type="dxa"/>
                  <w:vMerge w:val="continue"/>
                  <w:tcBorders>
                    <w:tl2br w:val="nil"/>
                    <w:tr2bl w:val="nil"/>
                  </w:tcBorders>
                  <w:shd w:val="clear" w:color="auto" w:fill="auto"/>
                  <w:vAlign w:val="center"/>
                </w:tcPr>
                <w:p w14:paraId="11D96C90">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p>
              </w:tc>
              <w:tc>
                <w:tcPr>
                  <w:tcW w:w="506" w:type="dxa"/>
                  <w:tcBorders>
                    <w:tl2br w:val="nil"/>
                    <w:tr2bl w:val="nil"/>
                  </w:tcBorders>
                  <w:shd w:val="clear" w:color="auto" w:fill="auto"/>
                  <w:vAlign w:val="center"/>
                </w:tcPr>
                <w:p w14:paraId="32167901">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w:t>
                  </w:r>
                </w:p>
              </w:tc>
              <w:tc>
                <w:tcPr>
                  <w:tcW w:w="506" w:type="dxa"/>
                  <w:tcBorders>
                    <w:tl2br w:val="nil"/>
                    <w:tr2bl w:val="nil"/>
                  </w:tcBorders>
                  <w:shd w:val="clear" w:color="auto" w:fill="auto"/>
                  <w:vAlign w:val="center"/>
                </w:tcPr>
                <w:p w14:paraId="2B2174FA">
                  <w:pPr>
                    <w:adjustRightInd w:val="0"/>
                    <w:snapToGrid w:val="0"/>
                    <w:jc w:val="center"/>
                    <w:rPr>
                      <w:rFonts w:hint="eastAsia"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r>
            <w:tr w14:paraId="7A2B43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753" w:type="dxa"/>
                  <w:vMerge w:val="continue"/>
                  <w:tcBorders>
                    <w:tl2br w:val="nil"/>
                    <w:tr2bl w:val="nil"/>
                  </w:tcBorders>
                  <w:shd w:val="clear" w:color="auto" w:fill="auto"/>
                  <w:vAlign w:val="center"/>
                </w:tcPr>
                <w:p w14:paraId="6EFBD0CE">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37" w:type="dxa"/>
                  <w:vMerge w:val="continue"/>
                  <w:tcBorders>
                    <w:tl2br w:val="nil"/>
                    <w:tr2bl w:val="nil"/>
                  </w:tcBorders>
                  <w:shd w:val="clear" w:color="auto" w:fill="auto"/>
                  <w:vAlign w:val="center"/>
                </w:tcPr>
                <w:p w14:paraId="56FBF32D">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63" w:type="dxa"/>
                  <w:tcBorders>
                    <w:tl2br w:val="nil"/>
                    <w:tr2bl w:val="nil"/>
                  </w:tcBorders>
                  <w:shd w:val="clear" w:color="auto" w:fill="auto"/>
                  <w:vAlign w:val="center"/>
                </w:tcPr>
                <w:p w14:paraId="6CD1BE82">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kern w:val="2"/>
                      <w:position w:val="0"/>
                      <w:sz w:val="18"/>
                      <w:szCs w:val="18"/>
                      <w:highlight w:val="none"/>
                      <w:lang w:val="en-US" w:eastAsia="zh-CN" w:bidi="ar-SA"/>
                    </w:rPr>
                    <w:t>无组织</w:t>
                  </w:r>
                </w:p>
              </w:tc>
              <w:tc>
                <w:tcPr>
                  <w:tcW w:w="625" w:type="dxa"/>
                  <w:tcBorders>
                    <w:tl2br w:val="nil"/>
                    <w:tr2bl w:val="nil"/>
                  </w:tcBorders>
                  <w:shd w:val="clear" w:color="auto" w:fill="auto"/>
                  <w:vAlign w:val="center"/>
                </w:tcPr>
                <w:p w14:paraId="1BE7461E">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0.051</w:t>
                  </w:r>
                </w:p>
              </w:tc>
              <w:tc>
                <w:tcPr>
                  <w:tcW w:w="662" w:type="dxa"/>
                  <w:tcBorders>
                    <w:tl2br w:val="nil"/>
                    <w:tr2bl w:val="nil"/>
                  </w:tcBorders>
                  <w:shd w:val="clear" w:color="auto" w:fill="auto"/>
                  <w:vAlign w:val="center"/>
                </w:tcPr>
                <w:p w14:paraId="357F9B9B">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0.0213</w:t>
                  </w:r>
                </w:p>
              </w:tc>
              <w:tc>
                <w:tcPr>
                  <w:tcW w:w="713" w:type="dxa"/>
                  <w:tcBorders>
                    <w:tl2br w:val="nil"/>
                    <w:tr2bl w:val="nil"/>
                  </w:tcBorders>
                  <w:shd w:val="clear" w:color="auto" w:fill="auto"/>
                  <w:vAlign w:val="center"/>
                </w:tcPr>
                <w:p w14:paraId="54BF07E7">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625" w:type="dxa"/>
                  <w:tcBorders>
                    <w:tl2br w:val="nil"/>
                    <w:tr2bl w:val="nil"/>
                  </w:tcBorders>
                  <w:shd w:val="clear" w:color="auto" w:fill="auto"/>
                  <w:vAlign w:val="center"/>
                </w:tcPr>
                <w:p w14:paraId="5FCBED31">
                  <w:pPr>
                    <w:adjustRightInd w:val="0"/>
                    <w:snapToGrid w:val="0"/>
                    <w:jc w:val="center"/>
                    <w:rPr>
                      <w:rFonts w:hint="default"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579" w:type="dxa"/>
                  <w:tcBorders>
                    <w:tl2br w:val="nil"/>
                    <w:tr2bl w:val="nil"/>
                  </w:tcBorders>
                  <w:shd w:val="clear" w:color="auto" w:fill="auto"/>
                  <w:vAlign w:val="center"/>
                </w:tcPr>
                <w:p w14:paraId="2118F867">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kern w:val="2"/>
                      <w:position w:val="0"/>
                      <w:sz w:val="18"/>
                      <w:szCs w:val="18"/>
                      <w:highlight w:val="none"/>
                      <w:lang w:val="en-US" w:eastAsia="zh-CN" w:bidi="ar-SA"/>
                    </w:rPr>
                    <w:t>0.051</w:t>
                  </w:r>
                </w:p>
              </w:tc>
              <w:tc>
                <w:tcPr>
                  <w:tcW w:w="600" w:type="dxa"/>
                  <w:tcBorders>
                    <w:tl2br w:val="nil"/>
                    <w:tr2bl w:val="nil"/>
                  </w:tcBorders>
                  <w:shd w:val="clear" w:color="auto" w:fill="auto"/>
                  <w:vAlign w:val="center"/>
                </w:tcPr>
                <w:p w14:paraId="21A8143E">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kern w:val="2"/>
                      <w:position w:val="0"/>
                      <w:sz w:val="18"/>
                      <w:szCs w:val="18"/>
                      <w:highlight w:val="none"/>
                      <w:lang w:val="en-US" w:eastAsia="zh-CN" w:bidi="ar-SA"/>
                    </w:rPr>
                    <w:t>0.0213</w:t>
                  </w:r>
                </w:p>
              </w:tc>
              <w:tc>
                <w:tcPr>
                  <w:tcW w:w="683" w:type="dxa"/>
                  <w:tcBorders>
                    <w:tl2br w:val="nil"/>
                    <w:tr2bl w:val="nil"/>
                  </w:tcBorders>
                  <w:shd w:val="clear" w:color="auto" w:fill="auto"/>
                  <w:vAlign w:val="center"/>
                </w:tcPr>
                <w:p w14:paraId="2C8A2326">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525" w:type="dxa"/>
                  <w:vMerge w:val="continue"/>
                  <w:tcBorders>
                    <w:tl2br w:val="nil"/>
                    <w:tr2bl w:val="nil"/>
                  </w:tcBorders>
                  <w:shd w:val="clear" w:color="auto" w:fill="auto"/>
                  <w:vAlign w:val="center"/>
                </w:tcPr>
                <w:p w14:paraId="2888640F">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p>
              </w:tc>
              <w:tc>
                <w:tcPr>
                  <w:tcW w:w="506" w:type="dxa"/>
                  <w:tcBorders>
                    <w:tl2br w:val="nil"/>
                    <w:tr2bl w:val="nil"/>
                  </w:tcBorders>
                  <w:shd w:val="clear" w:color="auto" w:fill="auto"/>
                  <w:vAlign w:val="center"/>
                </w:tcPr>
                <w:p w14:paraId="6579BD36">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w:t>
                  </w:r>
                </w:p>
              </w:tc>
              <w:tc>
                <w:tcPr>
                  <w:tcW w:w="506" w:type="dxa"/>
                  <w:tcBorders>
                    <w:tl2br w:val="nil"/>
                    <w:tr2bl w:val="nil"/>
                  </w:tcBorders>
                  <w:shd w:val="clear" w:color="auto" w:fill="auto"/>
                  <w:vAlign w:val="center"/>
                </w:tcPr>
                <w:p w14:paraId="3083DAEA">
                  <w:pPr>
                    <w:adjustRightInd w:val="0"/>
                    <w:snapToGrid w:val="0"/>
                    <w:jc w:val="center"/>
                    <w:rPr>
                      <w:rFonts w:hint="eastAsia"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r>
            <w:tr w14:paraId="5EFA3E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753" w:type="dxa"/>
                  <w:vMerge w:val="continue"/>
                  <w:tcBorders>
                    <w:tl2br w:val="nil"/>
                    <w:tr2bl w:val="nil"/>
                  </w:tcBorders>
                  <w:shd w:val="clear" w:color="auto" w:fill="auto"/>
                  <w:vAlign w:val="center"/>
                </w:tcPr>
                <w:p w14:paraId="3619DDFD">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37" w:type="dxa"/>
                  <w:vMerge w:val="restart"/>
                  <w:tcBorders>
                    <w:tl2br w:val="nil"/>
                    <w:tr2bl w:val="nil"/>
                  </w:tcBorders>
                  <w:shd w:val="clear" w:color="auto" w:fill="auto"/>
                  <w:vAlign w:val="center"/>
                </w:tcPr>
                <w:p w14:paraId="39534432">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r>
                    <w:rPr>
                      <w:rFonts w:hint="eastAsia" w:ascii="Times New Roman" w:hAnsi="Times New Roman" w:eastAsia="宋体" w:cs="Times New Roman"/>
                      <w:b w:val="0"/>
                      <w:bCs w:val="0"/>
                      <w:color w:val="auto"/>
                      <w:spacing w:val="0"/>
                      <w:position w:val="0"/>
                      <w:sz w:val="18"/>
                      <w:szCs w:val="18"/>
                      <w:highlight w:val="none"/>
                      <w:lang w:val="en-US" w:eastAsia="zh-CN"/>
                    </w:rPr>
                    <w:t>非甲烷</w:t>
                  </w:r>
                </w:p>
                <w:p w14:paraId="063395CD">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r>
                    <w:rPr>
                      <w:rFonts w:hint="eastAsia" w:ascii="Times New Roman" w:hAnsi="Times New Roman" w:eastAsia="宋体" w:cs="Times New Roman"/>
                      <w:b w:val="0"/>
                      <w:bCs w:val="0"/>
                      <w:color w:val="auto"/>
                      <w:spacing w:val="0"/>
                      <w:position w:val="0"/>
                      <w:sz w:val="18"/>
                      <w:szCs w:val="18"/>
                      <w:highlight w:val="none"/>
                      <w:lang w:val="en-US" w:eastAsia="zh-CN"/>
                    </w:rPr>
                    <w:t>总烃</w:t>
                  </w:r>
                </w:p>
              </w:tc>
              <w:tc>
                <w:tcPr>
                  <w:tcW w:w="663" w:type="dxa"/>
                  <w:tcBorders>
                    <w:tl2br w:val="nil"/>
                    <w:tr2bl w:val="nil"/>
                  </w:tcBorders>
                  <w:shd w:val="clear" w:color="auto" w:fill="auto"/>
                  <w:vAlign w:val="center"/>
                </w:tcPr>
                <w:p w14:paraId="6DB2010E">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有组织</w:t>
                  </w:r>
                </w:p>
              </w:tc>
              <w:tc>
                <w:tcPr>
                  <w:tcW w:w="625" w:type="dxa"/>
                  <w:tcBorders>
                    <w:tl2br w:val="nil"/>
                    <w:tr2bl w:val="nil"/>
                  </w:tcBorders>
                  <w:shd w:val="clear" w:color="auto" w:fill="auto"/>
                  <w:vAlign w:val="center"/>
                </w:tcPr>
                <w:p w14:paraId="503D653C">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1.3986</w:t>
                  </w:r>
                </w:p>
              </w:tc>
              <w:tc>
                <w:tcPr>
                  <w:tcW w:w="662" w:type="dxa"/>
                  <w:tcBorders>
                    <w:tl2br w:val="nil"/>
                    <w:tr2bl w:val="nil"/>
                  </w:tcBorders>
                  <w:shd w:val="clear" w:color="auto" w:fill="auto"/>
                  <w:vAlign w:val="center"/>
                </w:tcPr>
                <w:p w14:paraId="0D412F26">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0.5828</w:t>
                  </w:r>
                </w:p>
              </w:tc>
              <w:tc>
                <w:tcPr>
                  <w:tcW w:w="713" w:type="dxa"/>
                  <w:tcBorders>
                    <w:tl2br w:val="nil"/>
                    <w:tr2bl w:val="nil"/>
                  </w:tcBorders>
                  <w:shd w:val="clear" w:color="auto" w:fill="auto"/>
                  <w:vAlign w:val="center"/>
                </w:tcPr>
                <w:p w14:paraId="5186351B">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19.4267</w:t>
                  </w:r>
                </w:p>
              </w:tc>
              <w:tc>
                <w:tcPr>
                  <w:tcW w:w="625" w:type="dxa"/>
                  <w:tcBorders>
                    <w:tl2br w:val="nil"/>
                    <w:tr2bl w:val="nil"/>
                  </w:tcBorders>
                  <w:shd w:val="clear" w:color="auto" w:fill="auto"/>
                  <w:vAlign w:val="center"/>
                </w:tcPr>
                <w:p w14:paraId="34D652BA">
                  <w:pPr>
                    <w:adjustRightInd w:val="0"/>
                    <w:snapToGrid w:val="0"/>
                    <w:jc w:val="center"/>
                    <w:rPr>
                      <w:rFonts w:hint="default"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1.1189</w:t>
                  </w:r>
                </w:p>
              </w:tc>
              <w:tc>
                <w:tcPr>
                  <w:tcW w:w="579" w:type="dxa"/>
                  <w:tcBorders>
                    <w:tl2br w:val="nil"/>
                    <w:tr2bl w:val="nil"/>
                  </w:tcBorders>
                  <w:shd w:val="clear" w:color="auto" w:fill="auto"/>
                  <w:vAlign w:val="center"/>
                </w:tcPr>
                <w:p w14:paraId="0512D248">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0.2797</w:t>
                  </w:r>
                </w:p>
              </w:tc>
              <w:tc>
                <w:tcPr>
                  <w:tcW w:w="600" w:type="dxa"/>
                  <w:tcBorders>
                    <w:tl2br w:val="nil"/>
                    <w:tr2bl w:val="nil"/>
                  </w:tcBorders>
                  <w:shd w:val="clear" w:color="auto" w:fill="auto"/>
                  <w:vAlign w:val="center"/>
                </w:tcPr>
                <w:p w14:paraId="7D899BC9">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0.1165</w:t>
                  </w:r>
                </w:p>
              </w:tc>
              <w:tc>
                <w:tcPr>
                  <w:tcW w:w="683" w:type="dxa"/>
                  <w:tcBorders>
                    <w:tl2br w:val="nil"/>
                    <w:tr2bl w:val="nil"/>
                  </w:tcBorders>
                  <w:shd w:val="clear" w:color="auto" w:fill="auto"/>
                  <w:vAlign w:val="center"/>
                </w:tcPr>
                <w:p w14:paraId="5BBF7766">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3.8833</w:t>
                  </w:r>
                </w:p>
              </w:tc>
              <w:tc>
                <w:tcPr>
                  <w:tcW w:w="525" w:type="dxa"/>
                  <w:vMerge w:val="continue"/>
                  <w:tcBorders>
                    <w:tl2br w:val="nil"/>
                    <w:tr2bl w:val="nil"/>
                  </w:tcBorders>
                  <w:shd w:val="clear" w:color="auto" w:fill="auto"/>
                  <w:vAlign w:val="center"/>
                </w:tcPr>
                <w:p w14:paraId="03915FB3">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p>
              </w:tc>
              <w:tc>
                <w:tcPr>
                  <w:tcW w:w="506" w:type="dxa"/>
                  <w:tcBorders>
                    <w:tl2br w:val="nil"/>
                    <w:tr2bl w:val="nil"/>
                  </w:tcBorders>
                  <w:shd w:val="clear" w:color="auto" w:fill="auto"/>
                  <w:vAlign w:val="center"/>
                </w:tcPr>
                <w:p w14:paraId="58783F0A">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10.3</w:t>
                  </w:r>
                </w:p>
              </w:tc>
              <w:tc>
                <w:tcPr>
                  <w:tcW w:w="506" w:type="dxa"/>
                  <w:tcBorders>
                    <w:tl2br w:val="nil"/>
                    <w:tr2bl w:val="nil"/>
                  </w:tcBorders>
                  <w:shd w:val="clear" w:color="auto" w:fill="auto"/>
                  <w:vAlign w:val="center"/>
                </w:tcPr>
                <w:p w14:paraId="02339363">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60</w:t>
                  </w:r>
                </w:p>
              </w:tc>
            </w:tr>
            <w:tr w14:paraId="385FBD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753" w:type="dxa"/>
                  <w:vMerge w:val="continue"/>
                  <w:tcBorders>
                    <w:tl2br w:val="nil"/>
                    <w:tr2bl w:val="nil"/>
                  </w:tcBorders>
                  <w:shd w:val="clear" w:color="auto" w:fill="auto"/>
                  <w:vAlign w:val="center"/>
                </w:tcPr>
                <w:p w14:paraId="20CB35AC">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37" w:type="dxa"/>
                  <w:vMerge w:val="continue"/>
                  <w:tcBorders>
                    <w:tl2br w:val="nil"/>
                    <w:tr2bl w:val="nil"/>
                  </w:tcBorders>
                  <w:shd w:val="clear" w:color="auto" w:fill="auto"/>
                  <w:vAlign w:val="center"/>
                </w:tcPr>
                <w:p w14:paraId="01E657D6">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63" w:type="dxa"/>
                  <w:tcBorders>
                    <w:tl2br w:val="nil"/>
                    <w:tr2bl w:val="nil"/>
                  </w:tcBorders>
                  <w:shd w:val="clear" w:color="auto" w:fill="auto"/>
                  <w:vAlign w:val="center"/>
                </w:tcPr>
                <w:p w14:paraId="7F24D839">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无组织</w:t>
                  </w:r>
                </w:p>
              </w:tc>
              <w:tc>
                <w:tcPr>
                  <w:tcW w:w="625" w:type="dxa"/>
                  <w:tcBorders>
                    <w:tl2br w:val="nil"/>
                    <w:tr2bl w:val="nil"/>
                  </w:tcBorders>
                  <w:shd w:val="clear" w:color="auto" w:fill="auto"/>
                  <w:vAlign w:val="center"/>
                </w:tcPr>
                <w:p w14:paraId="1B9431C5">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0.1554</w:t>
                  </w:r>
                </w:p>
              </w:tc>
              <w:tc>
                <w:tcPr>
                  <w:tcW w:w="662" w:type="dxa"/>
                  <w:tcBorders>
                    <w:tl2br w:val="nil"/>
                    <w:tr2bl w:val="nil"/>
                  </w:tcBorders>
                  <w:shd w:val="clear" w:color="auto" w:fill="auto"/>
                  <w:vAlign w:val="center"/>
                </w:tcPr>
                <w:p w14:paraId="576B91A6">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0.0648</w:t>
                  </w:r>
                </w:p>
              </w:tc>
              <w:tc>
                <w:tcPr>
                  <w:tcW w:w="713" w:type="dxa"/>
                  <w:tcBorders>
                    <w:tl2br w:val="nil"/>
                    <w:tr2bl w:val="nil"/>
                  </w:tcBorders>
                  <w:shd w:val="clear" w:color="auto" w:fill="auto"/>
                  <w:vAlign w:val="center"/>
                </w:tcPr>
                <w:p w14:paraId="30BAA716">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625" w:type="dxa"/>
                  <w:tcBorders>
                    <w:tl2br w:val="nil"/>
                    <w:tr2bl w:val="nil"/>
                  </w:tcBorders>
                  <w:shd w:val="clear" w:color="auto" w:fill="auto"/>
                  <w:vAlign w:val="center"/>
                </w:tcPr>
                <w:p w14:paraId="00ACDF83">
                  <w:pPr>
                    <w:adjustRightInd w:val="0"/>
                    <w:snapToGrid w:val="0"/>
                    <w:jc w:val="center"/>
                    <w:rPr>
                      <w:rFonts w:hint="default"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579" w:type="dxa"/>
                  <w:tcBorders>
                    <w:tl2br w:val="nil"/>
                    <w:tr2bl w:val="nil"/>
                  </w:tcBorders>
                  <w:shd w:val="clear" w:color="auto" w:fill="auto"/>
                  <w:vAlign w:val="center"/>
                </w:tcPr>
                <w:p w14:paraId="3E4E70E5">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0.1554</w:t>
                  </w:r>
                </w:p>
              </w:tc>
              <w:tc>
                <w:tcPr>
                  <w:tcW w:w="600" w:type="dxa"/>
                  <w:tcBorders>
                    <w:tl2br w:val="nil"/>
                    <w:tr2bl w:val="nil"/>
                  </w:tcBorders>
                  <w:shd w:val="clear" w:color="auto" w:fill="auto"/>
                  <w:vAlign w:val="center"/>
                </w:tcPr>
                <w:p w14:paraId="744815CF">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0.0648</w:t>
                  </w:r>
                </w:p>
              </w:tc>
              <w:tc>
                <w:tcPr>
                  <w:tcW w:w="683" w:type="dxa"/>
                  <w:tcBorders>
                    <w:tl2br w:val="nil"/>
                    <w:tr2bl w:val="nil"/>
                  </w:tcBorders>
                  <w:shd w:val="clear" w:color="auto" w:fill="auto"/>
                  <w:vAlign w:val="center"/>
                </w:tcPr>
                <w:p w14:paraId="193DAF08">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525" w:type="dxa"/>
                  <w:vMerge w:val="continue"/>
                  <w:tcBorders>
                    <w:tl2br w:val="nil"/>
                    <w:tr2bl w:val="nil"/>
                  </w:tcBorders>
                  <w:shd w:val="clear" w:color="auto" w:fill="auto"/>
                  <w:vAlign w:val="center"/>
                </w:tcPr>
                <w:p w14:paraId="1E15139B">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p>
              </w:tc>
              <w:tc>
                <w:tcPr>
                  <w:tcW w:w="506" w:type="dxa"/>
                  <w:tcBorders>
                    <w:tl2br w:val="nil"/>
                    <w:tr2bl w:val="nil"/>
                  </w:tcBorders>
                  <w:shd w:val="clear" w:color="auto" w:fill="auto"/>
                  <w:vAlign w:val="center"/>
                </w:tcPr>
                <w:p w14:paraId="2DCE560E">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506" w:type="dxa"/>
                  <w:tcBorders>
                    <w:tl2br w:val="nil"/>
                    <w:tr2bl w:val="nil"/>
                  </w:tcBorders>
                  <w:shd w:val="clear" w:color="auto" w:fill="auto"/>
                  <w:vAlign w:val="center"/>
                </w:tcPr>
                <w:p w14:paraId="77322E03">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2.0</w:t>
                  </w:r>
                </w:p>
              </w:tc>
            </w:tr>
            <w:tr w14:paraId="397823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3" w:type="dxa"/>
                  <w:vMerge w:val="continue"/>
                  <w:tcBorders>
                    <w:tl2br w:val="nil"/>
                    <w:tr2bl w:val="nil"/>
                  </w:tcBorders>
                  <w:shd w:val="clear" w:color="auto" w:fill="auto"/>
                  <w:vAlign w:val="center"/>
                </w:tcPr>
                <w:p w14:paraId="2A14CC6B">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eastAsia="zh-CN"/>
                    </w:rPr>
                  </w:pPr>
                </w:p>
              </w:tc>
              <w:tc>
                <w:tcPr>
                  <w:tcW w:w="637" w:type="dxa"/>
                  <w:vMerge w:val="restart"/>
                  <w:tcBorders>
                    <w:tl2br w:val="nil"/>
                    <w:tr2bl w:val="nil"/>
                  </w:tcBorders>
                  <w:shd w:val="clear" w:color="auto" w:fill="auto"/>
                  <w:vAlign w:val="center"/>
                </w:tcPr>
                <w:p w14:paraId="68E400F0">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r>
                    <w:rPr>
                      <w:rFonts w:hint="eastAsia" w:ascii="Times New Roman" w:hAnsi="Times New Roman" w:eastAsia="宋体" w:cs="Times New Roman"/>
                      <w:b w:val="0"/>
                      <w:bCs w:val="0"/>
                      <w:color w:val="auto"/>
                      <w:spacing w:val="0"/>
                      <w:position w:val="0"/>
                      <w:sz w:val="18"/>
                      <w:szCs w:val="18"/>
                      <w:highlight w:val="none"/>
                      <w:lang w:val="en-US" w:eastAsia="zh-CN"/>
                    </w:rPr>
                    <w:t>颗粒物</w:t>
                  </w:r>
                  <w:r>
                    <w:rPr>
                      <w:rFonts w:hint="eastAsia" w:cs="Times New Roman"/>
                      <w:b w:val="0"/>
                      <w:bCs w:val="0"/>
                      <w:color w:val="auto"/>
                      <w:spacing w:val="0"/>
                      <w:position w:val="0"/>
                      <w:sz w:val="18"/>
                      <w:szCs w:val="18"/>
                      <w:highlight w:val="none"/>
                      <w:lang w:val="en-US" w:eastAsia="zh-CN"/>
                    </w:rPr>
                    <w:t>（漆雾）</w:t>
                  </w:r>
                </w:p>
              </w:tc>
              <w:tc>
                <w:tcPr>
                  <w:tcW w:w="663" w:type="dxa"/>
                  <w:tcBorders>
                    <w:tl2br w:val="nil"/>
                    <w:tr2bl w:val="nil"/>
                  </w:tcBorders>
                  <w:shd w:val="clear" w:color="auto" w:fill="auto"/>
                  <w:vAlign w:val="center"/>
                </w:tcPr>
                <w:p w14:paraId="0836EE61">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有组织</w:t>
                  </w:r>
                </w:p>
              </w:tc>
              <w:tc>
                <w:tcPr>
                  <w:tcW w:w="625" w:type="dxa"/>
                  <w:tcBorders>
                    <w:tl2br w:val="nil"/>
                    <w:tr2bl w:val="nil"/>
                  </w:tcBorders>
                  <w:shd w:val="clear" w:color="auto" w:fill="auto"/>
                  <w:vAlign w:val="center"/>
                </w:tcPr>
                <w:p w14:paraId="022F8FD6">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2.1357</w:t>
                  </w:r>
                </w:p>
              </w:tc>
              <w:tc>
                <w:tcPr>
                  <w:tcW w:w="662" w:type="dxa"/>
                  <w:tcBorders>
                    <w:tl2br w:val="nil"/>
                    <w:tr2bl w:val="nil"/>
                  </w:tcBorders>
                  <w:shd w:val="clear" w:color="auto" w:fill="auto"/>
                  <w:vAlign w:val="center"/>
                </w:tcPr>
                <w:p w14:paraId="0E23D6A5">
                  <w:pPr>
                    <w:pStyle w:val="27"/>
                    <w:keepNext w:val="0"/>
                    <w:keepLines w:val="0"/>
                    <w:pageBreakBefore w:val="0"/>
                    <w:widowControl/>
                    <w:kinsoku/>
                    <w:wordWrap/>
                    <w:overflowPunct w:val="0"/>
                    <w:topLinePunct w:val="0"/>
                    <w:autoSpaceDE w:val="0"/>
                    <w:autoSpaceDN w:val="0"/>
                    <w:bidi w:val="0"/>
                    <w:adjustRightInd/>
                    <w:snapToGrid w:val="0"/>
                    <w:spacing w:before="0" w:after="0" w:line="240" w:lineRule="auto"/>
                    <w:ind w:right="0" w:rightChars="0" w:firstLine="0" w:firstLineChars="0"/>
                    <w:jc w:val="center"/>
                    <w:textAlignment w:val="baseline"/>
                    <w:rPr>
                      <w:rFonts w:hint="default" w:ascii="Times New Roman" w:hAnsi="Times New Roman" w:eastAsia="宋体" w:cs="Times New Roman"/>
                      <w:color w:val="auto"/>
                      <w:spacing w:val="0"/>
                      <w:kern w:val="0"/>
                      <w:sz w:val="18"/>
                      <w:szCs w:val="20"/>
                      <w:highlight w:val="none"/>
                      <w:lang w:val="en-US" w:eastAsia="zh-CN" w:bidi="ar-SA"/>
                    </w:rPr>
                  </w:pPr>
                  <w:r>
                    <w:rPr>
                      <w:rFonts w:hint="eastAsia" w:cs="Times New Roman"/>
                      <w:color w:val="auto"/>
                      <w:spacing w:val="0"/>
                      <w:kern w:val="0"/>
                      <w:sz w:val="18"/>
                      <w:szCs w:val="20"/>
                      <w:highlight w:val="none"/>
                      <w:lang w:val="en-US" w:eastAsia="zh-CN" w:bidi="ar-SA"/>
                    </w:rPr>
                    <w:t>0.8899</w:t>
                  </w:r>
                </w:p>
              </w:tc>
              <w:tc>
                <w:tcPr>
                  <w:tcW w:w="713" w:type="dxa"/>
                  <w:tcBorders>
                    <w:tl2br w:val="nil"/>
                    <w:tr2bl w:val="nil"/>
                  </w:tcBorders>
                  <w:shd w:val="clear" w:color="auto" w:fill="auto"/>
                  <w:vAlign w:val="center"/>
                </w:tcPr>
                <w:p w14:paraId="6264ED4E">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29.6633</w:t>
                  </w:r>
                </w:p>
              </w:tc>
              <w:tc>
                <w:tcPr>
                  <w:tcW w:w="625" w:type="dxa"/>
                  <w:tcBorders>
                    <w:tl2br w:val="nil"/>
                    <w:tr2bl w:val="nil"/>
                  </w:tcBorders>
                  <w:shd w:val="clear" w:color="auto" w:fill="auto"/>
                  <w:vAlign w:val="center"/>
                </w:tcPr>
                <w:p w14:paraId="48F7BDED">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2.0716</w:t>
                  </w:r>
                </w:p>
              </w:tc>
              <w:tc>
                <w:tcPr>
                  <w:tcW w:w="579" w:type="dxa"/>
                  <w:tcBorders>
                    <w:tl2br w:val="nil"/>
                    <w:tr2bl w:val="nil"/>
                  </w:tcBorders>
                  <w:shd w:val="clear" w:color="auto" w:fill="auto"/>
                  <w:vAlign w:val="center"/>
                </w:tcPr>
                <w:p w14:paraId="0E0F6D58">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0.0641</w:t>
                  </w:r>
                </w:p>
              </w:tc>
              <w:tc>
                <w:tcPr>
                  <w:tcW w:w="600" w:type="dxa"/>
                  <w:tcBorders>
                    <w:tl2br w:val="nil"/>
                    <w:tr2bl w:val="nil"/>
                  </w:tcBorders>
                  <w:shd w:val="clear" w:color="auto" w:fill="auto"/>
                  <w:vAlign w:val="center"/>
                </w:tcPr>
                <w:p w14:paraId="0B56502C">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0.0267</w:t>
                  </w:r>
                </w:p>
              </w:tc>
              <w:tc>
                <w:tcPr>
                  <w:tcW w:w="683" w:type="dxa"/>
                  <w:tcBorders>
                    <w:tl2br w:val="nil"/>
                    <w:tr2bl w:val="nil"/>
                  </w:tcBorders>
                  <w:shd w:val="clear" w:color="auto" w:fill="auto"/>
                  <w:vAlign w:val="center"/>
                </w:tcPr>
                <w:p w14:paraId="44B33A9D">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0.89</w:t>
                  </w:r>
                </w:p>
              </w:tc>
              <w:tc>
                <w:tcPr>
                  <w:tcW w:w="525" w:type="dxa"/>
                  <w:vMerge w:val="continue"/>
                  <w:tcBorders>
                    <w:tl2br w:val="nil"/>
                    <w:tr2bl w:val="nil"/>
                  </w:tcBorders>
                  <w:shd w:val="clear" w:color="auto" w:fill="auto"/>
                  <w:vAlign w:val="center"/>
                </w:tcPr>
                <w:p w14:paraId="78D424A7">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p>
              </w:tc>
              <w:tc>
                <w:tcPr>
                  <w:tcW w:w="506" w:type="dxa"/>
                  <w:tcBorders>
                    <w:tl2br w:val="nil"/>
                    <w:tr2bl w:val="nil"/>
                  </w:tcBorders>
                  <w:shd w:val="clear" w:color="auto" w:fill="auto"/>
                  <w:vAlign w:val="center"/>
                </w:tcPr>
                <w:p w14:paraId="2700A629">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7.225</w:t>
                  </w:r>
                </w:p>
              </w:tc>
              <w:tc>
                <w:tcPr>
                  <w:tcW w:w="506" w:type="dxa"/>
                  <w:tcBorders>
                    <w:tl2br w:val="nil"/>
                    <w:tr2bl w:val="nil"/>
                  </w:tcBorders>
                  <w:shd w:val="clear" w:color="auto" w:fill="auto"/>
                  <w:vAlign w:val="center"/>
                </w:tcPr>
                <w:p w14:paraId="66126AC0">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120</w:t>
                  </w:r>
                </w:p>
              </w:tc>
            </w:tr>
            <w:tr w14:paraId="713363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753" w:type="dxa"/>
                  <w:vMerge w:val="continue"/>
                  <w:tcBorders>
                    <w:tl2br w:val="nil"/>
                    <w:tr2bl w:val="nil"/>
                  </w:tcBorders>
                  <w:shd w:val="clear" w:color="auto" w:fill="auto"/>
                  <w:vAlign w:val="center"/>
                </w:tcPr>
                <w:p w14:paraId="6824547F">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37" w:type="dxa"/>
                  <w:vMerge w:val="continue"/>
                  <w:tcBorders>
                    <w:tl2br w:val="nil"/>
                    <w:tr2bl w:val="nil"/>
                  </w:tcBorders>
                  <w:shd w:val="clear" w:color="auto" w:fill="auto"/>
                  <w:vAlign w:val="center"/>
                </w:tcPr>
                <w:p w14:paraId="7A6F9096">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63" w:type="dxa"/>
                  <w:tcBorders>
                    <w:tl2br w:val="nil"/>
                    <w:tr2bl w:val="nil"/>
                  </w:tcBorders>
                  <w:shd w:val="clear" w:color="auto" w:fill="auto"/>
                  <w:vAlign w:val="center"/>
                </w:tcPr>
                <w:p w14:paraId="281D7AFF">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无组织</w:t>
                  </w:r>
                </w:p>
              </w:tc>
              <w:tc>
                <w:tcPr>
                  <w:tcW w:w="625" w:type="dxa"/>
                  <w:tcBorders>
                    <w:tl2br w:val="nil"/>
                    <w:tr2bl w:val="nil"/>
                  </w:tcBorders>
                  <w:shd w:val="clear" w:color="auto" w:fill="auto"/>
                  <w:vAlign w:val="center"/>
                </w:tcPr>
                <w:p w14:paraId="03361713">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0.2373</w:t>
                  </w:r>
                </w:p>
              </w:tc>
              <w:tc>
                <w:tcPr>
                  <w:tcW w:w="662" w:type="dxa"/>
                  <w:tcBorders>
                    <w:tl2br w:val="nil"/>
                    <w:tr2bl w:val="nil"/>
                  </w:tcBorders>
                  <w:shd w:val="clear" w:color="auto" w:fill="auto"/>
                  <w:vAlign w:val="center"/>
                </w:tcPr>
                <w:p w14:paraId="387AE722">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0.0989</w:t>
                  </w:r>
                </w:p>
              </w:tc>
              <w:tc>
                <w:tcPr>
                  <w:tcW w:w="713" w:type="dxa"/>
                  <w:tcBorders>
                    <w:tl2br w:val="nil"/>
                    <w:tr2bl w:val="nil"/>
                  </w:tcBorders>
                  <w:shd w:val="clear" w:color="auto" w:fill="auto"/>
                  <w:vAlign w:val="center"/>
                </w:tcPr>
                <w:p w14:paraId="1DEB2F3E">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w:t>
                  </w:r>
                </w:p>
              </w:tc>
              <w:tc>
                <w:tcPr>
                  <w:tcW w:w="625" w:type="dxa"/>
                  <w:tcBorders>
                    <w:tl2br w:val="nil"/>
                    <w:tr2bl w:val="nil"/>
                  </w:tcBorders>
                  <w:shd w:val="clear" w:color="auto" w:fill="auto"/>
                  <w:vAlign w:val="center"/>
                </w:tcPr>
                <w:p w14:paraId="4453F7FF">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0.0712</w:t>
                  </w:r>
                </w:p>
              </w:tc>
              <w:tc>
                <w:tcPr>
                  <w:tcW w:w="579" w:type="dxa"/>
                  <w:tcBorders>
                    <w:tl2br w:val="nil"/>
                    <w:tr2bl w:val="nil"/>
                  </w:tcBorders>
                  <w:shd w:val="clear" w:color="auto" w:fill="auto"/>
                  <w:vAlign w:val="center"/>
                </w:tcPr>
                <w:p w14:paraId="543249F2">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0.1661</w:t>
                  </w:r>
                </w:p>
              </w:tc>
              <w:tc>
                <w:tcPr>
                  <w:tcW w:w="600" w:type="dxa"/>
                  <w:tcBorders>
                    <w:tl2br w:val="nil"/>
                    <w:tr2bl w:val="nil"/>
                  </w:tcBorders>
                  <w:shd w:val="clear" w:color="auto" w:fill="auto"/>
                  <w:vAlign w:val="center"/>
                </w:tcPr>
                <w:p w14:paraId="7E1AB02F">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0.0692</w:t>
                  </w:r>
                </w:p>
              </w:tc>
              <w:tc>
                <w:tcPr>
                  <w:tcW w:w="683" w:type="dxa"/>
                  <w:tcBorders>
                    <w:tl2br w:val="nil"/>
                    <w:tr2bl w:val="nil"/>
                  </w:tcBorders>
                  <w:shd w:val="clear" w:color="auto" w:fill="auto"/>
                  <w:vAlign w:val="center"/>
                </w:tcPr>
                <w:p w14:paraId="34175237">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w:t>
                  </w:r>
                </w:p>
              </w:tc>
              <w:tc>
                <w:tcPr>
                  <w:tcW w:w="525" w:type="dxa"/>
                  <w:vMerge w:val="continue"/>
                  <w:tcBorders>
                    <w:tl2br w:val="nil"/>
                    <w:tr2bl w:val="nil"/>
                  </w:tcBorders>
                  <w:shd w:val="clear" w:color="auto" w:fill="auto"/>
                  <w:vAlign w:val="center"/>
                </w:tcPr>
                <w:p w14:paraId="6536579D">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p>
              </w:tc>
              <w:tc>
                <w:tcPr>
                  <w:tcW w:w="506" w:type="dxa"/>
                  <w:tcBorders>
                    <w:tl2br w:val="nil"/>
                    <w:tr2bl w:val="nil"/>
                  </w:tcBorders>
                  <w:shd w:val="clear" w:color="auto" w:fill="auto"/>
                  <w:vAlign w:val="center"/>
                </w:tcPr>
                <w:p w14:paraId="459AE65D">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w:t>
                  </w:r>
                </w:p>
              </w:tc>
              <w:tc>
                <w:tcPr>
                  <w:tcW w:w="506" w:type="dxa"/>
                  <w:tcBorders>
                    <w:tl2br w:val="nil"/>
                    <w:tr2bl w:val="nil"/>
                  </w:tcBorders>
                  <w:shd w:val="clear" w:color="auto" w:fill="auto"/>
                  <w:vAlign w:val="center"/>
                </w:tcPr>
                <w:p w14:paraId="1FB4E7FF">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1.0</w:t>
                  </w:r>
                </w:p>
              </w:tc>
            </w:tr>
            <w:tr w14:paraId="1BBEE9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753" w:type="dxa"/>
                  <w:vMerge w:val="continue"/>
                  <w:tcBorders>
                    <w:tl2br w:val="nil"/>
                    <w:tr2bl w:val="nil"/>
                  </w:tcBorders>
                  <w:shd w:val="clear" w:color="auto" w:fill="auto"/>
                  <w:vAlign w:val="center"/>
                </w:tcPr>
                <w:p w14:paraId="5C93D99D">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37" w:type="dxa"/>
                  <w:vMerge w:val="restart"/>
                  <w:tcBorders>
                    <w:tl2br w:val="nil"/>
                    <w:tr2bl w:val="nil"/>
                  </w:tcBorders>
                  <w:shd w:val="clear" w:color="auto" w:fill="auto"/>
                  <w:vAlign w:val="center"/>
                </w:tcPr>
                <w:p w14:paraId="0A32AEC1">
                  <w:pPr>
                    <w:adjustRightInd w:val="0"/>
                    <w:snapToGrid w:val="0"/>
                    <w:jc w:val="center"/>
                    <w:rPr>
                      <w:rFonts w:hint="default" w:ascii="Times New Roman" w:hAnsi="Times New Roman" w:eastAsia="宋体"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乙酸乙酯与乙酸丁酯合计</w:t>
                  </w:r>
                </w:p>
              </w:tc>
              <w:tc>
                <w:tcPr>
                  <w:tcW w:w="663" w:type="dxa"/>
                  <w:tcBorders>
                    <w:tl2br w:val="nil"/>
                    <w:tr2bl w:val="nil"/>
                  </w:tcBorders>
                  <w:shd w:val="clear" w:color="auto" w:fill="auto"/>
                  <w:vAlign w:val="center"/>
                </w:tcPr>
                <w:p w14:paraId="1641D396">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有组织</w:t>
                  </w:r>
                </w:p>
              </w:tc>
              <w:tc>
                <w:tcPr>
                  <w:tcW w:w="625" w:type="dxa"/>
                  <w:tcBorders>
                    <w:tl2br w:val="nil"/>
                    <w:tr2bl w:val="nil"/>
                  </w:tcBorders>
                  <w:shd w:val="clear" w:color="auto" w:fill="auto"/>
                  <w:vAlign w:val="center"/>
                </w:tcPr>
                <w:p w14:paraId="6B0219A6">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0.7668</w:t>
                  </w:r>
                </w:p>
              </w:tc>
              <w:tc>
                <w:tcPr>
                  <w:tcW w:w="662" w:type="dxa"/>
                  <w:tcBorders>
                    <w:tl2br w:val="nil"/>
                    <w:tr2bl w:val="nil"/>
                  </w:tcBorders>
                  <w:shd w:val="clear" w:color="auto" w:fill="auto"/>
                  <w:vAlign w:val="center"/>
                </w:tcPr>
                <w:p w14:paraId="3CCA98FD">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0.3196</w:t>
                  </w:r>
                </w:p>
              </w:tc>
              <w:tc>
                <w:tcPr>
                  <w:tcW w:w="713" w:type="dxa"/>
                  <w:tcBorders>
                    <w:tl2br w:val="nil"/>
                    <w:tr2bl w:val="nil"/>
                  </w:tcBorders>
                  <w:shd w:val="clear" w:color="auto" w:fill="auto"/>
                  <w:vAlign w:val="center"/>
                </w:tcPr>
                <w:p w14:paraId="3EBCB861">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10.4534</w:t>
                  </w:r>
                </w:p>
              </w:tc>
              <w:tc>
                <w:tcPr>
                  <w:tcW w:w="625" w:type="dxa"/>
                  <w:tcBorders>
                    <w:tl2br w:val="nil"/>
                    <w:tr2bl w:val="nil"/>
                  </w:tcBorders>
                  <w:shd w:val="clear" w:color="auto" w:fill="auto"/>
                  <w:vAlign w:val="center"/>
                </w:tcPr>
                <w:p w14:paraId="619BE42E">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0.6134</w:t>
                  </w:r>
                </w:p>
              </w:tc>
              <w:tc>
                <w:tcPr>
                  <w:tcW w:w="579" w:type="dxa"/>
                  <w:tcBorders>
                    <w:tl2br w:val="nil"/>
                    <w:tr2bl w:val="nil"/>
                  </w:tcBorders>
                  <w:shd w:val="clear" w:color="auto" w:fill="auto"/>
                  <w:vAlign w:val="center"/>
                </w:tcPr>
                <w:p w14:paraId="5AB230BB">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0.1534</w:t>
                  </w:r>
                </w:p>
              </w:tc>
              <w:tc>
                <w:tcPr>
                  <w:tcW w:w="600" w:type="dxa"/>
                  <w:tcBorders>
                    <w:tl2br w:val="nil"/>
                    <w:tr2bl w:val="nil"/>
                  </w:tcBorders>
                  <w:shd w:val="clear" w:color="auto" w:fill="auto"/>
                  <w:vAlign w:val="center"/>
                </w:tcPr>
                <w:p w14:paraId="352497FA">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0.064</w:t>
                  </w:r>
                </w:p>
              </w:tc>
              <w:tc>
                <w:tcPr>
                  <w:tcW w:w="683" w:type="dxa"/>
                  <w:tcBorders>
                    <w:tl2br w:val="nil"/>
                    <w:tr2bl w:val="nil"/>
                  </w:tcBorders>
                  <w:shd w:val="clear" w:color="auto" w:fill="auto"/>
                  <w:vAlign w:val="center"/>
                </w:tcPr>
                <w:p w14:paraId="50C2039E">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2.1334</w:t>
                  </w:r>
                </w:p>
              </w:tc>
              <w:tc>
                <w:tcPr>
                  <w:tcW w:w="525" w:type="dxa"/>
                  <w:vMerge w:val="continue"/>
                  <w:tcBorders>
                    <w:tl2br w:val="nil"/>
                    <w:tr2bl w:val="nil"/>
                  </w:tcBorders>
                  <w:shd w:val="clear" w:color="auto" w:fill="auto"/>
                  <w:vAlign w:val="center"/>
                </w:tcPr>
                <w:p w14:paraId="0140D81B">
                  <w:pPr>
                    <w:adjustRightInd w:val="0"/>
                    <w:snapToGrid w:val="0"/>
                    <w:jc w:val="center"/>
                    <w:rPr>
                      <w:rFonts w:hint="eastAsia" w:ascii="Times New Roman" w:hAnsi="Times New Roman" w:eastAsia="宋体" w:cs="Times New Roman"/>
                      <w:b w:val="0"/>
                      <w:bCs w:val="0"/>
                      <w:color w:val="auto"/>
                      <w:spacing w:val="0"/>
                      <w:position w:val="0"/>
                      <w:sz w:val="18"/>
                      <w:szCs w:val="18"/>
                      <w:highlight w:val="none"/>
                      <w:lang w:val="en-US" w:eastAsia="zh-CN"/>
                    </w:rPr>
                  </w:pPr>
                </w:p>
              </w:tc>
              <w:tc>
                <w:tcPr>
                  <w:tcW w:w="506" w:type="dxa"/>
                  <w:tcBorders>
                    <w:tl2br w:val="nil"/>
                    <w:tr2bl w:val="nil"/>
                  </w:tcBorders>
                  <w:shd w:val="clear" w:color="auto" w:fill="auto"/>
                  <w:vAlign w:val="center"/>
                </w:tcPr>
                <w:p w14:paraId="3F1D33E5">
                  <w:pPr>
                    <w:adjustRightInd w:val="0"/>
                    <w:snapToGrid w:val="0"/>
                    <w:jc w:val="center"/>
                    <w:rPr>
                      <w:rFonts w:hint="default"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1.0</w:t>
                  </w:r>
                </w:p>
              </w:tc>
              <w:tc>
                <w:tcPr>
                  <w:tcW w:w="506" w:type="dxa"/>
                  <w:tcBorders>
                    <w:tl2br w:val="nil"/>
                    <w:tr2bl w:val="nil"/>
                  </w:tcBorders>
                  <w:shd w:val="clear" w:color="auto" w:fill="auto"/>
                  <w:vAlign w:val="center"/>
                </w:tcPr>
                <w:p w14:paraId="71CED0BA">
                  <w:pPr>
                    <w:adjustRightInd w:val="0"/>
                    <w:snapToGrid w:val="0"/>
                    <w:jc w:val="center"/>
                    <w:rPr>
                      <w:rFonts w:hint="default" w:cs="Times New Roman"/>
                      <w:b w:val="0"/>
                      <w:bCs w:val="0"/>
                      <w:color w:val="auto"/>
                      <w:spacing w:val="0"/>
                      <w:position w:val="0"/>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50</w:t>
                  </w:r>
                </w:p>
              </w:tc>
            </w:tr>
            <w:tr w14:paraId="11685D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753" w:type="dxa"/>
                  <w:vMerge w:val="continue"/>
                  <w:tcBorders>
                    <w:tl2br w:val="nil"/>
                    <w:tr2bl w:val="nil"/>
                  </w:tcBorders>
                  <w:shd w:val="clear" w:color="auto" w:fill="auto"/>
                  <w:vAlign w:val="center"/>
                </w:tcPr>
                <w:p w14:paraId="4557D2D3">
                  <w:pPr>
                    <w:adjustRightInd w:val="0"/>
                    <w:snapToGrid w:val="0"/>
                    <w:jc w:val="center"/>
                    <w:rPr>
                      <w:rFonts w:hint="eastAsia" w:ascii="Times New Roman" w:hAnsi="Times New Roman" w:eastAsia="宋体" w:cs="Times New Roman"/>
                      <w:b w:val="0"/>
                      <w:bCs w:val="0"/>
                      <w:color w:val="auto"/>
                      <w:spacing w:val="0"/>
                      <w:position w:val="0"/>
                      <w:sz w:val="18"/>
                      <w:szCs w:val="18"/>
                      <w:highlight w:val="none"/>
                    </w:rPr>
                  </w:pPr>
                </w:p>
              </w:tc>
              <w:tc>
                <w:tcPr>
                  <w:tcW w:w="637" w:type="dxa"/>
                  <w:vMerge w:val="continue"/>
                  <w:tcBorders>
                    <w:tl2br w:val="nil"/>
                    <w:tr2bl w:val="nil"/>
                  </w:tcBorders>
                  <w:shd w:val="clear" w:color="auto" w:fill="auto"/>
                  <w:vAlign w:val="center"/>
                </w:tcPr>
                <w:p w14:paraId="48AAADD6">
                  <w:pPr>
                    <w:adjustRightInd w:val="0"/>
                    <w:snapToGrid w:val="0"/>
                    <w:jc w:val="center"/>
                    <w:rPr>
                      <w:rFonts w:hint="eastAsia" w:cs="Times New Roman"/>
                      <w:b w:val="0"/>
                      <w:bCs w:val="0"/>
                      <w:color w:val="auto"/>
                      <w:spacing w:val="0"/>
                      <w:position w:val="0"/>
                      <w:sz w:val="18"/>
                      <w:szCs w:val="18"/>
                      <w:highlight w:val="none"/>
                      <w:lang w:val="en-US" w:eastAsia="zh-CN"/>
                    </w:rPr>
                  </w:pPr>
                </w:p>
              </w:tc>
              <w:tc>
                <w:tcPr>
                  <w:tcW w:w="663" w:type="dxa"/>
                  <w:tcBorders>
                    <w:tl2br w:val="nil"/>
                    <w:tr2bl w:val="nil"/>
                  </w:tcBorders>
                  <w:shd w:val="clear" w:color="auto" w:fill="auto"/>
                  <w:vAlign w:val="center"/>
                </w:tcPr>
                <w:p w14:paraId="7CDF0C3B">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cs="Times New Roman"/>
                      <w:b w:val="0"/>
                      <w:bCs w:val="0"/>
                      <w:color w:val="auto"/>
                      <w:spacing w:val="0"/>
                      <w:kern w:val="2"/>
                      <w:position w:val="0"/>
                      <w:sz w:val="18"/>
                      <w:szCs w:val="18"/>
                      <w:highlight w:val="none"/>
                      <w:lang w:val="en-US" w:eastAsia="zh-CN" w:bidi="ar-SA"/>
                    </w:rPr>
                    <w:t>无组织</w:t>
                  </w:r>
                </w:p>
              </w:tc>
              <w:tc>
                <w:tcPr>
                  <w:tcW w:w="625" w:type="dxa"/>
                  <w:tcBorders>
                    <w:tl2br w:val="nil"/>
                    <w:tr2bl w:val="nil"/>
                  </w:tcBorders>
                  <w:shd w:val="clear" w:color="auto" w:fill="auto"/>
                  <w:vAlign w:val="center"/>
                </w:tcPr>
                <w:p w14:paraId="5A3EAA0D">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0.0852</w:t>
                  </w:r>
                </w:p>
              </w:tc>
              <w:tc>
                <w:tcPr>
                  <w:tcW w:w="662" w:type="dxa"/>
                  <w:tcBorders>
                    <w:tl2br w:val="nil"/>
                    <w:tr2bl w:val="nil"/>
                  </w:tcBorders>
                  <w:shd w:val="clear" w:color="auto" w:fill="auto"/>
                  <w:vAlign w:val="center"/>
                </w:tcPr>
                <w:p w14:paraId="7B5A8305">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0.0356</w:t>
                  </w:r>
                </w:p>
              </w:tc>
              <w:tc>
                <w:tcPr>
                  <w:tcW w:w="713" w:type="dxa"/>
                  <w:tcBorders>
                    <w:tl2br w:val="nil"/>
                    <w:tr2bl w:val="nil"/>
                  </w:tcBorders>
                  <w:shd w:val="clear" w:color="auto" w:fill="auto"/>
                  <w:vAlign w:val="center"/>
                </w:tcPr>
                <w:p w14:paraId="30F7E4FB">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w:t>
                  </w:r>
                </w:p>
              </w:tc>
              <w:tc>
                <w:tcPr>
                  <w:tcW w:w="625" w:type="dxa"/>
                  <w:tcBorders>
                    <w:tl2br w:val="nil"/>
                    <w:tr2bl w:val="nil"/>
                  </w:tcBorders>
                  <w:shd w:val="clear" w:color="auto" w:fill="auto"/>
                  <w:vAlign w:val="center"/>
                </w:tcPr>
                <w:p w14:paraId="1B732394">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w:t>
                  </w:r>
                </w:p>
              </w:tc>
              <w:tc>
                <w:tcPr>
                  <w:tcW w:w="579" w:type="dxa"/>
                  <w:tcBorders>
                    <w:tl2br w:val="nil"/>
                    <w:tr2bl w:val="nil"/>
                  </w:tcBorders>
                  <w:shd w:val="clear" w:color="auto" w:fill="auto"/>
                  <w:vAlign w:val="center"/>
                </w:tcPr>
                <w:p w14:paraId="6F0BB77C">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0.0852</w:t>
                  </w:r>
                </w:p>
              </w:tc>
              <w:tc>
                <w:tcPr>
                  <w:tcW w:w="600" w:type="dxa"/>
                  <w:tcBorders>
                    <w:tl2br w:val="nil"/>
                    <w:tr2bl w:val="nil"/>
                  </w:tcBorders>
                  <w:shd w:val="clear" w:color="auto" w:fill="auto"/>
                  <w:vAlign w:val="center"/>
                </w:tcPr>
                <w:p w14:paraId="299805C7">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0.0356</w:t>
                  </w:r>
                </w:p>
              </w:tc>
              <w:tc>
                <w:tcPr>
                  <w:tcW w:w="683" w:type="dxa"/>
                  <w:tcBorders>
                    <w:tl2br w:val="nil"/>
                    <w:tr2bl w:val="nil"/>
                  </w:tcBorders>
                  <w:shd w:val="clear" w:color="auto" w:fill="auto"/>
                  <w:vAlign w:val="center"/>
                </w:tcPr>
                <w:p w14:paraId="65FDC931">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w:t>
                  </w:r>
                </w:p>
              </w:tc>
              <w:tc>
                <w:tcPr>
                  <w:tcW w:w="525" w:type="dxa"/>
                  <w:vMerge w:val="continue"/>
                  <w:tcBorders>
                    <w:tl2br w:val="nil"/>
                    <w:tr2bl w:val="nil"/>
                  </w:tcBorders>
                  <w:shd w:val="clear" w:color="auto" w:fill="auto"/>
                  <w:vAlign w:val="center"/>
                </w:tcPr>
                <w:p w14:paraId="12EA139B">
                  <w:pPr>
                    <w:adjustRightInd w:val="0"/>
                    <w:snapToGrid w:val="0"/>
                    <w:jc w:val="center"/>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p>
              </w:tc>
              <w:tc>
                <w:tcPr>
                  <w:tcW w:w="506" w:type="dxa"/>
                  <w:tcBorders>
                    <w:tl2br w:val="nil"/>
                    <w:tr2bl w:val="nil"/>
                  </w:tcBorders>
                  <w:shd w:val="clear" w:color="auto" w:fill="auto"/>
                  <w:vAlign w:val="center"/>
                </w:tcPr>
                <w:p w14:paraId="4A5C073F">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w:t>
                  </w:r>
                </w:p>
              </w:tc>
              <w:tc>
                <w:tcPr>
                  <w:tcW w:w="506" w:type="dxa"/>
                  <w:tcBorders>
                    <w:tl2br w:val="nil"/>
                    <w:tr2bl w:val="nil"/>
                  </w:tcBorders>
                  <w:shd w:val="clear" w:color="auto" w:fill="auto"/>
                  <w:vAlign w:val="center"/>
                </w:tcPr>
                <w:p w14:paraId="45381C75">
                  <w:pPr>
                    <w:adjustRightInd w:val="0"/>
                    <w:snapToGrid w:val="0"/>
                    <w:jc w:val="center"/>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kern w:val="2"/>
                      <w:position w:val="0"/>
                      <w:sz w:val="18"/>
                      <w:szCs w:val="18"/>
                      <w:highlight w:val="none"/>
                      <w:lang w:val="en-US" w:eastAsia="zh-CN" w:bidi="ar-SA"/>
                    </w:rPr>
                    <w:t>/</w:t>
                  </w:r>
                </w:p>
              </w:tc>
            </w:tr>
            <w:bookmarkEnd w:id="46"/>
          </w:tbl>
          <w:p w14:paraId="6DAB3F8F">
            <w:pPr>
              <w:pStyle w:val="69"/>
              <w:keepNext w:val="0"/>
              <w:keepLines w:val="0"/>
              <w:pageBreakBefore w:val="0"/>
              <w:widowControl/>
              <w:kinsoku/>
              <w:wordWrap/>
              <w:overflowPunct/>
              <w:topLinePunct w:val="0"/>
              <w:autoSpaceDE/>
              <w:autoSpaceDN/>
              <w:bidi w:val="0"/>
              <w:adjustRightInd/>
              <w:snapToGrid w:val="0"/>
              <w:spacing w:before="157" w:beforeLines="50"/>
              <w:jc w:val="center"/>
              <w:textAlignment w:val="auto"/>
              <w:rPr>
                <w:rFonts w:hint="default" w:ascii="Times New Roman" w:hAnsi="Times New Roman" w:eastAsia="宋体" w:cs="Times New Roman"/>
                <w:b/>
                <w:color w:val="auto"/>
                <w:spacing w:val="0"/>
                <w:position w:val="0"/>
                <w:sz w:val="24"/>
                <w:highlight w:val="none"/>
              </w:rPr>
            </w:pPr>
          </w:p>
          <w:p w14:paraId="7B20695E">
            <w:pPr>
              <w:pStyle w:val="69"/>
              <w:keepNext w:val="0"/>
              <w:keepLines w:val="0"/>
              <w:pageBreakBefore w:val="0"/>
              <w:widowControl/>
              <w:kinsoku/>
              <w:wordWrap/>
              <w:overflowPunct/>
              <w:topLinePunct w:val="0"/>
              <w:autoSpaceDE/>
              <w:autoSpaceDN/>
              <w:bidi w:val="0"/>
              <w:adjustRightInd/>
              <w:snapToGrid w:val="0"/>
              <w:spacing w:before="157" w:beforeLines="50"/>
              <w:jc w:val="center"/>
              <w:textAlignment w:val="auto"/>
              <w:rPr>
                <w:rFonts w:hint="default" w:ascii="Times New Roman" w:hAnsi="Times New Roman" w:eastAsia="宋体" w:cs="Times New Roman"/>
                <w:b/>
                <w:color w:val="auto"/>
                <w:spacing w:val="0"/>
                <w:position w:val="0"/>
                <w:sz w:val="24"/>
                <w:highlight w:val="none"/>
              </w:rPr>
            </w:pPr>
          </w:p>
          <w:p w14:paraId="33E7A1BA">
            <w:pPr>
              <w:pStyle w:val="69"/>
              <w:keepNext w:val="0"/>
              <w:keepLines w:val="0"/>
              <w:pageBreakBefore w:val="0"/>
              <w:widowControl/>
              <w:kinsoku/>
              <w:wordWrap/>
              <w:overflowPunct/>
              <w:topLinePunct w:val="0"/>
              <w:autoSpaceDE/>
              <w:autoSpaceDN/>
              <w:bidi w:val="0"/>
              <w:adjustRightInd/>
              <w:snapToGrid w:val="0"/>
              <w:spacing w:before="157" w:beforeLines="50"/>
              <w:jc w:val="center"/>
              <w:textAlignment w:val="auto"/>
              <w:rPr>
                <w:rFonts w:hint="default" w:ascii="Times New Roman" w:hAnsi="Times New Roman" w:eastAsia="宋体" w:cs="Times New Roman"/>
                <w:b/>
                <w:color w:val="auto"/>
                <w:spacing w:val="0"/>
                <w:position w:val="0"/>
                <w:sz w:val="24"/>
                <w:highlight w:val="none"/>
              </w:rPr>
            </w:pPr>
          </w:p>
          <w:p w14:paraId="0E2E8591">
            <w:pPr>
              <w:pStyle w:val="69"/>
              <w:keepNext w:val="0"/>
              <w:keepLines w:val="0"/>
              <w:pageBreakBefore w:val="0"/>
              <w:widowControl/>
              <w:kinsoku/>
              <w:wordWrap/>
              <w:overflowPunct/>
              <w:topLinePunct w:val="0"/>
              <w:autoSpaceDE/>
              <w:autoSpaceDN/>
              <w:bidi w:val="0"/>
              <w:adjustRightInd/>
              <w:snapToGrid w:val="0"/>
              <w:spacing w:before="157" w:beforeLines="50"/>
              <w:jc w:val="center"/>
              <w:textAlignment w:val="auto"/>
              <w:rPr>
                <w:rFonts w:hint="default" w:ascii="Times New Roman" w:hAnsi="Times New Roman" w:eastAsia="宋体" w:cs="Times New Roman"/>
                <w:b/>
                <w:color w:val="auto"/>
                <w:spacing w:val="0"/>
                <w:position w:val="0"/>
                <w:sz w:val="24"/>
                <w:highlight w:val="none"/>
              </w:rPr>
            </w:pPr>
          </w:p>
          <w:p w14:paraId="01754DEC">
            <w:pPr>
              <w:pStyle w:val="69"/>
              <w:keepNext w:val="0"/>
              <w:keepLines w:val="0"/>
              <w:pageBreakBefore w:val="0"/>
              <w:widowControl/>
              <w:kinsoku/>
              <w:wordWrap/>
              <w:overflowPunct/>
              <w:topLinePunct w:val="0"/>
              <w:autoSpaceDE/>
              <w:autoSpaceDN/>
              <w:bidi w:val="0"/>
              <w:adjustRightInd/>
              <w:snapToGrid w:val="0"/>
              <w:spacing w:before="157" w:beforeLines="50"/>
              <w:jc w:val="center"/>
              <w:textAlignment w:val="auto"/>
              <w:rPr>
                <w:rFonts w:hint="default" w:ascii="Times New Roman" w:hAnsi="Times New Roman" w:eastAsia="宋体" w:cs="Times New Roman"/>
                <w:b/>
                <w:color w:val="auto"/>
                <w:spacing w:val="0"/>
                <w:position w:val="0"/>
                <w:sz w:val="24"/>
                <w:highlight w:val="none"/>
              </w:rPr>
            </w:pPr>
          </w:p>
          <w:p w14:paraId="68F64012">
            <w:pPr>
              <w:pStyle w:val="69"/>
              <w:keepNext w:val="0"/>
              <w:keepLines w:val="0"/>
              <w:pageBreakBefore w:val="0"/>
              <w:widowControl/>
              <w:kinsoku/>
              <w:wordWrap/>
              <w:overflowPunct/>
              <w:topLinePunct w:val="0"/>
              <w:autoSpaceDE/>
              <w:autoSpaceDN/>
              <w:bidi w:val="0"/>
              <w:adjustRightInd/>
              <w:snapToGrid w:val="0"/>
              <w:spacing w:before="157" w:beforeLines="50"/>
              <w:jc w:val="center"/>
              <w:textAlignment w:val="auto"/>
              <w:rPr>
                <w:rFonts w:hint="default" w:ascii="Times New Roman" w:hAnsi="Times New Roman" w:eastAsia="宋体" w:cs="Times New Roman"/>
                <w:b/>
                <w:color w:val="auto"/>
                <w:spacing w:val="0"/>
                <w:position w:val="0"/>
                <w:sz w:val="24"/>
                <w:highlight w:val="none"/>
              </w:rPr>
            </w:pPr>
          </w:p>
          <w:p w14:paraId="557CBDC7">
            <w:pPr>
              <w:pStyle w:val="69"/>
              <w:keepNext w:val="0"/>
              <w:keepLines w:val="0"/>
              <w:pageBreakBefore w:val="0"/>
              <w:widowControl/>
              <w:kinsoku/>
              <w:wordWrap/>
              <w:overflowPunct/>
              <w:topLinePunct w:val="0"/>
              <w:autoSpaceDE/>
              <w:autoSpaceDN/>
              <w:bidi w:val="0"/>
              <w:adjustRightInd/>
              <w:snapToGrid w:val="0"/>
              <w:spacing w:before="157" w:beforeLines="50"/>
              <w:jc w:val="center"/>
              <w:textAlignment w:val="auto"/>
              <w:rPr>
                <w:rFonts w:hint="default" w:ascii="Times New Roman" w:hAnsi="Times New Roman" w:eastAsia="宋体" w:cs="Times New Roman"/>
                <w:color w:val="auto"/>
                <w:spacing w:val="0"/>
                <w:position w:val="0"/>
                <w:highlight w:val="none"/>
              </w:rPr>
            </w:pPr>
            <w:r>
              <w:rPr>
                <w:rFonts w:hint="default" w:ascii="Times New Roman" w:hAnsi="Times New Roman" w:eastAsia="宋体" w:cs="Times New Roman"/>
                <w:b/>
                <w:color w:val="auto"/>
                <w:spacing w:val="0"/>
                <w:position w:val="0"/>
                <w:sz w:val="24"/>
                <w:highlight w:val="none"/>
              </w:rPr>
              <w:t>表4</w:t>
            </w:r>
            <w:r>
              <w:rPr>
                <w:rFonts w:hint="eastAsia" w:ascii="Times New Roman" w:hAnsi="Times New Roman" w:eastAsia="宋体" w:cs="Times New Roman"/>
                <w:b/>
                <w:color w:val="auto"/>
                <w:spacing w:val="0"/>
                <w:position w:val="0"/>
                <w:sz w:val="24"/>
                <w:highlight w:val="none"/>
                <w:lang w:val="en-US" w:eastAsia="zh-CN"/>
              </w:rPr>
              <w:t>.1</w:t>
            </w:r>
            <w:r>
              <w:rPr>
                <w:rFonts w:hint="eastAsia" w:cs="Times New Roman"/>
                <w:b/>
                <w:color w:val="auto"/>
                <w:spacing w:val="0"/>
                <w:position w:val="0"/>
                <w:sz w:val="24"/>
                <w:highlight w:val="none"/>
                <w:lang w:val="en-US" w:eastAsia="zh-CN"/>
              </w:rPr>
              <w:t>.1</w:t>
            </w:r>
            <w:r>
              <w:rPr>
                <w:rFonts w:hint="default" w:ascii="Times New Roman" w:hAnsi="Times New Roman" w:eastAsia="宋体" w:cs="Times New Roman"/>
                <w:b/>
                <w:color w:val="auto"/>
                <w:spacing w:val="0"/>
                <w:position w:val="0"/>
                <w:sz w:val="24"/>
                <w:highlight w:val="none"/>
              </w:rPr>
              <w:t>-</w:t>
            </w:r>
            <w:r>
              <w:rPr>
                <w:rFonts w:hint="eastAsia" w:cs="Times New Roman"/>
                <w:b/>
                <w:color w:val="auto"/>
                <w:spacing w:val="0"/>
                <w:position w:val="0"/>
                <w:sz w:val="24"/>
                <w:highlight w:val="none"/>
                <w:lang w:val="en-US" w:eastAsia="zh-CN"/>
              </w:rPr>
              <w:t>2</w:t>
            </w:r>
            <w:r>
              <w:rPr>
                <w:rFonts w:hint="default" w:ascii="Times New Roman" w:hAnsi="Times New Roman" w:eastAsia="宋体" w:cs="Times New Roman"/>
                <w:b/>
                <w:color w:val="auto"/>
                <w:spacing w:val="0"/>
                <w:position w:val="0"/>
                <w:sz w:val="24"/>
                <w:highlight w:val="none"/>
              </w:rPr>
              <w:t xml:space="preserve"> 废气污染物排放源信息汇总表（治理设施）</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4"/>
              <w:gridCol w:w="1481"/>
              <w:gridCol w:w="588"/>
              <w:gridCol w:w="1993"/>
              <w:gridCol w:w="915"/>
              <w:gridCol w:w="558"/>
              <w:gridCol w:w="927"/>
              <w:gridCol w:w="731"/>
            </w:tblGrid>
            <w:tr w14:paraId="56CD91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4" w:type="dxa"/>
                  <w:vMerge w:val="restart"/>
                  <w:tcBorders>
                    <w:tl2br w:val="nil"/>
                    <w:tr2bl w:val="nil"/>
                  </w:tcBorders>
                  <w:shd w:val="clear" w:color="auto" w:fill="auto"/>
                  <w:vAlign w:val="center"/>
                </w:tcPr>
                <w:p w14:paraId="0716E9AA">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产排污环节</w:t>
                  </w:r>
                </w:p>
              </w:tc>
              <w:tc>
                <w:tcPr>
                  <w:tcW w:w="1481" w:type="dxa"/>
                  <w:vMerge w:val="restart"/>
                  <w:tcBorders>
                    <w:tl2br w:val="nil"/>
                    <w:tr2bl w:val="nil"/>
                  </w:tcBorders>
                  <w:shd w:val="clear" w:color="auto" w:fill="auto"/>
                  <w:vAlign w:val="center"/>
                </w:tcPr>
                <w:p w14:paraId="21E2F5D5">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污染物</w:t>
                  </w:r>
                </w:p>
                <w:p w14:paraId="38A73526">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种类</w:t>
                  </w:r>
                </w:p>
              </w:tc>
              <w:tc>
                <w:tcPr>
                  <w:tcW w:w="588" w:type="dxa"/>
                  <w:vMerge w:val="restart"/>
                  <w:tcBorders>
                    <w:tl2br w:val="nil"/>
                    <w:tr2bl w:val="nil"/>
                  </w:tcBorders>
                  <w:shd w:val="clear" w:color="auto" w:fill="auto"/>
                  <w:vAlign w:val="center"/>
                </w:tcPr>
                <w:p w14:paraId="306F6D0D">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排放</w:t>
                  </w:r>
                </w:p>
                <w:p w14:paraId="5A65A060">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形式</w:t>
                  </w:r>
                </w:p>
              </w:tc>
              <w:tc>
                <w:tcPr>
                  <w:tcW w:w="5124" w:type="dxa"/>
                  <w:gridSpan w:val="5"/>
                  <w:tcBorders>
                    <w:tl2br w:val="nil"/>
                    <w:tr2bl w:val="nil"/>
                  </w:tcBorders>
                  <w:shd w:val="clear" w:color="auto" w:fill="auto"/>
                  <w:vAlign w:val="center"/>
                </w:tcPr>
                <w:p w14:paraId="36058206">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治理设施</w:t>
                  </w:r>
                </w:p>
              </w:tc>
            </w:tr>
            <w:tr w14:paraId="0BF32D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4" w:type="dxa"/>
                  <w:vMerge w:val="continue"/>
                  <w:tcBorders>
                    <w:tl2br w:val="nil"/>
                    <w:tr2bl w:val="nil"/>
                  </w:tcBorders>
                  <w:shd w:val="clear" w:color="auto" w:fill="auto"/>
                  <w:vAlign w:val="center"/>
                </w:tcPr>
                <w:p w14:paraId="0D30BC05">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b/>
                      <w:bCs/>
                      <w:color w:val="auto"/>
                      <w:spacing w:val="0"/>
                      <w:position w:val="0"/>
                      <w:sz w:val="18"/>
                      <w:szCs w:val="18"/>
                      <w:highlight w:val="none"/>
                    </w:rPr>
                  </w:pPr>
                </w:p>
              </w:tc>
              <w:tc>
                <w:tcPr>
                  <w:tcW w:w="1481" w:type="dxa"/>
                  <w:vMerge w:val="continue"/>
                  <w:tcBorders>
                    <w:tl2br w:val="nil"/>
                    <w:tr2bl w:val="nil"/>
                  </w:tcBorders>
                  <w:shd w:val="clear" w:color="auto" w:fill="auto"/>
                  <w:vAlign w:val="center"/>
                </w:tcPr>
                <w:p w14:paraId="530540BD">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b/>
                      <w:bCs/>
                      <w:color w:val="auto"/>
                      <w:spacing w:val="0"/>
                      <w:position w:val="0"/>
                      <w:sz w:val="18"/>
                      <w:szCs w:val="18"/>
                      <w:highlight w:val="none"/>
                    </w:rPr>
                  </w:pPr>
                </w:p>
              </w:tc>
              <w:tc>
                <w:tcPr>
                  <w:tcW w:w="588" w:type="dxa"/>
                  <w:vMerge w:val="continue"/>
                  <w:tcBorders>
                    <w:tl2br w:val="nil"/>
                    <w:tr2bl w:val="nil"/>
                  </w:tcBorders>
                  <w:shd w:val="clear" w:color="auto" w:fill="auto"/>
                  <w:vAlign w:val="center"/>
                </w:tcPr>
                <w:p w14:paraId="7A11C241">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b/>
                      <w:bCs/>
                      <w:color w:val="auto"/>
                      <w:spacing w:val="0"/>
                      <w:position w:val="0"/>
                      <w:sz w:val="18"/>
                      <w:szCs w:val="18"/>
                      <w:highlight w:val="none"/>
                    </w:rPr>
                  </w:pPr>
                </w:p>
              </w:tc>
              <w:tc>
                <w:tcPr>
                  <w:tcW w:w="1993" w:type="dxa"/>
                  <w:tcBorders>
                    <w:tl2br w:val="nil"/>
                    <w:tr2bl w:val="nil"/>
                  </w:tcBorders>
                  <w:shd w:val="clear" w:color="auto" w:fill="auto"/>
                  <w:vAlign w:val="center"/>
                </w:tcPr>
                <w:p w14:paraId="732877E3">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处理工艺</w:t>
                  </w:r>
                </w:p>
              </w:tc>
              <w:tc>
                <w:tcPr>
                  <w:tcW w:w="915" w:type="dxa"/>
                  <w:tcBorders>
                    <w:tl2br w:val="nil"/>
                    <w:tr2bl w:val="nil"/>
                  </w:tcBorders>
                  <w:shd w:val="clear" w:color="auto" w:fill="auto"/>
                  <w:vAlign w:val="center"/>
                </w:tcPr>
                <w:p w14:paraId="27D47FD6">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处理</w:t>
                  </w:r>
                </w:p>
                <w:p w14:paraId="1A0E3B10">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能力（</w:t>
                  </w:r>
                  <w:r>
                    <w:rPr>
                      <w:rFonts w:hint="eastAsia" w:ascii="Times New Roman" w:hAnsi="Times New Roman" w:eastAsia="宋体" w:cs="Times New Roman"/>
                      <w:b/>
                      <w:bCs/>
                      <w:color w:val="auto"/>
                      <w:spacing w:val="0"/>
                      <w:kern w:val="0"/>
                      <w:position w:val="0"/>
                      <w:sz w:val="18"/>
                      <w:szCs w:val="18"/>
                      <w:highlight w:val="none"/>
                    </w:rPr>
                    <w:t>m</w:t>
                  </w:r>
                  <w:r>
                    <w:rPr>
                      <w:rFonts w:ascii="Times New Roman" w:hAnsi="Times New Roman" w:eastAsia="宋体" w:cs="Times New Roman"/>
                      <w:b/>
                      <w:bCs/>
                      <w:color w:val="auto"/>
                      <w:spacing w:val="0"/>
                      <w:kern w:val="0"/>
                      <w:position w:val="0"/>
                      <w:sz w:val="18"/>
                      <w:szCs w:val="18"/>
                      <w:highlight w:val="none"/>
                      <w:vertAlign w:val="superscript"/>
                    </w:rPr>
                    <w:t>3</w:t>
                  </w:r>
                  <w:r>
                    <w:rPr>
                      <w:rFonts w:ascii="Times New Roman" w:hAnsi="Times New Roman" w:eastAsia="宋体" w:cs="Times New Roman"/>
                      <w:b/>
                      <w:bCs/>
                      <w:color w:val="auto"/>
                      <w:spacing w:val="0"/>
                      <w:kern w:val="0"/>
                      <w:position w:val="0"/>
                      <w:sz w:val="18"/>
                      <w:szCs w:val="18"/>
                      <w:highlight w:val="none"/>
                    </w:rPr>
                    <w:t>/h</w:t>
                  </w:r>
                  <w:r>
                    <w:rPr>
                      <w:rFonts w:hint="eastAsia" w:ascii="Times New Roman" w:hAnsi="Times New Roman" w:eastAsia="宋体" w:cs="Times New Roman"/>
                      <w:b/>
                      <w:bCs/>
                      <w:color w:val="auto"/>
                      <w:spacing w:val="0"/>
                      <w:position w:val="0"/>
                      <w:sz w:val="18"/>
                      <w:szCs w:val="18"/>
                      <w:highlight w:val="none"/>
                    </w:rPr>
                    <w:t>）</w:t>
                  </w:r>
                </w:p>
              </w:tc>
              <w:tc>
                <w:tcPr>
                  <w:tcW w:w="558" w:type="dxa"/>
                  <w:tcBorders>
                    <w:tl2br w:val="nil"/>
                    <w:tr2bl w:val="nil"/>
                  </w:tcBorders>
                  <w:shd w:val="clear" w:color="auto" w:fill="auto"/>
                  <w:vAlign w:val="center"/>
                </w:tcPr>
                <w:p w14:paraId="37F4E3F2">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收集效率/</w:t>
                  </w:r>
                  <w:r>
                    <w:rPr>
                      <w:rFonts w:ascii="Times New Roman" w:hAnsi="Times New Roman" w:eastAsia="宋体" w:cs="Times New Roman"/>
                      <w:b/>
                      <w:bCs/>
                      <w:color w:val="auto"/>
                      <w:spacing w:val="0"/>
                      <w:position w:val="0"/>
                      <w:sz w:val="18"/>
                      <w:szCs w:val="18"/>
                      <w:highlight w:val="none"/>
                    </w:rPr>
                    <w:t>%</w:t>
                  </w:r>
                </w:p>
              </w:tc>
              <w:tc>
                <w:tcPr>
                  <w:tcW w:w="927" w:type="dxa"/>
                  <w:tcBorders>
                    <w:tl2br w:val="nil"/>
                    <w:tr2bl w:val="nil"/>
                  </w:tcBorders>
                  <w:shd w:val="clear" w:color="auto" w:fill="auto"/>
                  <w:vAlign w:val="center"/>
                </w:tcPr>
                <w:p w14:paraId="4C1EEC78">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治理工艺去除率/</w:t>
                  </w:r>
                  <w:r>
                    <w:rPr>
                      <w:rFonts w:ascii="Times New Roman" w:hAnsi="Times New Roman" w:eastAsia="宋体" w:cs="Times New Roman"/>
                      <w:b/>
                      <w:bCs/>
                      <w:color w:val="auto"/>
                      <w:spacing w:val="0"/>
                      <w:position w:val="0"/>
                      <w:sz w:val="18"/>
                      <w:szCs w:val="18"/>
                      <w:highlight w:val="none"/>
                    </w:rPr>
                    <w:t>%</w:t>
                  </w:r>
                </w:p>
              </w:tc>
              <w:tc>
                <w:tcPr>
                  <w:tcW w:w="731" w:type="dxa"/>
                  <w:tcBorders>
                    <w:tl2br w:val="nil"/>
                    <w:tr2bl w:val="nil"/>
                  </w:tcBorders>
                  <w:shd w:val="clear" w:color="auto" w:fill="auto"/>
                  <w:vAlign w:val="center"/>
                </w:tcPr>
                <w:p w14:paraId="6F9B35E9">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是否为可行技术</w:t>
                  </w:r>
                </w:p>
              </w:tc>
            </w:tr>
            <w:tr w14:paraId="6C9528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4" w:type="dxa"/>
                  <w:vMerge w:val="restart"/>
                  <w:tcBorders>
                    <w:tl2br w:val="nil"/>
                    <w:tr2bl w:val="nil"/>
                  </w:tcBorders>
                  <w:shd w:val="clear" w:color="auto" w:fill="auto"/>
                  <w:vAlign w:val="center"/>
                </w:tcPr>
                <w:p w14:paraId="46A27D20">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position w:val="0"/>
                      <w:sz w:val="18"/>
                      <w:szCs w:val="18"/>
                      <w:highlight w:val="none"/>
                      <w:lang w:eastAsia="zh-CN"/>
                    </w:rPr>
                    <w:t>调漆、喷漆、晾干</w:t>
                  </w:r>
                  <w:r>
                    <w:rPr>
                      <w:rFonts w:hint="eastAsia" w:ascii="Times New Roman" w:hAnsi="Times New Roman" w:eastAsia="宋体" w:cs="Times New Roman"/>
                      <w:b w:val="0"/>
                      <w:bCs w:val="0"/>
                      <w:color w:val="auto"/>
                      <w:spacing w:val="0"/>
                      <w:position w:val="0"/>
                      <w:sz w:val="18"/>
                      <w:szCs w:val="18"/>
                      <w:highlight w:val="none"/>
                      <w:lang w:val="en-US" w:eastAsia="zh-CN"/>
                    </w:rPr>
                    <w:t>工序</w:t>
                  </w:r>
                </w:p>
              </w:tc>
              <w:tc>
                <w:tcPr>
                  <w:tcW w:w="1481" w:type="dxa"/>
                  <w:tcBorders>
                    <w:tl2br w:val="nil"/>
                    <w:tr2bl w:val="nil"/>
                  </w:tcBorders>
                  <w:shd w:val="clear" w:color="auto" w:fill="auto"/>
                  <w:vAlign w:val="center"/>
                </w:tcPr>
                <w:p w14:paraId="1DAE6AFA">
                  <w:pPr>
                    <w:pStyle w:val="69"/>
                    <w:keepNext w:val="0"/>
                    <w:keepLines w:val="0"/>
                    <w:pageBreakBefore w:val="0"/>
                    <w:kinsoku/>
                    <w:wordWrap/>
                    <w:overflowPunct/>
                    <w:topLinePunct w:val="0"/>
                    <w:autoSpaceDE/>
                    <w:autoSpaceDN/>
                    <w:bidi w:val="0"/>
                    <w:snapToGrid w:val="0"/>
                    <w:spacing w:line="240" w:lineRule="auto"/>
                    <w:ind w:left="0" w:leftChars="0" w:right="0" w:rightChars="0"/>
                    <w:jc w:val="center"/>
                    <w:textAlignment w:val="auto"/>
                    <w:rPr>
                      <w:rFonts w:hint="eastAsia" w:ascii="Times New Roman" w:hAnsi="Times New Roman" w:eastAsia="宋体" w:cs="Times New Roman"/>
                      <w:b w:val="0"/>
                      <w:bCs w:val="0"/>
                      <w:color w:val="auto"/>
                      <w:spacing w:val="0"/>
                      <w:position w:val="0"/>
                      <w:sz w:val="18"/>
                      <w:szCs w:val="18"/>
                      <w:highlight w:val="none"/>
                      <w:lang w:eastAsia="zh-CN"/>
                    </w:rPr>
                  </w:pPr>
                  <w:r>
                    <w:rPr>
                      <w:rFonts w:hint="default" w:ascii="Times New Roman" w:hAnsi="Times New Roman" w:eastAsia="宋体" w:cs="Times New Roman"/>
                      <w:b w:val="0"/>
                      <w:bCs w:val="0"/>
                      <w:color w:val="auto"/>
                      <w:spacing w:val="0"/>
                      <w:position w:val="0"/>
                      <w:sz w:val="18"/>
                      <w:szCs w:val="18"/>
                      <w:highlight w:val="none"/>
                      <w:lang w:eastAsia="zh-CN"/>
                    </w:rPr>
                    <w:t>颗粒物</w:t>
                  </w:r>
                  <w:r>
                    <w:rPr>
                      <w:rFonts w:hint="eastAsia" w:cs="Times New Roman"/>
                      <w:b w:val="0"/>
                      <w:bCs w:val="0"/>
                      <w:color w:val="auto"/>
                      <w:spacing w:val="0"/>
                      <w:position w:val="0"/>
                      <w:sz w:val="18"/>
                      <w:szCs w:val="18"/>
                      <w:highlight w:val="none"/>
                      <w:lang w:eastAsia="zh-CN"/>
                    </w:rPr>
                    <w:t>（</w:t>
                  </w:r>
                  <w:r>
                    <w:rPr>
                      <w:rFonts w:hint="eastAsia" w:cs="Times New Roman"/>
                      <w:b w:val="0"/>
                      <w:bCs w:val="0"/>
                      <w:color w:val="auto"/>
                      <w:spacing w:val="0"/>
                      <w:position w:val="0"/>
                      <w:sz w:val="18"/>
                      <w:szCs w:val="18"/>
                      <w:highlight w:val="none"/>
                      <w:lang w:val="en-US" w:eastAsia="zh-CN"/>
                    </w:rPr>
                    <w:t>漆雾</w:t>
                  </w:r>
                  <w:r>
                    <w:rPr>
                      <w:rFonts w:hint="eastAsia" w:cs="Times New Roman"/>
                      <w:b w:val="0"/>
                      <w:bCs w:val="0"/>
                      <w:color w:val="auto"/>
                      <w:spacing w:val="0"/>
                      <w:position w:val="0"/>
                      <w:sz w:val="18"/>
                      <w:szCs w:val="18"/>
                      <w:highlight w:val="none"/>
                      <w:lang w:eastAsia="zh-CN"/>
                    </w:rPr>
                    <w:t>）</w:t>
                  </w:r>
                </w:p>
              </w:tc>
              <w:tc>
                <w:tcPr>
                  <w:tcW w:w="588" w:type="dxa"/>
                  <w:vMerge w:val="restart"/>
                  <w:tcBorders>
                    <w:tl2br w:val="nil"/>
                    <w:tr2bl w:val="nil"/>
                  </w:tcBorders>
                  <w:shd w:val="clear" w:color="auto" w:fill="auto"/>
                  <w:vAlign w:val="center"/>
                </w:tcPr>
                <w:p w14:paraId="2E7671C5">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position w:val="0"/>
                      <w:sz w:val="18"/>
                      <w:szCs w:val="18"/>
                      <w:highlight w:val="none"/>
                    </w:rPr>
                    <w:t>有组织</w:t>
                  </w:r>
                </w:p>
              </w:tc>
              <w:tc>
                <w:tcPr>
                  <w:tcW w:w="1993" w:type="dxa"/>
                  <w:vMerge w:val="restart"/>
                  <w:tcBorders>
                    <w:tl2br w:val="nil"/>
                    <w:tr2bl w:val="nil"/>
                  </w:tcBorders>
                  <w:shd w:val="clear" w:color="auto" w:fill="auto"/>
                  <w:vAlign w:val="center"/>
                </w:tcPr>
                <w:p w14:paraId="2CA21C99">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eastAsia="宋体" w:cs="Times New Roman"/>
                      <w:b w:val="0"/>
                      <w:bCs w:val="0"/>
                      <w:color w:val="auto"/>
                      <w:spacing w:val="0"/>
                      <w:position w:val="0"/>
                      <w:sz w:val="18"/>
                      <w:szCs w:val="18"/>
                      <w:highlight w:val="none"/>
                      <w:lang w:val="en-US" w:eastAsia="zh-CN"/>
                    </w:rPr>
                  </w:pPr>
                  <w:r>
                    <w:rPr>
                      <w:rFonts w:hint="eastAsia" w:eastAsia="宋体" w:cs="Times New Roman"/>
                      <w:b w:val="0"/>
                      <w:bCs w:val="0"/>
                      <w:color w:val="auto"/>
                      <w:spacing w:val="0"/>
                      <w:position w:val="0"/>
                      <w:sz w:val="18"/>
                      <w:szCs w:val="18"/>
                      <w:highlight w:val="none"/>
                      <w:lang w:val="en-US" w:eastAsia="zh-CN"/>
                    </w:rPr>
                    <w:t>调漆、喷漆废气经水帘柜处理后，与晾干废气一同经集气装置负压收集后再引入“气旋塔+过滤棉+</w:t>
                  </w:r>
                  <w:r>
                    <w:rPr>
                      <w:rFonts w:hint="eastAsia" w:cs="Times New Roman"/>
                      <w:b w:val="0"/>
                      <w:bCs w:val="0"/>
                      <w:color w:val="auto"/>
                      <w:spacing w:val="0"/>
                      <w:position w:val="0"/>
                      <w:sz w:val="18"/>
                      <w:szCs w:val="18"/>
                      <w:highlight w:val="none"/>
                      <w:lang w:val="en-US" w:eastAsia="zh-CN"/>
                    </w:rPr>
                    <w:t>二级活性炭吸附装置</w:t>
                  </w:r>
                  <w:r>
                    <w:rPr>
                      <w:rFonts w:hint="eastAsia" w:eastAsia="宋体" w:cs="Times New Roman"/>
                      <w:b w:val="0"/>
                      <w:bCs w:val="0"/>
                      <w:color w:val="auto"/>
                      <w:spacing w:val="0"/>
                      <w:position w:val="0"/>
                      <w:sz w:val="18"/>
                      <w:szCs w:val="18"/>
                      <w:highlight w:val="none"/>
                      <w:lang w:val="en-US" w:eastAsia="zh-CN"/>
                    </w:rPr>
                    <w:t>”处理，通过25m高排气筒（DA001）排放</w:t>
                  </w:r>
                </w:p>
              </w:tc>
              <w:tc>
                <w:tcPr>
                  <w:tcW w:w="915" w:type="dxa"/>
                  <w:vMerge w:val="restart"/>
                  <w:tcBorders>
                    <w:tl2br w:val="nil"/>
                    <w:tr2bl w:val="nil"/>
                  </w:tcBorders>
                  <w:shd w:val="clear" w:color="auto" w:fill="auto"/>
                  <w:vAlign w:val="center"/>
                </w:tcPr>
                <w:p w14:paraId="39FDA7F1">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eastAsia="宋体" w:cs="Times New Roman"/>
                      <w:b w:val="0"/>
                      <w:bCs w:val="0"/>
                      <w:color w:val="auto"/>
                      <w:spacing w:val="0"/>
                      <w:position w:val="0"/>
                      <w:sz w:val="18"/>
                      <w:szCs w:val="18"/>
                      <w:highlight w:val="none"/>
                      <w:lang w:val="en-US" w:eastAsia="zh-CN"/>
                    </w:rPr>
                  </w:pPr>
                  <w:r>
                    <w:rPr>
                      <w:rFonts w:hint="eastAsia" w:eastAsia="宋体" w:cs="Times New Roman"/>
                      <w:b w:val="0"/>
                      <w:bCs w:val="0"/>
                      <w:color w:val="auto"/>
                      <w:spacing w:val="0"/>
                      <w:position w:val="0"/>
                      <w:sz w:val="18"/>
                      <w:szCs w:val="18"/>
                      <w:highlight w:val="none"/>
                      <w:lang w:val="en-US" w:eastAsia="zh-CN"/>
                    </w:rPr>
                    <w:t>30000</w:t>
                  </w:r>
                </w:p>
              </w:tc>
              <w:tc>
                <w:tcPr>
                  <w:tcW w:w="558" w:type="dxa"/>
                  <w:vMerge w:val="restart"/>
                  <w:tcBorders>
                    <w:tl2br w:val="nil"/>
                    <w:tr2bl w:val="nil"/>
                  </w:tcBorders>
                  <w:shd w:val="clear" w:color="auto" w:fill="auto"/>
                  <w:vAlign w:val="center"/>
                </w:tcPr>
                <w:p w14:paraId="16D2CF95">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pacing w:val="0"/>
                      <w:position w:val="0"/>
                      <w:sz w:val="18"/>
                      <w:szCs w:val="18"/>
                      <w:highlight w:val="none"/>
                      <w:lang w:val="en-US"/>
                    </w:rPr>
                  </w:pPr>
                  <w:r>
                    <w:rPr>
                      <w:rFonts w:hint="eastAsia" w:cs="Times New Roman"/>
                      <w:b w:val="0"/>
                      <w:bCs w:val="0"/>
                      <w:color w:val="auto"/>
                      <w:spacing w:val="0"/>
                      <w:position w:val="0"/>
                      <w:sz w:val="18"/>
                      <w:szCs w:val="18"/>
                      <w:highlight w:val="none"/>
                      <w:lang w:val="en-US" w:eastAsia="zh-CN"/>
                    </w:rPr>
                    <w:t>90</w:t>
                  </w:r>
                </w:p>
              </w:tc>
              <w:tc>
                <w:tcPr>
                  <w:tcW w:w="927" w:type="dxa"/>
                  <w:tcBorders>
                    <w:tl2br w:val="nil"/>
                    <w:tr2bl w:val="nil"/>
                  </w:tcBorders>
                  <w:shd w:val="clear" w:color="auto" w:fill="auto"/>
                  <w:vAlign w:val="center"/>
                </w:tcPr>
                <w:p w14:paraId="1BF908AA">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eastAsia="宋体"/>
                      <w:color w:val="auto"/>
                      <w:sz w:val="18"/>
                      <w:szCs w:val="18"/>
                      <w:highlight w:val="none"/>
                      <w:lang w:val="en-US" w:eastAsia="zh-CN"/>
                    </w:rPr>
                  </w:pPr>
                  <w:r>
                    <w:rPr>
                      <w:rFonts w:hint="eastAsia" w:eastAsia="宋体"/>
                      <w:color w:val="auto"/>
                      <w:sz w:val="18"/>
                      <w:szCs w:val="18"/>
                      <w:highlight w:val="none"/>
                      <w:lang w:val="en-US" w:eastAsia="zh-CN"/>
                    </w:rPr>
                    <w:t>“气旋塔”处理效率约8</w:t>
                  </w:r>
                  <w:r>
                    <w:rPr>
                      <w:rFonts w:hint="eastAsia"/>
                      <w:color w:val="auto"/>
                      <w:sz w:val="18"/>
                      <w:szCs w:val="18"/>
                      <w:highlight w:val="none"/>
                      <w:lang w:val="en-US" w:eastAsia="zh-CN"/>
                    </w:rPr>
                    <w:t>5</w:t>
                  </w:r>
                  <w:r>
                    <w:rPr>
                      <w:rFonts w:hint="eastAsia" w:eastAsia="宋体"/>
                      <w:color w:val="auto"/>
                      <w:sz w:val="18"/>
                      <w:szCs w:val="18"/>
                      <w:highlight w:val="none"/>
                      <w:lang w:val="en-US" w:eastAsia="zh-CN"/>
                    </w:rPr>
                    <w:t>；“过滤棉”处理效率约80</w:t>
                  </w:r>
                </w:p>
              </w:tc>
              <w:tc>
                <w:tcPr>
                  <w:tcW w:w="731" w:type="dxa"/>
                  <w:vMerge w:val="restart"/>
                  <w:tcBorders>
                    <w:tl2br w:val="nil"/>
                    <w:tr2bl w:val="nil"/>
                  </w:tcBorders>
                  <w:shd w:val="clear" w:color="auto" w:fill="auto"/>
                  <w:vAlign w:val="center"/>
                </w:tcPr>
                <w:p w14:paraId="58DF89E5">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val="0"/>
                      <w:color w:val="auto"/>
                      <w:spacing w:val="0"/>
                      <w:kern w:val="2"/>
                      <w:position w:val="0"/>
                      <w:sz w:val="18"/>
                      <w:szCs w:val="18"/>
                      <w:highlight w:val="none"/>
                      <w:lang w:val="en-US" w:eastAsia="zh-CN" w:bidi="ar-SA"/>
                    </w:rPr>
                  </w:pPr>
                  <w:r>
                    <w:rPr>
                      <w:rFonts w:hint="eastAsia" w:ascii="Times New Roman" w:hAnsi="Times New Roman" w:eastAsia="宋体" w:cs="Times New Roman"/>
                      <w:b w:val="0"/>
                      <w:bCs w:val="0"/>
                      <w:color w:val="auto"/>
                      <w:spacing w:val="0"/>
                      <w:position w:val="0"/>
                      <w:sz w:val="18"/>
                      <w:szCs w:val="18"/>
                      <w:highlight w:val="none"/>
                    </w:rPr>
                    <w:t>是</w:t>
                  </w:r>
                </w:p>
              </w:tc>
            </w:tr>
            <w:tr w14:paraId="20BC57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4" w:type="dxa"/>
                  <w:vMerge w:val="continue"/>
                  <w:tcBorders>
                    <w:tl2br w:val="nil"/>
                    <w:tr2bl w:val="nil"/>
                  </w:tcBorders>
                  <w:shd w:val="clear" w:color="auto" w:fill="auto"/>
                  <w:vAlign w:val="center"/>
                </w:tcPr>
                <w:p w14:paraId="0BD1EE39">
                  <w:pPr>
                    <w:pStyle w:val="69"/>
                    <w:keepNext w:val="0"/>
                    <w:keepLines w:val="0"/>
                    <w:pageBreakBefore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eastAsia="宋体" w:cs="Times New Roman"/>
                      <w:color w:val="auto"/>
                      <w:spacing w:val="0"/>
                      <w:sz w:val="18"/>
                      <w:szCs w:val="18"/>
                      <w:highlight w:val="none"/>
                    </w:rPr>
                  </w:pPr>
                </w:p>
              </w:tc>
              <w:tc>
                <w:tcPr>
                  <w:tcW w:w="1481" w:type="dxa"/>
                  <w:tcBorders>
                    <w:tl2br w:val="nil"/>
                    <w:tr2bl w:val="nil"/>
                  </w:tcBorders>
                  <w:shd w:val="clear" w:color="auto" w:fill="auto"/>
                  <w:vAlign w:val="center"/>
                </w:tcPr>
                <w:p w14:paraId="04AFADEB">
                  <w:pPr>
                    <w:pStyle w:val="9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position w:val="0"/>
                      <w:sz w:val="18"/>
                      <w:szCs w:val="18"/>
                      <w:highlight w:val="none"/>
                      <w:lang w:val="en-US" w:eastAsia="zh-CN"/>
                    </w:rPr>
                  </w:pPr>
                  <w:r>
                    <w:rPr>
                      <w:rFonts w:hint="default" w:ascii="Times New Roman" w:hAnsi="Times New Roman" w:eastAsia="宋体" w:cs="Times New Roman"/>
                      <w:b w:val="0"/>
                      <w:bCs/>
                      <w:color w:val="auto"/>
                      <w:spacing w:val="0"/>
                      <w:position w:val="0"/>
                      <w:sz w:val="18"/>
                      <w:szCs w:val="18"/>
                      <w:highlight w:val="none"/>
                      <w:lang w:val="en-US" w:eastAsia="zh-CN"/>
                    </w:rPr>
                    <w:t>非甲烷</w:t>
                  </w:r>
                  <w:r>
                    <w:rPr>
                      <w:rFonts w:hint="default" w:ascii="Times New Roman" w:hAnsi="Times New Roman" w:eastAsia="宋体" w:cs="Times New Roman"/>
                      <w:b w:val="0"/>
                      <w:bCs w:val="0"/>
                      <w:color w:val="auto"/>
                      <w:spacing w:val="0"/>
                      <w:position w:val="0"/>
                      <w:sz w:val="18"/>
                      <w:szCs w:val="18"/>
                      <w:highlight w:val="none"/>
                    </w:rPr>
                    <w:t>总烃</w:t>
                  </w:r>
                  <w:r>
                    <w:rPr>
                      <w:rFonts w:hint="default" w:ascii="Times New Roman" w:hAnsi="Times New Roman" w:eastAsia="宋体" w:cs="Times New Roman"/>
                      <w:b w:val="0"/>
                      <w:bCs w:val="0"/>
                      <w:color w:val="auto"/>
                      <w:spacing w:val="0"/>
                      <w:position w:val="0"/>
                      <w:sz w:val="18"/>
                      <w:szCs w:val="18"/>
                      <w:highlight w:val="none"/>
                      <w:lang w:eastAsia="zh-CN"/>
                    </w:rPr>
                    <w:t>、二甲苯</w:t>
                  </w:r>
                  <w:r>
                    <w:rPr>
                      <w:rFonts w:hint="eastAsia" w:cs="Times New Roman"/>
                      <w:b w:val="0"/>
                      <w:bCs w:val="0"/>
                      <w:color w:val="auto"/>
                      <w:spacing w:val="0"/>
                      <w:position w:val="0"/>
                      <w:sz w:val="18"/>
                      <w:szCs w:val="18"/>
                      <w:highlight w:val="none"/>
                      <w:lang w:val="en-US" w:eastAsia="zh-CN"/>
                    </w:rPr>
                    <w:t>、苯系物</w:t>
                  </w:r>
                  <w:r>
                    <w:rPr>
                      <w:rFonts w:hint="default" w:ascii="Times New Roman" w:hAnsi="Times New Roman" w:eastAsia="宋体" w:cs="Times New Roman"/>
                      <w:b w:val="0"/>
                      <w:bCs w:val="0"/>
                      <w:color w:val="auto"/>
                      <w:spacing w:val="0"/>
                      <w:position w:val="0"/>
                      <w:sz w:val="18"/>
                      <w:szCs w:val="18"/>
                      <w:highlight w:val="none"/>
                      <w:lang w:eastAsia="zh-CN"/>
                    </w:rPr>
                    <w:t>、乙酸乙酯</w:t>
                  </w:r>
                  <w:r>
                    <w:rPr>
                      <w:rFonts w:hint="eastAsia" w:cs="Times New Roman"/>
                      <w:b w:val="0"/>
                      <w:bCs w:val="0"/>
                      <w:color w:val="auto"/>
                      <w:spacing w:val="0"/>
                      <w:position w:val="0"/>
                      <w:sz w:val="18"/>
                      <w:szCs w:val="18"/>
                      <w:highlight w:val="none"/>
                      <w:lang w:eastAsia="zh-CN"/>
                    </w:rPr>
                    <w:t>、</w:t>
                  </w:r>
                  <w:r>
                    <w:rPr>
                      <w:rFonts w:hint="eastAsia" w:cs="Times New Roman"/>
                      <w:b w:val="0"/>
                      <w:bCs w:val="0"/>
                      <w:color w:val="auto"/>
                      <w:spacing w:val="0"/>
                      <w:position w:val="0"/>
                      <w:sz w:val="18"/>
                      <w:szCs w:val="18"/>
                      <w:highlight w:val="none"/>
                      <w:lang w:val="en-US" w:eastAsia="zh-CN"/>
                    </w:rPr>
                    <w:t>乙酸丁酯</w:t>
                  </w:r>
                </w:p>
              </w:tc>
              <w:tc>
                <w:tcPr>
                  <w:tcW w:w="588" w:type="dxa"/>
                  <w:vMerge w:val="continue"/>
                  <w:tcBorders>
                    <w:tl2br w:val="nil"/>
                    <w:tr2bl w:val="nil"/>
                  </w:tcBorders>
                  <w:shd w:val="clear" w:color="auto" w:fill="auto"/>
                  <w:vAlign w:val="center"/>
                </w:tcPr>
                <w:p w14:paraId="001F8F94">
                  <w:pPr>
                    <w:pStyle w:val="69"/>
                    <w:keepNext w:val="0"/>
                    <w:keepLines w:val="0"/>
                    <w:pageBreakBefore w:val="0"/>
                    <w:kinsoku/>
                    <w:wordWrap/>
                    <w:overflowPunct/>
                    <w:topLinePunct w:val="0"/>
                    <w:autoSpaceDE/>
                    <w:autoSpaceDN/>
                    <w:bidi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pacing w:val="0"/>
                      <w:position w:val="0"/>
                      <w:sz w:val="18"/>
                      <w:szCs w:val="18"/>
                      <w:highlight w:val="none"/>
                      <w:lang w:eastAsia="zh-CN"/>
                    </w:rPr>
                  </w:pPr>
                </w:p>
              </w:tc>
              <w:tc>
                <w:tcPr>
                  <w:tcW w:w="1993" w:type="dxa"/>
                  <w:vMerge w:val="continue"/>
                  <w:tcBorders>
                    <w:tl2br w:val="nil"/>
                    <w:tr2bl w:val="nil"/>
                  </w:tcBorders>
                  <w:shd w:val="clear" w:color="auto" w:fill="auto"/>
                  <w:vAlign w:val="center"/>
                </w:tcPr>
                <w:p w14:paraId="33F43A31">
                  <w:pPr>
                    <w:pStyle w:val="69"/>
                    <w:keepNext w:val="0"/>
                    <w:keepLines w:val="0"/>
                    <w:pageBreakBefore w:val="0"/>
                    <w:kinsoku/>
                    <w:wordWrap/>
                    <w:overflowPunct/>
                    <w:topLinePunct w:val="0"/>
                    <w:autoSpaceDE/>
                    <w:autoSpaceDN/>
                    <w:bidi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pacing w:val="0"/>
                      <w:position w:val="0"/>
                      <w:sz w:val="18"/>
                      <w:szCs w:val="18"/>
                      <w:highlight w:val="none"/>
                      <w:lang w:eastAsia="zh-CN"/>
                    </w:rPr>
                  </w:pPr>
                </w:p>
              </w:tc>
              <w:tc>
                <w:tcPr>
                  <w:tcW w:w="915" w:type="dxa"/>
                  <w:vMerge w:val="continue"/>
                  <w:tcBorders>
                    <w:tl2br w:val="nil"/>
                    <w:tr2bl w:val="nil"/>
                  </w:tcBorders>
                  <w:shd w:val="clear" w:color="auto" w:fill="auto"/>
                  <w:vAlign w:val="center"/>
                </w:tcPr>
                <w:p w14:paraId="4233718A">
                  <w:pPr>
                    <w:pStyle w:val="69"/>
                    <w:keepNext w:val="0"/>
                    <w:keepLines w:val="0"/>
                    <w:pageBreakBefore w:val="0"/>
                    <w:kinsoku/>
                    <w:wordWrap/>
                    <w:overflowPunct/>
                    <w:topLinePunct w:val="0"/>
                    <w:autoSpaceDE/>
                    <w:autoSpaceDN/>
                    <w:bidi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pacing w:val="0"/>
                      <w:position w:val="0"/>
                      <w:sz w:val="18"/>
                      <w:szCs w:val="18"/>
                      <w:highlight w:val="none"/>
                      <w:lang w:eastAsia="zh-CN"/>
                    </w:rPr>
                  </w:pPr>
                </w:p>
              </w:tc>
              <w:tc>
                <w:tcPr>
                  <w:tcW w:w="558" w:type="dxa"/>
                  <w:vMerge w:val="continue"/>
                  <w:tcBorders>
                    <w:tl2br w:val="nil"/>
                    <w:tr2bl w:val="nil"/>
                  </w:tcBorders>
                  <w:shd w:val="clear" w:color="auto" w:fill="auto"/>
                  <w:vAlign w:val="center"/>
                </w:tcPr>
                <w:p w14:paraId="64209F40">
                  <w:pPr>
                    <w:pStyle w:val="69"/>
                    <w:keepNext w:val="0"/>
                    <w:keepLines w:val="0"/>
                    <w:pageBreakBefore w:val="0"/>
                    <w:kinsoku/>
                    <w:wordWrap/>
                    <w:overflowPunct/>
                    <w:topLinePunct w:val="0"/>
                    <w:autoSpaceDE/>
                    <w:autoSpaceDN/>
                    <w:bidi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pacing w:val="0"/>
                      <w:position w:val="0"/>
                      <w:sz w:val="18"/>
                      <w:szCs w:val="18"/>
                      <w:highlight w:val="none"/>
                      <w:lang w:eastAsia="zh-CN"/>
                    </w:rPr>
                  </w:pPr>
                </w:p>
              </w:tc>
              <w:tc>
                <w:tcPr>
                  <w:tcW w:w="927" w:type="dxa"/>
                  <w:tcBorders>
                    <w:tl2br w:val="nil"/>
                    <w:tr2bl w:val="nil"/>
                  </w:tcBorders>
                  <w:shd w:val="clear" w:color="auto" w:fill="auto"/>
                  <w:vAlign w:val="center"/>
                </w:tcPr>
                <w:p w14:paraId="0521B459">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eastAsia="宋体"/>
                      <w:color w:val="auto"/>
                      <w:sz w:val="18"/>
                      <w:szCs w:val="18"/>
                      <w:highlight w:val="none"/>
                      <w:lang w:val="en-US" w:eastAsia="zh-CN"/>
                    </w:rPr>
                  </w:pPr>
                  <w:r>
                    <w:rPr>
                      <w:rFonts w:hint="eastAsia" w:cs="Times New Roman"/>
                      <w:b w:val="0"/>
                      <w:bCs w:val="0"/>
                      <w:color w:val="auto"/>
                      <w:spacing w:val="0"/>
                      <w:position w:val="0"/>
                      <w:sz w:val="18"/>
                      <w:szCs w:val="18"/>
                      <w:highlight w:val="none"/>
                      <w:lang w:val="en-US" w:eastAsia="zh-CN"/>
                    </w:rPr>
                    <w:t>“二级活性炭吸附装置”</w:t>
                  </w:r>
                  <w:r>
                    <w:rPr>
                      <w:rFonts w:hint="eastAsia" w:eastAsia="宋体"/>
                      <w:color w:val="auto"/>
                      <w:sz w:val="18"/>
                      <w:szCs w:val="18"/>
                      <w:highlight w:val="none"/>
                      <w:lang w:val="en-US" w:eastAsia="zh-CN"/>
                    </w:rPr>
                    <w:t>处理效率80</w:t>
                  </w:r>
                </w:p>
              </w:tc>
              <w:tc>
                <w:tcPr>
                  <w:tcW w:w="731" w:type="dxa"/>
                  <w:vMerge w:val="continue"/>
                  <w:tcBorders>
                    <w:tl2br w:val="nil"/>
                    <w:tr2bl w:val="nil"/>
                  </w:tcBorders>
                  <w:shd w:val="clear" w:color="auto" w:fill="auto"/>
                  <w:vAlign w:val="center"/>
                </w:tcPr>
                <w:p w14:paraId="5B1FA26C">
                  <w:pPr>
                    <w:pStyle w:val="69"/>
                    <w:keepNext w:val="0"/>
                    <w:keepLines w:val="0"/>
                    <w:pageBreakBefore w:val="0"/>
                    <w:kinsoku/>
                    <w:wordWrap/>
                    <w:overflowPunct/>
                    <w:topLinePunct w:val="0"/>
                    <w:autoSpaceDE/>
                    <w:autoSpaceDN/>
                    <w:bidi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pacing w:val="0"/>
                      <w:position w:val="0"/>
                      <w:sz w:val="18"/>
                      <w:szCs w:val="18"/>
                      <w:highlight w:val="none"/>
                      <w:lang w:val="en-US" w:eastAsia="zh-CN"/>
                    </w:rPr>
                  </w:pPr>
                </w:p>
              </w:tc>
            </w:tr>
            <w:tr w14:paraId="2BD39F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4" w:type="dxa"/>
                  <w:tcBorders>
                    <w:tl2br w:val="nil"/>
                    <w:tr2bl w:val="nil"/>
                  </w:tcBorders>
                  <w:shd w:val="clear" w:color="auto" w:fill="auto"/>
                  <w:vAlign w:val="center"/>
                </w:tcPr>
                <w:p w14:paraId="775B72A0">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val="0"/>
                      <w:color w:val="auto"/>
                      <w:spacing w:val="0"/>
                      <w:position w:val="0"/>
                      <w:sz w:val="18"/>
                      <w:szCs w:val="18"/>
                      <w:highlight w:val="none"/>
                      <w:lang w:eastAsia="zh-CN"/>
                    </w:rPr>
                  </w:pPr>
                  <w:r>
                    <w:rPr>
                      <w:rFonts w:hint="eastAsia" w:cs="Times New Roman"/>
                      <w:b w:val="0"/>
                      <w:bCs w:val="0"/>
                      <w:color w:val="auto"/>
                      <w:spacing w:val="0"/>
                      <w:position w:val="0"/>
                      <w:sz w:val="18"/>
                      <w:szCs w:val="18"/>
                      <w:highlight w:val="none"/>
                      <w:lang w:eastAsia="zh-CN"/>
                    </w:rPr>
                    <w:t>调漆、喷漆、晾干</w:t>
                  </w:r>
                  <w:r>
                    <w:rPr>
                      <w:rFonts w:hint="eastAsia" w:ascii="Times New Roman" w:hAnsi="Times New Roman" w:eastAsia="宋体" w:cs="Times New Roman"/>
                      <w:b w:val="0"/>
                      <w:bCs w:val="0"/>
                      <w:color w:val="auto"/>
                      <w:spacing w:val="0"/>
                      <w:position w:val="0"/>
                      <w:sz w:val="18"/>
                      <w:szCs w:val="18"/>
                      <w:highlight w:val="none"/>
                      <w:lang w:val="en-US" w:eastAsia="zh-CN"/>
                    </w:rPr>
                    <w:t>工序</w:t>
                  </w:r>
                </w:p>
              </w:tc>
              <w:tc>
                <w:tcPr>
                  <w:tcW w:w="1481" w:type="dxa"/>
                  <w:tcBorders>
                    <w:tl2br w:val="nil"/>
                    <w:tr2bl w:val="nil"/>
                  </w:tcBorders>
                  <w:shd w:val="clear" w:color="auto" w:fill="auto"/>
                  <w:vAlign w:val="center"/>
                </w:tcPr>
                <w:p w14:paraId="360EBE46">
                  <w:pPr>
                    <w:pStyle w:val="9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position w:val="0"/>
                      <w:sz w:val="18"/>
                      <w:szCs w:val="18"/>
                      <w:highlight w:val="none"/>
                      <w:lang w:val="en-US"/>
                    </w:rPr>
                  </w:pPr>
                  <w:r>
                    <w:rPr>
                      <w:rFonts w:hint="default" w:ascii="Times New Roman" w:hAnsi="Times New Roman" w:eastAsia="宋体" w:cs="Times New Roman"/>
                      <w:b w:val="0"/>
                      <w:bCs/>
                      <w:color w:val="auto"/>
                      <w:spacing w:val="0"/>
                      <w:position w:val="0"/>
                      <w:sz w:val="18"/>
                      <w:szCs w:val="18"/>
                      <w:highlight w:val="none"/>
                      <w:lang w:val="en-US" w:eastAsia="zh-CN"/>
                    </w:rPr>
                    <w:t>非甲烷</w:t>
                  </w:r>
                  <w:r>
                    <w:rPr>
                      <w:rFonts w:hint="default" w:ascii="Times New Roman" w:hAnsi="Times New Roman" w:eastAsia="宋体" w:cs="Times New Roman"/>
                      <w:b w:val="0"/>
                      <w:bCs w:val="0"/>
                      <w:color w:val="auto"/>
                      <w:spacing w:val="0"/>
                      <w:position w:val="0"/>
                      <w:sz w:val="18"/>
                      <w:szCs w:val="18"/>
                      <w:highlight w:val="none"/>
                    </w:rPr>
                    <w:t>总烃</w:t>
                  </w:r>
                  <w:r>
                    <w:rPr>
                      <w:rFonts w:hint="eastAsia" w:cs="Times New Roman"/>
                      <w:b w:val="0"/>
                      <w:bCs w:val="0"/>
                      <w:color w:val="auto"/>
                      <w:spacing w:val="0"/>
                      <w:position w:val="0"/>
                      <w:sz w:val="18"/>
                      <w:szCs w:val="18"/>
                      <w:highlight w:val="none"/>
                      <w:lang w:eastAsia="zh-CN"/>
                    </w:rPr>
                    <w:t>、</w:t>
                  </w:r>
                  <w:r>
                    <w:rPr>
                      <w:rFonts w:hint="default" w:ascii="Times New Roman" w:hAnsi="Times New Roman" w:eastAsia="宋体" w:cs="Times New Roman"/>
                      <w:b w:val="0"/>
                      <w:bCs w:val="0"/>
                      <w:color w:val="auto"/>
                      <w:spacing w:val="0"/>
                      <w:position w:val="0"/>
                      <w:sz w:val="18"/>
                      <w:szCs w:val="18"/>
                      <w:highlight w:val="none"/>
                      <w:lang w:eastAsia="zh-CN"/>
                    </w:rPr>
                    <w:t>颗粒物、二甲苯、乙酸乙酯</w:t>
                  </w:r>
                </w:p>
              </w:tc>
              <w:tc>
                <w:tcPr>
                  <w:tcW w:w="588" w:type="dxa"/>
                  <w:tcBorders>
                    <w:tl2br w:val="nil"/>
                    <w:tr2bl w:val="nil"/>
                  </w:tcBorders>
                  <w:shd w:val="clear" w:color="auto" w:fill="auto"/>
                  <w:vAlign w:val="center"/>
                </w:tcPr>
                <w:p w14:paraId="64E13D60">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val="0"/>
                      <w:color w:val="auto"/>
                      <w:spacing w:val="0"/>
                      <w:position w:val="0"/>
                      <w:sz w:val="18"/>
                      <w:szCs w:val="18"/>
                      <w:highlight w:val="none"/>
                    </w:rPr>
                  </w:pPr>
                  <w:r>
                    <w:rPr>
                      <w:rFonts w:hint="eastAsia" w:ascii="Times New Roman" w:hAnsi="Times New Roman" w:eastAsia="宋体" w:cs="Times New Roman"/>
                      <w:b w:val="0"/>
                      <w:bCs w:val="0"/>
                      <w:color w:val="auto"/>
                      <w:spacing w:val="0"/>
                      <w:position w:val="0"/>
                      <w:sz w:val="18"/>
                      <w:szCs w:val="18"/>
                      <w:highlight w:val="none"/>
                    </w:rPr>
                    <w:t>无组织</w:t>
                  </w:r>
                </w:p>
              </w:tc>
              <w:tc>
                <w:tcPr>
                  <w:tcW w:w="1993" w:type="dxa"/>
                  <w:tcBorders>
                    <w:tl2br w:val="nil"/>
                    <w:tr2bl w:val="nil"/>
                  </w:tcBorders>
                  <w:shd w:val="clear" w:color="auto" w:fill="auto"/>
                  <w:vAlign w:val="center"/>
                </w:tcPr>
                <w:p w14:paraId="16127B0C">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pacing w:val="0"/>
                      <w:position w:val="0"/>
                      <w:sz w:val="18"/>
                      <w:szCs w:val="18"/>
                      <w:highlight w:val="none"/>
                    </w:rPr>
                  </w:pPr>
                  <w:r>
                    <w:rPr>
                      <w:rFonts w:hint="eastAsia" w:ascii="Times New Roman" w:hAnsi="Times New Roman" w:eastAsia="宋体" w:cs="Times New Roman"/>
                      <w:color w:val="auto"/>
                      <w:spacing w:val="0"/>
                      <w:position w:val="0"/>
                      <w:sz w:val="18"/>
                      <w:szCs w:val="18"/>
                      <w:highlight w:val="none"/>
                    </w:rPr>
                    <w:t>提高废气捕集效率，</w:t>
                  </w:r>
                </w:p>
                <w:p w14:paraId="76DCF77B">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b w:val="0"/>
                      <w:bCs w:val="0"/>
                      <w:color w:val="auto"/>
                      <w:spacing w:val="0"/>
                      <w:position w:val="0"/>
                      <w:sz w:val="18"/>
                      <w:szCs w:val="18"/>
                      <w:highlight w:val="none"/>
                    </w:rPr>
                  </w:pPr>
                  <w:r>
                    <w:rPr>
                      <w:rFonts w:hint="eastAsia" w:ascii="Times New Roman" w:hAnsi="Times New Roman" w:eastAsia="宋体" w:cs="Times New Roman"/>
                      <w:color w:val="auto"/>
                      <w:spacing w:val="0"/>
                      <w:position w:val="0"/>
                      <w:sz w:val="18"/>
                      <w:szCs w:val="18"/>
                      <w:highlight w:val="none"/>
                    </w:rPr>
                    <w:t>加强车间封闭</w:t>
                  </w:r>
                </w:p>
              </w:tc>
              <w:tc>
                <w:tcPr>
                  <w:tcW w:w="915" w:type="dxa"/>
                  <w:tcBorders>
                    <w:tl2br w:val="nil"/>
                    <w:tr2bl w:val="nil"/>
                  </w:tcBorders>
                  <w:shd w:val="clear" w:color="auto" w:fill="auto"/>
                  <w:vAlign w:val="center"/>
                </w:tcPr>
                <w:p w14:paraId="5E846D24">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val="0"/>
                      <w:color w:val="auto"/>
                      <w:spacing w:val="0"/>
                      <w:position w:val="0"/>
                      <w:sz w:val="18"/>
                      <w:szCs w:val="18"/>
                      <w:highlight w:val="none"/>
                    </w:rPr>
                  </w:pPr>
                  <w:r>
                    <w:rPr>
                      <w:rFonts w:hint="eastAsia" w:ascii="Times New Roman" w:hAnsi="Times New Roman" w:eastAsia="宋体" w:cs="Times New Roman"/>
                      <w:b w:val="0"/>
                      <w:bCs w:val="0"/>
                      <w:color w:val="auto"/>
                      <w:spacing w:val="0"/>
                      <w:position w:val="0"/>
                      <w:sz w:val="18"/>
                      <w:szCs w:val="18"/>
                      <w:highlight w:val="none"/>
                    </w:rPr>
                    <w:t>/</w:t>
                  </w:r>
                </w:p>
              </w:tc>
              <w:tc>
                <w:tcPr>
                  <w:tcW w:w="558" w:type="dxa"/>
                  <w:tcBorders>
                    <w:tl2br w:val="nil"/>
                    <w:tr2bl w:val="nil"/>
                  </w:tcBorders>
                  <w:shd w:val="clear" w:color="auto" w:fill="auto"/>
                  <w:vAlign w:val="center"/>
                </w:tcPr>
                <w:p w14:paraId="6D28FFE3">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val="0"/>
                      <w:color w:val="auto"/>
                      <w:spacing w:val="0"/>
                      <w:position w:val="0"/>
                      <w:sz w:val="18"/>
                      <w:szCs w:val="18"/>
                      <w:highlight w:val="none"/>
                    </w:rPr>
                  </w:pPr>
                  <w:r>
                    <w:rPr>
                      <w:rFonts w:hint="eastAsia" w:ascii="Times New Roman" w:hAnsi="Times New Roman" w:eastAsia="宋体" w:cs="Times New Roman"/>
                      <w:b w:val="0"/>
                      <w:bCs w:val="0"/>
                      <w:color w:val="auto"/>
                      <w:spacing w:val="0"/>
                      <w:position w:val="0"/>
                      <w:sz w:val="18"/>
                      <w:szCs w:val="18"/>
                      <w:highlight w:val="none"/>
                    </w:rPr>
                    <w:t>/</w:t>
                  </w:r>
                </w:p>
              </w:tc>
              <w:tc>
                <w:tcPr>
                  <w:tcW w:w="927" w:type="dxa"/>
                  <w:tcBorders>
                    <w:tl2br w:val="nil"/>
                    <w:tr2bl w:val="nil"/>
                  </w:tcBorders>
                  <w:shd w:val="clear" w:color="auto" w:fill="auto"/>
                  <w:vAlign w:val="center"/>
                </w:tcPr>
                <w:p w14:paraId="7AFFAEE1">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val="0"/>
                      <w:color w:val="auto"/>
                      <w:spacing w:val="0"/>
                      <w:position w:val="0"/>
                      <w:sz w:val="18"/>
                      <w:szCs w:val="18"/>
                      <w:highlight w:val="none"/>
                    </w:rPr>
                  </w:pPr>
                  <w:r>
                    <w:rPr>
                      <w:rFonts w:hint="eastAsia" w:ascii="Times New Roman" w:hAnsi="Times New Roman" w:eastAsia="宋体" w:cs="Times New Roman"/>
                      <w:b w:val="0"/>
                      <w:bCs w:val="0"/>
                      <w:color w:val="auto"/>
                      <w:spacing w:val="0"/>
                      <w:position w:val="0"/>
                      <w:sz w:val="18"/>
                      <w:szCs w:val="18"/>
                      <w:highlight w:val="none"/>
                    </w:rPr>
                    <w:t>/</w:t>
                  </w:r>
                </w:p>
              </w:tc>
              <w:tc>
                <w:tcPr>
                  <w:tcW w:w="731" w:type="dxa"/>
                  <w:tcBorders>
                    <w:tl2br w:val="nil"/>
                    <w:tr2bl w:val="nil"/>
                  </w:tcBorders>
                  <w:shd w:val="clear" w:color="auto" w:fill="auto"/>
                  <w:vAlign w:val="center"/>
                </w:tcPr>
                <w:p w14:paraId="0398531A">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val="0"/>
                      <w:color w:val="auto"/>
                      <w:spacing w:val="0"/>
                      <w:position w:val="0"/>
                      <w:sz w:val="18"/>
                      <w:szCs w:val="18"/>
                      <w:highlight w:val="none"/>
                    </w:rPr>
                  </w:pPr>
                  <w:r>
                    <w:rPr>
                      <w:rFonts w:hint="eastAsia" w:ascii="Times New Roman" w:hAnsi="Times New Roman" w:eastAsia="宋体" w:cs="Times New Roman"/>
                      <w:b w:val="0"/>
                      <w:bCs w:val="0"/>
                      <w:color w:val="auto"/>
                      <w:spacing w:val="0"/>
                      <w:position w:val="0"/>
                      <w:sz w:val="18"/>
                      <w:szCs w:val="18"/>
                      <w:highlight w:val="none"/>
                    </w:rPr>
                    <w:t>/</w:t>
                  </w:r>
                </w:p>
              </w:tc>
            </w:tr>
          </w:tbl>
          <w:p w14:paraId="244A07EE">
            <w:pPr>
              <w:pStyle w:val="63"/>
              <w:keepNext w:val="0"/>
              <w:keepLines w:val="0"/>
              <w:pageBreakBefore w:val="0"/>
              <w:widowControl/>
              <w:kinsoku/>
              <w:wordWrap/>
              <w:overflowPunct/>
              <w:topLinePunct w:val="0"/>
              <w:autoSpaceDE/>
              <w:autoSpaceDN/>
              <w:bidi w:val="0"/>
              <w:adjustRightInd/>
              <w:snapToGrid w:val="0"/>
              <w:spacing w:before="157" w:beforeLines="50" w:line="240" w:lineRule="auto"/>
              <w:ind w:firstLine="0" w:firstLineChars="0"/>
              <w:jc w:val="center"/>
              <w:textAlignment w:val="auto"/>
              <w:rPr>
                <w:rFonts w:ascii="Times New Roman" w:hAnsi="Times New Roman" w:eastAsia="宋体" w:cs="Times New Roman"/>
                <w:b/>
                <w:bCs/>
                <w:color w:val="auto"/>
                <w:spacing w:val="0"/>
                <w:position w:val="0"/>
                <w:highlight w:val="none"/>
              </w:rPr>
            </w:pPr>
            <w:r>
              <w:rPr>
                <w:rFonts w:hint="default" w:ascii="Times New Roman" w:hAnsi="Times New Roman" w:eastAsia="宋体" w:cs="Times New Roman"/>
                <w:b/>
                <w:bCs/>
                <w:color w:val="auto"/>
                <w:spacing w:val="0"/>
                <w:position w:val="0"/>
                <w:highlight w:val="none"/>
              </w:rPr>
              <w:t>表</w:t>
            </w:r>
            <w:r>
              <w:rPr>
                <w:rFonts w:hint="eastAsia" w:ascii="Times New Roman" w:hAnsi="Times New Roman" w:eastAsia="宋体" w:cs="Times New Roman"/>
                <w:b/>
                <w:bCs/>
                <w:color w:val="auto"/>
                <w:spacing w:val="0"/>
                <w:position w:val="0"/>
                <w:highlight w:val="none"/>
                <w:lang w:val="en-US" w:eastAsia="zh-CN"/>
              </w:rPr>
              <w:t>4.1</w:t>
            </w:r>
            <w:r>
              <w:rPr>
                <w:rFonts w:hint="eastAsia" w:cs="Times New Roman"/>
                <w:b/>
                <w:bCs/>
                <w:color w:val="auto"/>
                <w:spacing w:val="0"/>
                <w:position w:val="0"/>
                <w:highlight w:val="none"/>
                <w:lang w:val="en-US" w:eastAsia="zh-CN"/>
              </w:rPr>
              <w:t>.1</w:t>
            </w:r>
            <w:r>
              <w:rPr>
                <w:rFonts w:hint="eastAsia" w:ascii="Times New Roman" w:hAnsi="Times New Roman" w:eastAsia="宋体" w:cs="Times New Roman"/>
                <w:b/>
                <w:bCs/>
                <w:color w:val="auto"/>
                <w:spacing w:val="0"/>
                <w:position w:val="0"/>
                <w:highlight w:val="none"/>
                <w:lang w:val="en-US" w:eastAsia="zh-CN"/>
              </w:rPr>
              <w:t>-</w:t>
            </w:r>
            <w:r>
              <w:rPr>
                <w:rFonts w:hint="eastAsia" w:cs="Times New Roman"/>
                <w:b/>
                <w:bCs/>
                <w:color w:val="auto"/>
                <w:spacing w:val="0"/>
                <w:position w:val="0"/>
                <w:highlight w:val="none"/>
                <w:lang w:val="en-US" w:eastAsia="zh-CN"/>
              </w:rPr>
              <w:t>3</w:t>
            </w:r>
            <w:r>
              <w:rPr>
                <w:rFonts w:hint="default" w:ascii="Times New Roman" w:hAnsi="Times New Roman" w:eastAsia="宋体" w:cs="Times New Roman"/>
                <w:b/>
                <w:bCs/>
                <w:color w:val="auto"/>
                <w:spacing w:val="0"/>
                <w:position w:val="0"/>
                <w:highlight w:val="none"/>
              </w:rPr>
              <w:t xml:space="preserve"> 废气污染物排放源信息汇总表（排放口信息及标准）</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50"/>
              <w:gridCol w:w="1104"/>
              <w:gridCol w:w="444"/>
              <w:gridCol w:w="825"/>
              <w:gridCol w:w="315"/>
              <w:gridCol w:w="858"/>
              <w:gridCol w:w="450"/>
              <w:gridCol w:w="1530"/>
              <w:gridCol w:w="1601"/>
            </w:tblGrid>
            <w:tr w14:paraId="1B915A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950" w:type="dxa"/>
                  <w:vMerge w:val="restart"/>
                  <w:tcBorders>
                    <w:tl2br w:val="nil"/>
                    <w:tr2bl w:val="nil"/>
                  </w:tcBorders>
                  <w:shd w:val="clear" w:color="auto" w:fill="auto"/>
                  <w:vAlign w:val="center"/>
                </w:tcPr>
                <w:p w14:paraId="456B927E">
                  <w:pPr>
                    <w:keepNext w:val="0"/>
                    <w:keepLines w:val="0"/>
                    <w:pageBreakBefore w:val="0"/>
                    <w:kinsoku/>
                    <w:overflowPunct/>
                    <w:autoSpaceDE/>
                    <w:autoSpaceDN/>
                    <w:bidi w:val="0"/>
                    <w:adjustRightInd w:val="0"/>
                    <w:snapToGrid w:val="0"/>
                    <w:ind w:left="0" w:leftChars="0"/>
                    <w:jc w:val="center"/>
                    <w:textAlignment w:val="auto"/>
                    <w:rPr>
                      <w:rFonts w:hint="eastAsia" w:ascii="Times New Roman" w:hAnsi="Times New Roman" w:eastAsia="宋体" w:cs="Times New Roman"/>
                      <w:b/>
                      <w:bCs/>
                      <w:color w:val="auto"/>
                      <w:spacing w:val="-6"/>
                      <w:position w:val="0"/>
                      <w:sz w:val="18"/>
                      <w:szCs w:val="18"/>
                      <w:highlight w:val="none"/>
                    </w:rPr>
                  </w:pPr>
                  <w:r>
                    <w:rPr>
                      <w:rFonts w:hint="eastAsia" w:ascii="Times New Roman" w:hAnsi="Times New Roman" w:eastAsia="宋体" w:cs="Times New Roman"/>
                      <w:b/>
                      <w:bCs/>
                      <w:color w:val="auto"/>
                      <w:spacing w:val="-6"/>
                      <w:position w:val="0"/>
                      <w:sz w:val="18"/>
                      <w:szCs w:val="18"/>
                      <w:highlight w:val="none"/>
                    </w:rPr>
                    <w:t>产排污</w:t>
                  </w:r>
                </w:p>
                <w:p w14:paraId="5C3785E1">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bCs/>
                      <w:color w:val="auto"/>
                      <w:spacing w:val="-6"/>
                      <w:position w:val="0"/>
                      <w:sz w:val="18"/>
                      <w:szCs w:val="18"/>
                      <w:highlight w:val="none"/>
                    </w:rPr>
                  </w:pPr>
                  <w:r>
                    <w:rPr>
                      <w:rFonts w:hint="eastAsia" w:ascii="Times New Roman" w:hAnsi="Times New Roman" w:eastAsia="宋体" w:cs="Times New Roman"/>
                      <w:b/>
                      <w:bCs/>
                      <w:color w:val="auto"/>
                      <w:spacing w:val="-6"/>
                      <w:position w:val="0"/>
                      <w:sz w:val="18"/>
                      <w:szCs w:val="18"/>
                      <w:highlight w:val="none"/>
                    </w:rPr>
                    <w:t>环节</w:t>
                  </w:r>
                </w:p>
              </w:tc>
              <w:tc>
                <w:tcPr>
                  <w:tcW w:w="1104" w:type="dxa"/>
                  <w:vMerge w:val="restart"/>
                  <w:tcBorders>
                    <w:tl2br w:val="nil"/>
                    <w:tr2bl w:val="nil"/>
                  </w:tcBorders>
                  <w:shd w:val="clear" w:color="auto" w:fill="auto"/>
                  <w:vAlign w:val="center"/>
                </w:tcPr>
                <w:p w14:paraId="4DC05C1E">
                  <w:pPr>
                    <w:keepNext w:val="0"/>
                    <w:keepLines w:val="0"/>
                    <w:pageBreakBefore w:val="0"/>
                    <w:kinsoku/>
                    <w:overflowPunct/>
                    <w:autoSpaceDE/>
                    <w:autoSpaceDN/>
                    <w:bidi w:val="0"/>
                    <w:adjustRightInd w:val="0"/>
                    <w:snapToGrid w:val="0"/>
                    <w:ind w:left="0" w:leftChars="0"/>
                    <w:jc w:val="center"/>
                    <w:textAlignment w:val="auto"/>
                    <w:rPr>
                      <w:rFonts w:hint="eastAsia" w:ascii="Times New Roman" w:hAnsi="Times New Roman" w:eastAsia="宋体" w:cs="Times New Roman"/>
                      <w:b/>
                      <w:bCs/>
                      <w:color w:val="auto"/>
                      <w:spacing w:val="-6"/>
                      <w:position w:val="0"/>
                      <w:sz w:val="18"/>
                      <w:szCs w:val="18"/>
                      <w:highlight w:val="none"/>
                    </w:rPr>
                  </w:pPr>
                  <w:r>
                    <w:rPr>
                      <w:rFonts w:hint="eastAsia" w:ascii="Times New Roman" w:hAnsi="Times New Roman" w:eastAsia="宋体" w:cs="Times New Roman"/>
                      <w:b/>
                      <w:bCs/>
                      <w:color w:val="auto"/>
                      <w:spacing w:val="-6"/>
                      <w:position w:val="0"/>
                      <w:sz w:val="18"/>
                      <w:szCs w:val="18"/>
                      <w:highlight w:val="none"/>
                    </w:rPr>
                    <w:t>污染物</w:t>
                  </w:r>
                </w:p>
                <w:p w14:paraId="33611DA1">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bCs/>
                      <w:color w:val="auto"/>
                      <w:spacing w:val="-6"/>
                      <w:position w:val="0"/>
                      <w:sz w:val="18"/>
                      <w:szCs w:val="18"/>
                      <w:highlight w:val="none"/>
                    </w:rPr>
                  </w:pPr>
                  <w:r>
                    <w:rPr>
                      <w:rFonts w:hint="eastAsia" w:ascii="Times New Roman" w:hAnsi="Times New Roman" w:eastAsia="宋体" w:cs="Times New Roman"/>
                      <w:b/>
                      <w:bCs/>
                      <w:color w:val="auto"/>
                      <w:spacing w:val="-6"/>
                      <w:position w:val="0"/>
                      <w:sz w:val="18"/>
                      <w:szCs w:val="18"/>
                      <w:highlight w:val="none"/>
                    </w:rPr>
                    <w:t>种类</w:t>
                  </w:r>
                </w:p>
              </w:tc>
              <w:tc>
                <w:tcPr>
                  <w:tcW w:w="444" w:type="dxa"/>
                  <w:vMerge w:val="restart"/>
                  <w:tcBorders>
                    <w:tl2br w:val="nil"/>
                    <w:tr2bl w:val="nil"/>
                  </w:tcBorders>
                  <w:shd w:val="clear" w:color="auto" w:fill="auto"/>
                  <w:vAlign w:val="center"/>
                </w:tcPr>
                <w:p w14:paraId="5FF62900">
                  <w:pPr>
                    <w:keepNext w:val="0"/>
                    <w:keepLines w:val="0"/>
                    <w:pageBreakBefore w:val="0"/>
                    <w:kinsoku/>
                    <w:overflowPunct/>
                    <w:autoSpaceDE/>
                    <w:autoSpaceDN/>
                    <w:bidi w:val="0"/>
                    <w:adjustRightInd w:val="0"/>
                    <w:snapToGrid w:val="0"/>
                    <w:ind w:left="0" w:leftChars="0"/>
                    <w:jc w:val="center"/>
                    <w:textAlignment w:val="auto"/>
                    <w:rPr>
                      <w:rFonts w:hint="eastAsia" w:ascii="Times New Roman" w:hAnsi="Times New Roman" w:eastAsia="宋体" w:cs="Times New Roman"/>
                      <w:b/>
                      <w:bCs/>
                      <w:color w:val="auto"/>
                      <w:spacing w:val="-6"/>
                      <w:position w:val="0"/>
                      <w:sz w:val="18"/>
                      <w:szCs w:val="18"/>
                      <w:highlight w:val="none"/>
                    </w:rPr>
                  </w:pPr>
                  <w:r>
                    <w:rPr>
                      <w:rFonts w:hint="eastAsia" w:ascii="Times New Roman" w:hAnsi="Times New Roman" w:eastAsia="宋体" w:cs="Times New Roman"/>
                      <w:b/>
                      <w:bCs/>
                      <w:color w:val="auto"/>
                      <w:spacing w:val="-6"/>
                      <w:position w:val="0"/>
                      <w:sz w:val="18"/>
                      <w:szCs w:val="18"/>
                      <w:highlight w:val="none"/>
                    </w:rPr>
                    <w:t>排放</w:t>
                  </w:r>
                </w:p>
                <w:p w14:paraId="7F37DC0A">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bCs/>
                      <w:color w:val="auto"/>
                      <w:spacing w:val="-6"/>
                      <w:position w:val="0"/>
                      <w:sz w:val="18"/>
                      <w:szCs w:val="18"/>
                      <w:highlight w:val="none"/>
                    </w:rPr>
                  </w:pPr>
                  <w:r>
                    <w:rPr>
                      <w:rFonts w:hint="eastAsia" w:ascii="Times New Roman" w:hAnsi="Times New Roman" w:eastAsia="宋体" w:cs="Times New Roman"/>
                      <w:b/>
                      <w:bCs/>
                      <w:color w:val="auto"/>
                      <w:spacing w:val="-6"/>
                      <w:position w:val="0"/>
                      <w:sz w:val="18"/>
                      <w:szCs w:val="18"/>
                      <w:highlight w:val="none"/>
                    </w:rPr>
                    <w:t>形式</w:t>
                  </w:r>
                </w:p>
              </w:tc>
              <w:tc>
                <w:tcPr>
                  <w:tcW w:w="3978" w:type="dxa"/>
                  <w:gridSpan w:val="5"/>
                  <w:tcBorders>
                    <w:tl2br w:val="nil"/>
                    <w:tr2bl w:val="nil"/>
                  </w:tcBorders>
                  <w:shd w:val="clear" w:color="auto" w:fill="auto"/>
                  <w:vAlign w:val="center"/>
                </w:tcPr>
                <w:p w14:paraId="2E6998FC">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bCs/>
                      <w:color w:val="auto"/>
                      <w:spacing w:val="-6"/>
                      <w:position w:val="0"/>
                      <w:sz w:val="18"/>
                      <w:szCs w:val="18"/>
                      <w:highlight w:val="none"/>
                    </w:rPr>
                  </w:pPr>
                  <w:r>
                    <w:rPr>
                      <w:rFonts w:hint="eastAsia" w:ascii="Times New Roman" w:hAnsi="Times New Roman" w:eastAsia="宋体" w:cs="Times New Roman"/>
                      <w:b/>
                      <w:bCs/>
                      <w:color w:val="auto"/>
                      <w:spacing w:val="-6"/>
                      <w:position w:val="0"/>
                      <w:sz w:val="18"/>
                      <w:szCs w:val="18"/>
                      <w:highlight w:val="none"/>
                    </w:rPr>
                    <w:t>排放口基本情况</w:t>
                  </w:r>
                </w:p>
              </w:tc>
              <w:tc>
                <w:tcPr>
                  <w:tcW w:w="1601" w:type="dxa"/>
                  <w:vMerge w:val="restart"/>
                  <w:tcBorders>
                    <w:tl2br w:val="nil"/>
                    <w:tr2bl w:val="nil"/>
                  </w:tcBorders>
                  <w:shd w:val="clear" w:color="auto" w:fill="auto"/>
                  <w:vAlign w:val="center"/>
                </w:tcPr>
                <w:p w14:paraId="4B77B7BE">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bCs/>
                      <w:color w:val="auto"/>
                      <w:spacing w:val="-6"/>
                      <w:position w:val="0"/>
                      <w:sz w:val="18"/>
                      <w:szCs w:val="18"/>
                      <w:highlight w:val="none"/>
                    </w:rPr>
                  </w:pPr>
                  <w:r>
                    <w:rPr>
                      <w:rFonts w:hint="eastAsia" w:ascii="Times New Roman" w:hAnsi="Times New Roman" w:eastAsia="宋体" w:cs="Times New Roman"/>
                      <w:b/>
                      <w:bCs/>
                      <w:color w:val="auto"/>
                      <w:spacing w:val="-6"/>
                      <w:position w:val="0"/>
                      <w:sz w:val="18"/>
                      <w:szCs w:val="18"/>
                      <w:highlight w:val="none"/>
                    </w:rPr>
                    <w:t>排放标准</w:t>
                  </w:r>
                </w:p>
              </w:tc>
            </w:tr>
            <w:tr w14:paraId="024E8D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950" w:type="dxa"/>
                  <w:vMerge w:val="continue"/>
                  <w:tcBorders>
                    <w:tl2br w:val="nil"/>
                    <w:tr2bl w:val="nil"/>
                  </w:tcBorders>
                  <w:shd w:val="clear" w:color="auto" w:fill="auto"/>
                  <w:vAlign w:val="center"/>
                </w:tcPr>
                <w:p w14:paraId="2CE25505">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val="0"/>
                      <w:bCs w:val="0"/>
                      <w:color w:val="auto"/>
                      <w:spacing w:val="-6"/>
                      <w:position w:val="0"/>
                      <w:sz w:val="18"/>
                      <w:szCs w:val="18"/>
                      <w:highlight w:val="none"/>
                    </w:rPr>
                  </w:pPr>
                </w:p>
              </w:tc>
              <w:tc>
                <w:tcPr>
                  <w:tcW w:w="1104" w:type="dxa"/>
                  <w:vMerge w:val="continue"/>
                  <w:tcBorders>
                    <w:tl2br w:val="nil"/>
                    <w:tr2bl w:val="nil"/>
                  </w:tcBorders>
                  <w:shd w:val="clear" w:color="auto" w:fill="auto"/>
                  <w:vAlign w:val="center"/>
                </w:tcPr>
                <w:p w14:paraId="2D048E05">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val="0"/>
                      <w:bCs w:val="0"/>
                      <w:color w:val="auto"/>
                      <w:spacing w:val="-6"/>
                      <w:position w:val="0"/>
                      <w:sz w:val="18"/>
                      <w:szCs w:val="18"/>
                      <w:highlight w:val="none"/>
                    </w:rPr>
                  </w:pPr>
                </w:p>
              </w:tc>
              <w:tc>
                <w:tcPr>
                  <w:tcW w:w="444" w:type="dxa"/>
                  <w:vMerge w:val="continue"/>
                  <w:tcBorders>
                    <w:tl2br w:val="nil"/>
                    <w:tr2bl w:val="nil"/>
                  </w:tcBorders>
                  <w:shd w:val="clear" w:color="auto" w:fill="auto"/>
                  <w:vAlign w:val="center"/>
                </w:tcPr>
                <w:p w14:paraId="6A59EE52">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val="0"/>
                      <w:bCs w:val="0"/>
                      <w:color w:val="auto"/>
                      <w:spacing w:val="-6"/>
                      <w:position w:val="0"/>
                      <w:sz w:val="18"/>
                      <w:szCs w:val="18"/>
                      <w:highlight w:val="none"/>
                    </w:rPr>
                  </w:pPr>
                </w:p>
              </w:tc>
              <w:tc>
                <w:tcPr>
                  <w:tcW w:w="825" w:type="dxa"/>
                  <w:tcBorders>
                    <w:tl2br w:val="nil"/>
                    <w:tr2bl w:val="nil"/>
                  </w:tcBorders>
                  <w:shd w:val="clear" w:color="auto" w:fill="auto"/>
                  <w:vAlign w:val="center"/>
                </w:tcPr>
                <w:p w14:paraId="165419BE">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bCs/>
                      <w:color w:val="auto"/>
                      <w:spacing w:val="-6"/>
                      <w:position w:val="0"/>
                      <w:sz w:val="18"/>
                      <w:szCs w:val="18"/>
                      <w:highlight w:val="none"/>
                    </w:rPr>
                  </w:pPr>
                  <w:r>
                    <w:rPr>
                      <w:rFonts w:hint="eastAsia" w:ascii="Times New Roman" w:hAnsi="Times New Roman" w:eastAsia="宋体" w:cs="Times New Roman"/>
                      <w:b/>
                      <w:bCs/>
                      <w:color w:val="auto"/>
                      <w:spacing w:val="-6"/>
                      <w:position w:val="0"/>
                      <w:sz w:val="18"/>
                      <w:szCs w:val="18"/>
                      <w:highlight w:val="none"/>
                    </w:rPr>
                    <w:t>参数</w:t>
                  </w:r>
                </w:p>
              </w:tc>
              <w:tc>
                <w:tcPr>
                  <w:tcW w:w="315" w:type="dxa"/>
                  <w:tcBorders>
                    <w:tl2br w:val="nil"/>
                    <w:tr2bl w:val="nil"/>
                  </w:tcBorders>
                  <w:shd w:val="clear" w:color="auto" w:fill="auto"/>
                  <w:vAlign w:val="center"/>
                </w:tcPr>
                <w:p w14:paraId="3B616B54">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bCs/>
                      <w:color w:val="auto"/>
                      <w:spacing w:val="-6"/>
                      <w:position w:val="0"/>
                      <w:sz w:val="18"/>
                      <w:szCs w:val="18"/>
                      <w:highlight w:val="none"/>
                    </w:rPr>
                  </w:pPr>
                  <w:r>
                    <w:rPr>
                      <w:rFonts w:hint="eastAsia" w:ascii="Times New Roman" w:hAnsi="Times New Roman" w:eastAsia="宋体" w:cs="Times New Roman"/>
                      <w:b/>
                      <w:bCs/>
                      <w:color w:val="auto"/>
                      <w:spacing w:val="-6"/>
                      <w:position w:val="0"/>
                      <w:sz w:val="18"/>
                      <w:szCs w:val="18"/>
                      <w:highlight w:val="none"/>
                    </w:rPr>
                    <w:t>温度</w:t>
                  </w:r>
                </w:p>
              </w:tc>
              <w:tc>
                <w:tcPr>
                  <w:tcW w:w="858" w:type="dxa"/>
                  <w:tcBorders>
                    <w:tl2br w:val="nil"/>
                    <w:tr2bl w:val="nil"/>
                  </w:tcBorders>
                  <w:shd w:val="clear" w:color="auto" w:fill="auto"/>
                  <w:vAlign w:val="center"/>
                </w:tcPr>
                <w:p w14:paraId="3FCB8E3F">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bCs/>
                      <w:color w:val="auto"/>
                      <w:spacing w:val="-6"/>
                      <w:position w:val="0"/>
                      <w:sz w:val="18"/>
                      <w:szCs w:val="18"/>
                      <w:highlight w:val="none"/>
                    </w:rPr>
                  </w:pPr>
                  <w:r>
                    <w:rPr>
                      <w:rFonts w:hint="eastAsia" w:ascii="Times New Roman" w:hAnsi="Times New Roman" w:eastAsia="宋体" w:cs="Times New Roman"/>
                      <w:b/>
                      <w:bCs/>
                      <w:color w:val="auto"/>
                      <w:spacing w:val="-6"/>
                      <w:position w:val="0"/>
                      <w:sz w:val="18"/>
                      <w:szCs w:val="18"/>
                      <w:highlight w:val="none"/>
                    </w:rPr>
                    <w:t>编号及名称</w:t>
                  </w:r>
                </w:p>
              </w:tc>
              <w:tc>
                <w:tcPr>
                  <w:tcW w:w="450" w:type="dxa"/>
                  <w:tcBorders>
                    <w:tl2br w:val="nil"/>
                    <w:tr2bl w:val="nil"/>
                  </w:tcBorders>
                  <w:shd w:val="clear" w:color="auto" w:fill="auto"/>
                  <w:vAlign w:val="center"/>
                </w:tcPr>
                <w:p w14:paraId="6B077876">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bCs/>
                      <w:color w:val="auto"/>
                      <w:spacing w:val="-6"/>
                      <w:position w:val="0"/>
                      <w:sz w:val="18"/>
                      <w:szCs w:val="18"/>
                      <w:highlight w:val="none"/>
                    </w:rPr>
                  </w:pPr>
                  <w:r>
                    <w:rPr>
                      <w:rFonts w:hint="eastAsia" w:ascii="Times New Roman" w:hAnsi="Times New Roman" w:eastAsia="宋体" w:cs="Times New Roman"/>
                      <w:b/>
                      <w:bCs/>
                      <w:color w:val="auto"/>
                      <w:spacing w:val="-6"/>
                      <w:position w:val="0"/>
                      <w:sz w:val="18"/>
                      <w:szCs w:val="18"/>
                      <w:highlight w:val="none"/>
                    </w:rPr>
                    <w:t>类型</w:t>
                  </w:r>
                </w:p>
              </w:tc>
              <w:tc>
                <w:tcPr>
                  <w:tcW w:w="1530" w:type="dxa"/>
                  <w:tcBorders>
                    <w:tl2br w:val="nil"/>
                    <w:tr2bl w:val="nil"/>
                  </w:tcBorders>
                  <w:shd w:val="clear" w:color="auto" w:fill="auto"/>
                  <w:vAlign w:val="center"/>
                </w:tcPr>
                <w:p w14:paraId="72E78CCC">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bCs/>
                      <w:color w:val="auto"/>
                      <w:spacing w:val="-6"/>
                      <w:position w:val="0"/>
                      <w:sz w:val="18"/>
                      <w:szCs w:val="18"/>
                      <w:highlight w:val="none"/>
                    </w:rPr>
                  </w:pPr>
                  <w:r>
                    <w:rPr>
                      <w:rFonts w:hint="eastAsia" w:ascii="Times New Roman" w:hAnsi="Times New Roman" w:eastAsia="宋体" w:cs="Times New Roman"/>
                      <w:b/>
                      <w:bCs/>
                      <w:color w:val="auto"/>
                      <w:spacing w:val="-6"/>
                      <w:position w:val="0"/>
                      <w:sz w:val="18"/>
                      <w:szCs w:val="18"/>
                      <w:highlight w:val="none"/>
                    </w:rPr>
                    <w:t>地理坐标</w:t>
                  </w:r>
                </w:p>
              </w:tc>
              <w:tc>
                <w:tcPr>
                  <w:tcW w:w="1601" w:type="dxa"/>
                  <w:vMerge w:val="continue"/>
                  <w:tcBorders>
                    <w:tl2br w:val="nil"/>
                    <w:tr2bl w:val="nil"/>
                  </w:tcBorders>
                  <w:shd w:val="clear" w:color="auto" w:fill="auto"/>
                  <w:vAlign w:val="center"/>
                </w:tcPr>
                <w:p w14:paraId="3ECDDD78">
                  <w:pPr>
                    <w:keepNext w:val="0"/>
                    <w:keepLines w:val="0"/>
                    <w:pageBreakBefore w:val="0"/>
                    <w:kinsoku/>
                    <w:overflowPunct/>
                    <w:autoSpaceDE/>
                    <w:autoSpaceDN/>
                    <w:bidi w:val="0"/>
                    <w:adjustRightInd w:val="0"/>
                    <w:snapToGrid w:val="0"/>
                    <w:ind w:left="0" w:leftChars="0"/>
                    <w:jc w:val="both"/>
                    <w:textAlignment w:val="auto"/>
                    <w:rPr>
                      <w:rFonts w:ascii="Times New Roman" w:hAnsi="Times New Roman" w:eastAsia="宋体" w:cs="Times New Roman"/>
                      <w:b w:val="0"/>
                      <w:bCs w:val="0"/>
                      <w:color w:val="auto"/>
                      <w:spacing w:val="-6"/>
                      <w:position w:val="0"/>
                      <w:sz w:val="18"/>
                      <w:szCs w:val="18"/>
                      <w:highlight w:val="none"/>
                    </w:rPr>
                  </w:pPr>
                </w:p>
              </w:tc>
            </w:tr>
            <w:tr w14:paraId="368244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950" w:type="dxa"/>
                  <w:vMerge w:val="restart"/>
                  <w:tcBorders>
                    <w:tl2br w:val="nil"/>
                    <w:tr2bl w:val="nil"/>
                  </w:tcBorders>
                  <w:shd w:val="clear" w:color="auto" w:fill="auto"/>
                  <w:vAlign w:val="center"/>
                </w:tcPr>
                <w:p w14:paraId="37390E90">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val="0"/>
                      <w:bCs w:val="0"/>
                      <w:color w:val="auto"/>
                      <w:spacing w:val="-6"/>
                      <w:position w:val="0"/>
                      <w:sz w:val="18"/>
                      <w:szCs w:val="18"/>
                      <w:highlight w:val="none"/>
                    </w:rPr>
                  </w:pPr>
                  <w:r>
                    <w:rPr>
                      <w:rFonts w:hint="eastAsia" w:cs="Times New Roman"/>
                      <w:b w:val="0"/>
                      <w:bCs w:val="0"/>
                      <w:color w:val="auto"/>
                      <w:spacing w:val="-6"/>
                      <w:position w:val="0"/>
                      <w:sz w:val="18"/>
                      <w:szCs w:val="18"/>
                      <w:highlight w:val="none"/>
                      <w:lang w:eastAsia="zh-CN"/>
                    </w:rPr>
                    <w:t>调漆、喷漆、晾干</w:t>
                  </w:r>
                  <w:r>
                    <w:rPr>
                      <w:rFonts w:hint="eastAsia" w:ascii="Times New Roman" w:hAnsi="Times New Roman" w:eastAsia="宋体" w:cs="Times New Roman"/>
                      <w:b w:val="0"/>
                      <w:bCs w:val="0"/>
                      <w:color w:val="auto"/>
                      <w:spacing w:val="-6"/>
                      <w:position w:val="0"/>
                      <w:sz w:val="18"/>
                      <w:szCs w:val="18"/>
                      <w:highlight w:val="none"/>
                      <w:lang w:val="en-US" w:eastAsia="zh-CN"/>
                    </w:rPr>
                    <w:t>工序</w:t>
                  </w:r>
                </w:p>
              </w:tc>
              <w:tc>
                <w:tcPr>
                  <w:tcW w:w="1104" w:type="dxa"/>
                  <w:tcBorders>
                    <w:tl2br w:val="nil"/>
                    <w:tr2bl w:val="nil"/>
                  </w:tcBorders>
                  <w:shd w:val="clear" w:color="auto" w:fill="auto"/>
                  <w:vAlign w:val="center"/>
                </w:tcPr>
                <w:p w14:paraId="73304817">
                  <w:pPr>
                    <w:pStyle w:val="69"/>
                    <w:keepNext w:val="0"/>
                    <w:keepLines w:val="0"/>
                    <w:pageBreakBefore w:val="0"/>
                    <w:widowControl/>
                    <w:kinsoku/>
                    <w:wordWrap/>
                    <w:overflowPunct/>
                    <w:topLinePunct w:val="0"/>
                    <w:autoSpaceDE/>
                    <w:autoSpaceDN/>
                    <w:bidi w:val="0"/>
                    <w:adjustRightInd/>
                    <w:snapToGrid w:val="0"/>
                    <w:ind w:left="42" w:leftChars="20" w:right="42" w:rightChars="20"/>
                    <w:jc w:val="center"/>
                    <w:textAlignment w:val="auto"/>
                    <w:rPr>
                      <w:rFonts w:hint="default" w:ascii="Times New Roman" w:hAnsi="Times New Roman" w:eastAsia="宋体" w:cs="Times New Roman"/>
                      <w:b w:val="0"/>
                      <w:bCs w:val="0"/>
                      <w:color w:val="auto"/>
                      <w:spacing w:val="-6"/>
                      <w:position w:val="0"/>
                      <w:sz w:val="18"/>
                      <w:szCs w:val="18"/>
                      <w:highlight w:val="none"/>
                      <w:lang w:val="en-US" w:eastAsia="zh-CN"/>
                    </w:rPr>
                  </w:pPr>
                  <w:r>
                    <w:rPr>
                      <w:rFonts w:hint="eastAsia" w:ascii="Times New Roman" w:hAnsi="Times New Roman" w:eastAsia="宋体" w:cs="Times New Roman"/>
                      <w:b w:val="0"/>
                      <w:bCs w:val="0"/>
                      <w:color w:val="auto"/>
                      <w:spacing w:val="-6"/>
                      <w:position w:val="0"/>
                      <w:sz w:val="18"/>
                      <w:szCs w:val="18"/>
                      <w:highlight w:val="none"/>
                      <w:lang w:eastAsia="zh-CN"/>
                    </w:rPr>
                    <w:t>二甲苯</w:t>
                  </w:r>
                  <w:r>
                    <w:rPr>
                      <w:rFonts w:hint="eastAsia" w:cs="Times New Roman"/>
                      <w:b w:val="0"/>
                      <w:bCs w:val="0"/>
                      <w:color w:val="auto"/>
                      <w:spacing w:val="-6"/>
                      <w:position w:val="0"/>
                      <w:sz w:val="18"/>
                      <w:szCs w:val="18"/>
                      <w:highlight w:val="none"/>
                      <w:lang w:eastAsia="zh-CN"/>
                    </w:rPr>
                    <w:t>、</w:t>
                  </w:r>
                  <w:r>
                    <w:rPr>
                      <w:rFonts w:hint="eastAsia" w:cs="Times New Roman"/>
                      <w:b w:val="0"/>
                      <w:bCs w:val="0"/>
                      <w:color w:val="auto"/>
                      <w:spacing w:val="-6"/>
                      <w:position w:val="0"/>
                      <w:sz w:val="18"/>
                      <w:szCs w:val="18"/>
                      <w:highlight w:val="none"/>
                      <w:lang w:val="en-US" w:eastAsia="zh-CN"/>
                    </w:rPr>
                    <w:t>苯系物</w:t>
                  </w:r>
                  <w:r>
                    <w:rPr>
                      <w:rFonts w:hint="eastAsia" w:ascii="Times New Roman" w:hAnsi="Times New Roman" w:eastAsia="宋体" w:cs="Times New Roman"/>
                      <w:b w:val="0"/>
                      <w:bCs w:val="0"/>
                      <w:color w:val="auto"/>
                      <w:spacing w:val="-6"/>
                      <w:position w:val="0"/>
                      <w:sz w:val="18"/>
                      <w:szCs w:val="18"/>
                      <w:highlight w:val="none"/>
                      <w:lang w:eastAsia="zh-CN"/>
                    </w:rPr>
                    <w:t>、乙酸乙酯、</w:t>
                  </w:r>
                  <w:r>
                    <w:rPr>
                      <w:rFonts w:hint="eastAsia" w:cs="Times New Roman"/>
                      <w:b w:val="0"/>
                      <w:bCs w:val="0"/>
                      <w:color w:val="auto"/>
                      <w:spacing w:val="-6"/>
                      <w:position w:val="0"/>
                      <w:sz w:val="18"/>
                      <w:szCs w:val="18"/>
                      <w:highlight w:val="none"/>
                      <w:lang w:val="en-US" w:eastAsia="zh-CN"/>
                    </w:rPr>
                    <w:t>乙酸丁酯、</w:t>
                  </w:r>
                  <w:r>
                    <w:rPr>
                      <w:rFonts w:hint="eastAsia" w:ascii="Times New Roman" w:hAnsi="Times New Roman" w:eastAsia="宋体" w:cs="Times New Roman"/>
                      <w:b w:val="0"/>
                      <w:bCs w:val="0"/>
                      <w:color w:val="auto"/>
                      <w:spacing w:val="-6"/>
                      <w:position w:val="0"/>
                      <w:sz w:val="18"/>
                      <w:szCs w:val="18"/>
                      <w:highlight w:val="none"/>
                    </w:rPr>
                    <w:t>非甲烷总烃</w:t>
                  </w:r>
                </w:p>
              </w:tc>
              <w:tc>
                <w:tcPr>
                  <w:tcW w:w="444" w:type="dxa"/>
                  <w:vMerge w:val="restart"/>
                  <w:tcBorders>
                    <w:tl2br w:val="nil"/>
                    <w:tr2bl w:val="nil"/>
                  </w:tcBorders>
                  <w:shd w:val="clear" w:color="auto" w:fill="auto"/>
                  <w:vAlign w:val="center"/>
                </w:tcPr>
                <w:p w14:paraId="716982DD">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val="0"/>
                      <w:bCs w:val="0"/>
                      <w:color w:val="auto"/>
                      <w:spacing w:val="-6"/>
                      <w:position w:val="0"/>
                      <w:sz w:val="18"/>
                      <w:szCs w:val="18"/>
                      <w:highlight w:val="none"/>
                    </w:rPr>
                  </w:pPr>
                  <w:r>
                    <w:rPr>
                      <w:rFonts w:hint="eastAsia" w:ascii="Times New Roman" w:hAnsi="Times New Roman" w:eastAsia="宋体" w:cs="Times New Roman"/>
                      <w:b w:val="0"/>
                      <w:bCs w:val="0"/>
                      <w:color w:val="auto"/>
                      <w:spacing w:val="-6"/>
                      <w:position w:val="0"/>
                      <w:sz w:val="18"/>
                      <w:szCs w:val="18"/>
                      <w:highlight w:val="none"/>
                      <w:lang w:eastAsia="zh-CN"/>
                    </w:rPr>
                    <w:t>有</w:t>
                  </w:r>
                  <w:r>
                    <w:rPr>
                      <w:rFonts w:hint="eastAsia" w:ascii="Times New Roman" w:hAnsi="Times New Roman" w:eastAsia="宋体" w:cs="Times New Roman"/>
                      <w:b w:val="0"/>
                      <w:bCs w:val="0"/>
                      <w:color w:val="auto"/>
                      <w:spacing w:val="-6"/>
                      <w:position w:val="0"/>
                      <w:sz w:val="18"/>
                      <w:szCs w:val="18"/>
                      <w:highlight w:val="none"/>
                    </w:rPr>
                    <w:t>组织</w:t>
                  </w:r>
                </w:p>
              </w:tc>
              <w:tc>
                <w:tcPr>
                  <w:tcW w:w="825" w:type="dxa"/>
                  <w:vMerge w:val="restart"/>
                  <w:tcBorders>
                    <w:tl2br w:val="nil"/>
                    <w:tr2bl w:val="nil"/>
                  </w:tcBorders>
                  <w:shd w:val="clear" w:color="auto" w:fill="auto"/>
                  <w:vAlign w:val="center"/>
                </w:tcPr>
                <w:p w14:paraId="6DB97BB9">
                  <w:pPr>
                    <w:keepNext w:val="0"/>
                    <w:keepLines w:val="0"/>
                    <w:pageBreakBefore w:val="0"/>
                    <w:kinsoku/>
                    <w:overflowPunct/>
                    <w:autoSpaceDE/>
                    <w:autoSpaceDN/>
                    <w:bidi w:val="0"/>
                    <w:adjustRightInd w:val="0"/>
                    <w:snapToGrid w:val="0"/>
                    <w:ind w:left="0" w:leftChars="0"/>
                    <w:jc w:val="center"/>
                    <w:textAlignment w:val="auto"/>
                    <w:rPr>
                      <w:rFonts w:hint="eastAsia" w:ascii="Times New Roman" w:hAnsi="Times New Roman" w:eastAsia="宋体" w:cs="Times New Roman"/>
                      <w:b w:val="0"/>
                      <w:bCs w:val="0"/>
                      <w:color w:val="auto"/>
                      <w:spacing w:val="-6"/>
                      <w:position w:val="0"/>
                      <w:sz w:val="18"/>
                      <w:szCs w:val="18"/>
                      <w:highlight w:val="none"/>
                      <w:lang w:eastAsia="zh-CN"/>
                    </w:rPr>
                  </w:pPr>
                  <w:r>
                    <w:rPr>
                      <w:rFonts w:hint="eastAsia" w:ascii="Times New Roman" w:hAnsi="Times New Roman" w:eastAsia="宋体" w:cs="Times New Roman"/>
                      <w:b w:val="0"/>
                      <w:bCs w:val="0"/>
                      <w:color w:val="auto"/>
                      <w:spacing w:val="-6"/>
                      <w:position w:val="0"/>
                      <w:sz w:val="18"/>
                      <w:szCs w:val="18"/>
                      <w:highlight w:val="none"/>
                    </w:rPr>
                    <w:t>H：</w:t>
                  </w:r>
                  <w:r>
                    <w:rPr>
                      <w:rFonts w:hint="eastAsia" w:cs="Times New Roman"/>
                      <w:b w:val="0"/>
                      <w:bCs w:val="0"/>
                      <w:color w:val="auto"/>
                      <w:spacing w:val="-6"/>
                      <w:position w:val="0"/>
                      <w:sz w:val="18"/>
                      <w:szCs w:val="18"/>
                      <w:highlight w:val="none"/>
                      <w:lang w:val="en-US" w:eastAsia="zh-CN"/>
                    </w:rPr>
                    <w:t>25m</w:t>
                  </w:r>
                </w:p>
                <w:p w14:paraId="08F0C279">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val="0"/>
                      <w:bCs w:val="0"/>
                      <w:color w:val="auto"/>
                      <w:spacing w:val="-6"/>
                      <w:position w:val="0"/>
                      <w:sz w:val="18"/>
                      <w:szCs w:val="18"/>
                      <w:highlight w:val="none"/>
                    </w:rPr>
                  </w:pPr>
                  <w:r>
                    <w:rPr>
                      <w:rFonts w:ascii="Times New Roman" w:hAnsi="Times New Roman" w:eastAsia="宋体" w:cs="Times New Roman"/>
                      <w:b w:val="0"/>
                      <w:bCs w:val="0"/>
                      <w:color w:val="auto"/>
                      <w:spacing w:val="-6"/>
                      <w:position w:val="0"/>
                      <w:sz w:val="18"/>
                      <w:szCs w:val="18"/>
                      <w:highlight w:val="none"/>
                    </w:rPr>
                    <w:t>Φ</w:t>
                  </w:r>
                  <w:r>
                    <w:rPr>
                      <w:rFonts w:hint="eastAsia" w:ascii="Times New Roman" w:hAnsi="Times New Roman" w:eastAsia="宋体" w:cs="Times New Roman"/>
                      <w:b w:val="0"/>
                      <w:bCs w:val="0"/>
                      <w:color w:val="auto"/>
                      <w:spacing w:val="-6"/>
                      <w:position w:val="0"/>
                      <w:sz w:val="18"/>
                      <w:szCs w:val="18"/>
                      <w:highlight w:val="none"/>
                    </w:rPr>
                    <w:t>：</w:t>
                  </w:r>
                  <w:r>
                    <w:rPr>
                      <w:rFonts w:hint="eastAsia" w:ascii="Times New Roman" w:hAnsi="Times New Roman" w:eastAsia="宋体" w:cs="Times New Roman"/>
                      <w:b w:val="0"/>
                      <w:bCs w:val="0"/>
                      <w:color w:val="auto"/>
                      <w:spacing w:val="-6"/>
                      <w:position w:val="0"/>
                      <w:sz w:val="18"/>
                      <w:szCs w:val="18"/>
                      <w:highlight w:val="none"/>
                      <w:lang w:val="en-US" w:eastAsia="zh-CN"/>
                    </w:rPr>
                    <w:t>0.</w:t>
                  </w:r>
                  <w:r>
                    <w:rPr>
                      <w:rFonts w:hint="eastAsia" w:cs="Times New Roman"/>
                      <w:b w:val="0"/>
                      <w:bCs w:val="0"/>
                      <w:color w:val="auto"/>
                      <w:spacing w:val="-6"/>
                      <w:position w:val="0"/>
                      <w:sz w:val="18"/>
                      <w:szCs w:val="18"/>
                      <w:highlight w:val="none"/>
                      <w:lang w:val="en-US" w:eastAsia="zh-CN"/>
                    </w:rPr>
                    <w:t>8</w:t>
                  </w:r>
                  <w:r>
                    <w:rPr>
                      <w:rFonts w:ascii="Times New Roman" w:hAnsi="Times New Roman" w:eastAsia="宋体" w:cs="Times New Roman"/>
                      <w:b w:val="0"/>
                      <w:bCs w:val="0"/>
                      <w:color w:val="auto"/>
                      <w:spacing w:val="-6"/>
                      <w:position w:val="0"/>
                      <w:sz w:val="18"/>
                      <w:szCs w:val="18"/>
                      <w:highlight w:val="none"/>
                    </w:rPr>
                    <w:t>m</w:t>
                  </w:r>
                </w:p>
              </w:tc>
              <w:tc>
                <w:tcPr>
                  <w:tcW w:w="315" w:type="dxa"/>
                  <w:vMerge w:val="restart"/>
                  <w:tcBorders>
                    <w:tl2br w:val="nil"/>
                    <w:tr2bl w:val="nil"/>
                  </w:tcBorders>
                  <w:shd w:val="clear" w:color="auto" w:fill="auto"/>
                  <w:vAlign w:val="center"/>
                </w:tcPr>
                <w:p w14:paraId="0B7CFE21">
                  <w:pPr>
                    <w:keepNext w:val="0"/>
                    <w:keepLines w:val="0"/>
                    <w:pageBreakBefore w:val="0"/>
                    <w:kinsoku/>
                    <w:overflowPunct/>
                    <w:autoSpaceDE/>
                    <w:autoSpaceDN/>
                    <w:bidi w:val="0"/>
                    <w:adjustRightInd w:val="0"/>
                    <w:snapToGrid w:val="0"/>
                    <w:ind w:left="0" w:leftChars="0"/>
                    <w:jc w:val="center"/>
                    <w:textAlignment w:val="auto"/>
                    <w:rPr>
                      <w:rFonts w:hint="default" w:ascii="Times New Roman" w:hAnsi="Times New Roman" w:eastAsia="宋体" w:cs="Times New Roman"/>
                      <w:b w:val="0"/>
                      <w:bCs w:val="0"/>
                      <w:color w:val="auto"/>
                      <w:spacing w:val="-6"/>
                      <w:position w:val="0"/>
                      <w:sz w:val="18"/>
                      <w:szCs w:val="18"/>
                      <w:highlight w:val="none"/>
                      <w:lang w:val="en-US" w:eastAsia="zh-CN"/>
                    </w:rPr>
                  </w:pPr>
                  <w:r>
                    <w:rPr>
                      <w:color w:val="auto"/>
                      <w:sz w:val="18"/>
                      <w:szCs w:val="18"/>
                      <w:highlight w:val="none"/>
                    </w:rPr>
                    <w:t>25℃</w:t>
                  </w:r>
                </w:p>
              </w:tc>
              <w:tc>
                <w:tcPr>
                  <w:tcW w:w="858" w:type="dxa"/>
                  <w:vMerge w:val="restart"/>
                  <w:tcBorders>
                    <w:tl2br w:val="nil"/>
                    <w:tr2bl w:val="nil"/>
                  </w:tcBorders>
                  <w:shd w:val="clear" w:color="auto" w:fill="auto"/>
                  <w:vAlign w:val="center"/>
                </w:tcPr>
                <w:p w14:paraId="6498FC4A">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eastAsia" w:ascii="Times New Roman" w:hAnsi="Times New Roman" w:eastAsia="宋体" w:cs="Times New Roman"/>
                      <w:b w:val="0"/>
                      <w:bCs w:val="0"/>
                      <w:color w:val="auto"/>
                      <w:spacing w:val="-6"/>
                      <w:position w:val="0"/>
                      <w:sz w:val="18"/>
                      <w:szCs w:val="18"/>
                      <w:highlight w:val="none"/>
                      <w:lang w:eastAsia="zh-CN"/>
                    </w:rPr>
                  </w:pPr>
                  <w:r>
                    <w:rPr>
                      <w:rFonts w:hint="eastAsia" w:ascii="Times New Roman" w:hAnsi="Times New Roman" w:eastAsia="宋体" w:cs="Times New Roman"/>
                      <w:b w:val="0"/>
                      <w:bCs w:val="0"/>
                      <w:color w:val="auto"/>
                      <w:spacing w:val="-6"/>
                      <w:position w:val="0"/>
                      <w:sz w:val="18"/>
                      <w:szCs w:val="18"/>
                      <w:highlight w:val="none"/>
                      <w:lang w:eastAsia="zh-CN"/>
                    </w:rPr>
                    <w:t>废气排放口</w:t>
                  </w:r>
                  <w:r>
                    <w:rPr>
                      <w:rFonts w:ascii="Times New Roman" w:hAnsi="Times New Roman" w:eastAsia="宋体" w:cs="Times New Roman"/>
                      <w:b w:val="0"/>
                      <w:bCs w:val="0"/>
                      <w:color w:val="auto"/>
                      <w:spacing w:val="-6"/>
                      <w:position w:val="0"/>
                      <w:sz w:val="18"/>
                      <w:szCs w:val="18"/>
                      <w:highlight w:val="none"/>
                    </w:rPr>
                    <w:t>DA00</w:t>
                  </w:r>
                  <w:r>
                    <w:rPr>
                      <w:rFonts w:hint="eastAsia" w:cs="Times New Roman"/>
                      <w:b w:val="0"/>
                      <w:bCs w:val="0"/>
                      <w:color w:val="auto"/>
                      <w:spacing w:val="-6"/>
                      <w:position w:val="0"/>
                      <w:sz w:val="18"/>
                      <w:szCs w:val="18"/>
                      <w:highlight w:val="none"/>
                      <w:lang w:val="en-US" w:eastAsia="zh-CN"/>
                    </w:rPr>
                    <w:t>1</w:t>
                  </w:r>
                </w:p>
              </w:tc>
              <w:tc>
                <w:tcPr>
                  <w:tcW w:w="450" w:type="dxa"/>
                  <w:vMerge w:val="restart"/>
                  <w:tcBorders>
                    <w:tl2br w:val="nil"/>
                    <w:tr2bl w:val="nil"/>
                  </w:tcBorders>
                  <w:shd w:val="clear" w:color="auto" w:fill="auto"/>
                  <w:vAlign w:val="center"/>
                </w:tcPr>
                <w:p w14:paraId="0F1F7D9A">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val="0"/>
                      <w:bCs w:val="0"/>
                      <w:color w:val="auto"/>
                      <w:spacing w:val="-6"/>
                      <w:position w:val="0"/>
                      <w:sz w:val="18"/>
                      <w:szCs w:val="18"/>
                      <w:highlight w:val="none"/>
                    </w:rPr>
                  </w:pPr>
                  <w:r>
                    <w:rPr>
                      <w:rFonts w:hint="eastAsia" w:ascii="Times New Roman" w:hAnsi="Times New Roman" w:eastAsia="宋体" w:cs="Times New Roman"/>
                      <w:b w:val="0"/>
                      <w:bCs w:val="0"/>
                      <w:color w:val="auto"/>
                      <w:spacing w:val="-6"/>
                      <w:position w:val="0"/>
                      <w:sz w:val="18"/>
                      <w:szCs w:val="18"/>
                      <w:highlight w:val="none"/>
                    </w:rPr>
                    <w:t>一般排放口</w:t>
                  </w:r>
                </w:p>
              </w:tc>
              <w:tc>
                <w:tcPr>
                  <w:tcW w:w="1530" w:type="dxa"/>
                  <w:vMerge w:val="restart"/>
                  <w:tcBorders>
                    <w:tl2br w:val="nil"/>
                    <w:tr2bl w:val="nil"/>
                  </w:tcBorders>
                  <w:shd w:val="clear" w:color="auto" w:fill="auto"/>
                  <w:vAlign w:val="center"/>
                </w:tcPr>
                <w:p w14:paraId="5793A7E5">
                  <w:pPr>
                    <w:pStyle w:val="3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pacing w:val="0"/>
                      <w:kern w:val="0"/>
                      <w:position w:val="0"/>
                      <w:sz w:val="18"/>
                      <w:szCs w:val="18"/>
                      <w:highlight w:val="none"/>
                    </w:rPr>
                  </w:pPr>
                  <w:r>
                    <w:rPr>
                      <w:rFonts w:hint="eastAsia" w:ascii="Times New Roman" w:hAnsi="Times New Roman" w:eastAsia="宋体" w:cs="Times New Roman"/>
                      <w:color w:val="auto"/>
                      <w:spacing w:val="0"/>
                      <w:kern w:val="0"/>
                      <w:position w:val="0"/>
                      <w:sz w:val="18"/>
                      <w:szCs w:val="18"/>
                      <w:highlight w:val="none"/>
                      <w:lang w:val="en-US" w:eastAsia="zh-CN"/>
                    </w:rPr>
                    <w:t>E</w:t>
                  </w:r>
                  <w:r>
                    <w:rPr>
                      <w:rFonts w:hint="default" w:ascii="Times New Roman" w:hAnsi="Times New Roman" w:eastAsia="宋体" w:cs="Times New Roman"/>
                      <w:color w:val="auto"/>
                      <w:spacing w:val="0"/>
                      <w:kern w:val="0"/>
                      <w:position w:val="0"/>
                      <w:sz w:val="18"/>
                      <w:szCs w:val="18"/>
                      <w:highlight w:val="none"/>
                    </w:rPr>
                    <w:t>11</w:t>
                  </w:r>
                  <w:r>
                    <w:rPr>
                      <w:rFonts w:hint="eastAsia" w:cs="Times New Roman"/>
                      <w:color w:val="auto"/>
                      <w:spacing w:val="0"/>
                      <w:kern w:val="0"/>
                      <w:position w:val="0"/>
                      <w:sz w:val="18"/>
                      <w:szCs w:val="18"/>
                      <w:highlight w:val="none"/>
                      <w:lang w:val="en-US" w:eastAsia="zh-CN"/>
                    </w:rPr>
                    <w:t>9</w:t>
                  </w:r>
                  <w:r>
                    <w:rPr>
                      <w:rFonts w:hint="default" w:ascii="Times New Roman" w:hAnsi="Times New Roman" w:eastAsia="宋体" w:cs="Times New Roman"/>
                      <w:color w:val="auto"/>
                      <w:spacing w:val="0"/>
                      <w:kern w:val="0"/>
                      <w:position w:val="0"/>
                      <w:sz w:val="18"/>
                      <w:szCs w:val="18"/>
                      <w:highlight w:val="none"/>
                    </w:rPr>
                    <w:t>°</w:t>
                  </w:r>
                  <w:r>
                    <w:rPr>
                      <w:rFonts w:hint="eastAsia" w:cs="Times New Roman"/>
                      <w:color w:val="auto"/>
                      <w:spacing w:val="0"/>
                      <w:kern w:val="0"/>
                      <w:position w:val="0"/>
                      <w:sz w:val="18"/>
                      <w:szCs w:val="18"/>
                      <w:highlight w:val="none"/>
                      <w:lang w:val="en-US" w:eastAsia="zh-CN"/>
                    </w:rPr>
                    <w:t>10</w:t>
                  </w:r>
                  <w:r>
                    <w:rPr>
                      <w:rFonts w:hint="default" w:ascii="Times New Roman" w:hAnsi="Times New Roman" w:eastAsia="宋体" w:cs="Times New Roman"/>
                      <w:color w:val="auto"/>
                      <w:spacing w:val="0"/>
                      <w:kern w:val="0"/>
                      <w:position w:val="0"/>
                      <w:sz w:val="18"/>
                      <w:szCs w:val="18"/>
                      <w:highlight w:val="none"/>
                    </w:rPr>
                    <w:t>′</w:t>
                  </w:r>
                  <w:r>
                    <w:rPr>
                      <w:rFonts w:hint="eastAsia" w:cs="Times New Roman"/>
                      <w:color w:val="auto"/>
                      <w:spacing w:val="0"/>
                      <w:kern w:val="0"/>
                      <w:position w:val="0"/>
                      <w:sz w:val="18"/>
                      <w:szCs w:val="18"/>
                      <w:highlight w:val="none"/>
                      <w:lang w:val="en-US" w:eastAsia="zh-CN"/>
                    </w:rPr>
                    <w:t>58.399</w:t>
                  </w:r>
                  <w:r>
                    <w:rPr>
                      <w:rFonts w:hint="default" w:ascii="Times New Roman" w:hAnsi="Times New Roman" w:eastAsia="宋体" w:cs="Times New Roman"/>
                      <w:color w:val="auto"/>
                      <w:spacing w:val="0"/>
                      <w:kern w:val="0"/>
                      <w:position w:val="0"/>
                      <w:sz w:val="18"/>
                      <w:szCs w:val="18"/>
                      <w:highlight w:val="none"/>
                    </w:rPr>
                    <w:t>″</w:t>
                  </w:r>
                </w:p>
                <w:p w14:paraId="643FFEA6">
                  <w:pPr>
                    <w:pStyle w:val="3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pacing w:val="-6"/>
                      <w:sz w:val="18"/>
                      <w:szCs w:val="18"/>
                      <w:highlight w:val="none"/>
                      <w:lang w:val="en-US"/>
                    </w:rPr>
                  </w:pPr>
                  <w:r>
                    <w:rPr>
                      <w:rFonts w:hint="eastAsia" w:ascii="Times New Roman" w:hAnsi="Times New Roman" w:eastAsia="宋体" w:cs="Times New Roman"/>
                      <w:color w:val="auto"/>
                      <w:spacing w:val="0"/>
                      <w:kern w:val="0"/>
                      <w:position w:val="0"/>
                      <w:sz w:val="18"/>
                      <w:szCs w:val="18"/>
                      <w:highlight w:val="none"/>
                      <w:lang w:val="en-US" w:eastAsia="zh-CN"/>
                    </w:rPr>
                    <w:t>N</w:t>
                  </w:r>
                  <w:r>
                    <w:rPr>
                      <w:rFonts w:hint="default" w:ascii="Times New Roman" w:hAnsi="Times New Roman" w:eastAsia="宋体" w:cs="Times New Roman"/>
                      <w:color w:val="auto"/>
                      <w:spacing w:val="0"/>
                      <w:kern w:val="0"/>
                      <w:position w:val="0"/>
                      <w:sz w:val="18"/>
                      <w:szCs w:val="18"/>
                      <w:highlight w:val="none"/>
                    </w:rPr>
                    <w:t>2</w:t>
                  </w:r>
                  <w:r>
                    <w:rPr>
                      <w:rFonts w:hint="eastAsia" w:cs="Times New Roman"/>
                      <w:color w:val="auto"/>
                      <w:spacing w:val="0"/>
                      <w:kern w:val="0"/>
                      <w:position w:val="0"/>
                      <w:sz w:val="18"/>
                      <w:szCs w:val="18"/>
                      <w:highlight w:val="none"/>
                      <w:lang w:val="en-US" w:eastAsia="zh-CN"/>
                    </w:rPr>
                    <w:t>6</w:t>
                  </w:r>
                  <w:r>
                    <w:rPr>
                      <w:rFonts w:hint="default" w:ascii="Times New Roman" w:hAnsi="Times New Roman" w:eastAsia="宋体" w:cs="Times New Roman"/>
                      <w:color w:val="auto"/>
                      <w:spacing w:val="0"/>
                      <w:kern w:val="0"/>
                      <w:position w:val="0"/>
                      <w:sz w:val="18"/>
                      <w:szCs w:val="18"/>
                      <w:highlight w:val="none"/>
                    </w:rPr>
                    <w:t>°</w:t>
                  </w:r>
                  <w:r>
                    <w:rPr>
                      <w:rFonts w:hint="eastAsia" w:cs="Times New Roman"/>
                      <w:color w:val="auto"/>
                      <w:spacing w:val="0"/>
                      <w:kern w:val="0"/>
                      <w:position w:val="0"/>
                      <w:sz w:val="18"/>
                      <w:szCs w:val="18"/>
                      <w:highlight w:val="none"/>
                      <w:lang w:val="en-US" w:eastAsia="zh-CN"/>
                    </w:rPr>
                    <w:t>9</w:t>
                  </w:r>
                  <w:r>
                    <w:rPr>
                      <w:rFonts w:hint="default" w:ascii="Times New Roman" w:hAnsi="Times New Roman" w:eastAsia="宋体" w:cs="Times New Roman"/>
                      <w:color w:val="auto"/>
                      <w:spacing w:val="0"/>
                      <w:kern w:val="0"/>
                      <w:position w:val="0"/>
                      <w:sz w:val="18"/>
                      <w:szCs w:val="18"/>
                      <w:highlight w:val="none"/>
                    </w:rPr>
                    <w:t>′</w:t>
                  </w:r>
                  <w:r>
                    <w:rPr>
                      <w:rFonts w:hint="eastAsia" w:cs="Times New Roman"/>
                      <w:color w:val="auto"/>
                      <w:spacing w:val="0"/>
                      <w:kern w:val="0"/>
                      <w:position w:val="0"/>
                      <w:sz w:val="18"/>
                      <w:szCs w:val="18"/>
                      <w:highlight w:val="none"/>
                      <w:lang w:val="en-US" w:eastAsia="zh-CN"/>
                    </w:rPr>
                    <w:t>35.948</w:t>
                  </w:r>
                  <w:r>
                    <w:rPr>
                      <w:rFonts w:hint="default" w:ascii="Times New Roman" w:hAnsi="Times New Roman" w:eastAsia="宋体" w:cs="Times New Roman"/>
                      <w:color w:val="auto"/>
                      <w:spacing w:val="0"/>
                      <w:kern w:val="0"/>
                      <w:position w:val="0"/>
                      <w:sz w:val="18"/>
                      <w:szCs w:val="18"/>
                      <w:highlight w:val="none"/>
                    </w:rPr>
                    <w:t>″</w:t>
                  </w:r>
                </w:p>
              </w:tc>
              <w:tc>
                <w:tcPr>
                  <w:tcW w:w="1601" w:type="dxa"/>
                  <w:tcBorders>
                    <w:tl2br w:val="nil"/>
                    <w:tr2bl w:val="nil"/>
                  </w:tcBorders>
                  <w:shd w:val="clear" w:color="auto" w:fill="auto"/>
                  <w:vAlign w:val="center"/>
                </w:tcPr>
                <w:p w14:paraId="2AB12D03">
                  <w:pPr>
                    <w:keepNext w:val="0"/>
                    <w:keepLines w:val="0"/>
                    <w:pageBreakBefore w:val="0"/>
                    <w:widowControl w:val="0"/>
                    <w:kinsoku/>
                    <w:wordWrap/>
                    <w:overflowPunct/>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spacing w:val="-6"/>
                      <w:position w:val="0"/>
                      <w:sz w:val="18"/>
                      <w:szCs w:val="18"/>
                      <w:highlight w:val="none"/>
                      <w:lang w:val="en-US" w:eastAsia="zh-CN"/>
                    </w:rPr>
                  </w:pPr>
                  <w:r>
                    <w:rPr>
                      <w:rFonts w:hint="default" w:ascii="Times New Roman" w:hAnsi="Times New Roman" w:eastAsia="宋体" w:cs="Times New Roman"/>
                      <w:bCs/>
                      <w:color w:val="auto"/>
                      <w:spacing w:val="-6"/>
                      <w:position w:val="0"/>
                      <w:sz w:val="18"/>
                      <w:szCs w:val="18"/>
                      <w:highlight w:val="none"/>
                    </w:rPr>
                    <w:t>（DB35/1783-2018）</w:t>
                  </w:r>
                </w:p>
              </w:tc>
            </w:tr>
            <w:tr w14:paraId="4906DD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950" w:type="dxa"/>
                  <w:vMerge w:val="continue"/>
                  <w:tcBorders>
                    <w:tl2br w:val="nil"/>
                    <w:tr2bl w:val="nil"/>
                  </w:tcBorders>
                  <w:shd w:val="clear" w:color="auto" w:fill="auto"/>
                  <w:vAlign w:val="center"/>
                </w:tcPr>
                <w:p w14:paraId="2F7A2C26">
                  <w:pPr>
                    <w:keepNext w:val="0"/>
                    <w:keepLines w:val="0"/>
                    <w:pageBreakBefore w:val="0"/>
                    <w:kinsoku/>
                    <w:overflowPunct/>
                    <w:autoSpaceDE/>
                    <w:autoSpaceDN/>
                    <w:bidi w:val="0"/>
                    <w:adjustRightInd w:val="0"/>
                    <w:snapToGrid w:val="0"/>
                    <w:ind w:left="0" w:leftChars="0"/>
                    <w:jc w:val="center"/>
                    <w:textAlignment w:val="auto"/>
                    <w:rPr>
                      <w:rFonts w:hint="eastAsia" w:ascii="Times New Roman" w:hAnsi="Times New Roman" w:eastAsia="宋体" w:cs="Times New Roman"/>
                      <w:b w:val="0"/>
                      <w:bCs w:val="0"/>
                      <w:color w:val="auto"/>
                      <w:spacing w:val="-6"/>
                      <w:position w:val="0"/>
                      <w:sz w:val="18"/>
                      <w:szCs w:val="18"/>
                      <w:highlight w:val="none"/>
                      <w:lang w:eastAsia="zh-CN"/>
                    </w:rPr>
                  </w:pPr>
                </w:p>
              </w:tc>
              <w:tc>
                <w:tcPr>
                  <w:tcW w:w="1104" w:type="dxa"/>
                  <w:tcBorders>
                    <w:tl2br w:val="nil"/>
                    <w:tr2bl w:val="nil"/>
                  </w:tcBorders>
                  <w:shd w:val="clear" w:color="auto" w:fill="auto"/>
                  <w:vAlign w:val="center"/>
                </w:tcPr>
                <w:p w14:paraId="0A39DE75">
                  <w:pPr>
                    <w:pStyle w:val="69"/>
                    <w:keepNext w:val="0"/>
                    <w:keepLines w:val="0"/>
                    <w:pageBreakBefore w:val="0"/>
                    <w:kinsoku/>
                    <w:overflowPunct/>
                    <w:autoSpaceDE/>
                    <w:autoSpaceDN/>
                    <w:bidi w:val="0"/>
                    <w:ind w:left="0" w:leftChars="0"/>
                    <w:jc w:val="center"/>
                    <w:textAlignment w:val="auto"/>
                    <w:rPr>
                      <w:rFonts w:hint="eastAsia" w:ascii="Times New Roman" w:hAnsi="Times New Roman" w:eastAsia="宋体" w:cs="Times New Roman"/>
                      <w:b w:val="0"/>
                      <w:bCs w:val="0"/>
                      <w:color w:val="auto"/>
                      <w:spacing w:val="-6"/>
                      <w:position w:val="0"/>
                      <w:sz w:val="18"/>
                      <w:szCs w:val="18"/>
                      <w:highlight w:val="none"/>
                      <w:lang w:eastAsia="zh-CN"/>
                    </w:rPr>
                  </w:pPr>
                  <w:r>
                    <w:rPr>
                      <w:rFonts w:hint="eastAsia" w:ascii="Times New Roman" w:hAnsi="Times New Roman" w:eastAsia="宋体" w:cs="Times New Roman"/>
                      <w:b w:val="0"/>
                      <w:bCs w:val="0"/>
                      <w:color w:val="auto"/>
                      <w:spacing w:val="-6"/>
                      <w:position w:val="0"/>
                      <w:sz w:val="18"/>
                      <w:szCs w:val="18"/>
                      <w:highlight w:val="none"/>
                      <w:lang w:eastAsia="zh-CN"/>
                    </w:rPr>
                    <w:t>颗粒物</w:t>
                  </w:r>
                </w:p>
                <w:p w14:paraId="1ABB731A">
                  <w:pPr>
                    <w:pStyle w:val="69"/>
                    <w:keepNext w:val="0"/>
                    <w:keepLines w:val="0"/>
                    <w:pageBreakBefore w:val="0"/>
                    <w:kinsoku/>
                    <w:overflowPunct/>
                    <w:autoSpaceDE/>
                    <w:autoSpaceDN/>
                    <w:bidi w:val="0"/>
                    <w:ind w:left="0" w:leftChars="0"/>
                    <w:jc w:val="center"/>
                    <w:textAlignment w:val="auto"/>
                    <w:rPr>
                      <w:rFonts w:hint="eastAsia" w:ascii="Times New Roman" w:hAnsi="Times New Roman" w:eastAsia="宋体" w:cs="Times New Roman"/>
                      <w:b w:val="0"/>
                      <w:bCs w:val="0"/>
                      <w:color w:val="auto"/>
                      <w:spacing w:val="-6"/>
                      <w:position w:val="0"/>
                      <w:sz w:val="18"/>
                      <w:szCs w:val="18"/>
                      <w:highlight w:val="none"/>
                      <w:lang w:eastAsia="zh-CN"/>
                    </w:rPr>
                  </w:pPr>
                  <w:r>
                    <w:rPr>
                      <w:rFonts w:hint="eastAsia" w:cs="Times New Roman"/>
                      <w:b w:val="0"/>
                      <w:bCs w:val="0"/>
                      <w:color w:val="auto"/>
                      <w:spacing w:val="-6"/>
                      <w:position w:val="0"/>
                      <w:sz w:val="18"/>
                      <w:szCs w:val="18"/>
                      <w:highlight w:val="none"/>
                      <w:lang w:val="en-US" w:eastAsia="zh-CN"/>
                    </w:rPr>
                    <w:t>（漆雾</w:t>
                  </w:r>
                  <w:r>
                    <w:rPr>
                      <w:rFonts w:hint="eastAsia" w:cs="Times New Roman"/>
                      <w:b w:val="0"/>
                      <w:bCs w:val="0"/>
                      <w:color w:val="auto"/>
                      <w:spacing w:val="-6"/>
                      <w:position w:val="0"/>
                      <w:sz w:val="18"/>
                      <w:szCs w:val="18"/>
                      <w:highlight w:val="none"/>
                      <w:lang w:eastAsia="zh-CN"/>
                    </w:rPr>
                    <w:t>）</w:t>
                  </w:r>
                </w:p>
              </w:tc>
              <w:tc>
                <w:tcPr>
                  <w:tcW w:w="444" w:type="dxa"/>
                  <w:vMerge w:val="continue"/>
                  <w:tcBorders>
                    <w:tl2br w:val="nil"/>
                    <w:tr2bl w:val="nil"/>
                  </w:tcBorders>
                  <w:shd w:val="clear" w:color="auto" w:fill="auto"/>
                  <w:vAlign w:val="center"/>
                </w:tcPr>
                <w:p w14:paraId="6C2A1239">
                  <w:pPr>
                    <w:keepNext w:val="0"/>
                    <w:keepLines w:val="0"/>
                    <w:pageBreakBefore w:val="0"/>
                    <w:kinsoku/>
                    <w:overflowPunct/>
                    <w:autoSpaceDE/>
                    <w:autoSpaceDN/>
                    <w:bidi w:val="0"/>
                    <w:adjustRightInd w:val="0"/>
                    <w:snapToGrid w:val="0"/>
                    <w:ind w:left="0" w:leftChars="0"/>
                    <w:jc w:val="center"/>
                    <w:textAlignment w:val="auto"/>
                    <w:rPr>
                      <w:rFonts w:hint="eastAsia" w:ascii="Times New Roman" w:hAnsi="Times New Roman" w:eastAsia="宋体" w:cs="Times New Roman"/>
                      <w:b w:val="0"/>
                      <w:bCs w:val="0"/>
                      <w:color w:val="auto"/>
                      <w:spacing w:val="-6"/>
                      <w:position w:val="0"/>
                      <w:sz w:val="18"/>
                      <w:szCs w:val="18"/>
                      <w:highlight w:val="none"/>
                    </w:rPr>
                  </w:pPr>
                </w:p>
              </w:tc>
              <w:tc>
                <w:tcPr>
                  <w:tcW w:w="825" w:type="dxa"/>
                  <w:vMerge w:val="continue"/>
                  <w:tcBorders>
                    <w:tl2br w:val="nil"/>
                    <w:tr2bl w:val="nil"/>
                  </w:tcBorders>
                  <w:shd w:val="clear" w:color="auto" w:fill="auto"/>
                  <w:vAlign w:val="center"/>
                </w:tcPr>
                <w:p w14:paraId="6FFF2655">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val="0"/>
                      <w:bCs w:val="0"/>
                      <w:color w:val="auto"/>
                      <w:spacing w:val="-6"/>
                      <w:position w:val="0"/>
                      <w:sz w:val="18"/>
                      <w:szCs w:val="18"/>
                      <w:highlight w:val="none"/>
                    </w:rPr>
                  </w:pPr>
                </w:p>
              </w:tc>
              <w:tc>
                <w:tcPr>
                  <w:tcW w:w="315" w:type="dxa"/>
                  <w:vMerge w:val="continue"/>
                  <w:tcBorders>
                    <w:tl2br w:val="nil"/>
                    <w:tr2bl w:val="nil"/>
                  </w:tcBorders>
                  <w:shd w:val="clear" w:color="auto" w:fill="auto"/>
                  <w:vAlign w:val="center"/>
                </w:tcPr>
                <w:p w14:paraId="4E7611C2">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val="0"/>
                      <w:bCs w:val="0"/>
                      <w:color w:val="auto"/>
                      <w:spacing w:val="-6"/>
                      <w:position w:val="0"/>
                      <w:sz w:val="18"/>
                      <w:szCs w:val="18"/>
                      <w:highlight w:val="none"/>
                    </w:rPr>
                  </w:pPr>
                </w:p>
              </w:tc>
              <w:tc>
                <w:tcPr>
                  <w:tcW w:w="858" w:type="dxa"/>
                  <w:vMerge w:val="continue"/>
                  <w:tcBorders>
                    <w:tl2br w:val="nil"/>
                    <w:tr2bl w:val="nil"/>
                  </w:tcBorders>
                  <w:shd w:val="clear" w:color="auto" w:fill="auto"/>
                  <w:vAlign w:val="center"/>
                </w:tcPr>
                <w:p w14:paraId="64E4180F">
                  <w:pPr>
                    <w:keepNext w:val="0"/>
                    <w:keepLines w:val="0"/>
                    <w:pageBreakBefore w:val="0"/>
                    <w:kinsoku/>
                    <w:overflowPunct/>
                    <w:autoSpaceDE/>
                    <w:autoSpaceDN/>
                    <w:bidi w:val="0"/>
                    <w:adjustRightInd w:val="0"/>
                    <w:snapToGrid w:val="0"/>
                    <w:ind w:left="0" w:leftChars="0"/>
                    <w:jc w:val="center"/>
                    <w:textAlignment w:val="auto"/>
                    <w:rPr>
                      <w:rFonts w:hint="eastAsia" w:ascii="Times New Roman" w:hAnsi="Times New Roman" w:eastAsia="宋体" w:cs="Times New Roman"/>
                      <w:b w:val="0"/>
                      <w:bCs w:val="0"/>
                      <w:color w:val="auto"/>
                      <w:spacing w:val="-6"/>
                      <w:position w:val="0"/>
                      <w:sz w:val="18"/>
                      <w:szCs w:val="18"/>
                      <w:highlight w:val="none"/>
                      <w:lang w:eastAsia="zh-CN"/>
                    </w:rPr>
                  </w:pPr>
                </w:p>
              </w:tc>
              <w:tc>
                <w:tcPr>
                  <w:tcW w:w="450" w:type="dxa"/>
                  <w:vMerge w:val="continue"/>
                  <w:tcBorders>
                    <w:tl2br w:val="nil"/>
                    <w:tr2bl w:val="nil"/>
                  </w:tcBorders>
                  <w:shd w:val="clear" w:color="auto" w:fill="auto"/>
                  <w:vAlign w:val="center"/>
                </w:tcPr>
                <w:p w14:paraId="44334A9C">
                  <w:pPr>
                    <w:keepNext w:val="0"/>
                    <w:keepLines w:val="0"/>
                    <w:pageBreakBefore w:val="0"/>
                    <w:kinsoku/>
                    <w:overflowPunct/>
                    <w:autoSpaceDE/>
                    <w:autoSpaceDN/>
                    <w:bidi w:val="0"/>
                    <w:adjustRightInd w:val="0"/>
                    <w:snapToGrid w:val="0"/>
                    <w:ind w:left="0" w:leftChars="0"/>
                    <w:jc w:val="center"/>
                    <w:textAlignment w:val="auto"/>
                    <w:rPr>
                      <w:rFonts w:hint="eastAsia" w:ascii="Times New Roman" w:hAnsi="Times New Roman" w:eastAsia="宋体" w:cs="Times New Roman"/>
                      <w:b w:val="0"/>
                      <w:bCs w:val="0"/>
                      <w:color w:val="auto"/>
                      <w:spacing w:val="-6"/>
                      <w:position w:val="0"/>
                      <w:sz w:val="18"/>
                      <w:szCs w:val="18"/>
                      <w:highlight w:val="none"/>
                    </w:rPr>
                  </w:pPr>
                </w:p>
              </w:tc>
              <w:tc>
                <w:tcPr>
                  <w:tcW w:w="1530" w:type="dxa"/>
                  <w:vMerge w:val="continue"/>
                  <w:tcBorders>
                    <w:tl2br w:val="nil"/>
                    <w:tr2bl w:val="nil"/>
                  </w:tcBorders>
                  <w:shd w:val="clear" w:color="auto" w:fill="auto"/>
                  <w:vAlign w:val="center"/>
                </w:tcPr>
                <w:p w14:paraId="5052C81B">
                  <w:pPr>
                    <w:keepNext w:val="0"/>
                    <w:keepLines w:val="0"/>
                    <w:pageBreakBefore w:val="0"/>
                    <w:kinsoku/>
                    <w:overflowPunct/>
                    <w:autoSpaceDE/>
                    <w:autoSpaceDN/>
                    <w:bidi w:val="0"/>
                    <w:adjustRightInd w:val="0"/>
                    <w:snapToGrid w:val="0"/>
                    <w:ind w:left="0" w:leftChars="0"/>
                    <w:jc w:val="center"/>
                    <w:textAlignment w:val="auto"/>
                    <w:rPr>
                      <w:rFonts w:ascii="Times New Roman" w:hAnsi="Times New Roman" w:eastAsia="宋体" w:cs="Times New Roman"/>
                      <w:b w:val="0"/>
                      <w:bCs w:val="0"/>
                      <w:color w:val="auto"/>
                      <w:spacing w:val="-6"/>
                      <w:position w:val="0"/>
                      <w:sz w:val="18"/>
                      <w:szCs w:val="18"/>
                      <w:highlight w:val="none"/>
                    </w:rPr>
                  </w:pPr>
                </w:p>
              </w:tc>
              <w:tc>
                <w:tcPr>
                  <w:tcW w:w="1601" w:type="dxa"/>
                  <w:tcBorders>
                    <w:tl2br w:val="nil"/>
                    <w:tr2bl w:val="nil"/>
                  </w:tcBorders>
                  <w:shd w:val="clear" w:color="auto" w:fill="auto"/>
                  <w:vAlign w:val="center"/>
                </w:tcPr>
                <w:p w14:paraId="5BAAE741">
                  <w:pPr>
                    <w:keepNext w:val="0"/>
                    <w:keepLines w:val="0"/>
                    <w:pageBreakBefore w:val="0"/>
                    <w:widowControl w:val="0"/>
                    <w:kinsoku/>
                    <w:wordWrap/>
                    <w:overflowPunct/>
                    <w:topLinePunct/>
                    <w:autoSpaceDE w:val="0"/>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spacing w:val="-6"/>
                      <w:position w:val="0"/>
                      <w:sz w:val="18"/>
                      <w:szCs w:val="18"/>
                      <w:highlight w:val="none"/>
                      <w:lang w:eastAsia="zh-CN"/>
                    </w:rPr>
                  </w:pPr>
                  <w:r>
                    <w:rPr>
                      <w:rFonts w:hint="eastAsia" w:ascii="Times New Roman" w:hAnsi="Times New Roman" w:eastAsia="宋体" w:cs="Times New Roman"/>
                      <w:bCs/>
                      <w:color w:val="auto"/>
                      <w:spacing w:val="-6"/>
                      <w:position w:val="0"/>
                      <w:sz w:val="18"/>
                      <w:szCs w:val="18"/>
                      <w:highlight w:val="none"/>
                      <w:lang w:eastAsia="zh-CN"/>
                    </w:rPr>
                    <w:t>（GB16297-1996</w:t>
                  </w:r>
                  <w:r>
                    <w:rPr>
                      <w:rFonts w:hint="eastAsia" w:ascii="Times New Roman" w:hAnsi="Times New Roman" w:eastAsia="宋体" w:cs="Times New Roman"/>
                      <w:b w:val="0"/>
                      <w:bCs w:val="0"/>
                      <w:color w:val="auto"/>
                      <w:spacing w:val="-6"/>
                      <w:position w:val="0"/>
                      <w:sz w:val="18"/>
                      <w:szCs w:val="18"/>
                      <w:highlight w:val="none"/>
                      <w:lang w:eastAsia="zh-CN"/>
                    </w:rPr>
                    <w:t>）</w:t>
                  </w:r>
                </w:p>
              </w:tc>
            </w:tr>
          </w:tbl>
          <w:p w14:paraId="353112C3">
            <w:pPr>
              <w:pStyle w:val="17"/>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color w:val="auto"/>
                <w:spacing w:val="0"/>
                <w:position w:val="0"/>
                <w:sz w:val="24"/>
                <w:szCs w:val="24"/>
                <w:highlight w:val="none"/>
              </w:rPr>
            </w:pPr>
            <w:r>
              <w:rPr>
                <w:rFonts w:ascii="Times New Roman" w:hAnsi="Times New Roman" w:eastAsia="宋体" w:cs="Times New Roman"/>
                <w:b/>
                <w:bCs/>
                <w:color w:val="auto"/>
                <w:spacing w:val="0"/>
                <w:position w:val="0"/>
                <w:sz w:val="24"/>
                <w:szCs w:val="24"/>
                <w:highlight w:val="none"/>
              </w:rPr>
              <w:t>4.</w:t>
            </w:r>
            <w:r>
              <w:rPr>
                <w:rFonts w:hint="eastAsia" w:ascii="Times New Roman" w:hAnsi="Times New Roman" w:eastAsia="宋体" w:cs="Times New Roman"/>
                <w:b/>
                <w:bCs/>
                <w:color w:val="auto"/>
                <w:spacing w:val="0"/>
                <w:position w:val="0"/>
                <w:sz w:val="24"/>
                <w:szCs w:val="24"/>
                <w:highlight w:val="none"/>
              </w:rPr>
              <w:t>1</w:t>
            </w:r>
            <w:r>
              <w:rPr>
                <w:rFonts w:ascii="Times New Roman" w:hAnsi="Times New Roman" w:eastAsia="宋体" w:cs="Times New Roman"/>
                <w:b/>
                <w:bCs/>
                <w:color w:val="auto"/>
                <w:spacing w:val="0"/>
                <w:position w:val="0"/>
                <w:sz w:val="24"/>
                <w:szCs w:val="24"/>
                <w:highlight w:val="none"/>
              </w:rPr>
              <w:t>.</w:t>
            </w:r>
            <w:r>
              <w:rPr>
                <w:rFonts w:hint="eastAsia" w:ascii="Times New Roman" w:hAnsi="Times New Roman" w:eastAsia="宋体" w:cs="Times New Roman"/>
                <w:b/>
                <w:bCs/>
                <w:color w:val="auto"/>
                <w:spacing w:val="0"/>
                <w:position w:val="0"/>
                <w:sz w:val="24"/>
                <w:szCs w:val="24"/>
                <w:highlight w:val="none"/>
              </w:rPr>
              <w:t>2源强核算过程简述</w:t>
            </w:r>
          </w:p>
          <w:p w14:paraId="413F18E8">
            <w:pPr>
              <w:keepNext w:val="0"/>
              <w:keepLines w:val="0"/>
              <w:pageBreakBefore w:val="0"/>
              <w:widowControl/>
              <w:suppressLineNumbers w:val="0"/>
              <w:kinsoku/>
              <w:wordWrap/>
              <w:overflowPunct/>
              <w:topLinePunct w:val="0"/>
              <w:autoSpaceDE/>
              <w:autoSpaceDN/>
              <w:bidi w:val="0"/>
              <w:adjustRightInd/>
              <w:spacing w:line="360" w:lineRule="auto"/>
              <w:ind w:left="0" w:firstLine="480" w:firstLineChars="200"/>
              <w:jc w:val="both"/>
              <w:textAlignment w:val="auto"/>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项目生产废气主要包括：</w:t>
            </w:r>
            <w:r>
              <w:rPr>
                <w:rFonts w:hint="eastAsia" w:ascii="Times New Roman" w:hAnsi="Times New Roman" w:eastAsia="宋体" w:cs="Times New Roman"/>
                <w:color w:val="auto"/>
                <w:spacing w:val="0"/>
                <w:kern w:val="0"/>
                <w:position w:val="0"/>
                <w:sz w:val="24"/>
                <w:szCs w:val="24"/>
                <w:highlight w:val="none"/>
                <w:lang w:val="en-US" w:eastAsia="zh-CN"/>
              </w:rPr>
              <w:t>调漆、喷漆、晾干工序会产生二甲苯</w:t>
            </w:r>
            <w:r>
              <w:rPr>
                <w:rFonts w:hint="eastAsia" w:cs="Times New Roman"/>
                <w:color w:val="auto"/>
                <w:spacing w:val="0"/>
                <w:kern w:val="0"/>
                <w:position w:val="0"/>
                <w:sz w:val="24"/>
                <w:szCs w:val="24"/>
                <w:highlight w:val="none"/>
                <w:lang w:val="en-US" w:eastAsia="zh-CN"/>
              </w:rPr>
              <w:t>、苯系物</w:t>
            </w:r>
            <w:r>
              <w:rPr>
                <w:rFonts w:hint="eastAsia" w:ascii="Times New Roman" w:hAnsi="Times New Roman" w:eastAsia="宋体" w:cs="Times New Roman"/>
                <w:color w:val="auto"/>
                <w:spacing w:val="0"/>
                <w:kern w:val="0"/>
                <w:position w:val="0"/>
                <w:sz w:val="24"/>
                <w:szCs w:val="24"/>
                <w:highlight w:val="none"/>
                <w:lang w:val="en-US" w:eastAsia="zh-CN"/>
              </w:rPr>
              <w:t>、乙酸乙酯、乙酸丁酯、非甲烷总烃</w:t>
            </w:r>
            <w:r>
              <w:rPr>
                <w:rFonts w:hint="eastAsia" w:ascii="Times New Roman" w:hAnsi="Times New Roman" w:eastAsia="宋体" w:cs="Times New Roman"/>
                <w:color w:val="auto"/>
                <w:spacing w:val="0"/>
                <w:kern w:val="0"/>
                <w:position w:val="0"/>
                <w:sz w:val="24"/>
                <w:szCs w:val="24"/>
                <w:highlight w:val="none"/>
                <w:lang w:val="en-US" w:eastAsia="zh-CN" w:bidi="ar"/>
              </w:rPr>
              <w:t>，其中喷漆工序会产生的颗粒物。</w:t>
            </w:r>
          </w:p>
          <w:p w14:paraId="40CD1408">
            <w:pPr>
              <w:pStyle w:val="63"/>
              <w:keepNext w:val="0"/>
              <w:keepLines w:val="0"/>
              <w:pageBreakBefore w:val="0"/>
              <w:widowControl/>
              <w:numPr>
                <w:ilvl w:val="0"/>
                <w:numId w:val="0"/>
              </w:numPr>
              <w:kinsoku/>
              <w:wordWrap/>
              <w:overflowPunct/>
              <w:topLinePunct w:val="0"/>
              <w:autoSpaceDE/>
              <w:autoSpaceDN/>
              <w:bidi w:val="0"/>
              <w:adjustRightInd/>
              <w:spacing w:line="356" w:lineRule="auto"/>
              <w:ind w:left="0" w:leftChars="0" w:firstLine="482" w:firstLineChars="200"/>
              <w:textAlignment w:val="auto"/>
              <w:rPr>
                <w:rFonts w:hint="eastAsia" w:ascii="Times New Roman" w:hAnsi="Times New Roman" w:eastAsia="宋体" w:cs="Times New Roman"/>
                <w:b/>
                <w:bCs/>
                <w:snapToGrid w:val="0"/>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bidi="ar"/>
              </w:rPr>
              <w:t>（1）</w:t>
            </w:r>
            <w:r>
              <w:rPr>
                <w:rFonts w:hint="eastAsia" w:ascii="Times New Roman" w:hAnsi="Times New Roman" w:eastAsia="宋体" w:cs="Times New Roman"/>
                <w:b/>
                <w:bCs/>
                <w:color w:val="auto"/>
                <w:spacing w:val="0"/>
                <w:position w:val="0"/>
                <w:sz w:val="24"/>
                <w:szCs w:val="24"/>
                <w:highlight w:val="none"/>
                <w:lang w:val="en-US" w:eastAsia="zh-CN"/>
              </w:rPr>
              <w:t>调漆、喷漆、晾干废气</w:t>
            </w:r>
          </w:p>
          <w:p w14:paraId="592AC2C8">
            <w:pPr>
              <w:keepNext w:val="0"/>
              <w:keepLines w:val="0"/>
              <w:pageBreakBefore w:val="0"/>
              <w:widowControl/>
              <w:numPr>
                <w:ilvl w:val="0"/>
                <w:numId w:val="0"/>
              </w:numPr>
              <w:suppressLineNumbers w:val="0"/>
              <w:kinsoku/>
              <w:wordWrap/>
              <w:overflowPunct/>
              <w:topLinePunct w:val="0"/>
              <w:autoSpaceDE/>
              <w:autoSpaceDN/>
              <w:bidi w:val="0"/>
              <w:adjustRightInd/>
              <w:spacing w:line="356" w:lineRule="auto"/>
              <w:ind w:left="0" w:leftChars="0" w:firstLine="482" w:firstLineChars="200"/>
              <w:jc w:val="left"/>
              <w:textAlignment w:val="auto"/>
              <w:rPr>
                <w:rFonts w:hint="eastAsia" w:ascii="Times New Roman" w:hAnsi="Times New Roman" w:eastAsia="宋体" w:cs="Times New Roman"/>
                <w:b/>
                <w:bCs/>
                <w:color w:val="auto"/>
                <w:spacing w:val="0"/>
                <w:kern w:val="0"/>
                <w:position w:val="0"/>
                <w:sz w:val="24"/>
                <w:szCs w:val="24"/>
                <w:highlight w:val="none"/>
                <w:lang w:val="en-US" w:eastAsia="zh-CN" w:bidi="ar"/>
              </w:rPr>
            </w:pPr>
            <w:r>
              <w:rPr>
                <w:rFonts w:hint="eastAsia" w:ascii="Times New Roman" w:hAnsi="Times New Roman" w:eastAsia="宋体" w:cs="Times New Roman"/>
                <w:b/>
                <w:bCs/>
                <w:color w:val="auto"/>
                <w:spacing w:val="0"/>
                <w:position w:val="0"/>
                <w:sz w:val="24"/>
                <w:szCs w:val="24"/>
                <w:highlight w:val="none"/>
                <w:lang w:val="en-US" w:eastAsia="zh-CN"/>
              </w:rPr>
              <w:t>调漆、喷漆、晾干废气</w:t>
            </w:r>
          </w:p>
          <w:p w14:paraId="5BD38D09">
            <w:pPr>
              <w:keepNext w:val="0"/>
              <w:keepLines w:val="0"/>
              <w:pageBreakBefore w:val="0"/>
              <w:widowControl/>
              <w:suppressLineNumbers w:val="0"/>
              <w:kinsoku/>
              <w:wordWrap/>
              <w:overflowPunct/>
              <w:topLinePunct w:val="0"/>
              <w:autoSpaceDE/>
              <w:autoSpaceDN/>
              <w:bidi w:val="0"/>
              <w:adjustRightInd/>
              <w:spacing w:line="356" w:lineRule="auto"/>
              <w:ind w:firstLine="480" w:firstLineChars="200"/>
              <w:jc w:val="left"/>
              <w:textAlignment w:val="auto"/>
              <w:rPr>
                <w:rFonts w:hint="eastAsia" w:ascii="Times New Roman" w:hAnsi="Times New Roman" w:eastAsia="宋体" w:cs="Times New Roman"/>
                <w:color w:val="auto"/>
                <w:spacing w:val="0"/>
                <w:kern w:val="0"/>
                <w:position w:val="0"/>
                <w:sz w:val="24"/>
                <w:szCs w:val="24"/>
                <w:highlight w:val="none"/>
                <w:lang w:val="en-US" w:eastAsia="zh-CN" w:bidi="ar"/>
              </w:rPr>
            </w:pPr>
            <w:r>
              <w:rPr>
                <w:rFonts w:hint="eastAsia"/>
                <w:color w:val="auto"/>
                <w:kern w:val="0"/>
                <w:sz w:val="24"/>
                <w:szCs w:val="24"/>
                <w:highlight w:val="none"/>
                <w:lang w:bidi="ar"/>
              </w:rPr>
              <w:t>项目调漆在喷漆房内进行，不设单独的调漆房</w:t>
            </w:r>
            <w:r>
              <w:rPr>
                <w:rFonts w:hint="eastAsia" w:ascii="宋体" w:hAnsi="宋体" w:cs="宋体"/>
                <w:color w:val="auto"/>
                <w:kern w:val="0"/>
                <w:sz w:val="24"/>
                <w:szCs w:val="24"/>
                <w:highlight w:val="none"/>
                <w:lang w:bidi="ar"/>
              </w:rPr>
              <w:t>，调漆过程中喷漆房内的废气收集净化装置要求同时开启，调漆废气产生量不单独核算，而是计入喷漆及晾干废气产生量。</w:t>
            </w:r>
          </w:p>
          <w:p w14:paraId="4E1B692D">
            <w:pPr>
              <w:keepNext w:val="0"/>
              <w:keepLines w:val="0"/>
              <w:pageBreakBefore w:val="0"/>
              <w:widowControl/>
              <w:suppressLineNumbers w:val="0"/>
              <w:kinsoku/>
              <w:wordWrap/>
              <w:overflowPunct/>
              <w:topLinePunct w:val="0"/>
              <w:autoSpaceDE/>
              <w:autoSpaceDN/>
              <w:bidi w:val="0"/>
              <w:adjustRightInd/>
              <w:spacing w:line="356" w:lineRule="auto"/>
              <w:ind w:firstLine="480" w:firstLineChars="200"/>
              <w:jc w:val="left"/>
              <w:textAlignment w:val="auto"/>
              <w:rPr>
                <w:rFonts w:hint="eastAsia" w:ascii="Times New Roman" w:hAnsi="Times New Roman" w:eastAsia="宋体" w:cs="Times New Roman"/>
                <w:color w:val="auto"/>
                <w:spacing w:val="0"/>
                <w:position w:val="0"/>
                <w:sz w:val="24"/>
                <w:szCs w:val="24"/>
                <w:highlight w:val="none"/>
                <w:lang w:eastAsia="zh-CN"/>
              </w:rPr>
            </w:pPr>
            <w:r>
              <w:rPr>
                <w:rFonts w:hint="eastAsia" w:ascii="Times New Roman" w:hAnsi="Times New Roman" w:eastAsia="宋体" w:cs="Times New Roman"/>
                <w:color w:val="auto"/>
                <w:spacing w:val="0"/>
                <w:kern w:val="0"/>
                <w:position w:val="0"/>
                <w:sz w:val="24"/>
                <w:szCs w:val="24"/>
                <w:highlight w:val="none"/>
                <w:lang w:val="en-US" w:eastAsia="zh-CN" w:bidi="ar"/>
              </w:rPr>
              <w:t>根据建设单位提供设计资料，</w:t>
            </w:r>
            <w:r>
              <w:rPr>
                <w:rFonts w:hint="eastAsia" w:cs="Times New Roman"/>
                <w:color w:val="auto"/>
                <w:spacing w:val="0"/>
                <w:kern w:val="0"/>
                <w:position w:val="0"/>
                <w:sz w:val="24"/>
                <w:szCs w:val="24"/>
                <w:highlight w:val="none"/>
                <w:lang w:val="en-US" w:eastAsia="zh-CN" w:bidi="ar"/>
              </w:rPr>
              <w:t>油性</w:t>
            </w:r>
            <w:r>
              <w:rPr>
                <w:rFonts w:hint="eastAsia" w:ascii="Times New Roman" w:hAnsi="Times New Roman" w:eastAsia="宋体" w:cs="Times New Roman"/>
                <w:color w:val="auto"/>
                <w:spacing w:val="0"/>
                <w:kern w:val="0"/>
                <w:position w:val="0"/>
                <w:sz w:val="24"/>
                <w:szCs w:val="24"/>
                <w:highlight w:val="none"/>
                <w:lang w:val="en-US" w:eastAsia="zh-CN" w:bidi="ar"/>
              </w:rPr>
              <w:t>漆</w:t>
            </w:r>
            <w:r>
              <w:rPr>
                <w:rFonts w:hint="default" w:ascii="Times New Roman" w:hAnsi="Times New Roman" w:eastAsia="宋体" w:cs="Times New Roman"/>
                <w:snapToGrid w:val="0"/>
                <w:color w:val="auto"/>
                <w:spacing w:val="0"/>
                <w:kern w:val="0"/>
                <w:position w:val="0"/>
                <w:sz w:val="24"/>
                <w:szCs w:val="24"/>
                <w:highlight w:val="none"/>
              </w:rPr>
              <w:t>使用量为</w:t>
            </w:r>
            <w:r>
              <w:rPr>
                <w:rFonts w:hint="eastAsia" w:cs="Times New Roman"/>
                <w:snapToGrid w:val="0"/>
                <w:color w:val="auto"/>
                <w:spacing w:val="0"/>
                <w:kern w:val="0"/>
                <w:position w:val="0"/>
                <w:sz w:val="24"/>
                <w:szCs w:val="24"/>
                <w:highlight w:val="none"/>
                <w:lang w:val="en-US" w:eastAsia="zh-CN"/>
              </w:rPr>
              <w:t>1.8</w:t>
            </w:r>
            <w:r>
              <w:rPr>
                <w:rFonts w:hint="default" w:ascii="Times New Roman" w:hAnsi="Times New Roman" w:eastAsia="宋体" w:cs="Times New Roman"/>
                <w:snapToGrid w:val="0"/>
                <w:color w:val="auto"/>
                <w:spacing w:val="0"/>
                <w:kern w:val="0"/>
                <w:position w:val="0"/>
                <w:sz w:val="24"/>
                <w:szCs w:val="24"/>
                <w:highlight w:val="none"/>
              </w:rPr>
              <w:t>t/a</w:t>
            </w:r>
            <w:r>
              <w:rPr>
                <w:rFonts w:hint="eastAsia" w:ascii="Times New Roman" w:hAnsi="Times New Roman" w:eastAsia="宋体" w:cs="Times New Roman"/>
                <w:snapToGrid w:val="0"/>
                <w:color w:val="auto"/>
                <w:spacing w:val="0"/>
                <w:kern w:val="0"/>
                <w:position w:val="0"/>
                <w:sz w:val="24"/>
                <w:szCs w:val="24"/>
                <w:highlight w:val="none"/>
                <w:lang w:eastAsia="zh-CN"/>
              </w:rPr>
              <w:t>、</w:t>
            </w:r>
            <w:r>
              <w:rPr>
                <w:rFonts w:hint="eastAsia" w:cs="Times New Roman"/>
                <w:snapToGrid w:val="0"/>
                <w:color w:val="auto"/>
                <w:spacing w:val="0"/>
                <w:kern w:val="0"/>
                <w:position w:val="0"/>
                <w:sz w:val="24"/>
                <w:szCs w:val="24"/>
                <w:highlight w:val="none"/>
                <w:lang w:val="en-US" w:eastAsia="zh-CN"/>
              </w:rPr>
              <w:t>水性漆</w:t>
            </w:r>
            <w:r>
              <w:rPr>
                <w:rFonts w:hint="default" w:ascii="Times New Roman" w:hAnsi="Times New Roman" w:eastAsia="宋体" w:cs="Times New Roman"/>
                <w:snapToGrid w:val="0"/>
                <w:color w:val="auto"/>
                <w:spacing w:val="0"/>
                <w:kern w:val="0"/>
                <w:position w:val="0"/>
                <w:sz w:val="24"/>
                <w:szCs w:val="24"/>
                <w:highlight w:val="none"/>
              </w:rPr>
              <w:t>使用量为</w:t>
            </w:r>
            <w:r>
              <w:rPr>
                <w:rFonts w:hint="eastAsia" w:cs="Times New Roman"/>
                <w:snapToGrid w:val="0"/>
                <w:color w:val="auto"/>
                <w:spacing w:val="0"/>
                <w:kern w:val="0"/>
                <w:position w:val="0"/>
                <w:sz w:val="24"/>
                <w:szCs w:val="24"/>
                <w:highlight w:val="none"/>
                <w:lang w:val="en-US" w:eastAsia="zh-CN"/>
              </w:rPr>
              <w:t>3</w:t>
            </w:r>
            <w:r>
              <w:rPr>
                <w:rFonts w:hint="default" w:ascii="Times New Roman" w:hAnsi="Times New Roman" w:eastAsia="宋体" w:cs="Times New Roman"/>
                <w:snapToGrid w:val="0"/>
                <w:color w:val="auto"/>
                <w:spacing w:val="0"/>
                <w:kern w:val="0"/>
                <w:position w:val="0"/>
                <w:sz w:val="24"/>
                <w:szCs w:val="24"/>
                <w:highlight w:val="none"/>
              </w:rPr>
              <w:t>t/a</w:t>
            </w:r>
            <w:r>
              <w:rPr>
                <w:rFonts w:hint="eastAsia" w:ascii="Times New Roman" w:hAnsi="Times New Roman" w:eastAsia="宋体" w:cs="Times New Roman"/>
                <w:snapToGrid w:val="0"/>
                <w:color w:val="auto"/>
                <w:spacing w:val="0"/>
                <w:kern w:val="0"/>
                <w:position w:val="0"/>
                <w:sz w:val="24"/>
                <w:szCs w:val="24"/>
                <w:highlight w:val="none"/>
                <w:lang w:eastAsia="zh-CN"/>
              </w:rPr>
              <w:t>、</w:t>
            </w:r>
            <w:r>
              <w:rPr>
                <w:rFonts w:hint="eastAsia" w:cs="Times New Roman"/>
                <w:color w:val="auto"/>
                <w:spacing w:val="0"/>
                <w:kern w:val="0"/>
                <w:position w:val="0"/>
                <w:sz w:val="24"/>
                <w:szCs w:val="24"/>
                <w:highlight w:val="none"/>
                <w:lang w:val="en-US" w:eastAsia="zh-CN" w:bidi="ar"/>
              </w:rPr>
              <w:t>固化剂</w:t>
            </w:r>
            <w:r>
              <w:rPr>
                <w:rFonts w:hint="default" w:ascii="Times New Roman" w:hAnsi="Times New Roman" w:eastAsia="宋体" w:cs="Times New Roman"/>
                <w:color w:val="auto"/>
                <w:spacing w:val="0"/>
                <w:kern w:val="0"/>
                <w:position w:val="0"/>
                <w:sz w:val="24"/>
                <w:szCs w:val="24"/>
                <w:highlight w:val="none"/>
                <w:lang w:val="en-US" w:eastAsia="zh-CN" w:bidi="ar"/>
              </w:rPr>
              <w:t>使用量为</w:t>
            </w:r>
            <w:r>
              <w:rPr>
                <w:rFonts w:hint="eastAsia" w:cs="Times New Roman"/>
                <w:color w:val="auto"/>
                <w:spacing w:val="0"/>
                <w:kern w:val="0"/>
                <w:position w:val="0"/>
                <w:sz w:val="24"/>
                <w:szCs w:val="24"/>
                <w:highlight w:val="none"/>
                <w:lang w:val="en-US" w:eastAsia="zh-CN" w:bidi="ar"/>
              </w:rPr>
              <w:t>0.9</w:t>
            </w:r>
            <w:r>
              <w:rPr>
                <w:rFonts w:hint="default" w:ascii="Times New Roman" w:hAnsi="Times New Roman" w:eastAsia="宋体" w:cs="Times New Roman"/>
                <w:color w:val="auto"/>
                <w:spacing w:val="0"/>
                <w:kern w:val="0"/>
                <w:position w:val="0"/>
                <w:sz w:val="24"/>
                <w:szCs w:val="24"/>
                <w:highlight w:val="none"/>
                <w:lang w:val="en-US" w:eastAsia="zh-CN" w:bidi="ar"/>
              </w:rPr>
              <w:t>t/a</w:t>
            </w:r>
            <w:r>
              <w:rPr>
                <w:rFonts w:hint="eastAsia" w:ascii="Times New Roman" w:hAnsi="Times New Roman" w:eastAsia="宋体" w:cs="Times New Roman"/>
                <w:color w:val="auto"/>
                <w:spacing w:val="0"/>
                <w:kern w:val="0"/>
                <w:position w:val="0"/>
                <w:sz w:val="24"/>
                <w:szCs w:val="24"/>
                <w:highlight w:val="none"/>
                <w:lang w:val="en-US" w:eastAsia="zh-CN" w:bidi="ar"/>
              </w:rPr>
              <w:t>、</w:t>
            </w:r>
            <w:r>
              <w:rPr>
                <w:rFonts w:hint="eastAsia" w:cs="Times New Roman"/>
                <w:color w:val="auto"/>
                <w:spacing w:val="0"/>
                <w:kern w:val="0"/>
                <w:position w:val="0"/>
                <w:sz w:val="24"/>
                <w:szCs w:val="24"/>
                <w:highlight w:val="none"/>
                <w:lang w:val="en-US" w:eastAsia="zh-CN" w:bidi="ar"/>
              </w:rPr>
              <w:t>稀释剂</w:t>
            </w:r>
            <w:r>
              <w:rPr>
                <w:rFonts w:hint="eastAsia" w:ascii="Times New Roman" w:hAnsi="Times New Roman" w:eastAsia="宋体" w:cs="Times New Roman"/>
                <w:color w:val="auto"/>
                <w:spacing w:val="0"/>
                <w:kern w:val="0"/>
                <w:position w:val="0"/>
                <w:sz w:val="24"/>
                <w:szCs w:val="24"/>
                <w:highlight w:val="none"/>
                <w:lang w:val="en-US" w:eastAsia="zh-CN" w:bidi="ar"/>
              </w:rPr>
              <w:t>使用量为</w:t>
            </w:r>
            <w:r>
              <w:rPr>
                <w:rFonts w:hint="eastAsia" w:cs="Times New Roman"/>
                <w:color w:val="auto"/>
                <w:spacing w:val="0"/>
                <w:kern w:val="0"/>
                <w:position w:val="0"/>
                <w:sz w:val="24"/>
                <w:szCs w:val="24"/>
                <w:highlight w:val="none"/>
                <w:lang w:val="en-US" w:eastAsia="zh-CN" w:bidi="ar"/>
              </w:rPr>
              <w:t>0.6</w:t>
            </w:r>
            <w:r>
              <w:rPr>
                <w:rFonts w:hint="eastAsia" w:ascii="Times New Roman" w:hAnsi="Times New Roman" w:eastAsia="宋体" w:cs="Times New Roman"/>
                <w:color w:val="auto"/>
                <w:spacing w:val="0"/>
                <w:kern w:val="0"/>
                <w:position w:val="0"/>
                <w:sz w:val="24"/>
                <w:szCs w:val="24"/>
                <w:highlight w:val="none"/>
                <w:lang w:val="en-US" w:eastAsia="zh-CN" w:bidi="ar"/>
              </w:rPr>
              <w:t>t/a。根据供货商家提供的漆料</w:t>
            </w:r>
            <w:r>
              <w:rPr>
                <w:rFonts w:hint="default" w:ascii="Times New Roman" w:hAnsi="Times New Roman" w:eastAsia="宋体" w:cs="Times New Roman"/>
                <w:color w:val="auto"/>
                <w:spacing w:val="0"/>
                <w:kern w:val="0"/>
                <w:position w:val="0"/>
                <w:sz w:val="24"/>
                <w:szCs w:val="24"/>
                <w:highlight w:val="none"/>
                <w:lang w:val="en-US" w:eastAsia="zh-CN" w:bidi="ar"/>
              </w:rPr>
              <w:t>MSDS</w:t>
            </w:r>
            <w:r>
              <w:rPr>
                <w:rFonts w:hint="eastAsia" w:ascii="Times New Roman" w:hAnsi="Times New Roman" w:eastAsia="宋体" w:cs="Times New Roman"/>
                <w:color w:val="auto"/>
                <w:spacing w:val="0"/>
                <w:kern w:val="0"/>
                <w:position w:val="0"/>
                <w:sz w:val="24"/>
                <w:szCs w:val="24"/>
                <w:highlight w:val="none"/>
                <w:lang w:val="en-US" w:eastAsia="zh-CN" w:bidi="ar"/>
              </w:rPr>
              <w:t>报告，各漆类污染物成分汇总详见表</w:t>
            </w:r>
            <w:r>
              <w:rPr>
                <w:rFonts w:hint="default" w:ascii="Times New Roman" w:hAnsi="Times New Roman" w:eastAsia="宋体" w:cs="Times New Roman"/>
                <w:color w:val="auto"/>
                <w:spacing w:val="0"/>
                <w:kern w:val="0"/>
                <w:position w:val="0"/>
                <w:sz w:val="24"/>
                <w:szCs w:val="24"/>
                <w:highlight w:val="none"/>
                <w:lang w:val="en-US" w:eastAsia="zh-CN" w:bidi="ar"/>
              </w:rPr>
              <w:t>4</w:t>
            </w:r>
            <w:r>
              <w:rPr>
                <w:rFonts w:hint="eastAsia" w:ascii="Times New Roman" w:hAnsi="Times New Roman" w:eastAsia="宋体" w:cs="Times New Roman"/>
                <w:color w:val="auto"/>
                <w:spacing w:val="0"/>
                <w:kern w:val="0"/>
                <w:position w:val="0"/>
                <w:sz w:val="24"/>
                <w:szCs w:val="24"/>
                <w:highlight w:val="none"/>
                <w:lang w:val="en-US" w:eastAsia="zh-CN" w:bidi="ar"/>
              </w:rPr>
              <w:t>.1</w:t>
            </w:r>
            <w:r>
              <w:rPr>
                <w:rFonts w:hint="eastAsia" w:cs="Times New Roman"/>
                <w:color w:val="auto"/>
                <w:spacing w:val="0"/>
                <w:kern w:val="0"/>
                <w:position w:val="0"/>
                <w:sz w:val="24"/>
                <w:szCs w:val="24"/>
                <w:highlight w:val="none"/>
                <w:lang w:val="en-US" w:eastAsia="zh-CN" w:bidi="ar"/>
              </w:rPr>
              <w:t>.1</w:t>
            </w:r>
            <w:r>
              <w:rPr>
                <w:rFonts w:hint="eastAsia" w:ascii="Times New Roman" w:hAnsi="Times New Roman" w:eastAsia="宋体" w:cs="Times New Roman"/>
                <w:color w:val="auto"/>
                <w:spacing w:val="0"/>
                <w:kern w:val="0"/>
                <w:position w:val="0"/>
                <w:sz w:val="24"/>
                <w:szCs w:val="24"/>
                <w:highlight w:val="none"/>
                <w:lang w:val="en-US" w:eastAsia="zh-CN" w:bidi="ar"/>
              </w:rPr>
              <w:t>-</w:t>
            </w:r>
            <w:r>
              <w:rPr>
                <w:rFonts w:hint="eastAsia" w:cs="Times New Roman"/>
                <w:color w:val="auto"/>
                <w:spacing w:val="0"/>
                <w:kern w:val="0"/>
                <w:position w:val="0"/>
                <w:sz w:val="24"/>
                <w:szCs w:val="24"/>
                <w:highlight w:val="none"/>
                <w:lang w:val="en-US" w:eastAsia="zh-CN" w:bidi="ar"/>
              </w:rPr>
              <w:t>4</w:t>
            </w:r>
            <w:r>
              <w:rPr>
                <w:rFonts w:hint="default" w:ascii="Times New Roman" w:hAnsi="Times New Roman" w:eastAsia="宋体" w:cs="Times New Roman"/>
                <w:snapToGrid w:val="0"/>
                <w:color w:val="auto"/>
                <w:spacing w:val="0"/>
                <w:kern w:val="0"/>
                <w:position w:val="0"/>
                <w:sz w:val="24"/>
                <w:szCs w:val="24"/>
                <w:highlight w:val="none"/>
              </w:rPr>
              <w:t>。</w:t>
            </w:r>
          </w:p>
        </w:tc>
      </w:tr>
    </w:tbl>
    <w:p w14:paraId="5BB9C200">
      <w:pPr>
        <w:adjustRightInd w:val="0"/>
        <w:snapToGrid w:val="0"/>
        <w:spacing w:line="360" w:lineRule="auto"/>
        <w:rPr>
          <w:rFonts w:ascii="Times New Roman" w:hAnsi="Times New Roman" w:eastAsia="宋体" w:cs="Times New Roman"/>
          <w:b/>
          <w:color w:val="auto"/>
          <w:spacing w:val="0"/>
          <w:kern w:val="0"/>
          <w:position w:val="0"/>
          <w:sz w:val="28"/>
          <w:szCs w:val="28"/>
          <w:highlight w:val="none"/>
        </w:rPr>
        <w:sectPr>
          <w:headerReference r:id="rId10" w:type="default"/>
          <w:pgSz w:w="11905" w:h="16838"/>
          <w:pgMar w:top="1134" w:right="1134" w:bottom="1134" w:left="1134"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3405"/>
      </w:tblGrid>
      <w:tr w14:paraId="3D263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05" w:type="dxa"/>
            <w:tcMar>
              <w:left w:w="28" w:type="dxa"/>
              <w:right w:w="28" w:type="dxa"/>
            </w:tcMar>
            <w:vAlign w:val="center"/>
          </w:tcPr>
          <w:p w14:paraId="367EFC6B">
            <w:pPr>
              <w:pStyle w:val="24"/>
              <w:adjustRightInd w:val="0"/>
              <w:snapToGrid w:val="0"/>
              <w:spacing w:before="0" w:beforeAutospacing="0" w:after="0" w:afterAutospacing="0"/>
              <w:jc w:val="center"/>
              <w:rPr>
                <w:rFonts w:hint="eastAsia" w:ascii="Times New Roman" w:hAnsi="Times New Roman" w:eastAsia="宋体" w:cs="Times New Roman"/>
                <w:bCs/>
                <w:color w:val="auto"/>
                <w:spacing w:val="0"/>
                <w:position w:val="0"/>
                <w:sz w:val="24"/>
                <w:szCs w:val="24"/>
                <w:highlight w:val="none"/>
              </w:rPr>
            </w:pPr>
          </w:p>
        </w:tc>
        <w:tc>
          <w:tcPr>
            <w:tcW w:w="8293" w:type="dxa"/>
          </w:tcPr>
          <w:p w14:paraId="3B8A3877">
            <w:pPr>
              <w:keepNext w:val="0"/>
              <w:keepLines w:val="0"/>
              <w:pageBreakBefore w:val="0"/>
              <w:widowControl/>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pacing w:val="0"/>
                <w:kern w:val="0"/>
                <w:position w:val="0"/>
                <w:sz w:val="24"/>
                <w:highlight w:val="none"/>
                <w:lang w:val="en-US" w:eastAsia="zh-CN"/>
              </w:rPr>
            </w:pPr>
            <w:r>
              <w:rPr>
                <w:rFonts w:hint="eastAsia" w:ascii="Times New Roman" w:hAnsi="Times New Roman" w:eastAsia="宋体" w:cs="Times New Roman"/>
                <w:b/>
                <w:bCs/>
                <w:snapToGrid w:val="0"/>
                <w:color w:val="auto"/>
                <w:spacing w:val="0"/>
                <w:kern w:val="0"/>
                <w:position w:val="0"/>
                <w:sz w:val="24"/>
                <w:highlight w:val="none"/>
                <w:lang w:val="en-US" w:eastAsia="zh-CN"/>
              </w:rPr>
              <w:t>表4.1</w:t>
            </w:r>
            <w:r>
              <w:rPr>
                <w:rFonts w:hint="eastAsia" w:cs="Times New Roman"/>
                <w:b/>
                <w:bCs/>
                <w:snapToGrid w:val="0"/>
                <w:color w:val="auto"/>
                <w:spacing w:val="0"/>
                <w:kern w:val="0"/>
                <w:position w:val="0"/>
                <w:sz w:val="24"/>
                <w:highlight w:val="none"/>
                <w:lang w:val="en-US" w:eastAsia="zh-CN"/>
              </w:rPr>
              <w:t>.1-4</w:t>
            </w:r>
            <w:r>
              <w:rPr>
                <w:rFonts w:hint="eastAsia" w:ascii="Times New Roman" w:hAnsi="Times New Roman" w:eastAsia="宋体" w:cs="Times New Roman"/>
                <w:b/>
                <w:bCs/>
                <w:snapToGrid w:val="0"/>
                <w:color w:val="auto"/>
                <w:spacing w:val="0"/>
                <w:kern w:val="0"/>
                <w:position w:val="0"/>
                <w:sz w:val="24"/>
                <w:highlight w:val="none"/>
                <w:lang w:val="en-US" w:eastAsia="zh-CN"/>
              </w:rPr>
              <w:t xml:space="preserve"> 各漆料污染物含量情况一览表</w:t>
            </w:r>
          </w:p>
          <w:tbl>
            <w:tblPr>
              <w:tblStyle w:val="2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80"/>
              <w:gridCol w:w="2295"/>
              <w:gridCol w:w="817"/>
              <w:gridCol w:w="866"/>
              <w:gridCol w:w="850"/>
              <w:gridCol w:w="934"/>
              <w:gridCol w:w="800"/>
              <w:gridCol w:w="933"/>
              <w:gridCol w:w="817"/>
              <w:gridCol w:w="883"/>
              <w:gridCol w:w="750"/>
              <w:gridCol w:w="900"/>
              <w:gridCol w:w="750"/>
              <w:gridCol w:w="914"/>
            </w:tblGrid>
            <w:tr w14:paraId="7DB04E1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57" w:type="pct"/>
                  <w:vMerge w:val="restart"/>
                  <w:tcBorders>
                    <w:tl2br w:val="nil"/>
                    <w:tr2bl w:val="nil"/>
                  </w:tcBorders>
                  <w:shd w:val="clear" w:color="auto" w:fill="auto"/>
                  <w:vAlign w:val="center"/>
                </w:tcPr>
                <w:p w14:paraId="1C7BF93A">
                  <w:pPr>
                    <w:keepNext w:val="0"/>
                    <w:keepLines w:val="0"/>
                    <w:widowControl/>
                    <w:suppressLineNumbers w:val="0"/>
                    <w:jc w:val="center"/>
                    <w:textAlignment w:val="center"/>
                    <w:rPr>
                      <w:rFonts w:hint="eastAsia" w:ascii="Times New Roman" w:hAnsi="Times New Roman" w:eastAsia="宋体" w:cs="Times New Roman"/>
                      <w:b/>
                      <w:bCs/>
                      <w:i w:val="0"/>
                      <w:iCs w:val="0"/>
                      <w:color w:val="auto"/>
                      <w:spacing w:val="0"/>
                      <w:sz w:val="21"/>
                      <w:szCs w:val="21"/>
                      <w:highlight w:val="none"/>
                      <w:u w:val="none"/>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原辅材料名称</w:t>
                  </w:r>
                </w:p>
              </w:tc>
              <w:tc>
                <w:tcPr>
                  <w:tcW w:w="870" w:type="pct"/>
                  <w:vMerge w:val="restart"/>
                  <w:tcBorders>
                    <w:tl2br w:val="nil"/>
                    <w:tr2bl w:val="nil"/>
                  </w:tcBorders>
                  <w:shd w:val="clear" w:color="auto" w:fill="auto"/>
                  <w:vAlign w:val="center"/>
                </w:tcPr>
                <w:p w14:paraId="1FB0496D">
                  <w:pPr>
                    <w:keepNext w:val="0"/>
                    <w:keepLines w:val="0"/>
                    <w:widowControl/>
                    <w:suppressLineNumbers w:val="0"/>
                    <w:jc w:val="center"/>
                    <w:textAlignment w:val="center"/>
                    <w:rPr>
                      <w:rFonts w:hint="eastAsia" w:ascii="Times New Roman" w:hAnsi="Times New Roman" w:eastAsia="宋体" w:cs="Times New Roman"/>
                      <w:b/>
                      <w:bCs/>
                      <w:i w:val="0"/>
                      <w:iCs w:val="0"/>
                      <w:color w:val="auto"/>
                      <w:spacing w:val="0"/>
                      <w:sz w:val="21"/>
                      <w:szCs w:val="21"/>
                      <w:highlight w:val="none"/>
                      <w:u w:val="none"/>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成分占比</w:t>
                  </w:r>
                  <w:r>
                    <w:rPr>
                      <w:rStyle w:val="132"/>
                      <w:rFonts w:hint="eastAsia" w:ascii="Times New Roman" w:hAnsi="Times New Roman" w:eastAsia="宋体" w:cs="Times New Roman"/>
                      <w:b/>
                      <w:bCs/>
                      <w:color w:val="auto"/>
                      <w:spacing w:val="0"/>
                      <w:sz w:val="21"/>
                      <w:szCs w:val="21"/>
                      <w:highlight w:val="none"/>
                      <w:lang w:val="en-US" w:eastAsia="zh-CN" w:bidi="ar"/>
                    </w:rPr>
                    <w:t>（</w:t>
                  </w:r>
                  <w:r>
                    <w:rPr>
                      <w:rStyle w:val="132"/>
                      <w:rFonts w:ascii="Times New Roman" w:hAnsi="Times New Roman" w:eastAsia="宋体" w:cs="Times New Roman"/>
                      <w:b/>
                      <w:bCs/>
                      <w:color w:val="auto"/>
                      <w:spacing w:val="0"/>
                      <w:sz w:val="21"/>
                      <w:szCs w:val="21"/>
                      <w:highlight w:val="none"/>
                      <w:lang w:val="en-US" w:eastAsia="zh-CN" w:bidi="ar"/>
                    </w:rPr>
                    <w:t>%</w:t>
                  </w:r>
                  <w:r>
                    <w:rPr>
                      <w:rStyle w:val="133"/>
                      <w:rFonts w:ascii="Times New Roman" w:hAnsi="Times New Roman" w:eastAsia="宋体" w:cs="Times New Roman"/>
                      <w:b/>
                      <w:bCs/>
                      <w:color w:val="auto"/>
                      <w:spacing w:val="0"/>
                      <w:sz w:val="21"/>
                      <w:szCs w:val="21"/>
                      <w:highlight w:val="none"/>
                      <w:lang w:val="en-US" w:eastAsia="zh-CN" w:bidi="ar"/>
                    </w:rPr>
                    <w:t>）</w:t>
                  </w:r>
                </w:p>
              </w:tc>
              <w:tc>
                <w:tcPr>
                  <w:tcW w:w="638" w:type="pct"/>
                  <w:gridSpan w:val="2"/>
                  <w:tcBorders>
                    <w:tl2br w:val="nil"/>
                    <w:tr2bl w:val="nil"/>
                  </w:tcBorders>
                  <w:shd w:val="clear" w:color="auto" w:fill="auto"/>
                  <w:vAlign w:val="center"/>
                </w:tcPr>
                <w:p w14:paraId="3F6B4722">
                  <w:pPr>
                    <w:keepNext w:val="0"/>
                    <w:keepLines w:val="0"/>
                    <w:widowControl/>
                    <w:suppressLineNumbers w:val="0"/>
                    <w:jc w:val="center"/>
                    <w:textAlignment w:val="center"/>
                    <w:rPr>
                      <w:rFonts w:hint="eastAsia"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i w:val="0"/>
                      <w:iCs w:val="0"/>
                      <w:color w:val="auto"/>
                      <w:spacing w:val="0"/>
                      <w:kern w:val="0"/>
                      <w:sz w:val="21"/>
                      <w:szCs w:val="21"/>
                      <w:highlight w:val="none"/>
                      <w:u w:val="none"/>
                      <w:lang w:val="en-US" w:eastAsia="zh-CN" w:bidi="ar"/>
                    </w:rPr>
                    <w:t>VOCs</w:t>
                  </w:r>
                </w:p>
              </w:tc>
              <w:tc>
                <w:tcPr>
                  <w:tcW w:w="676" w:type="pct"/>
                  <w:gridSpan w:val="2"/>
                  <w:tcBorders>
                    <w:tl2br w:val="nil"/>
                    <w:tr2bl w:val="nil"/>
                  </w:tcBorders>
                  <w:shd w:val="clear" w:color="auto" w:fill="auto"/>
                  <w:vAlign w:val="center"/>
                </w:tcPr>
                <w:p w14:paraId="487241FF">
                  <w:pPr>
                    <w:keepNext w:val="0"/>
                    <w:keepLines w:val="0"/>
                    <w:widowControl/>
                    <w:suppressLineNumbers w:val="0"/>
                    <w:jc w:val="center"/>
                    <w:textAlignment w:val="center"/>
                    <w:rPr>
                      <w:rFonts w:hint="eastAsia" w:ascii="Times New Roman" w:hAnsi="Times New Roman" w:eastAsia="宋体" w:cs="Times New Roman"/>
                      <w:b/>
                      <w:bCs/>
                      <w:i w:val="0"/>
                      <w:iCs w:val="0"/>
                      <w:color w:val="auto"/>
                      <w:spacing w:val="0"/>
                      <w:sz w:val="21"/>
                      <w:szCs w:val="21"/>
                      <w:highlight w:val="none"/>
                      <w:u w:val="none"/>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二甲苯</w:t>
                  </w:r>
                </w:p>
              </w:tc>
              <w:tc>
                <w:tcPr>
                  <w:tcW w:w="656" w:type="pct"/>
                  <w:gridSpan w:val="2"/>
                  <w:tcBorders>
                    <w:tl2br w:val="nil"/>
                    <w:tr2bl w:val="nil"/>
                  </w:tcBorders>
                  <w:shd w:val="clear" w:color="auto" w:fill="auto"/>
                  <w:vAlign w:val="center"/>
                </w:tcPr>
                <w:p w14:paraId="049EF00E">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cs="Times New Roman"/>
                      <w:b/>
                      <w:bCs/>
                      <w:i w:val="0"/>
                      <w:iCs w:val="0"/>
                      <w:color w:val="auto"/>
                      <w:spacing w:val="0"/>
                      <w:kern w:val="0"/>
                      <w:sz w:val="21"/>
                      <w:szCs w:val="21"/>
                      <w:highlight w:val="none"/>
                      <w:u w:val="none"/>
                      <w:lang w:val="en-US" w:eastAsia="zh-CN" w:bidi="ar"/>
                    </w:rPr>
                    <w:t>苯系物</w:t>
                  </w:r>
                </w:p>
              </w:tc>
              <w:tc>
                <w:tcPr>
                  <w:tcW w:w="644" w:type="pct"/>
                  <w:gridSpan w:val="2"/>
                  <w:tcBorders>
                    <w:tl2br w:val="nil"/>
                    <w:tr2bl w:val="nil"/>
                  </w:tcBorders>
                  <w:shd w:val="clear" w:color="auto" w:fill="auto"/>
                  <w:vAlign w:val="center"/>
                </w:tcPr>
                <w:p w14:paraId="2556A8B7">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0"/>
                      <w:sz w:val="21"/>
                      <w:szCs w:val="21"/>
                      <w:highlight w:val="none"/>
                      <w:u w:val="none"/>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乙酸丁酯</w:t>
                  </w:r>
                </w:p>
              </w:tc>
              <w:tc>
                <w:tcPr>
                  <w:tcW w:w="625" w:type="pct"/>
                  <w:gridSpan w:val="2"/>
                  <w:tcBorders>
                    <w:tl2br w:val="nil"/>
                    <w:tr2bl w:val="nil"/>
                  </w:tcBorders>
                  <w:shd w:val="clear" w:color="auto" w:fill="auto"/>
                  <w:vAlign w:val="center"/>
                </w:tcPr>
                <w:p w14:paraId="0C55E750">
                  <w:pPr>
                    <w:keepNext w:val="0"/>
                    <w:keepLines w:val="0"/>
                    <w:widowControl/>
                    <w:suppressLineNumbers w:val="0"/>
                    <w:jc w:val="center"/>
                    <w:textAlignment w:val="center"/>
                    <w:rPr>
                      <w:rFonts w:hint="eastAsia" w:ascii="Times New Roman" w:hAnsi="Times New Roman" w:eastAsia="宋体" w:cs="Times New Roman"/>
                      <w:b/>
                      <w:bCs/>
                      <w:i w:val="0"/>
                      <w:iCs w:val="0"/>
                      <w:color w:val="auto"/>
                      <w:spacing w:val="0"/>
                      <w:sz w:val="21"/>
                      <w:szCs w:val="21"/>
                      <w:highlight w:val="none"/>
                      <w:u w:val="none"/>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乙酸乙酯</w:t>
                  </w:r>
                </w:p>
              </w:tc>
              <w:tc>
                <w:tcPr>
                  <w:tcW w:w="630" w:type="pct"/>
                  <w:gridSpan w:val="2"/>
                  <w:tcBorders>
                    <w:tl2br w:val="nil"/>
                    <w:tr2bl w:val="nil"/>
                  </w:tcBorders>
                  <w:shd w:val="clear" w:color="auto" w:fill="auto"/>
                  <w:vAlign w:val="center"/>
                </w:tcPr>
                <w:p w14:paraId="06FF59BA">
                  <w:pPr>
                    <w:keepNext w:val="0"/>
                    <w:keepLines w:val="0"/>
                    <w:widowControl/>
                    <w:suppressLineNumbers w:val="0"/>
                    <w:jc w:val="center"/>
                    <w:textAlignment w:val="center"/>
                    <w:rPr>
                      <w:rFonts w:hint="eastAsia" w:ascii="Times New Roman" w:hAnsi="Times New Roman" w:eastAsia="宋体" w:cs="Times New Roman"/>
                      <w:b/>
                      <w:bCs/>
                      <w:i w:val="0"/>
                      <w:iCs w:val="0"/>
                      <w:color w:val="auto"/>
                      <w:spacing w:val="0"/>
                      <w:sz w:val="21"/>
                      <w:szCs w:val="21"/>
                      <w:highlight w:val="none"/>
                      <w:u w:val="none"/>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固份含量</w:t>
                  </w:r>
                </w:p>
              </w:tc>
            </w:tr>
            <w:tr w14:paraId="222F833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57" w:type="pct"/>
                  <w:vMerge w:val="continue"/>
                  <w:tcBorders>
                    <w:tl2br w:val="nil"/>
                    <w:tr2bl w:val="nil"/>
                  </w:tcBorders>
                  <w:shd w:val="clear" w:color="auto" w:fill="auto"/>
                  <w:vAlign w:val="center"/>
                </w:tcPr>
                <w:p w14:paraId="4FD9213D">
                  <w:pPr>
                    <w:keepNext w:val="0"/>
                    <w:keepLines w:val="0"/>
                    <w:widowControl/>
                    <w:suppressLineNumbers w:val="0"/>
                    <w:jc w:val="center"/>
                    <w:textAlignment w:val="center"/>
                    <w:rPr>
                      <w:rFonts w:ascii="Times New Roman" w:hAnsi="Times New Roman" w:eastAsia="宋体" w:cs="Times New Roman"/>
                      <w:b/>
                      <w:bCs/>
                      <w:color w:val="auto"/>
                      <w:spacing w:val="0"/>
                      <w:sz w:val="21"/>
                      <w:szCs w:val="21"/>
                      <w:highlight w:val="none"/>
                    </w:rPr>
                  </w:pPr>
                </w:p>
              </w:tc>
              <w:tc>
                <w:tcPr>
                  <w:tcW w:w="870" w:type="pct"/>
                  <w:vMerge w:val="continue"/>
                  <w:tcBorders>
                    <w:tl2br w:val="nil"/>
                    <w:tr2bl w:val="nil"/>
                  </w:tcBorders>
                  <w:shd w:val="clear" w:color="auto" w:fill="auto"/>
                  <w:vAlign w:val="center"/>
                </w:tcPr>
                <w:p w14:paraId="48824610">
                  <w:pPr>
                    <w:keepNext w:val="0"/>
                    <w:keepLines w:val="0"/>
                    <w:widowControl/>
                    <w:suppressLineNumbers w:val="0"/>
                    <w:jc w:val="center"/>
                    <w:textAlignment w:val="center"/>
                    <w:rPr>
                      <w:rFonts w:ascii="Times New Roman" w:hAnsi="Times New Roman" w:eastAsia="宋体" w:cs="Times New Roman"/>
                      <w:b/>
                      <w:bCs/>
                      <w:color w:val="auto"/>
                      <w:spacing w:val="0"/>
                      <w:sz w:val="21"/>
                      <w:szCs w:val="21"/>
                      <w:highlight w:val="none"/>
                    </w:rPr>
                  </w:pPr>
                </w:p>
              </w:tc>
              <w:tc>
                <w:tcPr>
                  <w:tcW w:w="309" w:type="pct"/>
                  <w:tcBorders>
                    <w:tl2br w:val="nil"/>
                    <w:tr2bl w:val="nil"/>
                  </w:tcBorders>
                  <w:shd w:val="clear" w:color="auto" w:fill="auto"/>
                  <w:vAlign w:val="center"/>
                </w:tcPr>
                <w:p w14:paraId="3867154A">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占比（</w:t>
                  </w:r>
                  <w:r>
                    <w:rPr>
                      <w:rStyle w:val="132"/>
                      <w:rFonts w:ascii="Times New Roman" w:hAnsi="Times New Roman" w:eastAsia="宋体" w:cs="Times New Roman"/>
                      <w:b/>
                      <w:bCs/>
                      <w:color w:val="auto"/>
                      <w:spacing w:val="0"/>
                      <w:sz w:val="21"/>
                      <w:szCs w:val="21"/>
                      <w:highlight w:val="none"/>
                      <w:lang w:val="en-US" w:eastAsia="zh-CN" w:bidi="ar"/>
                    </w:rPr>
                    <w:t>%</w:t>
                  </w:r>
                  <w:r>
                    <w:rPr>
                      <w:rStyle w:val="132"/>
                      <w:rFonts w:hint="eastAsia" w:ascii="Times New Roman" w:hAnsi="Times New Roman" w:eastAsia="宋体" w:cs="Times New Roman"/>
                      <w:b/>
                      <w:bCs/>
                      <w:color w:val="auto"/>
                      <w:spacing w:val="0"/>
                      <w:sz w:val="21"/>
                      <w:szCs w:val="21"/>
                      <w:highlight w:val="none"/>
                      <w:lang w:val="en-US" w:eastAsia="zh-CN" w:bidi="ar"/>
                    </w:rPr>
                    <w:t>）</w:t>
                  </w:r>
                </w:p>
              </w:tc>
              <w:tc>
                <w:tcPr>
                  <w:tcW w:w="328" w:type="pct"/>
                  <w:tcBorders>
                    <w:tl2br w:val="nil"/>
                    <w:tr2bl w:val="nil"/>
                  </w:tcBorders>
                  <w:shd w:val="clear" w:color="auto" w:fill="auto"/>
                  <w:vAlign w:val="center"/>
                </w:tcPr>
                <w:p w14:paraId="21F6B6B0">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产生量（</w:t>
                  </w:r>
                  <w:r>
                    <w:rPr>
                      <w:rStyle w:val="134"/>
                      <w:rFonts w:ascii="Times New Roman" w:hAnsi="Times New Roman" w:eastAsia="宋体" w:cs="Times New Roman"/>
                      <w:b/>
                      <w:bCs/>
                      <w:color w:val="auto"/>
                      <w:spacing w:val="0"/>
                      <w:sz w:val="21"/>
                      <w:szCs w:val="21"/>
                      <w:highlight w:val="none"/>
                      <w:lang w:val="en-US" w:eastAsia="zh-CN" w:bidi="ar"/>
                    </w:rPr>
                    <w:t>t/a</w:t>
                  </w:r>
                  <w:r>
                    <w:rPr>
                      <w:rStyle w:val="134"/>
                      <w:rFonts w:hint="eastAsia" w:ascii="Times New Roman" w:hAnsi="Times New Roman" w:eastAsia="宋体" w:cs="Times New Roman"/>
                      <w:b/>
                      <w:bCs/>
                      <w:color w:val="auto"/>
                      <w:spacing w:val="0"/>
                      <w:sz w:val="21"/>
                      <w:szCs w:val="21"/>
                      <w:highlight w:val="none"/>
                      <w:lang w:val="en-US" w:eastAsia="zh-CN" w:bidi="ar"/>
                    </w:rPr>
                    <w:t>）</w:t>
                  </w:r>
                </w:p>
              </w:tc>
              <w:tc>
                <w:tcPr>
                  <w:tcW w:w="322" w:type="pct"/>
                  <w:tcBorders>
                    <w:tl2br w:val="nil"/>
                    <w:tr2bl w:val="nil"/>
                  </w:tcBorders>
                  <w:shd w:val="clear" w:color="auto" w:fill="auto"/>
                  <w:vAlign w:val="center"/>
                </w:tcPr>
                <w:p w14:paraId="7E293EEB">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占比（</w:t>
                  </w:r>
                  <w:r>
                    <w:rPr>
                      <w:rStyle w:val="132"/>
                      <w:rFonts w:ascii="Times New Roman" w:hAnsi="Times New Roman" w:eastAsia="宋体" w:cs="Times New Roman"/>
                      <w:b/>
                      <w:bCs/>
                      <w:color w:val="auto"/>
                      <w:spacing w:val="0"/>
                      <w:sz w:val="21"/>
                      <w:szCs w:val="21"/>
                      <w:highlight w:val="none"/>
                      <w:lang w:val="en-US" w:eastAsia="zh-CN" w:bidi="ar"/>
                    </w:rPr>
                    <w:t>%</w:t>
                  </w:r>
                  <w:r>
                    <w:rPr>
                      <w:rStyle w:val="132"/>
                      <w:rFonts w:hint="eastAsia" w:ascii="Times New Roman" w:hAnsi="Times New Roman" w:eastAsia="宋体" w:cs="Times New Roman"/>
                      <w:b/>
                      <w:bCs/>
                      <w:color w:val="auto"/>
                      <w:spacing w:val="0"/>
                      <w:sz w:val="21"/>
                      <w:szCs w:val="21"/>
                      <w:highlight w:val="none"/>
                      <w:lang w:val="en-US" w:eastAsia="zh-CN" w:bidi="ar"/>
                    </w:rPr>
                    <w:t>）</w:t>
                  </w:r>
                </w:p>
              </w:tc>
              <w:tc>
                <w:tcPr>
                  <w:tcW w:w="354" w:type="pct"/>
                  <w:tcBorders>
                    <w:tl2br w:val="nil"/>
                    <w:tr2bl w:val="nil"/>
                  </w:tcBorders>
                  <w:shd w:val="clear" w:color="auto" w:fill="auto"/>
                  <w:vAlign w:val="center"/>
                </w:tcPr>
                <w:p w14:paraId="61D881AB">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产生量（</w:t>
                  </w:r>
                  <w:r>
                    <w:rPr>
                      <w:rStyle w:val="134"/>
                      <w:rFonts w:ascii="Times New Roman" w:hAnsi="Times New Roman" w:eastAsia="宋体" w:cs="Times New Roman"/>
                      <w:b/>
                      <w:bCs/>
                      <w:color w:val="auto"/>
                      <w:spacing w:val="0"/>
                      <w:sz w:val="21"/>
                      <w:szCs w:val="21"/>
                      <w:highlight w:val="none"/>
                      <w:lang w:val="en-US" w:eastAsia="zh-CN" w:bidi="ar"/>
                    </w:rPr>
                    <w:t>t/a</w:t>
                  </w:r>
                  <w:r>
                    <w:rPr>
                      <w:rStyle w:val="134"/>
                      <w:rFonts w:hint="eastAsia" w:ascii="Times New Roman" w:hAnsi="Times New Roman" w:eastAsia="宋体" w:cs="Times New Roman"/>
                      <w:b/>
                      <w:bCs/>
                      <w:color w:val="auto"/>
                      <w:spacing w:val="0"/>
                      <w:sz w:val="21"/>
                      <w:szCs w:val="21"/>
                      <w:highlight w:val="none"/>
                      <w:lang w:val="en-US" w:eastAsia="zh-CN" w:bidi="ar"/>
                    </w:rPr>
                    <w:t>）</w:t>
                  </w:r>
                </w:p>
              </w:tc>
              <w:tc>
                <w:tcPr>
                  <w:tcW w:w="303" w:type="pct"/>
                  <w:tcBorders>
                    <w:tl2br w:val="nil"/>
                    <w:tr2bl w:val="nil"/>
                  </w:tcBorders>
                  <w:shd w:val="clear" w:color="auto" w:fill="auto"/>
                  <w:vAlign w:val="center"/>
                </w:tcPr>
                <w:p w14:paraId="2635B103">
                  <w:pPr>
                    <w:keepNext w:val="0"/>
                    <w:keepLines w:val="0"/>
                    <w:widowControl/>
                    <w:suppressLineNumbers w:val="0"/>
                    <w:jc w:val="center"/>
                    <w:textAlignment w:val="center"/>
                    <w:rPr>
                      <w:rFonts w:hint="eastAsia"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占比（</w:t>
                  </w:r>
                  <w:r>
                    <w:rPr>
                      <w:rStyle w:val="132"/>
                      <w:rFonts w:ascii="Times New Roman" w:hAnsi="Times New Roman" w:eastAsia="宋体" w:cs="Times New Roman"/>
                      <w:b/>
                      <w:bCs/>
                      <w:color w:val="auto"/>
                      <w:spacing w:val="0"/>
                      <w:sz w:val="21"/>
                      <w:szCs w:val="21"/>
                      <w:highlight w:val="none"/>
                      <w:lang w:val="en-US" w:eastAsia="zh-CN" w:bidi="ar"/>
                    </w:rPr>
                    <w:t>%</w:t>
                  </w:r>
                  <w:r>
                    <w:rPr>
                      <w:rStyle w:val="132"/>
                      <w:rFonts w:hint="eastAsia" w:ascii="Times New Roman" w:hAnsi="Times New Roman" w:eastAsia="宋体" w:cs="Times New Roman"/>
                      <w:b/>
                      <w:bCs/>
                      <w:color w:val="auto"/>
                      <w:spacing w:val="0"/>
                      <w:sz w:val="21"/>
                      <w:szCs w:val="21"/>
                      <w:highlight w:val="none"/>
                      <w:lang w:val="en-US" w:eastAsia="zh-CN" w:bidi="ar"/>
                    </w:rPr>
                    <w:t>）</w:t>
                  </w:r>
                </w:p>
              </w:tc>
              <w:tc>
                <w:tcPr>
                  <w:tcW w:w="353" w:type="pct"/>
                  <w:tcBorders>
                    <w:tl2br w:val="nil"/>
                    <w:tr2bl w:val="nil"/>
                  </w:tcBorders>
                  <w:shd w:val="clear" w:color="auto" w:fill="auto"/>
                  <w:vAlign w:val="center"/>
                </w:tcPr>
                <w:p w14:paraId="3D04859C">
                  <w:pPr>
                    <w:keepNext w:val="0"/>
                    <w:keepLines w:val="0"/>
                    <w:widowControl/>
                    <w:suppressLineNumbers w:val="0"/>
                    <w:jc w:val="center"/>
                    <w:textAlignment w:val="center"/>
                    <w:rPr>
                      <w:rFonts w:hint="eastAsia"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产生量（</w:t>
                  </w:r>
                  <w:r>
                    <w:rPr>
                      <w:rStyle w:val="134"/>
                      <w:rFonts w:ascii="Times New Roman" w:hAnsi="Times New Roman" w:eastAsia="宋体" w:cs="Times New Roman"/>
                      <w:b/>
                      <w:bCs/>
                      <w:color w:val="auto"/>
                      <w:spacing w:val="0"/>
                      <w:sz w:val="21"/>
                      <w:szCs w:val="21"/>
                      <w:highlight w:val="none"/>
                      <w:lang w:val="en-US" w:eastAsia="zh-CN" w:bidi="ar"/>
                    </w:rPr>
                    <w:t>t/a</w:t>
                  </w:r>
                  <w:r>
                    <w:rPr>
                      <w:rStyle w:val="134"/>
                      <w:rFonts w:hint="eastAsia" w:ascii="Times New Roman" w:hAnsi="Times New Roman" w:eastAsia="宋体" w:cs="Times New Roman"/>
                      <w:b/>
                      <w:bCs/>
                      <w:color w:val="auto"/>
                      <w:spacing w:val="0"/>
                      <w:sz w:val="21"/>
                      <w:szCs w:val="21"/>
                      <w:highlight w:val="none"/>
                      <w:lang w:val="en-US" w:eastAsia="zh-CN" w:bidi="ar"/>
                    </w:rPr>
                    <w:t>）</w:t>
                  </w:r>
                </w:p>
              </w:tc>
              <w:tc>
                <w:tcPr>
                  <w:tcW w:w="309" w:type="pct"/>
                  <w:tcBorders>
                    <w:tl2br w:val="nil"/>
                    <w:tr2bl w:val="nil"/>
                  </w:tcBorders>
                  <w:shd w:val="clear" w:color="auto" w:fill="auto"/>
                  <w:vAlign w:val="center"/>
                </w:tcPr>
                <w:p w14:paraId="2722EDD8">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占比（</w:t>
                  </w:r>
                  <w:r>
                    <w:rPr>
                      <w:rStyle w:val="132"/>
                      <w:rFonts w:ascii="Times New Roman" w:hAnsi="Times New Roman" w:eastAsia="宋体" w:cs="Times New Roman"/>
                      <w:b/>
                      <w:bCs/>
                      <w:color w:val="auto"/>
                      <w:spacing w:val="0"/>
                      <w:sz w:val="21"/>
                      <w:szCs w:val="21"/>
                      <w:highlight w:val="none"/>
                      <w:lang w:val="en-US" w:eastAsia="zh-CN" w:bidi="ar"/>
                    </w:rPr>
                    <w:t>%</w:t>
                  </w:r>
                  <w:r>
                    <w:rPr>
                      <w:rStyle w:val="132"/>
                      <w:rFonts w:hint="eastAsia" w:ascii="Times New Roman" w:hAnsi="Times New Roman" w:eastAsia="宋体" w:cs="Times New Roman"/>
                      <w:b/>
                      <w:bCs/>
                      <w:color w:val="auto"/>
                      <w:spacing w:val="0"/>
                      <w:sz w:val="21"/>
                      <w:szCs w:val="21"/>
                      <w:highlight w:val="none"/>
                      <w:lang w:val="en-US" w:eastAsia="zh-CN" w:bidi="ar"/>
                    </w:rPr>
                    <w:t>）</w:t>
                  </w:r>
                </w:p>
              </w:tc>
              <w:tc>
                <w:tcPr>
                  <w:tcW w:w="334" w:type="pct"/>
                  <w:tcBorders>
                    <w:tl2br w:val="nil"/>
                    <w:tr2bl w:val="nil"/>
                  </w:tcBorders>
                  <w:shd w:val="clear" w:color="auto" w:fill="auto"/>
                  <w:vAlign w:val="center"/>
                </w:tcPr>
                <w:p w14:paraId="7CEB5B9E">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产生量（</w:t>
                  </w:r>
                  <w:r>
                    <w:rPr>
                      <w:rStyle w:val="134"/>
                      <w:rFonts w:ascii="Times New Roman" w:hAnsi="Times New Roman" w:eastAsia="宋体" w:cs="Times New Roman"/>
                      <w:b/>
                      <w:bCs/>
                      <w:color w:val="auto"/>
                      <w:spacing w:val="0"/>
                      <w:sz w:val="21"/>
                      <w:szCs w:val="21"/>
                      <w:highlight w:val="none"/>
                      <w:lang w:val="en-US" w:eastAsia="zh-CN" w:bidi="ar"/>
                    </w:rPr>
                    <w:t>t/a</w:t>
                  </w:r>
                  <w:r>
                    <w:rPr>
                      <w:rStyle w:val="134"/>
                      <w:rFonts w:hint="eastAsia" w:ascii="Times New Roman" w:hAnsi="Times New Roman" w:eastAsia="宋体" w:cs="Times New Roman"/>
                      <w:b/>
                      <w:bCs/>
                      <w:color w:val="auto"/>
                      <w:spacing w:val="0"/>
                      <w:sz w:val="21"/>
                      <w:szCs w:val="21"/>
                      <w:highlight w:val="none"/>
                      <w:lang w:val="en-US" w:eastAsia="zh-CN" w:bidi="ar"/>
                    </w:rPr>
                    <w:t>）</w:t>
                  </w:r>
                </w:p>
              </w:tc>
              <w:tc>
                <w:tcPr>
                  <w:tcW w:w="284" w:type="pct"/>
                  <w:tcBorders>
                    <w:tl2br w:val="nil"/>
                    <w:tr2bl w:val="nil"/>
                  </w:tcBorders>
                  <w:shd w:val="clear" w:color="auto" w:fill="auto"/>
                  <w:vAlign w:val="center"/>
                </w:tcPr>
                <w:p w14:paraId="48C616FB">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占比（</w:t>
                  </w:r>
                  <w:r>
                    <w:rPr>
                      <w:rStyle w:val="132"/>
                      <w:rFonts w:ascii="Times New Roman" w:hAnsi="Times New Roman" w:eastAsia="宋体" w:cs="Times New Roman"/>
                      <w:b/>
                      <w:bCs/>
                      <w:color w:val="auto"/>
                      <w:spacing w:val="0"/>
                      <w:sz w:val="21"/>
                      <w:szCs w:val="21"/>
                      <w:highlight w:val="none"/>
                      <w:lang w:val="en-US" w:eastAsia="zh-CN" w:bidi="ar"/>
                    </w:rPr>
                    <w:t>%</w:t>
                  </w:r>
                  <w:r>
                    <w:rPr>
                      <w:rStyle w:val="132"/>
                      <w:rFonts w:hint="eastAsia" w:ascii="Times New Roman" w:hAnsi="Times New Roman" w:eastAsia="宋体" w:cs="Times New Roman"/>
                      <w:b/>
                      <w:bCs/>
                      <w:color w:val="auto"/>
                      <w:spacing w:val="0"/>
                      <w:sz w:val="21"/>
                      <w:szCs w:val="21"/>
                      <w:highlight w:val="none"/>
                      <w:lang w:val="en-US" w:eastAsia="zh-CN" w:bidi="ar"/>
                    </w:rPr>
                    <w:t>）</w:t>
                  </w:r>
                </w:p>
              </w:tc>
              <w:tc>
                <w:tcPr>
                  <w:tcW w:w="341" w:type="pct"/>
                  <w:tcBorders>
                    <w:tl2br w:val="nil"/>
                    <w:tr2bl w:val="nil"/>
                  </w:tcBorders>
                  <w:shd w:val="clear" w:color="auto" w:fill="auto"/>
                  <w:vAlign w:val="center"/>
                </w:tcPr>
                <w:p w14:paraId="17D55F78">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产生量（</w:t>
                  </w:r>
                  <w:r>
                    <w:rPr>
                      <w:rStyle w:val="134"/>
                      <w:rFonts w:ascii="Times New Roman" w:hAnsi="Times New Roman" w:eastAsia="宋体" w:cs="Times New Roman"/>
                      <w:b/>
                      <w:bCs/>
                      <w:color w:val="auto"/>
                      <w:spacing w:val="0"/>
                      <w:sz w:val="21"/>
                      <w:szCs w:val="21"/>
                      <w:highlight w:val="none"/>
                      <w:lang w:val="en-US" w:eastAsia="zh-CN" w:bidi="ar"/>
                    </w:rPr>
                    <w:t>t/a</w:t>
                  </w:r>
                  <w:r>
                    <w:rPr>
                      <w:rStyle w:val="134"/>
                      <w:rFonts w:hint="eastAsia" w:ascii="Times New Roman" w:hAnsi="Times New Roman" w:eastAsia="宋体" w:cs="Times New Roman"/>
                      <w:b/>
                      <w:bCs/>
                      <w:color w:val="auto"/>
                      <w:spacing w:val="0"/>
                      <w:sz w:val="21"/>
                      <w:szCs w:val="21"/>
                      <w:highlight w:val="none"/>
                      <w:lang w:val="en-US" w:eastAsia="zh-CN" w:bidi="ar"/>
                    </w:rPr>
                    <w:t>）</w:t>
                  </w:r>
                </w:p>
              </w:tc>
              <w:tc>
                <w:tcPr>
                  <w:tcW w:w="284" w:type="pct"/>
                  <w:tcBorders>
                    <w:tl2br w:val="nil"/>
                    <w:tr2bl w:val="nil"/>
                  </w:tcBorders>
                  <w:shd w:val="clear" w:color="auto" w:fill="auto"/>
                  <w:vAlign w:val="center"/>
                </w:tcPr>
                <w:p w14:paraId="2C231682">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占比（</w:t>
                  </w:r>
                  <w:r>
                    <w:rPr>
                      <w:rStyle w:val="132"/>
                      <w:rFonts w:ascii="Times New Roman" w:hAnsi="Times New Roman" w:eastAsia="宋体" w:cs="Times New Roman"/>
                      <w:b/>
                      <w:bCs/>
                      <w:color w:val="auto"/>
                      <w:spacing w:val="0"/>
                      <w:sz w:val="21"/>
                      <w:szCs w:val="21"/>
                      <w:highlight w:val="none"/>
                      <w:lang w:val="en-US" w:eastAsia="zh-CN" w:bidi="ar"/>
                    </w:rPr>
                    <w:t>%</w:t>
                  </w:r>
                  <w:r>
                    <w:rPr>
                      <w:rStyle w:val="132"/>
                      <w:rFonts w:hint="eastAsia" w:ascii="Times New Roman" w:hAnsi="Times New Roman" w:eastAsia="宋体" w:cs="Times New Roman"/>
                      <w:b/>
                      <w:bCs/>
                      <w:color w:val="auto"/>
                      <w:spacing w:val="0"/>
                      <w:sz w:val="21"/>
                      <w:szCs w:val="21"/>
                      <w:highlight w:val="none"/>
                      <w:lang w:val="en-US" w:eastAsia="zh-CN" w:bidi="ar"/>
                    </w:rPr>
                    <w:t>）</w:t>
                  </w:r>
                </w:p>
              </w:tc>
              <w:tc>
                <w:tcPr>
                  <w:tcW w:w="346" w:type="pct"/>
                  <w:tcBorders>
                    <w:tl2br w:val="nil"/>
                    <w:tr2bl w:val="nil"/>
                  </w:tcBorders>
                  <w:shd w:val="clear" w:color="auto" w:fill="auto"/>
                  <w:vAlign w:val="center"/>
                </w:tcPr>
                <w:p w14:paraId="6F5FA5D5">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产生量（</w:t>
                  </w:r>
                  <w:r>
                    <w:rPr>
                      <w:rStyle w:val="134"/>
                      <w:rFonts w:ascii="Times New Roman" w:hAnsi="Times New Roman" w:eastAsia="宋体" w:cs="Times New Roman"/>
                      <w:b/>
                      <w:bCs/>
                      <w:color w:val="auto"/>
                      <w:spacing w:val="0"/>
                      <w:sz w:val="21"/>
                      <w:szCs w:val="21"/>
                      <w:highlight w:val="none"/>
                      <w:lang w:val="en-US" w:eastAsia="zh-CN" w:bidi="ar"/>
                    </w:rPr>
                    <w:t>t/a</w:t>
                  </w:r>
                  <w:r>
                    <w:rPr>
                      <w:rStyle w:val="134"/>
                      <w:rFonts w:hint="eastAsia" w:ascii="Times New Roman" w:hAnsi="Times New Roman" w:eastAsia="宋体" w:cs="Times New Roman"/>
                      <w:b/>
                      <w:bCs/>
                      <w:color w:val="auto"/>
                      <w:spacing w:val="0"/>
                      <w:sz w:val="21"/>
                      <w:szCs w:val="21"/>
                      <w:highlight w:val="none"/>
                      <w:lang w:val="en-US" w:eastAsia="zh-CN" w:bidi="ar"/>
                    </w:rPr>
                    <w:t>）</w:t>
                  </w:r>
                </w:p>
              </w:tc>
            </w:tr>
            <w:tr w14:paraId="53678DE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57" w:type="pct"/>
                  <w:tcBorders>
                    <w:tl2br w:val="nil"/>
                    <w:tr2bl w:val="nil"/>
                  </w:tcBorders>
                  <w:shd w:val="clear" w:color="auto" w:fill="auto"/>
                  <w:noWrap/>
                  <w:vAlign w:val="center"/>
                </w:tcPr>
                <w:p w14:paraId="285AD83C">
                  <w:pPr>
                    <w:keepNext w:val="0"/>
                    <w:keepLines w:val="0"/>
                    <w:widowControl/>
                    <w:suppressLineNumbers w:val="0"/>
                    <w:jc w:val="center"/>
                    <w:textAlignment w:val="center"/>
                    <w:rPr>
                      <w:rFonts w:hint="default" w:ascii="Times New Roman" w:hAnsi="Times New Roman" w:eastAsia="宋体" w:cs="Times New Roman"/>
                      <w:i w:val="0"/>
                      <w:iCs w:val="0"/>
                      <w:color w:val="auto"/>
                      <w:spacing w:val="0"/>
                      <w:sz w:val="21"/>
                      <w:szCs w:val="21"/>
                      <w:highlight w:val="none"/>
                      <w:u w:val="none"/>
                      <w:lang w:val="en-US"/>
                    </w:rPr>
                  </w:pPr>
                </w:p>
              </w:tc>
              <w:tc>
                <w:tcPr>
                  <w:tcW w:w="870" w:type="pct"/>
                  <w:tcBorders>
                    <w:tl2br w:val="nil"/>
                    <w:tr2bl w:val="nil"/>
                  </w:tcBorders>
                  <w:shd w:val="clear" w:color="auto" w:fill="auto"/>
                  <w:noWrap/>
                  <w:vAlign w:val="center"/>
                </w:tcPr>
                <w:p w14:paraId="352CDC17">
                  <w:pPr>
                    <w:keepNext w:val="0"/>
                    <w:keepLines w:val="0"/>
                    <w:widowControl/>
                    <w:suppressLineNumbers w:val="0"/>
                    <w:jc w:val="center"/>
                    <w:textAlignment w:val="center"/>
                    <w:rPr>
                      <w:rFonts w:hint="default" w:ascii="Times New Roman" w:hAnsi="Times New Roman" w:eastAsia="宋体" w:cs="Times New Roman"/>
                      <w:i w:val="0"/>
                      <w:iCs w:val="0"/>
                      <w:color w:val="auto"/>
                      <w:spacing w:val="0"/>
                      <w:sz w:val="21"/>
                      <w:szCs w:val="21"/>
                      <w:highlight w:val="none"/>
                      <w:u w:val="none"/>
                    </w:rPr>
                  </w:pPr>
                </w:p>
              </w:tc>
              <w:tc>
                <w:tcPr>
                  <w:tcW w:w="817" w:type="dxa"/>
                  <w:tcBorders>
                    <w:tl2br w:val="nil"/>
                    <w:tr2bl w:val="nil"/>
                  </w:tcBorders>
                  <w:shd w:val="clear" w:color="auto" w:fill="auto"/>
                  <w:noWrap/>
                  <w:vAlign w:val="center"/>
                </w:tcPr>
                <w:p w14:paraId="299725E1">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866" w:type="dxa"/>
                  <w:tcBorders>
                    <w:tl2br w:val="nil"/>
                    <w:tr2bl w:val="nil"/>
                  </w:tcBorders>
                  <w:shd w:val="clear" w:color="auto" w:fill="auto"/>
                  <w:noWrap/>
                  <w:vAlign w:val="center"/>
                </w:tcPr>
                <w:p w14:paraId="6C3BB55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850" w:type="dxa"/>
                  <w:tcBorders>
                    <w:tl2br w:val="nil"/>
                    <w:tr2bl w:val="nil"/>
                  </w:tcBorders>
                  <w:shd w:val="clear" w:color="auto" w:fill="auto"/>
                  <w:noWrap/>
                  <w:vAlign w:val="center"/>
                </w:tcPr>
                <w:p w14:paraId="7F07FB48">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34" w:type="dxa"/>
                  <w:tcBorders>
                    <w:tl2br w:val="nil"/>
                    <w:tr2bl w:val="nil"/>
                  </w:tcBorders>
                  <w:shd w:val="clear" w:color="auto" w:fill="auto"/>
                  <w:noWrap/>
                  <w:vAlign w:val="center"/>
                </w:tcPr>
                <w:p w14:paraId="6E5C391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800" w:type="dxa"/>
                  <w:tcBorders>
                    <w:tl2br w:val="nil"/>
                    <w:tr2bl w:val="nil"/>
                  </w:tcBorders>
                  <w:shd w:val="clear" w:color="auto" w:fill="auto"/>
                  <w:noWrap/>
                  <w:vAlign w:val="center"/>
                </w:tcPr>
                <w:p w14:paraId="2EF6C65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933" w:type="dxa"/>
                  <w:tcBorders>
                    <w:tl2br w:val="nil"/>
                    <w:tr2bl w:val="nil"/>
                  </w:tcBorders>
                  <w:shd w:val="clear" w:color="auto" w:fill="auto"/>
                  <w:noWrap/>
                  <w:vAlign w:val="center"/>
                </w:tcPr>
                <w:p w14:paraId="6A4E4DD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817" w:type="dxa"/>
                  <w:tcBorders>
                    <w:tl2br w:val="nil"/>
                    <w:tr2bl w:val="nil"/>
                  </w:tcBorders>
                  <w:shd w:val="clear" w:color="auto" w:fill="auto"/>
                  <w:noWrap/>
                  <w:vAlign w:val="center"/>
                </w:tcPr>
                <w:p w14:paraId="46D1B61C">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883" w:type="dxa"/>
                  <w:tcBorders>
                    <w:tl2br w:val="nil"/>
                    <w:tr2bl w:val="nil"/>
                  </w:tcBorders>
                  <w:shd w:val="clear" w:color="auto" w:fill="auto"/>
                  <w:noWrap/>
                  <w:vAlign w:val="center"/>
                </w:tcPr>
                <w:p w14:paraId="5C8057C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750" w:type="dxa"/>
                  <w:tcBorders>
                    <w:tl2br w:val="nil"/>
                    <w:tr2bl w:val="nil"/>
                  </w:tcBorders>
                  <w:shd w:val="clear" w:color="auto" w:fill="auto"/>
                  <w:noWrap/>
                  <w:vAlign w:val="center"/>
                </w:tcPr>
                <w:p w14:paraId="2D5211DD">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00" w:type="dxa"/>
                  <w:tcBorders>
                    <w:tl2br w:val="nil"/>
                    <w:tr2bl w:val="nil"/>
                  </w:tcBorders>
                  <w:shd w:val="clear" w:color="auto" w:fill="auto"/>
                  <w:noWrap/>
                  <w:vAlign w:val="center"/>
                </w:tcPr>
                <w:p w14:paraId="6E4C185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750" w:type="dxa"/>
                  <w:tcBorders>
                    <w:tl2br w:val="nil"/>
                    <w:tr2bl w:val="nil"/>
                  </w:tcBorders>
                  <w:shd w:val="clear" w:color="auto" w:fill="auto"/>
                  <w:noWrap/>
                  <w:vAlign w:val="center"/>
                </w:tcPr>
                <w:p w14:paraId="550E8D96">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14" w:type="dxa"/>
                  <w:tcBorders>
                    <w:tl2br w:val="nil"/>
                    <w:tr2bl w:val="nil"/>
                  </w:tcBorders>
                  <w:shd w:val="clear" w:color="auto" w:fill="auto"/>
                  <w:noWrap/>
                  <w:vAlign w:val="center"/>
                </w:tcPr>
                <w:p w14:paraId="1A0C38C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r>
            <w:tr w14:paraId="47CCDDD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57" w:type="pct"/>
                  <w:tcBorders>
                    <w:tl2br w:val="nil"/>
                    <w:tr2bl w:val="nil"/>
                  </w:tcBorders>
                  <w:shd w:val="clear" w:color="auto" w:fill="auto"/>
                  <w:vAlign w:val="center"/>
                </w:tcPr>
                <w:p w14:paraId="61ADD1DA">
                  <w:pPr>
                    <w:keepNext w:val="0"/>
                    <w:keepLines w:val="0"/>
                    <w:widowControl/>
                    <w:suppressLineNumbers w:val="0"/>
                    <w:jc w:val="center"/>
                    <w:textAlignment w:val="center"/>
                    <w:rPr>
                      <w:rFonts w:hint="default" w:ascii="Times New Roman" w:hAnsi="Times New Roman" w:eastAsia="宋体" w:cs="Times New Roman"/>
                      <w:i w:val="0"/>
                      <w:iCs w:val="0"/>
                      <w:color w:val="auto"/>
                      <w:spacing w:val="0"/>
                      <w:sz w:val="21"/>
                      <w:szCs w:val="21"/>
                      <w:highlight w:val="none"/>
                      <w:u w:val="none"/>
                      <w:lang w:val="en-US"/>
                    </w:rPr>
                  </w:pPr>
                </w:p>
              </w:tc>
              <w:tc>
                <w:tcPr>
                  <w:tcW w:w="870" w:type="pct"/>
                  <w:tcBorders>
                    <w:tl2br w:val="nil"/>
                    <w:tr2bl w:val="nil"/>
                  </w:tcBorders>
                  <w:shd w:val="clear" w:color="auto" w:fill="auto"/>
                  <w:noWrap/>
                  <w:vAlign w:val="center"/>
                </w:tcPr>
                <w:p w14:paraId="2F13D155">
                  <w:pPr>
                    <w:keepNext w:val="0"/>
                    <w:keepLines w:val="0"/>
                    <w:widowControl/>
                    <w:suppressLineNumbers w:val="0"/>
                    <w:jc w:val="center"/>
                    <w:textAlignment w:val="center"/>
                    <w:rPr>
                      <w:rFonts w:hint="default" w:ascii="Times New Roman" w:hAnsi="Times New Roman" w:eastAsia="宋体" w:cs="Times New Roman"/>
                      <w:i w:val="0"/>
                      <w:iCs w:val="0"/>
                      <w:color w:val="auto"/>
                      <w:spacing w:val="0"/>
                      <w:sz w:val="21"/>
                      <w:szCs w:val="21"/>
                      <w:highlight w:val="none"/>
                      <w:u w:val="none"/>
                    </w:rPr>
                  </w:pPr>
                </w:p>
              </w:tc>
              <w:tc>
                <w:tcPr>
                  <w:tcW w:w="817" w:type="dxa"/>
                  <w:tcBorders>
                    <w:tl2br w:val="nil"/>
                    <w:tr2bl w:val="nil"/>
                  </w:tcBorders>
                  <w:shd w:val="clear" w:color="auto" w:fill="auto"/>
                  <w:noWrap/>
                  <w:vAlign w:val="center"/>
                </w:tcPr>
                <w:p w14:paraId="09398A31">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866" w:type="dxa"/>
                  <w:tcBorders>
                    <w:tl2br w:val="nil"/>
                    <w:tr2bl w:val="nil"/>
                  </w:tcBorders>
                  <w:shd w:val="clear" w:color="auto" w:fill="auto"/>
                  <w:noWrap/>
                  <w:vAlign w:val="center"/>
                </w:tcPr>
                <w:p w14:paraId="4026764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850" w:type="dxa"/>
                  <w:tcBorders>
                    <w:tl2br w:val="nil"/>
                    <w:tr2bl w:val="nil"/>
                  </w:tcBorders>
                  <w:shd w:val="clear" w:color="auto" w:fill="auto"/>
                  <w:noWrap/>
                  <w:vAlign w:val="center"/>
                </w:tcPr>
                <w:p w14:paraId="78B56993">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34" w:type="dxa"/>
                  <w:tcBorders>
                    <w:tl2br w:val="nil"/>
                    <w:tr2bl w:val="nil"/>
                  </w:tcBorders>
                  <w:shd w:val="clear" w:color="auto" w:fill="auto"/>
                  <w:noWrap/>
                  <w:vAlign w:val="center"/>
                </w:tcPr>
                <w:p w14:paraId="19D415B3">
                  <w:pPr>
                    <w:jc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800" w:type="dxa"/>
                  <w:tcBorders>
                    <w:tl2br w:val="nil"/>
                    <w:tr2bl w:val="nil"/>
                  </w:tcBorders>
                  <w:shd w:val="clear" w:color="auto" w:fill="auto"/>
                  <w:noWrap/>
                  <w:vAlign w:val="center"/>
                </w:tcPr>
                <w:p w14:paraId="69B93E6F">
                  <w:pPr>
                    <w:keepNext w:val="0"/>
                    <w:keepLines w:val="0"/>
                    <w:widowControl/>
                    <w:suppressLineNumbers w:val="0"/>
                    <w:jc w:val="center"/>
                    <w:textAlignment w:val="center"/>
                    <w:rPr>
                      <w:rFonts w:hint="eastAsia" w:ascii="Times New Roman" w:hAnsi="Times New Roman" w:eastAsia="宋体" w:cs="Times New Roman"/>
                      <w:b/>
                      <w:bCs/>
                      <w:i w:val="0"/>
                      <w:iCs w:val="0"/>
                      <w:color w:val="auto"/>
                      <w:spacing w:val="0"/>
                      <w:kern w:val="0"/>
                      <w:sz w:val="21"/>
                      <w:szCs w:val="21"/>
                      <w:highlight w:val="none"/>
                      <w:u w:val="none"/>
                      <w:lang w:val="en-US" w:eastAsia="zh-CN" w:bidi="ar"/>
                    </w:rPr>
                  </w:pPr>
                </w:p>
              </w:tc>
              <w:tc>
                <w:tcPr>
                  <w:tcW w:w="933" w:type="dxa"/>
                  <w:tcBorders>
                    <w:tl2br w:val="nil"/>
                    <w:tr2bl w:val="nil"/>
                  </w:tcBorders>
                  <w:shd w:val="clear" w:color="auto" w:fill="auto"/>
                  <w:noWrap/>
                  <w:vAlign w:val="center"/>
                </w:tcPr>
                <w:p w14:paraId="4507D50A">
                  <w:pPr>
                    <w:jc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817" w:type="dxa"/>
                  <w:tcBorders>
                    <w:tl2br w:val="nil"/>
                    <w:tr2bl w:val="nil"/>
                  </w:tcBorders>
                  <w:shd w:val="clear" w:color="auto" w:fill="auto"/>
                  <w:noWrap/>
                  <w:vAlign w:val="center"/>
                </w:tcPr>
                <w:p w14:paraId="56D71D4A">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883" w:type="dxa"/>
                  <w:tcBorders>
                    <w:tl2br w:val="nil"/>
                    <w:tr2bl w:val="nil"/>
                  </w:tcBorders>
                  <w:shd w:val="clear" w:color="auto" w:fill="auto"/>
                  <w:noWrap/>
                  <w:vAlign w:val="center"/>
                </w:tcPr>
                <w:p w14:paraId="20BF27CA">
                  <w:pPr>
                    <w:jc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750" w:type="dxa"/>
                  <w:tcBorders>
                    <w:tl2br w:val="nil"/>
                    <w:tr2bl w:val="nil"/>
                  </w:tcBorders>
                  <w:shd w:val="clear" w:color="auto" w:fill="auto"/>
                  <w:noWrap/>
                  <w:vAlign w:val="center"/>
                </w:tcPr>
                <w:p w14:paraId="0DF4C62B">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00" w:type="dxa"/>
                  <w:tcBorders>
                    <w:tl2br w:val="nil"/>
                    <w:tr2bl w:val="nil"/>
                  </w:tcBorders>
                  <w:shd w:val="clear" w:color="auto" w:fill="auto"/>
                  <w:noWrap/>
                  <w:vAlign w:val="center"/>
                </w:tcPr>
                <w:p w14:paraId="7B09E491">
                  <w:pPr>
                    <w:jc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750" w:type="dxa"/>
                  <w:tcBorders>
                    <w:tl2br w:val="nil"/>
                    <w:tr2bl w:val="nil"/>
                  </w:tcBorders>
                  <w:shd w:val="clear" w:color="auto" w:fill="auto"/>
                  <w:noWrap/>
                  <w:vAlign w:val="center"/>
                </w:tcPr>
                <w:p w14:paraId="7A23F5F9">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14" w:type="dxa"/>
                  <w:tcBorders>
                    <w:tl2br w:val="nil"/>
                    <w:tr2bl w:val="nil"/>
                  </w:tcBorders>
                  <w:shd w:val="clear" w:color="auto" w:fill="auto"/>
                  <w:noWrap/>
                  <w:vAlign w:val="center"/>
                </w:tcPr>
                <w:p w14:paraId="7F921F0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r>
            <w:tr w14:paraId="4DAA56A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57" w:type="pct"/>
                  <w:tcBorders>
                    <w:tl2br w:val="nil"/>
                    <w:tr2bl w:val="nil"/>
                  </w:tcBorders>
                  <w:shd w:val="clear" w:color="auto" w:fill="auto"/>
                  <w:vAlign w:val="center"/>
                </w:tcPr>
                <w:p w14:paraId="43520738">
                  <w:pPr>
                    <w:keepNext w:val="0"/>
                    <w:keepLines w:val="0"/>
                    <w:widowControl/>
                    <w:suppressLineNumbers w:val="0"/>
                    <w:jc w:val="center"/>
                    <w:textAlignment w:val="bottom"/>
                    <w:rPr>
                      <w:rFonts w:hint="default" w:ascii="Times New Roman" w:hAnsi="Times New Roman" w:eastAsia="宋体" w:cs="Times New Roman"/>
                      <w:i w:val="0"/>
                      <w:iCs w:val="0"/>
                      <w:color w:val="auto"/>
                      <w:spacing w:val="0"/>
                      <w:sz w:val="21"/>
                      <w:szCs w:val="21"/>
                      <w:highlight w:val="none"/>
                      <w:u w:val="none"/>
                      <w:lang w:val="en-US"/>
                    </w:rPr>
                  </w:pPr>
                </w:p>
              </w:tc>
              <w:tc>
                <w:tcPr>
                  <w:tcW w:w="870" w:type="pct"/>
                  <w:tcBorders>
                    <w:tl2br w:val="nil"/>
                    <w:tr2bl w:val="nil"/>
                  </w:tcBorders>
                  <w:shd w:val="clear" w:color="auto" w:fill="auto"/>
                  <w:noWrap/>
                  <w:vAlign w:val="center"/>
                </w:tcPr>
                <w:p w14:paraId="34A5BBCA">
                  <w:pPr>
                    <w:keepNext w:val="0"/>
                    <w:keepLines w:val="0"/>
                    <w:widowControl/>
                    <w:suppressLineNumbers w:val="0"/>
                    <w:jc w:val="center"/>
                    <w:textAlignment w:val="bottom"/>
                    <w:rPr>
                      <w:rFonts w:hint="default" w:ascii="Times New Roman" w:hAnsi="Times New Roman" w:eastAsia="宋体" w:cs="Times New Roman"/>
                      <w:i w:val="0"/>
                      <w:iCs w:val="0"/>
                      <w:color w:val="auto"/>
                      <w:spacing w:val="0"/>
                      <w:sz w:val="21"/>
                      <w:szCs w:val="21"/>
                      <w:highlight w:val="none"/>
                      <w:u w:val="none"/>
                    </w:rPr>
                  </w:pPr>
                </w:p>
              </w:tc>
              <w:tc>
                <w:tcPr>
                  <w:tcW w:w="817" w:type="dxa"/>
                  <w:tcBorders>
                    <w:tl2br w:val="nil"/>
                    <w:tr2bl w:val="nil"/>
                  </w:tcBorders>
                  <w:shd w:val="clear" w:color="auto" w:fill="auto"/>
                  <w:noWrap/>
                  <w:vAlign w:val="center"/>
                </w:tcPr>
                <w:p w14:paraId="5EA1E3E4">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866" w:type="dxa"/>
                  <w:tcBorders>
                    <w:tl2br w:val="nil"/>
                    <w:tr2bl w:val="nil"/>
                  </w:tcBorders>
                  <w:shd w:val="clear" w:color="auto" w:fill="auto"/>
                  <w:noWrap/>
                  <w:vAlign w:val="center"/>
                </w:tcPr>
                <w:p w14:paraId="09C31D9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850" w:type="dxa"/>
                  <w:tcBorders>
                    <w:tl2br w:val="nil"/>
                    <w:tr2bl w:val="nil"/>
                  </w:tcBorders>
                  <w:shd w:val="clear" w:color="auto" w:fill="auto"/>
                  <w:noWrap/>
                  <w:vAlign w:val="center"/>
                </w:tcPr>
                <w:p w14:paraId="26F86007">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34" w:type="dxa"/>
                  <w:tcBorders>
                    <w:tl2br w:val="nil"/>
                    <w:tr2bl w:val="nil"/>
                  </w:tcBorders>
                  <w:shd w:val="clear" w:color="auto" w:fill="auto"/>
                  <w:noWrap/>
                  <w:vAlign w:val="center"/>
                </w:tcPr>
                <w:p w14:paraId="0421189C">
                  <w:pPr>
                    <w:jc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800" w:type="dxa"/>
                  <w:tcBorders>
                    <w:tl2br w:val="nil"/>
                    <w:tr2bl w:val="nil"/>
                  </w:tcBorders>
                  <w:shd w:val="clear" w:color="auto" w:fill="auto"/>
                  <w:noWrap/>
                  <w:vAlign w:val="center"/>
                </w:tcPr>
                <w:p w14:paraId="5A009380">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p>
              </w:tc>
              <w:tc>
                <w:tcPr>
                  <w:tcW w:w="933" w:type="dxa"/>
                  <w:tcBorders>
                    <w:tl2br w:val="nil"/>
                    <w:tr2bl w:val="nil"/>
                  </w:tcBorders>
                  <w:shd w:val="clear" w:color="auto" w:fill="auto"/>
                  <w:noWrap/>
                  <w:vAlign w:val="center"/>
                </w:tcPr>
                <w:p w14:paraId="79C5BF60">
                  <w:pPr>
                    <w:jc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817" w:type="dxa"/>
                  <w:tcBorders>
                    <w:tl2br w:val="nil"/>
                    <w:tr2bl w:val="nil"/>
                  </w:tcBorders>
                  <w:shd w:val="clear" w:color="auto" w:fill="auto"/>
                  <w:noWrap/>
                  <w:vAlign w:val="center"/>
                </w:tcPr>
                <w:p w14:paraId="7E8016F9">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883" w:type="dxa"/>
                  <w:tcBorders>
                    <w:tl2br w:val="nil"/>
                    <w:tr2bl w:val="nil"/>
                  </w:tcBorders>
                  <w:shd w:val="clear" w:color="auto" w:fill="auto"/>
                  <w:noWrap/>
                  <w:vAlign w:val="center"/>
                </w:tcPr>
                <w:p w14:paraId="3001D79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750" w:type="dxa"/>
                  <w:tcBorders>
                    <w:tl2br w:val="nil"/>
                    <w:tr2bl w:val="nil"/>
                  </w:tcBorders>
                  <w:shd w:val="clear" w:color="auto" w:fill="auto"/>
                  <w:noWrap/>
                  <w:vAlign w:val="center"/>
                </w:tcPr>
                <w:p w14:paraId="46F7E582">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00" w:type="dxa"/>
                  <w:tcBorders>
                    <w:tl2br w:val="nil"/>
                    <w:tr2bl w:val="nil"/>
                  </w:tcBorders>
                  <w:shd w:val="clear" w:color="auto" w:fill="auto"/>
                  <w:noWrap/>
                  <w:vAlign w:val="center"/>
                </w:tcPr>
                <w:p w14:paraId="568EBB54">
                  <w:pPr>
                    <w:jc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750" w:type="dxa"/>
                  <w:tcBorders>
                    <w:tl2br w:val="nil"/>
                    <w:tr2bl w:val="nil"/>
                  </w:tcBorders>
                  <w:shd w:val="clear" w:color="auto" w:fill="auto"/>
                  <w:noWrap/>
                  <w:vAlign w:val="center"/>
                </w:tcPr>
                <w:p w14:paraId="2FBF6C28">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14" w:type="dxa"/>
                  <w:tcBorders>
                    <w:tl2br w:val="nil"/>
                    <w:tr2bl w:val="nil"/>
                  </w:tcBorders>
                  <w:shd w:val="clear" w:color="auto" w:fill="auto"/>
                  <w:noWrap/>
                  <w:vAlign w:val="center"/>
                </w:tcPr>
                <w:p w14:paraId="4E1553F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r>
            <w:tr w14:paraId="0359989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57" w:type="pct"/>
                  <w:tcBorders>
                    <w:tl2br w:val="nil"/>
                    <w:tr2bl w:val="nil"/>
                  </w:tcBorders>
                  <w:shd w:val="clear" w:color="auto" w:fill="auto"/>
                  <w:vAlign w:val="center"/>
                </w:tcPr>
                <w:p w14:paraId="5E827B97">
                  <w:pPr>
                    <w:keepNext w:val="0"/>
                    <w:keepLines w:val="0"/>
                    <w:widowControl/>
                    <w:suppressLineNumbers w:val="0"/>
                    <w:jc w:val="center"/>
                    <w:textAlignment w:val="bottom"/>
                    <w:rPr>
                      <w:rFonts w:hint="default" w:ascii="Times New Roman" w:hAnsi="Times New Roman" w:eastAsia="宋体" w:cs="Times New Roman"/>
                      <w:i w:val="0"/>
                      <w:iCs w:val="0"/>
                      <w:color w:val="auto"/>
                      <w:spacing w:val="0"/>
                      <w:sz w:val="21"/>
                      <w:szCs w:val="21"/>
                      <w:highlight w:val="none"/>
                      <w:u w:val="none"/>
                      <w:lang w:val="en-US"/>
                    </w:rPr>
                  </w:pPr>
                </w:p>
              </w:tc>
              <w:tc>
                <w:tcPr>
                  <w:tcW w:w="870" w:type="pct"/>
                  <w:tcBorders>
                    <w:tl2br w:val="nil"/>
                    <w:tr2bl w:val="nil"/>
                  </w:tcBorders>
                  <w:shd w:val="clear" w:color="auto" w:fill="auto"/>
                  <w:noWrap/>
                  <w:vAlign w:val="center"/>
                </w:tcPr>
                <w:p w14:paraId="2CC89C5C">
                  <w:pPr>
                    <w:keepNext w:val="0"/>
                    <w:keepLines w:val="0"/>
                    <w:widowControl/>
                    <w:suppressLineNumbers w:val="0"/>
                    <w:jc w:val="center"/>
                    <w:textAlignment w:val="bottom"/>
                    <w:rPr>
                      <w:rFonts w:hint="default" w:ascii="Times New Roman" w:hAnsi="Times New Roman" w:eastAsia="宋体" w:cs="Times New Roman"/>
                      <w:i w:val="0"/>
                      <w:iCs w:val="0"/>
                      <w:color w:val="auto"/>
                      <w:spacing w:val="0"/>
                      <w:sz w:val="21"/>
                      <w:szCs w:val="21"/>
                      <w:highlight w:val="none"/>
                      <w:u w:val="none"/>
                    </w:rPr>
                  </w:pPr>
                </w:p>
              </w:tc>
              <w:tc>
                <w:tcPr>
                  <w:tcW w:w="817" w:type="dxa"/>
                  <w:tcBorders>
                    <w:tl2br w:val="nil"/>
                    <w:tr2bl w:val="nil"/>
                  </w:tcBorders>
                  <w:shd w:val="clear" w:color="auto" w:fill="auto"/>
                  <w:noWrap/>
                  <w:vAlign w:val="center"/>
                </w:tcPr>
                <w:p w14:paraId="2DD1AE85">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866" w:type="dxa"/>
                  <w:tcBorders>
                    <w:tl2br w:val="nil"/>
                    <w:tr2bl w:val="nil"/>
                  </w:tcBorders>
                  <w:shd w:val="clear" w:color="auto" w:fill="auto"/>
                  <w:noWrap/>
                  <w:vAlign w:val="center"/>
                </w:tcPr>
                <w:p w14:paraId="26835CC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850" w:type="dxa"/>
                  <w:tcBorders>
                    <w:tl2br w:val="nil"/>
                    <w:tr2bl w:val="nil"/>
                  </w:tcBorders>
                  <w:shd w:val="clear" w:color="auto" w:fill="auto"/>
                  <w:noWrap/>
                  <w:vAlign w:val="center"/>
                </w:tcPr>
                <w:p w14:paraId="003E31FF">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34" w:type="dxa"/>
                  <w:tcBorders>
                    <w:tl2br w:val="nil"/>
                    <w:tr2bl w:val="nil"/>
                  </w:tcBorders>
                  <w:shd w:val="clear" w:color="auto" w:fill="auto"/>
                  <w:noWrap/>
                  <w:vAlign w:val="center"/>
                </w:tcPr>
                <w:p w14:paraId="59AF1FF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800" w:type="dxa"/>
                  <w:tcBorders>
                    <w:tl2br w:val="nil"/>
                    <w:tr2bl w:val="nil"/>
                  </w:tcBorders>
                  <w:shd w:val="clear" w:color="auto" w:fill="auto"/>
                  <w:noWrap/>
                  <w:vAlign w:val="center"/>
                </w:tcPr>
                <w:p w14:paraId="32A3CD8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933" w:type="dxa"/>
                  <w:tcBorders>
                    <w:tl2br w:val="nil"/>
                    <w:tr2bl w:val="nil"/>
                  </w:tcBorders>
                  <w:shd w:val="clear" w:color="auto" w:fill="auto"/>
                  <w:noWrap/>
                  <w:vAlign w:val="center"/>
                </w:tcPr>
                <w:p w14:paraId="732CAE5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817" w:type="dxa"/>
                  <w:tcBorders>
                    <w:tl2br w:val="nil"/>
                    <w:tr2bl w:val="nil"/>
                  </w:tcBorders>
                  <w:shd w:val="clear" w:color="auto" w:fill="auto"/>
                  <w:noWrap/>
                  <w:vAlign w:val="center"/>
                </w:tcPr>
                <w:p w14:paraId="22412D8F">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883" w:type="dxa"/>
                  <w:tcBorders>
                    <w:tl2br w:val="nil"/>
                    <w:tr2bl w:val="nil"/>
                  </w:tcBorders>
                  <w:shd w:val="clear" w:color="auto" w:fill="auto"/>
                  <w:noWrap/>
                  <w:vAlign w:val="center"/>
                </w:tcPr>
                <w:p w14:paraId="6A99634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750" w:type="dxa"/>
                  <w:tcBorders>
                    <w:tl2br w:val="nil"/>
                    <w:tr2bl w:val="nil"/>
                  </w:tcBorders>
                  <w:shd w:val="clear" w:color="auto" w:fill="auto"/>
                  <w:noWrap/>
                  <w:vAlign w:val="center"/>
                </w:tcPr>
                <w:p w14:paraId="574EFC8C">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00" w:type="dxa"/>
                  <w:tcBorders>
                    <w:tl2br w:val="nil"/>
                    <w:tr2bl w:val="nil"/>
                  </w:tcBorders>
                  <w:shd w:val="clear" w:color="auto" w:fill="auto"/>
                  <w:noWrap/>
                  <w:vAlign w:val="center"/>
                </w:tcPr>
                <w:p w14:paraId="094B17C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750" w:type="dxa"/>
                  <w:tcBorders>
                    <w:tl2br w:val="nil"/>
                    <w:tr2bl w:val="nil"/>
                  </w:tcBorders>
                  <w:shd w:val="clear" w:color="auto" w:fill="auto"/>
                  <w:noWrap/>
                  <w:vAlign w:val="center"/>
                </w:tcPr>
                <w:p w14:paraId="190E7E7E">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14" w:type="dxa"/>
                  <w:tcBorders>
                    <w:tl2br w:val="nil"/>
                    <w:tr2bl w:val="nil"/>
                  </w:tcBorders>
                  <w:shd w:val="clear" w:color="auto" w:fill="auto"/>
                  <w:noWrap/>
                  <w:vAlign w:val="center"/>
                </w:tcPr>
                <w:p w14:paraId="5F90E113">
                  <w:pPr>
                    <w:jc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r>
            <w:tr w14:paraId="7E545B4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1127" w:type="pct"/>
                  <w:gridSpan w:val="2"/>
                  <w:tcBorders>
                    <w:tl2br w:val="nil"/>
                    <w:tr2bl w:val="nil"/>
                  </w:tcBorders>
                  <w:shd w:val="clear" w:color="auto" w:fill="auto"/>
                  <w:vAlign w:val="center"/>
                </w:tcPr>
                <w:p w14:paraId="3EE1613B">
                  <w:pPr>
                    <w:keepNext w:val="0"/>
                    <w:keepLines w:val="0"/>
                    <w:widowControl/>
                    <w:suppressLineNumbers w:val="0"/>
                    <w:jc w:val="center"/>
                    <w:textAlignment w:val="bottom"/>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817" w:type="dxa"/>
                  <w:tcBorders>
                    <w:tl2br w:val="nil"/>
                    <w:tr2bl w:val="nil"/>
                  </w:tcBorders>
                  <w:shd w:val="clear" w:color="auto" w:fill="auto"/>
                  <w:noWrap/>
                  <w:vAlign w:val="center"/>
                </w:tcPr>
                <w:p w14:paraId="5C1C448B">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866" w:type="dxa"/>
                  <w:tcBorders>
                    <w:tl2br w:val="nil"/>
                    <w:tr2bl w:val="nil"/>
                  </w:tcBorders>
                  <w:shd w:val="clear" w:color="auto" w:fill="auto"/>
                  <w:noWrap/>
                  <w:vAlign w:val="center"/>
                </w:tcPr>
                <w:p w14:paraId="376C38F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850" w:type="dxa"/>
                  <w:tcBorders>
                    <w:tl2br w:val="nil"/>
                    <w:tr2bl w:val="nil"/>
                  </w:tcBorders>
                  <w:shd w:val="clear" w:color="auto" w:fill="auto"/>
                  <w:noWrap/>
                  <w:vAlign w:val="center"/>
                </w:tcPr>
                <w:p w14:paraId="0141823A">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34" w:type="dxa"/>
                  <w:tcBorders>
                    <w:tl2br w:val="nil"/>
                    <w:tr2bl w:val="nil"/>
                  </w:tcBorders>
                  <w:shd w:val="clear" w:color="auto" w:fill="auto"/>
                  <w:noWrap/>
                  <w:vAlign w:val="center"/>
                </w:tcPr>
                <w:p w14:paraId="5D75849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800" w:type="dxa"/>
                  <w:tcBorders>
                    <w:tl2br w:val="nil"/>
                    <w:tr2bl w:val="nil"/>
                  </w:tcBorders>
                  <w:shd w:val="clear" w:color="auto" w:fill="auto"/>
                  <w:noWrap/>
                  <w:vAlign w:val="center"/>
                </w:tcPr>
                <w:p w14:paraId="2D336DD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933" w:type="dxa"/>
                  <w:tcBorders>
                    <w:tl2br w:val="nil"/>
                    <w:tr2bl w:val="nil"/>
                  </w:tcBorders>
                  <w:shd w:val="clear" w:color="auto" w:fill="auto"/>
                  <w:noWrap/>
                  <w:vAlign w:val="center"/>
                </w:tcPr>
                <w:p w14:paraId="2E68742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817" w:type="dxa"/>
                  <w:tcBorders>
                    <w:tl2br w:val="nil"/>
                    <w:tr2bl w:val="nil"/>
                  </w:tcBorders>
                  <w:shd w:val="clear" w:color="auto" w:fill="auto"/>
                  <w:noWrap/>
                  <w:vAlign w:val="center"/>
                </w:tcPr>
                <w:p w14:paraId="3280960A">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883" w:type="dxa"/>
                  <w:tcBorders>
                    <w:tl2br w:val="nil"/>
                    <w:tr2bl w:val="nil"/>
                  </w:tcBorders>
                  <w:shd w:val="clear" w:color="auto" w:fill="auto"/>
                  <w:noWrap/>
                  <w:vAlign w:val="center"/>
                </w:tcPr>
                <w:p w14:paraId="30D8A5F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750" w:type="dxa"/>
                  <w:tcBorders>
                    <w:tl2br w:val="nil"/>
                    <w:tr2bl w:val="nil"/>
                  </w:tcBorders>
                  <w:shd w:val="clear" w:color="auto" w:fill="auto"/>
                  <w:noWrap/>
                  <w:vAlign w:val="center"/>
                </w:tcPr>
                <w:p w14:paraId="13A4785D">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00" w:type="dxa"/>
                  <w:tcBorders>
                    <w:tl2br w:val="nil"/>
                    <w:tr2bl w:val="nil"/>
                  </w:tcBorders>
                  <w:shd w:val="clear" w:color="auto" w:fill="auto"/>
                  <w:noWrap/>
                  <w:vAlign w:val="center"/>
                </w:tcPr>
                <w:p w14:paraId="3FA3BDA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750" w:type="dxa"/>
                  <w:tcBorders>
                    <w:tl2br w:val="nil"/>
                    <w:tr2bl w:val="nil"/>
                  </w:tcBorders>
                  <w:shd w:val="clear" w:color="auto" w:fill="auto"/>
                  <w:noWrap/>
                  <w:vAlign w:val="center"/>
                </w:tcPr>
                <w:p w14:paraId="6350B785">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p>
              </w:tc>
              <w:tc>
                <w:tcPr>
                  <w:tcW w:w="914" w:type="dxa"/>
                  <w:tcBorders>
                    <w:tl2br w:val="nil"/>
                    <w:tr2bl w:val="nil"/>
                  </w:tcBorders>
                  <w:shd w:val="clear" w:color="auto" w:fill="auto"/>
                  <w:noWrap/>
                  <w:vAlign w:val="center"/>
                </w:tcPr>
                <w:p w14:paraId="2807A6B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r>
          </w:tbl>
          <w:p w14:paraId="2147F365">
            <w:pPr>
              <w:pStyle w:val="63"/>
              <w:keepNext w:val="0"/>
              <w:keepLines w:val="0"/>
              <w:pageBreakBefore w:val="0"/>
              <w:widowControl/>
              <w:kinsoku/>
              <w:wordWrap/>
              <w:overflowPunct/>
              <w:topLinePunct w:val="0"/>
              <w:autoSpaceDE/>
              <w:autoSpaceDN/>
              <w:bidi w:val="0"/>
              <w:adjustRightInd/>
              <w:snapToGrid w:val="0"/>
              <w:spacing w:line="324" w:lineRule="auto"/>
              <w:ind w:left="0" w:leftChars="0" w:firstLine="480" w:firstLineChars="200"/>
              <w:textAlignment w:val="auto"/>
              <w:rPr>
                <w:rFonts w:hint="default"/>
                <w:color w:val="auto"/>
                <w:highlight w:val="none"/>
                <w:lang w:val="en-US" w:eastAsia="zh-CN"/>
              </w:rPr>
            </w:pPr>
          </w:p>
        </w:tc>
      </w:tr>
    </w:tbl>
    <w:p w14:paraId="19F988C8">
      <w:pPr>
        <w:pStyle w:val="37"/>
        <w:rPr>
          <w:color w:val="auto"/>
          <w:highlight w:val="none"/>
        </w:rPr>
        <w:sectPr>
          <w:pgSz w:w="16838" w:h="11905" w:orient="landscape"/>
          <w:pgMar w:top="1134" w:right="1134" w:bottom="1134" w:left="1134"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9"/>
        <w:tblW w:w="504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1"/>
        <w:gridCol w:w="9032"/>
      </w:tblGrid>
      <w:tr w14:paraId="28859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18" w:hRule="atLeast"/>
          <w:jc w:val="center"/>
        </w:trPr>
        <w:tc>
          <w:tcPr>
            <w:tcW w:w="814" w:type="dxa"/>
            <w:tcMar>
              <w:left w:w="28" w:type="dxa"/>
              <w:right w:w="28" w:type="dxa"/>
            </w:tcMar>
            <w:vAlign w:val="center"/>
          </w:tcPr>
          <w:p w14:paraId="78169921">
            <w:pPr>
              <w:adjustRightInd w:val="0"/>
              <w:snapToGrid w:val="0"/>
              <w:jc w:val="center"/>
              <w:rPr>
                <w:rFonts w:ascii="Times New Roman" w:hAnsi="Times New Roman" w:eastAsia="宋体" w:cs="Times New Roman"/>
                <w:bCs/>
                <w:color w:val="auto"/>
                <w:spacing w:val="0"/>
                <w:position w:val="0"/>
                <w:szCs w:val="21"/>
                <w:highlight w:val="none"/>
              </w:rPr>
            </w:pPr>
          </w:p>
        </w:tc>
        <w:tc>
          <w:tcPr>
            <w:tcW w:w="8959" w:type="dxa"/>
            <w:vAlign w:val="center"/>
          </w:tcPr>
          <w:p w14:paraId="770BBD41">
            <w:pPr>
              <w:keepNext w:val="0"/>
              <w:keepLines w:val="0"/>
              <w:pageBreakBefore w:val="0"/>
              <w:numPr>
                <w:ilvl w:val="0"/>
                <w:numId w:val="0"/>
              </w:numPr>
              <w:kinsoku/>
              <w:wordWrap/>
              <w:topLinePunct w:val="0"/>
              <w:bidi w:val="0"/>
              <w:adjustRightInd/>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kern w:val="2"/>
                <w:sz w:val="24"/>
                <w:szCs w:val="24"/>
                <w:highlight w:val="none"/>
                <w:lang w:val="en-US" w:eastAsia="zh-CN" w:bidi="ar-SA"/>
              </w:rPr>
              <w:t>A、</w:t>
            </w:r>
            <w:r>
              <w:rPr>
                <w:rFonts w:ascii="Times New Roman" w:hAnsi="Times New Roman" w:eastAsia="宋体" w:cs="Times New Roman"/>
                <w:color w:val="auto"/>
                <w:sz w:val="24"/>
                <w:szCs w:val="24"/>
                <w:highlight w:val="none"/>
              </w:rPr>
              <w:t>漆雾</w:t>
            </w:r>
          </w:p>
          <w:p w14:paraId="0EF50202">
            <w:pPr>
              <w:keepNext w:val="0"/>
              <w:keepLines w:val="0"/>
              <w:pageBreakBefore w:val="0"/>
              <w:widowControl/>
              <w:kinsoku/>
              <w:wordWrap/>
              <w:topLinePunct w:val="0"/>
              <w:bidi w:val="0"/>
              <w:adjustRightInd/>
              <w:spacing w:line="360" w:lineRule="auto"/>
              <w:ind w:firstLine="480" w:firstLineChars="200"/>
              <w:rPr>
                <w:rFonts w:hint="eastAsia"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在喷漆过程中，油漆在高压下由喷枪喷出而雾化。根据《涂装工艺与设备》（化学工业出版社），</w:t>
            </w:r>
            <w:r>
              <w:rPr>
                <w:rFonts w:hint="eastAsia" w:ascii="Times New Roman" w:hAnsi="Times New Roman" w:eastAsia="宋体" w:cs="Times New Roman"/>
                <w:color w:val="auto"/>
                <w:kern w:val="0"/>
                <w:sz w:val="24"/>
                <w:szCs w:val="24"/>
                <w:highlight w:val="none"/>
                <w:lang w:bidi="ar"/>
              </w:rPr>
              <w:t>喷漆距离在</w:t>
            </w:r>
            <w:r>
              <w:rPr>
                <w:rFonts w:ascii="Times New Roman" w:hAnsi="Times New Roman" w:eastAsia="宋体" w:cs="Times New Roman"/>
                <w:color w:val="auto"/>
                <w:kern w:val="0"/>
                <w:sz w:val="24"/>
                <w:szCs w:val="24"/>
                <w:highlight w:val="none"/>
                <w:lang w:bidi="ar"/>
              </w:rPr>
              <w:t>15</w:t>
            </w:r>
            <w:r>
              <w:rPr>
                <w:rFonts w:hint="eastAsia" w:ascii="Times New Roman" w:hAnsi="Times New Roman" w:eastAsia="宋体" w:cs="Times New Roman"/>
                <w:color w:val="auto"/>
                <w:kern w:val="0"/>
                <w:sz w:val="24"/>
                <w:szCs w:val="24"/>
                <w:highlight w:val="none"/>
                <w:lang w:bidi="ar"/>
              </w:rPr>
              <w:t>~</w:t>
            </w:r>
            <w:r>
              <w:rPr>
                <w:rFonts w:ascii="Times New Roman" w:hAnsi="Times New Roman" w:eastAsia="宋体" w:cs="Times New Roman"/>
                <w:color w:val="auto"/>
                <w:kern w:val="0"/>
                <w:sz w:val="24"/>
                <w:szCs w:val="24"/>
                <w:highlight w:val="none"/>
                <w:lang w:bidi="ar"/>
              </w:rPr>
              <w:t>20cm</w:t>
            </w:r>
            <w:r>
              <w:rPr>
                <w:rFonts w:hint="eastAsia" w:ascii="Times New Roman" w:hAnsi="Times New Roman" w:eastAsia="宋体" w:cs="Times New Roman"/>
                <w:color w:val="auto"/>
                <w:kern w:val="0"/>
                <w:sz w:val="24"/>
                <w:szCs w:val="24"/>
                <w:highlight w:val="none"/>
                <w:lang w:bidi="ar"/>
              </w:rPr>
              <w:t>，约50</w:t>
            </w:r>
            <w:r>
              <w:rPr>
                <w:rFonts w:ascii="Times New Roman" w:hAnsi="Times New Roman" w:eastAsia="宋体" w:cs="Times New Roman"/>
                <w:color w:val="auto"/>
                <w:kern w:val="0"/>
                <w:sz w:val="24"/>
                <w:szCs w:val="24"/>
                <w:highlight w:val="none"/>
                <w:lang w:bidi="ar"/>
              </w:rPr>
              <w:t>%</w:t>
            </w:r>
            <w:r>
              <w:rPr>
                <w:rFonts w:hint="eastAsia" w:ascii="Times New Roman" w:hAnsi="Times New Roman" w:eastAsia="宋体" w:cs="Times New Roman"/>
                <w:color w:val="auto"/>
                <w:kern w:val="0"/>
                <w:sz w:val="24"/>
                <w:szCs w:val="24"/>
                <w:highlight w:val="none"/>
                <w:lang w:bidi="ar"/>
              </w:rPr>
              <w:t>漆料附着在产品表面构成漆膜，其余则散逸在空气中，形成过喷漆雾。由于漆雾中的有机溶剂在空气中会迅速挥发，漆雾的主要成分为油漆的固体份，污染因子为颗粒物</w:t>
            </w:r>
            <w:r>
              <w:rPr>
                <w:rFonts w:ascii="Times New Roman" w:hAnsi="Times New Roman" w:eastAsia="宋体" w:cs="Times New Roman"/>
                <w:color w:val="auto"/>
                <w:sz w:val="24"/>
                <w:szCs w:val="24"/>
                <w:highlight w:val="none"/>
              </w:rPr>
              <w:t>。</w:t>
            </w:r>
            <w:r>
              <w:rPr>
                <w:rFonts w:ascii="Times New Roman" w:hAnsi="Times New Roman" w:eastAsia="宋体" w:cs="Times New Roman"/>
                <w:snapToGrid w:val="0"/>
                <w:color w:val="auto"/>
                <w:kern w:val="0"/>
                <w:sz w:val="24"/>
                <w:szCs w:val="24"/>
                <w:highlight w:val="none"/>
              </w:rPr>
              <w:t>根据</w:t>
            </w:r>
            <w:r>
              <w:rPr>
                <w:rFonts w:ascii="Times New Roman" w:hAnsi="Times New Roman" w:eastAsia="宋体" w:cs="Times New Roman"/>
                <w:color w:val="auto"/>
                <w:sz w:val="24"/>
                <w:szCs w:val="24"/>
                <w:highlight w:val="none"/>
              </w:rPr>
              <w:t>表4</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1.1</w:t>
            </w:r>
            <w:r>
              <w:rPr>
                <w:rFonts w:hint="eastAsia" w:ascii="Times New Roman" w:hAnsi="Times New Roman" w:eastAsia="宋体" w:cs="Times New Roman"/>
                <w:color w:val="auto"/>
                <w:sz w:val="24"/>
                <w:szCs w:val="24"/>
                <w:highlight w:val="none"/>
              </w:rPr>
              <w:t>-4</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项目油漆固含量为</w:t>
            </w:r>
            <w:r>
              <w:rPr>
                <w:rFonts w:hint="eastAsia" w:cs="Times New Roman"/>
                <w:color w:val="auto"/>
                <w:sz w:val="24"/>
                <w:szCs w:val="24"/>
                <w:highlight w:val="none"/>
                <w:lang w:val="en-US" w:eastAsia="zh-CN"/>
              </w:rPr>
              <w:t>4.746</w:t>
            </w:r>
            <w:r>
              <w:rPr>
                <w:rFonts w:ascii="Times New Roman" w:hAnsi="Times New Roman" w:eastAsia="宋体" w:cs="Times New Roman"/>
                <w:color w:val="auto"/>
                <w:sz w:val="24"/>
                <w:szCs w:val="24"/>
                <w:highlight w:val="none"/>
              </w:rPr>
              <w:t>t/a，则</w:t>
            </w:r>
            <w:r>
              <w:rPr>
                <w:rFonts w:hint="eastAsia" w:ascii="Times New Roman" w:hAnsi="Times New Roman" w:eastAsia="宋体" w:cs="Times New Roman"/>
                <w:color w:val="auto"/>
                <w:sz w:val="24"/>
                <w:szCs w:val="24"/>
                <w:highlight w:val="none"/>
              </w:rPr>
              <w:t>颗粒物</w:t>
            </w:r>
            <w:r>
              <w:rPr>
                <w:rFonts w:ascii="Times New Roman" w:hAnsi="Times New Roman" w:eastAsia="宋体" w:cs="Times New Roman"/>
                <w:color w:val="auto"/>
                <w:sz w:val="24"/>
                <w:szCs w:val="24"/>
                <w:highlight w:val="none"/>
              </w:rPr>
              <w:t>产生量为</w:t>
            </w:r>
            <w:r>
              <w:rPr>
                <w:rFonts w:hint="eastAsia" w:cs="Times New Roman"/>
                <w:color w:val="auto"/>
                <w:sz w:val="24"/>
                <w:szCs w:val="24"/>
                <w:highlight w:val="none"/>
                <w:lang w:val="en-US" w:eastAsia="zh-CN"/>
              </w:rPr>
              <w:t>2.373</w:t>
            </w:r>
            <w:r>
              <w:rPr>
                <w:rFonts w:ascii="Times New Roman" w:hAnsi="Times New Roman" w:eastAsia="宋体" w:cs="Times New Roman"/>
                <w:color w:val="auto"/>
                <w:sz w:val="24"/>
                <w:szCs w:val="24"/>
                <w:highlight w:val="none"/>
              </w:rPr>
              <w:t>t/a。</w:t>
            </w:r>
          </w:p>
          <w:p w14:paraId="1E82EF55">
            <w:pPr>
              <w:keepNext w:val="0"/>
              <w:keepLines w:val="0"/>
              <w:pageBreakBefore w:val="0"/>
              <w:kinsoku/>
              <w:wordWrap/>
              <w:topLinePunct w:val="0"/>
              <w:bidi w:val="0"/>
              <w:adjustRightInd/>
              <w:spacing w:line="360" w:lineRule="auto"/>
              <w:ind w:firstLine="480" w:firstLineChars="200"/>
              <w:rPr>
                <w:rFonts w:ascii="Times New Roman" w:hAnsi="Times New Roman" w:eastAsia="宋体" w:cs="Times New Roman"/>
                <w:snapToGrid w:val="0"/>
                <w:color w:val="auto"/>
                <w:kern w:val="0"/>
                <w:sz w:val="24"/>
                <w:szCs w:val="24"/>
                <w:highlight w:val="none"/>
              </w:rPr>
            </w:pPr>
            <w:r>
              <w:rPr>
                <w:rFonts w:ascii="Times New Roman" w:hAnsi="Times New Roman" w:eastAsia="宋体" w:cs="Times New Roman"/>
                <w:snapToGrid w:val="0"/>
                <w:color w:val="auto"/>
                <w:kern w:val="0"/>
                <w:sz w:val="24"/>
                <w:szCs w:val="24"/>
                <w:highlight w:val="none"/>
              </w:rPr>
              <w:t>B、有机废气</w:t>
            </w:r>
          </w:p>
          <w:p w14:paraId="686AB406">
            <w:pPr>
              <w:pStyle w:val="27"/>
              <w:keepNext w:val="0"/>
              <w:keepLines w:val="0"/>
              <w:pageBreakBefore w:val="0"/>
              <w:kinsoku/>
              <w:wordWrap/>
              <w:topLinePunct w:val="0"/>
              <w:bidi w:val="0"/>
              <w:adjustRightInd/>
              <w:spacing w:before="0" w:after="0" w:line="360" w:lineRule="auto"/>
              <w:ind w:right="0" w:firstLine="480" w:firstLineChars="200"/>
              <w:rPr>
                <w:rFonts w:ascii="Times New Roman" w:hAnsi="Times New Roman" w:eastAsia="宋体" w:cs="Times New Roman"/>
                <w:color w:val="auto"/>
                <w:kern w:val="2"/>
                <w:sz w:val="24"/>
                <w:szCs w:val="24"/>
                <w:highlight w:val="none"/>
                <w:u w:val="none"/>
              </w:rPr>
            </w:pPr>
            <w:r>
              <w:rPr>
                <w:rFonts w:hint="eastAsia" w:ascii="Times New Roman" w:hAnsi="Times New Roman" w:eastAsia="宋体" w:cs="Times New Roman"/>
                <w:color w:val="auto"/>
                <w:sz w:val="24"/>
                <w:szCs w:val="24"/>
                <w:highlight w:val="none"/>
                <w:u w:val="none"/>
              </w:rPr>
              <w:t>涂料中包含的可挥发有机溶剂不会附着在喷漆物表面，在调漆、喷漆及晾干的过程中将全部释放形成挥发性有机废气。</w:t>
            </w:r>
            <w:r>
              <w:rPr>
                <w:rFonts w:ascii="Times New Roman" w:hAnsi="Times New Roman" w:eastAsia="宋体" w:cs="Times New Roman"/>
                <w:snapToGrid w:val="0"/>
                <w:color w:val="auto"/>
                <w:sz w:val="24"/>
                <w:szCs w:val="24"/>
                <w:highlight w:val="none"/>
                <w:u w:val="none"/>
              </w:rPr>
              <w:t>根据</w:t>
            </w:r>
            <w:r>
              <w:rPr>
                <w:rFonts w:ascii="Times New Roman" w:hAnsi="Times New Roman" w:eastAsia="宋体" w:cs="Times New Roman"/>
                <w:color w:val="auto"/>
                <w:sz w:val="24"/>
                <w:szCs w:val="24"/>
                <w:highlight w:val="none"/>
                <w:u w:val="none"/>
              </w:rPr>
              <w:t>表4</w:t>
            </w:r>
            <w:r>
              <w:rPr>
                <w:rFonts w:hint="eastAsia" w:ascii="Times New Roman" w:hAnsi="Times New Roman" w:eastAsia="宋体" w:cs="Times New Roman"/>
                <w:color w:val="auto"/>
                <w:sz w:val="24"/>
                <w:szCs w:val="24"/>
                <w:highlight w:val="none"/>
                <w:u w:val="none"/>
              </w:rPr>
              <w:t>.</w:t>
            </w:r>
            <w:r>
              <w:rPr>
                <w:rFonts w:hint="eastAsia" w:ascii="Times New Roman" w:hAnsi="Times New Roman" w:eastAsia="宋体" w:cs="Times New Roman"/>
                <w:color w:val="auto"/>
                <w:sz w:val="24"/>
                <w:szCs w:val="24"/>
                <w:highlight w:val="none"/>
                <w:u w:val="none"/>
                <w:lang w:val="en-US" w:eastAsia="zh-CN"/>
              </w:rPr>
              <w:t>1.1</w:t>
            </w:r>
            <w:r>
              <w:rPr>
                <w:rFonts w:hint="eastAsia" w:ascii="Times New Roman" w:hAnsi="Times New Roman" w:eastAsia="宋体" w:cs="Times New Roman"/>
                <w:color w:val="auto"/>
                <w:sz w:val="24"/>
                <w:szCs w:val="24"/>
                <w:highlight w:val="none"/>
                <w:u w:val="none"/>
              </w:rPr>
              <w:t>-4</w:t>
            </w:r>
            <w:r>
              <w:rPr>
                <w:rFonts w:ascii="Times New Roman" w:hAnsi="Times New Roman" w:eastAsia="宋体" w:cs="Times New Roman"/>
                <w:color w:val="auto"/>
                <w:sz w:val="24"/>
                <w:szCs w:val="24"/>
                <w:highlight w:val="none"/>
                <w:u w:val="none"/>
              </w:rPr>
              <w:t>，</w:t>
            </w:r>
            <w:r>
              <w:rPr>
                <w:rFonts w:hint="eastAsia" w:ascii="Times New Roman" w:hAnsi="Times New Roman" w:eastAsia="宋体" w:cs="Times New Roman"/>
                <w:color w:val="auto"/>
                <w:kern w:val="2"/>
                <w:sz w:val="24"/>
                <w:szCs w:val="24"/>
                <w:highlight w:val="none"/>
                <w:u w:val="none"/>
              </w:rPr>
              <w:t>调漆、喷漆</w:t>
            </w:r>
            <w:r>
              <w:rPr>
                <w:rFonts w:ascii="Times New Roman" w:hAnsi="Times New Roman" w:eastAsia="宋体" w:cs="Times New Roman"/>
                <w:color w:val="auto"/>
                <w:kern w:val="2"/>
                <w:sz w:val="24"/>
                <w:szCs w:val="24"/>
                <w:highlight w:val="none"/>
                <w:u w:val="none"/>
              </w:rPr>
              <w:t>及晾干</w:t>
            </w:r>
            <w:r>
              <w:rPr>
                <w:rFonts w:hint="eastAsia" w:ascii="Times New Roman" w:hAnsi="Times New Roman" w:eastAsia="宋体" w:cs="Times New Roman"/>
                <w:color w:val="auto"/>
                <w:kern w:val="2"/>
                <w:sz w:val="24"/>
                <w:szCs w:val="24"/>
                <w:highlight w:val="none"/>
                <w:u w:val="none"/>
              </w:rPr>
              <w:t>过程中非甲烷总烃产生量为</w:t>
            </w:r>
            <w:r>
              <w:rPr>
                <w:rFonts w:hint="eastAsia" w:cs="Times New Roman"/>
                <w:color w:val="auto"/>
                <w:kern w:val="2"/>
                <w:sz w:val="24"/>
                <w:szCs w:val="24"/>
                <w:highlight w:val="none"/>
                <w:u w:val="none"/>
                <w:lang w:val="en-US" w:eastAsia="zh-CN"/>
              </w:rPr>
              <w:t>1.554</w:t>
            </w:r>
            <w:r>
              <w:rPr>
                <w:rFonts w:ascii="Times New Roman" w:hAnsi="Times New Roman" w:eastAsia="宋体" w:cs="Times New Roman"/>
                <w:color w:val="auto"/>
                <w:sz w:val="24"/>
                <w:szCs w:val="24"/>
                <w:highlight w:val="none"/>
                <w:u w:val="none"/>
              </w:rPr>
              <w:t>t/a</w:t>
            </w:r>
            <w:r>
              <w:rPr>
                <w:rFonts w:hint="eastAsia" w:ascii="Times New Roman" w:hAnsi="Times New Roman" w:eastAsia="宋体" w:cs="Times New Roman"/>
                <w:color w:val="auto"/>
                <w:sz w:val="24"/>
                <w:szCs w:val="24"/>
                <w:highlight w:val="none"/>
                <w:u w:val="none"/>
              </w:rPr>
              <w:t>，其中：</w:t>
            </w:r>
            <w:r>
              <w:rPr>
                <w:rFonts w:hint="eastAsia" w:cs="Times New Roman"/>
                <w:color w:val="auto"/>
                <w:sz w:val="24"/>
                <w:szCs w:val="24"/>
                <w:highlight w:val="none"/>
                <w:u w:val="none"/>
                <w:lang w:val="en-US" w:eastAsia="zh-CN"/>
              </w:rPr>
              <w:t>二</w:t>
            </w:r>
            <w:r>
              <w:rPr>
                <w:rFonts w:ascii="Times New Roman" w:hAnsi="Times New Roman" w:eastAsia="宋体" w:cs="Times New Roman"/>
                <w:color w:val="auto"/>
                <w:sz w:val="24"/>
                <w:szCs w:val="24"/>
                <w:highlight w:val="none"/>
                <w:u w:val="none"/>
              </w:rPr>
              <w:t>甲苯</w:t>
            </w:r>
            <w:r>
              <w:rPr>
                <w:rFonts w:hint="eastAsia" w:ascii="Times New Roman" w:hAnsi="Times New Roman" w:eastAsia="宋体" w:cs="Times New Roman"/>
                <w:color w:val="auto"/>
                <w:kern w:val="2"/>
                <w:sz w:val="24"/>
                <w:szCs w:val="24"/>
                <w:highlight w:val="none"/>
                <w:u w:val="none"/>
              </w:rPr>
              <w:t>产生量为</w:t>
            </w:r>
            <w:r>
              <w:rPr>
                <w:rFonts w:hint="eastAsia" w:cs="Times New Roman"/>
                <w:color w:val="auto"/>
                <w:kern w:val="2"/>
                <w:sz w:val="24"/>
                <w:szCs w:val="24"/>
                <w:highlight w:val="none"/>
                <w:u w:val="none"/>
                <w:lang w:val="en-US" w:eastAsia="zh-CN"/>
              </w:rPr>
              <w:t>0.162</w:t>
            </w:r>
            <w:r>
              <w:rPr>
                <w:rFonts w:ascii="Times New Roman" w:hAnsi="Times New Roman" w:eastAsia="宋体" w:cs="Times New Roman"/>
                <w:color w:val="auto"/>
                <w:sz w:val="24"/>
                <w:szCs w:val="24"/>
                <w:highlight w:val="none"/>
                <w:u w:val="none"/>
              </w:rPr>
              <w:t>t/a</w:t>
            </w:r>
            <w:r>
              <w:rPr>
                <w:rFonts w:hint="eastAsia" w:cs="Times New Roman"/>
                <w:color w:val="auto"/>
                <w:sz w:val="24"/>
                <w:szCs w:val="24"/>
                <w:highlight w:val="none"/>
                <w:u w:val="none"/>
                <w:lang w:val="en-US" w:eastAsia="zh-CN"/>
              </w:rPr>
              <w:t>、苯系物</w:t>
            </w:r>
            <w:r>
              <w:rPr>
                <w:rFonts w:hint="eastAsia" w:ascii="Times New Roman" w:hAnsi="Times New Roman" w:eastAsia="宋体" w:cs="Times New Roman"/>
                <w:color w:val="auto"/>
                <w:kern w:val="2"/>
                <w:sz w:val="24"/>
                <w:szCs w:val="24"/>
                <w:highlight w:val="none"/>
                <w:u w:val="none"/>
              </w:rPr>
              <w:t>产生量为</w:t>
            </w:r>
            <w:r>
              <w:rPr>
                <w:rFonts w:hint="eastAsia" w:cs="Times New Roman"/>
                <w:color w:val="auto"/>
                <w:kern w:val="2"/>
                <w:sz w:val="24"/>
                <w:szCs w:val="24"/>
                <w:highlight w:val="none"/>
                <w:u w:val="none"/>
                <w:lang w:val="en-US" w:eastAsia="zh-CN"/>
              </w:rPr>
              <w:t>0.432</w:t>
            </w:r>
            <w:r>
              <w:rPr>
                <w:rFonts w:ascii="Times New Roman" w:hAnsi="Times New Roman" w:eastAsia="宋体" w:cs="Times New Roman"/>
                <w:color w:val="auto"/>
                <w:sz w:val="24"/>
                <w:szCs w:val="24"/>
                <w:highlight w:val="none"/>
                <w:u w:val="none"/>
              </w:rPr>
              <w:t>t/a</w:t>
            </w:r>
            <w:r>
              <w:rPr>
                <w:rFonts w:hint="eastAsia" w:ascii="Times New Roman" w:hAnsi="Times New Roman" w:eastAsia="宋体" w:cs="Times New Roman"/>
                <w:color w:val="auto"/>
                <w:sz w:val="24"/>
                <w:szCs w:val="24"/>
                <w:highlight w:val="none"/>
                <w:u w:val="none"/>
              </w:rPr>
              <w:t>、</w:t>
            </w:r>
            <w:r>
              <w:rPr>
                <w:rFonts w:ascii="Times New Roman" w:hAnsi="Times New Roman" w:eastAsia="宋体" w:cs="Times New Roman"/>
                <w:color w:val="auto"/>
                <w:sz w:val="24"/>
                <w:szCs w:val="24"/>
                <w:highlight w:val="none"/>
                <w:u w:val="none"/>
              </w:rPr>
              <w:t>乙酸丁酯</w:t>
            </w:r>
            <w:r>
              <w:rPr>
                <w:rFonts w:hint="eastAsia" w:ascii="Times New Roman" w:hAnsi="Times New Roman" w:eastAsia="宋体" w:cs="Times New Roman"/>
                <w:color w:val="auto"/>
                <w:kern w:val="2"/>
                <w:sz w:val="24"/>
                <w:szCs w:val="24"/>
                <w:highlight w:val="none"/>
                <w:u w:val="none"/>
              </w:rPr>
              <w:t>产生量为</w:t>
            </w:r>
            <w:r>
              <w:rPr>
                <w:rFonts w:hint="eastAsia" w:ascii="Times New Roman" w:hAnsi="Times New Roman" w:eastAsia="宋体" w:cs="Times New Roman"/>
                <w:color w:val="auto"/>
                <w:sz w:val="24"/>
                <w:szCs w:val="24"/>
                <w:highlight w:val="none"/>
                <w:u w:val="none"/>
              </w:rPr>
              <w:t>0.</w:t>
            </w:r>
            <w:r>
              <w:rPr>
                <w:rFonts w:hint="eastAsia" w:cs="Times New Roman"/>
                <w:color w:val="auto"/>
                <w:sz w:val="24"/>
                <w:szCs w:val="24"/>
                <w:highlight w:val="none"/>
                <w:u w:val="none"/>
                <w:lang w:val="en-US" w:eastAsia="zh-CN"/>
              </w:rPr>
              <w:t>51</w:t>
            </w:r>
            <w:r>
              <w:rPr>
                <w:rFonts w:ascii="Times New Roman" w:hAnsi="Times New Roman" w:eastAsia="宋体" w:cs="Times New Roman"/>
                <w:color w:val="auto"/>
                <w:sz w:val="24"/>
                <w:szCs w:val="24"/>
                <w:highlight w:val="none"/>
                <w:u w:val="none"/>
              </w:rPr>
              <w:t>t/a</w:t>
            </w:r>
            <w:r>
              <w:rPr>
                <w:rFonts w:hint="eastAsia" w:ascii="Times New Roman" w:hAnsi="Times New Roman" w:eastAsia="宋体" w:cs="Times New Roman"/>
                <w:color w:val="auto"/>
                <w:sz w:val="24"/>
                <w:szCs w:val="24"/>
                <w:highlight w:val="none"/>
                <w:u w:val="none"/>
              </w:rPr>
              <w:t>、</w:t>
            </w:r>
            <w:r>
              <w:rPr>
                <w:rFonts w:hint="eastAsia" w:cs="Times New Roman"/>
                <w:color w:val="auto"/>
                <w:sz w:val="24"/>
                <w:szCs w:val="24"/>
                <w:highlight w:val="none"/>
                <w:u w:val="none"/>
                <w:lang w:val="en-US" w:eastAsia="zh-CN"/>
              </w:rPr>
              <w:t>乙酸乙酯</w:t>
            </w:r>
            <w:r>
              <w:rPr>
                <w:rFonts w:hint="eastAsia" w:ascii="Times New Roman" w:hAnsi="Times New Roman" w:eastAsia="宋体" w:cs="Times New Roman"/>
                <w:color w:val="auto"/>
                <w:sz w:val="24"/>
                <w:szCs w:val="24"/>
                <w:highlight w:val="none"/>
                <w:u w:val="none"/>
              </w:rPr>
              <w:t>产生量为</w:t>
            </w:r>
            <w:r>
              <w:rPr>
                <w:rFonts w:hint="eastAsia" w:cs="Times New Roman"/>
                <w:color w:val="auto"/>
                <w:sz w:val="24"/>
                <w:szCs w:val="24"/>
                <w:highlight w:val="none"/>
                <w:u w:val="none"/>
                <w:lang w:val="en-US" w:eastAsia="zh-CN"/>
              </w:rPr>
              <w:t>0.342</w:t>
            </w:r>
            <w:r>
              <w:rPr>
                <w:rFonts w:hint="eastAsia" w:ascii="Times New Roman" w:hAnsi="Times New Roman" w:eastAsia="宋体" w:cs="Times New Roman"/>
                <w:color w:val="auto"/>
                <w:sz w:val="24"/>
                <w:szCs w:val="24"/>
                <w:highlight w:val="none"/>
                <w:u w:val="none"/>
              </w:rPr>
              <w:t>t/a</w:t>
            </w:r>
            <w:r>
              <w:rPr>
                <w:rFonts w:hint="eastAsia"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乙酸乙酯与乙酸丁酯合计产生量为0.852t/a</w:t>
            </w:r>
            <w:r>
              <w:rPr>
                <w:rFonts w:hint="eastAsia" w:ascii="Times New Roman" w:hAnsi="Times New Roman" w:eastAsia="宋体" w:cs="Times New Roman"/>
                <w:color w:val="auto"/>
                <w:sz w:val="24"/>
                <w:szCs w:val="24"/>
                <w:highlight w:val="none"/>
                <w:u w:val="none"/>
              </w:rPr>
              <w:t>。</w:t>
            </w:r>
          </w:p>
          <w:p w14:paraId="06CE564A">
            <w:pPr>
              <w:pStyle w:val="120"/>
              <w:keepNext w:val="0"/>
              <w:keepLines w:val="0"/>
              <w:pageBreakBefore w:val="0"/>
              <w:kinsoku/>
              <w:wordWrap/>
              <w:topLinePunct w:val="0"/>
              <w:bidi w:val="0"/>
              <w:adjustRightInd/>
              <w:spacing w:line="360" w:lineRule="auto"/>
              <w:ind w:firstLine="504"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C、小结</w:t>
            </w:r>
          </w:p>
          <w:p w14:paraId="0100D6B5">
            <w:pPr>
              <w:pStyle w:val="120"/>
              <w:keepNext w:val="0"/>
              <w:keepLines w:val="0"/>
              <w:pageBreakBefore w:val="0"/>
              <w:kinsoku/>
              <w:wordWrap/>
              <w:topLinePunct w:val="0"/>
              <w:bidi w:val="0"/>
              <w:adjustRightInd/>
              <w:spacing w:line="360" w:lineRule="auto"/>
              <w:ind w:firstLine="504" w:firstLineChars="200"/>
              <w:jc w:val="both"/>
              <w:rPr>
                <w:rFonts w:hint="default" w:ascii="Times New Roman" w:hAnsi="Times New Roman" w:eastAsia="宋体" w:cs="Times New Roman"/>
                <w:color w:val="auto"/>
                <w:kern w:val="0"/>
                <w:sz w:val="24"/>
                <w:szCs w:val="24"/>
                <w:highlight w:val="none"/>
                <w:lang w:val="en-US" w:bidi="ar"/>
              </w:rPr>
            </w:pPr>
            <w:r>
              <w:rPr>
                <w:rFonts w:hint="eastAsia" w:ascii="Times New Roman" w:hAnsi="Times New Roman" w:eastAsia="宋体" w:cs="Times New Roman"/>
                <w:color w:val="auto"/>
                <w:sz w:val="24"/>
                <w:szCs w:val="24"/>
                <w:highlight w:val="none"/>
              </w:rPr>
              <w:t>项目喷漆房内正常工作时漆雾产生量为</w:t>
            </w:r>
            <w:r>
              <w:rPr>
                <w:rFonts w:hint="eastAsia" w:ascii="Times New Roman" w:hAnsi="Times New Roman" w:eastAsia="宋体" w:cs="Times New Roman"/>
                <w:color w:val="auto"/>
                <w:sz w:val="24"/>
                <w:szCs w:val="24"/>
                <w:highlight w:val="none"/>
                <w:lang w:val="en-US" w:eastAsia="zh-CN"/>
              </w:rPr>
              <w:t>2.373</w:t>
            </w:r>
            <w:r>
              <w:rPr>
                <w:rFonts w:hint="eastAsia" w:ascii="Times New Roman" w:hAnsi="Times New Roman" w:eastAsia="宋体" w:cs="Times New Roman"/>
                <w:color w:val="auto"/>
                <w:sz w:val="24"/>
                <w:szCs w:val="24"/>
                <w:highlight w:val="none"/>
              </w:rPr>
              <w:t>t/a、非甲烷总烃产生量</w:t>
            </w:r>
            <w:r>
              <w:rPr>
                <w:rFonts w:hint="eastAsia" w:ascii="Times New Roman" w:hAnsi="Times New Roman" w:eastAsia="宋体" w:cs="Times New Roman"/>
                <w:color w:val="auto"/>
                <w:sz w:val="24"/>
                <w:szCs w:val="24"/>
                <w:highlight w:val="none"/>
                <w:lang w:val="en-US" w:eastAsia="zh-CN"/>
              </w:rPr>
              <w:t>为1.554</w:t>
            </w:r>
            <w:r>
              <w:rPr>
                <w:rFonts w:hint="eastAsia" w:ascii="Times New Roman" w:hAnsi="Times New Roman" w:eastAsia="宋体" w:cs="Times New Roman"/>
                <w:color w:val="auto"/>
                <w:sz w:val="24"/>
                <w:szCs w:val="24"/>
                <w:highlight w:val="none"/>
              </w:rPr>
              <w:t>t/a，其中：</w:t>
            </w:r>
            <w:r>
              <w:rPr>
                <w:rFonts w:hint="eastAsia" w:ascii="Times New Roman" w:hAnsi="Times New Roman" w:eastAsia="宋体" w:cs="Times New Roman"/>
                <w:color w:val="auto"/>
                <w:sz w:val="24"/>
                <w:szCs w:val="24"/>
                <w:highlight w:val="none"/>
                <w:lang w:val="en-US" w:eastAsia="zh-CN"/>
              </w:rPr>
              <w:t>二</w:t>
            </w:r>
            <w:r>
              <w:rPr>
                <w:rFonts w:hint="eastAsia" w:ascii="Times New Roman" w:hAnsi="Times New Roman" w:eastAsia="宋体" w:cs="Times New Roman"/>
                <w:color w:val="auto"/>
                <w:sz w:val="24"/>
                <w:szCs w:val="24"/>
                <w:highlight w:val="none"/>
              </w:rPr>
              <w:t>甲苯产生量为</w:t>
            </w:r>
            <w:r>
              <w:rPr>
                <w:rFonts w:hint="eastAsia" w:ascii="Times New Roman" w:hAnsi="Times New Roman" w:eastAsia="宋体" w:cs="Times New Roman"/>
                <w:color w:val="auto"/>
                <w:sz w:val="24"/>
                <w:szCs w:val="24"/>
                <w:highlight w:val="none"/>
                <w:lang w:val="en-US" w:eastAsia="zh-CN"/>
              </w:rPr>
              <w:t>0.162</w:t>
            </w:r>
            <w:r>
              <w:rPr>
                <w:rFonts w:hint="eastAsia"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val="en-US" w:eastAsia="zh-CN"/>
              </w:rPr>
              <w:t>、苯系物</w:t>
            </w:r>
            <w:r>
              <w:rPr>
                <w:rFonts w:hint="eastAsia" w:ascii="Times New Roman" w:hAnsi="Times New Roman" w:eastAsia="宋体" w:cs="Times New Roman"/>
                <w:color w:val="auto"/>
                <w:sz w:val="24"/>
                <w:szCs w:val="24"/>
                <w:highlight w:val="none"/>
              </w:rPr>
              <w:t>产生量为</w:t>
            </w:r>
            <w:r>
              <w:rPr>
                <w:rFonts w:hint="eastAsia" w:ascii="Times New Roman" w:hAnsi="Times New Roman" w:eastAsia="宋体" w:cs="Times New Roman"/>
                <w:color w:val="auto"/>
                <w:sz w:val="24"/>
                <w:szCs w:val="24"/>
                <w:highlight w:val="none"/>
                <w:lang w:val="en-US" w:eastAsia="zh-CN"/>
              </w:rPr>
              <w:t>0.</w:t>
            </w:r>
            <w:r>
              <w:rPr>
                <w:rFonts w:hint="eastAsia" w:eastAsia="宋体" w:cs="Times New Roman"/>
                <w:color w:val="auto"/>
                <w:sz w:val="24"/>
                <w:szCs w:val="24"/>
                <w:highlight w:val="none"/>
                <w:lang w:val="en-US" w:eastAsia="zh-CN"/>
              </w:rPr>
              <w:t>432</w:t>
            </w:r>
            <w:r>
              <w:rPr>
                <w:rFonts w:hint="eastAsia" w:ascii="Times New Roman" w:hAnsi="Times New Roman" w:eastAsia="宋体" w:cs="Times New Roman"/>
                <w:color w:val="auto"/>
                <w:sz w:val="24"/>
                <w:szCs w:val="24"/>
                <w:highlight w:val="none"/>
              </w:rPr>
              <w:t>t/a、乙酸丁酯产生量为0.</w:t>
            </w:r>
            <w:r>
              <w:rPr>
                <w:rFonts w:hint="eastAsia" w:ascii="Times New Roman" w:hAnsi="Times New Roman" w:eastAsia="宋体" w:cs="Times New Roman"/>
                <w:color w:val="auto"/>
                <w:sz w:val="24"/>
                <w:szCs w:val="24"/>
                <w:highlight w:val="none"/>
                <w:lang w:val="en-US" w:eastAsia="zh-CN"/>
              </w:rPr>
              <w:t>51</w:t>
            </w:r>
            <w:r>
              <w:rPr>
                <w:rFonts w:hint="eastAsia"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val="en-US" w:eastAsia="zh-CN"/>
              </w:rPr>
              <w:t>乙酸乙酯</w:t>
            </w:r>
            <w:r>
              <w:rPr>
                <w:rFonts w:hint="eastAsia" w:ascii="Times New Roman" w:hAnsi="Times New Roman" w:eastAsia="宋体" w:cs="Times New Roman"/>
                <w:color w:val="auto"/>
                <w:sz w:val="24"/>
                <w:szCs w:val="24"/>
                <w:highlight w:val="none"/>
              </w:rPr>
              <w:t>产生量为</w:t>
            </w:r>
            <w:r>
              <w:rPr>
                <w:rFonts w:hint="eastAsia" w:ascii="Times New Roman" w:hAnsi="Times New Roman" w:eastAsia="宋体" w:cs="Times New Roman"/>
                <w:color w:val="auto"/>
                <w:sz w:val="24"/>
                <w:szCs w:val="24"/>
                <w:highlight w:val="none"/>
                <w:lang w:val="en-US" w:eastAsia="zh-CN"/>
              </w:rPr>
              <w:t>0.342</w:t>
            </w:r>
            <w:r>
              <w:rPr>
                <w:rFonts w:hint="eastAsia"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乙酸乙酯与乙酸丁酯合计产生量为0.852t/a</w:t>
            </w:r>
            <w:r>
              <w:rPr>
                <w:rFonts w:hint="eastAsia" w:ascii="Times New Roman" w:hAnsi="Times New Roman" w:eastAsia="宋体" w:cs="Times New Roman"/>
                <w:color w:val="auto"/>
                <w:sz w:val="24"/>
                <w:szCs w:val="24"/>
                <w:highlight w:val="none"/>
              </w:rPr>
              <w:t>。项目调漆、喷漆</w:t>
            </w:r>
            <w:r>
              <w:rPr>
                <w:rFonts w:ascii="Times New Roman" w:hAnsi="Times New Roman" w:eastAsia="宋体" w:cs="Times New Roman"/>
                <w:color w:val="auto"/>
                <w:sz w:val="24"/>
                <w:szCs w:val="24"/>
                <w:highlight w:val="none"/>
              </w:rPr>
              <w:t>及晾干工序在密闭负压</w:t>
            </w:r>
            <w:r>
              <w:rPr>
                <w:rFonts w:hint="eastAsia" w:ascii="Times New Roman" w:hAnsi="Times New Roman" w:eastAsia="宋体" w:cs="Times New Roman"/>
                <w:color w:val="auto"/>
                <w:sz w:val="24"/>
                <w:szCs w:val="24"/>
                <w:highlight w:val="none"/>
              </w:rPr>
              <w:t>喷漆房</w:t>
            </w:r>
            <w:r>
              <w:rPr>
                <w:rFonts w:ascii="Times New Roman" w:hAnsi="Times New Roman" w:eastAsia="宋体" w:cs="Times New Roman"/>
                <w:color w:val="auto"/>
                <w:sz w:val="24"/>
                <w:szCs w:val="24"/>
                <w:highlight w:val="none"/>
              </w:rPr>
              <w:t>内进行，</w:t>
            </w:r>
            <w:r>
              <w:rPr>
                <w:rFonts w:ascii="Times New Roman" w:hAnsi="Times New Roman" w:eastAsia="宋体" w:cs="Times New Roman"/>
                <w:color w:val="auto"/>
                <w:kern w:val="0"/>
                <w:sz w:val="24"/>
                <w:szCs w:val="24"/>
                <w:highlight w:val="none"/>
                <w:lang w:bidi="ar"/>
              </w:rPr>
              <w:t>为负压密闭车间，可起到与外界良好的隔断作用</w:t>
            </w:r>
            <w:r>
              <w:rPr>
                <w:rFonts w:hint="eastAsia" w:ascii="Times New Roman" w:hAnsi="Times New Roman" w:eastAsia="宋体" w:cs="Times New Roman"/>
                <w:color w:val="auto"/>
                <w:kern w:val="0"/>
                <w:sz w:val="24"/>
                <w:szCs w:val="24"/>
                <w:highlight w:val="none"/>
                <w:lang w:bidi="ar"/>
              </w:rPr>
              <w:t>。但工作人员在打开及关闭门时会有少量的废气逸出，这部分废气以无组织形式排放，</w:t>
            </w:r>
            <w:r>
              <w:rPr>
                <w:rFonts w:hint="eastAsia" w:ascii="Times New Roman" w:hAnsi="Times New Roman" w:eastAsia="宋体" w:cs="Times New Roman"/>
                <w:color w:val="auto"/>
                <w:spacing w:val="0"/>
                <w:sz w:val="24"/>
                <w:szCs w:val="24"/>
                <w:highlight w:val="none"/>
              </w:rPr>
              <w:t>参考生态环境部办公厅印发的</w:t>
            </w:r>
            <w:r>
              <w:rPr>
                <w:rFonts w:ascii="Times New Roman" w:hAnsi="Times New Roman" w:eastAsia="宋体" w:cs="Times New Roman"/>
                <w:color w:val="auto"/>
                <w:spacing w:val="0"/>
                <w:sz w:val="24"/>
                <w:szCs w:val="24"/>
                <w:highlight w:val="none"/>
              </w:rPr>
              <w:t>《主要污染物总量减排核算技术指南》（2022年修订）</w:t>
            </w:r>
            <w:r>
              <w:rPr>
                <w:rFonts w:hint="eastAsia" w:ascii="Times New Roman" w:hAnsi="Times New Roman" w:eastAsia="宋体" w:cs="Times New Roman"/>
                <w:color w:val="auto"/>
                <w:spacing w:val="0"/>
                <w:sz w:val="24"/>
                <w:szCs w:val="24"/>
                <w:highlight w:val="none"/>
              </w:rPr>
              <w:t>附件2</w:t>
            </w:r>
            <w:r>
              <w:rPr>
                <w:rFonts w:ascii="Times New Roman" w:hAnsi="Times New Roman" w:eastAsia="宋体" w:cs="Times New Roman"/>
                <w:color w:val="auto"/>
                <w:spacing w:val="0"/>
                <w:sz w:val="24"/>
                <w:szCs w:val="24"/>
                <w:highlight w:val="none"/>
              </w:rPr>
              <w:t>中</w:t>
            </w:r>
            <w:r>
              <w:rPr>
                <w:rFonts w:hint="eastAsia" w:ascii="Times New Roman" w:hAnsi="Times New Roman" w:eastAsia="宋体" w:cs="Times New Roman"/>
                <w:color w:val="auto"/>
                <w:spacing w:val="0"/>
                <w:sz w:val="24"/>
                <w:szCs w:val="24"/>
                <w:highlight w:val="none"/>
              </w:rPr>
              <w:t>“</w:t>
            </w:r>
            <w:r>
              <w:rPr>
                <w:rFonts w:ascii="Times New Roman" w:hAnsi="Times New Roman" w:eastAsia="宋体" w:cs="Times New Roman"/>
                <w:color w:val="auto"/>
                <w:spacing w:val="0"/>
                <w:sz w:val="24"/>
                <w:szCs w:val="24"/>
                <w:highlight w:val="none"/>
              </w:rPr>
              <w:t>表2-3 VOCs废气收集率和治理设施去除率通用系数</w:t>
            </w:r>
            <w:r>
              <w:rPr>
                <w:rFonts w:hint="eastAsia" w:ascii="Times New Roman" w:hAnsi="Times New Roman" w:eastAsia="宋体" w:cs="Times New Roman"/>
                <w:color w:val="auto"/>
                <w:spacing w:val="0"/>
                <w:sz w:val="24"/>
                <w:szCs w:val="24"/>
                <w:highlight w:val="none"/>
              </w:rPr>
              <w:t>”</w:t>
            </w:r>
            <w:r>
              <w:rPr>
                <w:rFonts w:hint="eastAsia" w:ascii="Times New Roman" w:hAnsi="Times New Roman" w:eastAsia="宋体" w:cs="Times New Roman"/>
                <w:color w:val="auto"/>
                <w:kern w:val="0"/>
                <w:sz w:val="24"/>
                <w:szCs w:val="24"/>
                <w:highlight w:val="none"/>
                <w:lang w:bidi="ar"/>
              </w:rPr>
              <w:t>中“密闭空间”</w:t>
            </w:r>
            <w:r>
              <w:rPr>
                <w:rFonts w:hint="eastAsia" w:ascii="Times New Roman" w:hAnsi="Times New Roman" w:eastAsia="宋体" w:cs="Times New Roman"/>
                <w:color w:val="auto"/>
                <w:sz w:val="24"/>
                <w:szCs w:val="24"/>
                <w:highlight w:val="none"/>
              </w:rPr>
              <w:t>负压</w:t>
            </w:r>
            <w:r>
              <w:rPr>
                <w:rFonts w:ascii="Times New Roman" w:hAnsi="Times New Roman" w:eastAsia="宋体" w:cs="Times New Roman"/>
                <w:color w:val="auto"/>
                <w:sz w:val="24"/>
                <w:szCs w:val="24"/>
                <w:highlight w:val="none"/>
              </w:rPr>
              <w:t>废气</w:t>
            </w:r>
            <w:r>
              <w:rPr>
                <w:rFonts w:ascii="Times New Roman" w:hAnsi="Times New Roman" w:eastAsia="宋体" w:cs="Times New Roman"/>
                <w:snapToGrid w:val="0"/>
                <w:color w:val="auto"/>
                <w:kern w:val="0"/>
                <w:sz w:val="24"/>
                <w:szCs w:val="24"/>
                <w:highlight w:val="none"/>
              </w:rPr>
              <w:t>收集效率取90%</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kern w:val="0"/>
                <w:sz w:val="24"/>
                <w:szCs w:val="24"/>
                <w:highlight w:val="none"/>
                <w:lang w:bidi="ar"/>
              </w:rPr>
              <w:t>项目</w:t>
            </w:r>
            <w:r>
              <w:rPr>
                <w:rFonts w:hint="eastAsia" w:ascii="Times New Roman" w:hAnsi="Times New Roman" w:eastAsia="宋体" w:cs="Times New Roman"/>
                <w:color w:val="auto"/>
                <w:sz w:val="24"/>
                <w:szCs w:val="24"/>
                <w:highlight w:val="none"/>
              </w:rPr>
              <w:t>调漆、喷漆</w:t>
            </w:r>
            <w:r>
              <w:rPr>
                <w:rFonts w:ascii="Times New Roman" w:hAnsi="Times New Roman" w:eastAsia="宋体" w:cs="Times New Roman"/>
                <w:color w:val="auto"/>
                <w:sz w:val="24"/>
                <w:szCs w:val="24"/>
                <w:highlight w:val="none"/>
              </w:rPr>
              <w:t>废气经水帘柜处理后，与晾干废气一同经</w:t>
            </w:r>
            <w:r>
              <w:rPr>
                <w:rFonts w:hint="eastAsia" w:ascii="Times New Roman" w:hAnsi="Times New Roman" w:eastAsia="宋体" w:cs="Times New Roman"/>
                <w:color w:val="auto"/>
                <w:kern w:val="0"/>
                <w:sz w:val="24"/>
                <w:szCs w:val="24"/>
                <w:highlight w:val="none"/>
                <w:lang w:bidi="ar"/>
              </w:rPr>
              <w:t>“</w:t>
            </w:r>
            <w:r>
              <w:rPr>
                <w:rFonts w:hint="eastAsia" w:eastAsia="宋体" w:cs="Times New Roman"/>
                <w:color w:val="auto"/>
                <w:sz w:val="24"/>
                <w:szCs w:val="24"/>
                <w:highlight w:val="none"/>
                <w:lang w:eastAsia="zh-CN"/>
              </w:rPr>
              <w:t>气旋塔+过滤棉+二级活性炭吸附装置</w:t>
            </w:r>
            <w:r>
              <w:rPr>
                <w:rFonts w:hint="eastAsia" w:ascii="Times New Roman" w:hAnsi="Times New Roman" w:eastAsia="宋体" w:cs="Times New Roman"/>
                <w:color w:val="auto"/>
                <w:kern w:val="0"/>
                <w:sz w:val="24"/>
                <w:szCs w:val="24"/>
                <w:highlight w:val="none"/>
                <w:lang w:bidi="ar"/>
              </w:rPr>
              <w:t>”净化处理，之后通过</w:t>
            </w:r>
            <w:r>
              <w:rPr>
                <w:rFonts w:hint="eastAsia" w:eastAsia="宋体"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bidi="ar"/>
              </w:rPr>
              <w:t>5m高排气筒（</w:t>
            </w:r>
            <w:r>
              <w:rPr>
                <w:rFonts w:ascii="Times New Roman" w:hAnsi="Times New Roman" w:eastAsia="宋体" w:cs="Times New Roman"/>
                <w:color w:val="auto"/>
                <w:kern w:val="0"/>
                <w:sz w:val="24"/>
                <w:szCs w:val="24"/>
                <w:highlight w:val="none"/>
                <w:lang w:bidi="ar"/>
              </w:rPr>
              <w:t>DA00</w:t>
            </w:r>
            <w:r>
              <w:rPr>
                <w:rFonts w:hint="eastAsia" w:ascii="Times New Roman" w:hAnsi="Times New Roman" w:eastAsia="宋体" w:cs="Times New Roman"/>
                <w:color w:val="auto"/>
                <w:kern w:val="0"/>
                <w:sz w:val="24"/>
                <w:szCs w:val="24"/>
                <w:highlight w:val="none"/>
                <w:lang w:val="en-US" w:eastAsia="zh-CN" w:bidi="ar"/>
              </w:rPr>
              <w:t>1</w:t>
            </w:r>
            <w:r>
              <w:rPr>
                <w:rFonts w:hint="eastAsia" w:ascii="Times New Roman" w:hAnsi="Times New Roman" w:eastAsia="宋体" w:cs="Times New Roman"/>
                <w:color w:val="auto"/>
                <w:kern w:val="0"/>
                <w:sz w:val="24"/>
                <w:szCs w:val="24"/>
                <w:highlight w:val="none"/>
                <w:lang w:bidi="ar"/>
              </w:rPr>
              <w:t>）排放，废气处理设施配套风机风量为</w:t>
            </w:r>
            <w:r>
              <w:rPr>
                <w:rFonts w:hint="eastAsia" w:eastAsia="宋体" w:cs="Times New Roman"/>
                <w:color w:val="auto"/>
                <w:kern w:val="0"/>
                <w:sz w:val="24"/>
                <w:szCs w:val="24"/>
                <w:highlight w:val="none"/>
                <w:lang w:val="en-US" w:eastAsia="zh-CN" w:bidi="ar"/>
              </w:rPr>
              <w:t>300</w:t>
            </w:r>
            <w:r>
              <w:rPr>
                <w:rFonts w:ascii="Times New Roman" w:hAnsi="Times New Roman" w:eastAsia="宋体" w:cs="Times New Roman"/>
                <w:color w:val="auto"/>
                <w:kern w:val="0"/>
                <w:sz w:val="24"/>
                <w:szCs w:val="24"/>
                <w:highlight w:val="none"/>
                <w:lang w:bidi="ar"/>
              </w:rPr>
              <w:t>00m</w:t>
            </w:r>
            <w:r>
              <w:rPr>
                <w:rFonts w:ascii="Times New Roman" w:hAnsi="Times New Roman" w:eastAsia="宋体" w:cs="Times New Roman"/>
                <w:color w:val="auto"/>
                <w:kern w:val="0"/>
                <w:sz w:val="24"/>
                <w:szCs w:val="24"/>
                <w:highlight w:val="none"/>
                <w:vertAlign w:val="superscript"/>
                <w:lang w:bidi="ar"/>
              </w:rPr>
              <w:t>3</w:t>
            </w:r>
            <w:r>
              <w:rPr>
                <w:rFonts w:ascii="Times New Roman" w:hAnsi="Times New Roman" w:eastAsia="宋体" w:cs="Times New Roman"/>
                <w:color w:val="auto"/>
                <w:kern w:val="0"/>
                <w:sz w:val="24"/>
                <w:szCs w:val="24"/>
                <w:highlight w:val="none"/>
                <w:lang w:bidi="ar"/>
              </w:rPr>
              <w:t>/h</w:t>
            </w:r>
            <w:r>
              <w:rPr>
                <w:rFonts w:hint="eastAsia" w:ascii="Times New Roman" w:hAnsi="Times New Roman" w:eastAsia="宋体" w:cs="Times New Roman"/>
                <w:color w:val="auto"/>
                <w:kern w:val="0"/>
                <w:sz w:val="24"/>
                <w:szCs w:val="24"/>
                <w:highlight w:val="none"/>
                <w:lang w:bidi="ar"/>
              </w:rPr>
              <w:t>。</w:t>
            </w:r>
            <w:r>
              <w:rPr>
                <w:rFonts w:hint="eastAsia" w:eastAsia="宋体" w:cs="Times New Roman"/>
                <w:color w:val="auto"/>
                <w:sz w:val="24"/>
                <w:szCs w:val="24"/>
                <w:highlight w:val="none"/>
                <w:lang w:eastAsia="zh-CN"/>
              </w:rPr>
              <w:t>气</w:t>
            </w:r>
            <w:r>
              <w:rPr>
                <w:rFonts w:hint="eastAsia" w:ascii="Times New Roman" w:hAnsi="Times New Roman" w:eastAsia="宋体" w:cs="Times New Roman"/>
                <w:b w:val="0"/>
                <w:bCs w:val="0"/>
                <w:color w:val="auto"/>
                <w:spacing w:val="0"/>
                <w:position w:val="0"/>
                <w:sz w:val="24"/>
                <w:highlight w:val="none"/>
                <w:lang w:val="en-US" w:eastAsia="zh-CN"/>
              </w:rPr>
              <w:t>旋塔</w:t>
            </w:r>
            <w:r>
              <w:rPr>
                <w:rFonts w:hint="eastAsia" w:ascii="Times New Roman" w:hAnsi="Times New Roman" w:eastAsia="宋体" w:cs="Times New Roman"/>
                <w:color w:val="auto"/>
                <w:kern w:val="0"/>
                <w:sz w:val="24"/>
                <w:szCs w:val="24"/>
                <w:highlight w:val="none"/>
                <w:lang w:bidi="ar"/>
              </w:rPr>
              <w:t>对漆雾</w:t>
            </w:r>
            <w:r>
              <w:rPr>
                <w:rFonts w:hint="eastAsia" w:eastAsia="宋体" w:cs="Times New Roman"/>
                <w:color w:val="auto"/>
                <w:kern w:val="0"/>
                <w:sz w:val="24"/>
                <w:szCs w:val="24"/>
                <w:highlight w:val="none"/>
                <w:lang w:val="en-US" w:eastAsia="zh-CN" w:bidi="ar"/>
              </w:rPr>
              <w:t>的</w:t>
            </w:r>
            <w:r>
              <w:rPr>
                <w:rFonts w:hint="eastAsia" w:ascii="Times New Roman" w:hAnsi="Times New Roman" w:eastAsia="宋体" w:cs="Times New Roman"/>
                <w:color w:val="auto"/>
                <w:kern w:val="0"/>
                <w:sz w:val="24"/>
                <w:szCs w:val="24"/>
                <w:highlight w:val="none"/>
                <w:lang w:bidi="ar"/>
              </w:rPr>
              <w:t>处理效率</w:t>
            </w:r>
            <w:r>
              <w:rPr>
                <w:rFonts w:hint="eastAsia" w:eastAsia="宋体" w:cs="Times New Roman"/>
                <w:color w:val="auto"/>
                <w:kern w:val="0"/>
                <w:sz w:val="24"/>
                <w:szCs w:val="24"/>
                <w:highlight w:val="none"/>
                <w:lang w:val="en-US" w:eastAsia="zh-CN" w:bidi="ar"/>
              </w:rPr>
              <w:t>以</w:t>
            </w:r>
            <w:r>
              <w:rPr>
                <w:rFonts w:ascii="Times New Roman" w:hAnsi="Times New Roman" w:eastAsia="宋体" w:cs="Times New Roman"/>
                <w:color w:val="auto"/>
                <w:kern w:val="0"/>
                <w:sz w:val="24"/>
                <w:szCs w:val="24"/>
                <w:highlight w:val="none"/>
                <w:lang w:bidi="ar"/>
              </w:rPr>
              <w:t>8</w:t>
            </w:r>
            <w:r>
              <w:rPr>
                <w:rFonts w:hint="eastAsia" w:ascii="Times New Roman" w:hAnsi="Times New Roman" w:eastAsia="宋体" w:cs="Times New Roman"/>
                <w:color w:val="auto"/>
                <w:kern w:val="0"/>
                <w:sz w:val="24"/>
                <w:szCs w:val="24"/>
                <w:highlight w:val="none"/>
                <w:lang w:val="en-US" w:eastAsia="zh-CN" w:bidi="ar"/>
              </w:rPr>
              <w:t>5</w:t>
            </w:r>
            <w:r>
              <w:rPr>
                <w:rFonts w:ascii="Times New Roman" w:hAnsi="Times New Roman" w:eastAsia="宋体" w:cs="Times New Roman"/>
                <w:color w:val="auto"/>
                <w:kern w:val="0"/>
                <w:sz w:val="24"/>
                <w:szCs w:val="24"/>
                <w:highlight w:val="none"/>
                <w:lang w:bidi="ar"/>
              </w:rPr>
              <w:t>%</w:t>
            </w:r>
            <w:r>
              <w:rPr>
                <w:rFonts w:hint="eastAsia" w:eastAsia="宋体" w:cs="Times New Roman"/>
                <w:color w:val="auto"/>
                <w:kern w:val="0"/>
                <w:sz w:val="24"/>
                <w:szCs w:val="24"/>
                <w:highlight w:val="none"/>
                <w:lang w:val="en-US" w:eastAsia="zh-CN" w:bidi="ar"/>
              </w:rPr>
              <w:t>计</w:t>
            </w:r>
            <w:r>
              <w:rPr>
                <w:rFonts w:hint="eastAsia" w:eastAsia="宋体" w:cs="Times New Roman"/>
                <w:b w:val="0"/>
                <w:bCs w:val="0"/>
                <w:color w:val="auto"/>
                <w:spacing w:val="0"/>
                <w:position w:val="0"/>
                <w:sz w:val="24"/>
                <w:highlight w:val="none"/>
                <w:lang w:val="en-US" w:eastAsia="zh-CN"/>
              </w:rPr>
              <w:t>，</w:t>
            </w:r>
            <w:r>
              <w:rPr>
                <w:rFonts w:hint="eastAsia" w:eastAsia="宋体" w:cs="Times New Roman"/>
                <w:color w:val="auto"/>
                <w:kern w:val="0"/>
                <w:sz w:val="24"/>
                <w:szCs w:val="24"/>
                <w:highlight w:val="none"/>
                <w:lang w:val="en-US" w:eastAsia="zh-CN" w:bidi="ar"/>
              </w:rPr>
              <w:t>过滤棉</w:t>
            </w:r>
            <w:r>
              <w:rPr>
                <w:rFonts w:hint="eastAsia" w:ascii="Times New Roman" w:hAnsi="Times New Roman" w:eastAsia="宋体" w:cs="Times New Roman"/>
                <w:color w:val="auto"/>
                <w:kern w:val="0"/>
                <w:sz w:val="24"/>
                <w:szCs w:val="24"/>
                <w:highlight w:val="none"/>
                <w:lang w:bidi="ar"/>
              </w:rPr>
              <w:t>对漆雾</w:t>
            </w:r>
            <w:r>
              <w:rPr>
                <w:rFonts w:hint="eastAsia" w:eastAsia="宋体" w:cs="Times New Roman"/>
                <w:color w:val="auto"/>
                <w:kern w:val="0"/>
                <w:sz w:val="24"/>
                <w:szCs w:val="24"/>
                <w:highlight w:val="none"/>
                <w:lang w:val="en-US" w:eastAsia="zh-CN" w:bidi="ar"/>
              </w:rPr>
              <w:t>的</w:t>
            </w:r>
            <w:r>
              <w:rPr>
                <w:rFonts w:hint="eastAsia" w:ascii="Times New Roman" w:hAnsi="Times New Roman" w:eastAsia="宋体" w:cs="Times New Roman"/>
                <w:color w:val="auto"/>
                <w:kern w:val="0"/>
                <w:sz w:val="24"/>
                <w:szCs w:val="24"/>
                <w:highlight w:val="none"/>
                <w:lang w:bidi="ar"/>
              </w:rPr>
              <w:t>处理效率</w:t>
            </w:r>
            <w:r>
              <w:rPr>
                <w:rFonts w:hint="eastAsia" w:eastAsia="宋体" w:cs="Times New Roman"/>
                <w:color w:val="auto"/>
                <w:kern w:val="0"/>
                <w:sz w:val="24"/>
                <w:szCs w:val="24"/>
                <w:highlight w:val="none"/>
                <w:lang w:val="en-US" w:eastAsia="zh-CN" w:bidi="ar"/>
              </w:rPr>
              <w:t>以</w:t>
            </w:r>
            <w:r>
              <w:rPr>
                <w:rFonts w:ascii="Times New Roman" w:hAnsi="Times New Roman" w:eastAsia="宋体" w:cs="Times New Roman"/>
                <w:color w:val="auto"/>
                <w:kern w:val="0"/>
                <w:sz w:val="24"/>
                <w:szCs w:val="24"/>
                <w:highlight w:val="none"/>
                <w:lang w:bidi="ar"/>
              </w:rPr>
              <w:t>80%</w:t>
            </w:r>
            <w:r>
              <w:rPr>
                <w:rFonts w:hint="eastAsia" w:eastAsia="宋体" w:cs="Times New Roman"/>
                <w:color w:val="auto"/>
                <w:kern w:val="0"/>
                <w:sz w:val="24"/>
                <w:szCs w:val="24"/>
                <w:highlight w:val="none"/>
                <w:lang w:val="en-US" w:eastAsia="zh-CN" w:bidi="ar"/>
              </w:rPr>
              <w:t>计</w:t>
            </w:r>
            <w:r>
              <w:rPr>
                <w:rFonts w:hint="eastAsia" w:ascii="Times New Roman" w:hAnsi="Times New Roman" w:eastAsia="宋体" w:cs="Times New Roman"/>
                <w:color w:val="auto"/>
                <w:kern w:val="0"/>
                <w:sz w:val="24"/>
                <w:szCs w:val="24"/>
                <w:highlight w:val="none"/>
                <w:lang w:bidi="ar"/>
              </w:rPr>
              <w:t>；根据福建省重点行业挥发性有机物污染防治工作方案</w:t>
            </w:r>
            <w:r>
              <w:rPr>
                <w:rFonts w:hint="eastAsia" w:eastAsia="宋体" w:cs="Times New Roman"/>
                <w:color w:val="auto"/>
                <w:kern w:val="0"/>
                <w:sz w:val="24"/>
                <w:szCs w:val="24"/>
                <w:highlight w:val="none"/>
                <w:lang w:eastAsia="zh-CN" w:bidi="ar"/>
              </w:rPr>
              <w:t>（</w:t>
            </w:r>
            <w:r>
              <w:rPr>
                <w:rFonts w:hint="eastAsia" w:ascii="Times New Roman" w:hAnsi="Times New Roman" w:eastAsia="宋体" w:cs="Times New Roman"/>
                <w:color w:val="auto"/>
                <w:kern w:val="0"/>
                <w:sz w:val="24"/>
                <w:szCs w:val="24"/>
                <w:highlight w:val="none"/>
                <w:lang w:bidi="ar"/>
              </w:rPr>
              <w:t>闽环保大气</w:t>
            </w:r>
            <w:r>
              <w:rPr>
                <w:rFonts w:hint="eastAsia" w:eastAsia="宋体" w:cs="Times New Roman"/>
                <w:color w:val="auto"/>
                <w:kern w:val="0"/>
                <w:sz w:val="24"/>
                <w:szCs w:val="24"/>
                <w:highlight w:val="none"/>
                <w:lang w:eastAsia="zh-CN" w:bidi="ar"/>
              </w:rPr>
              <w:t>【</w:t>
            </w:r>
            <w:r>
              <w:rPr>
                <w:rFonts w:hint="eastAsia" w:ascii="Times New Roman" w:hAnsi="Times New Roman" w:eastAsia="宋体" w:cs="Times New Roman"/>
                <w:color w:val="auto"/>
                <w:kern w:val="0"/>
                <w:sz w:val="24"/>
                <w:szCs w:val="24"/>
                <w:highlight w:val="none"/>
                <w:lang w:bidi="ar"/>
              </w:rPr>
              <w:t>2017</w:t>
            </w:r>
            <w:r>
              <w:rPr>
                <w:rFonts w:hint="eastAsia" w:eastAsia="宋体" w:cs="Times New Roman"/>
                <w:color w:val="auto"/>
                <w:kern w:val="0"/>
                <w:sz w:val="24"/>
                <w:szCs w:val="24"/>
                <w:highlight w:val="none"/>
                <w:lang w:eastAsia="zh-CN" w:bidi="ar"/>
              </w:rPr>
              <w:t>】</w:t>
            </w:r>
            <w:r>
              <w:rPr>
                <w:rFonts w:hint="eastAsia" w:ascii="Times New Roman" w:hAnsi="Times New Roman" w:eastAsia="宋体" w:cs="Times New Roman"/>
                <w:color w:val="auto"/>
                <w:kern w:val="0"/>
                <w:sz w:val="24"/>
                <w:szCs w:val="24"/>
                <w:highlight w:val="none"/>
                <w:lang w:bidi="ar"/>
              </w:rPr>
              <w:t>6号</w:t>
            </w:r>
            <w:r>
              <w:rPr>
                <w:rFonts w:hint="eastAsia" w:eastAsia="宋体" w:cs="Times New Roman"/>
                <w:color w:val="auto"/>
                <w:kern w:val="0"/>
                <w:sz w:val="24"/>
                <w:szCs w:val="24"/>
                <w:highlight w:val="none"/>
                <w:lang w:eastAsia="zh-CN" w:bidi="ar"/>
              </w:rPr>
              <w:t>）</w:t>
            </w:r>
            <w:r>
              <w:rPr>
                <w:rFonts w:hint="eastAsia" w:ascii="Times New Roman" w:hAnsi="Times New Roman" w:eastAsia="宋体" w:cs="Times New Roman"/>
                <w:color w:val="auto"/>
                <w:kern w:val="0"/>
                <w:sz w:val="24"/>
                <w:szCs w:val="24"/>
                <w:highlight w:val="none"/>
                <w:lang w:bidi="ar"/>
              </w:rPr>
              <w:t>文件要求可知，排放VOCs的生产工序要在密闭空间或设备中实施，产生的含VOCs废气需进行净化处理，净化效率应不低于80%，因此，本评价“</w:t>
            </w:r>
            <w:r>
              <w:rPr>
                <w:rFonts w:hint="eastAsia" w:eastAsia="宋体" w:cs="Times New Roman"/>
                <w:color w:val="auto"/>
                <w:sz w:val="24"/>
                <w:szCs w:val="24"/>
                <w:highlight w:val="none"/>
                <w:lang w:eastAsia="zh-CN"/>
              </w:rPr>
              <w:t>气旋塔</w:t>
            </w:r>
            <w:r>
              <w:rPr>
                <w:rFonts w:hint="eastAsia" w:ascii="Times New Roman" w:hAnsi="Times New Roman" w:eastAsia="宋体" w:cs="Times New Roman"/>
                <w:color w:val="auto"/>
                <w:kern w:val="0"/>
                <w:sz w:val="24"/>
                <w:szCs w:val="24"/>
                <w:highlight w:val="none"/>
                <w:lang w:bidi="ar"/>
              </w:rPr>
              <w:t>+过滤棉+二级活性炭吸附装置”对有机废气去除效率按80%计</w:t>
            </w:r>
            <w:r>
              <w:rPr>
                <w:rFonts w:hint="eastAsia" w:eastAsia="宋体" w:cs="Times New Roman"/>
                <w:color w:val="auto"/>
                <w:kern w:val="0"/>
                <w:sz w:val="24"/>
                <w:szCs w:val="24"/>
                <w:highlight w:val="none"/>
                <w:lang w:eastAsia="zh-CN" w:bidi="ar"/>
              </w:rPr>
              <w:t>；</w:t>
            </w:r>
            <w:r>
              <w:rPr>
                <w:rFonts w:hint="eastAsia" w:ascii="Times New Roman" w:hAnsi="Times New Roman" w:eastAsia="宋体" w:cs="Times New Roman"/>
                <w:b w:val="0"/>
                <w:bCs w:val="0"/>
                <w:color w:val="auto"/>
                <w:spacing w:val="0"/>
                <w:position w:val="0"/>
                <w:sz w:val="24"/>
                <w:highlight w:val="none"/>
                <w:lang w:val="en-US" w:eastAsia="zh-CN"/>
              </w:rPr>
              <w:t>项目漆雾无组织排放约70%沉降</w:t>
            </w:r>
            <w:r>
              <w:rPr>
                <w:rFonts w:hint="eastAsia" w:ascii="Times New Roman" w:hAnsi="Times New Roman" w:eastAsia="宋体" w:cs="Times New Roman"/>
                <w:color w:val="auto"/>
                <w:kern w:val="0"/>
                <w:sz w:val="24"/>
                <w:szCs w:val="24"/>
                <w:highlight w:val="none"/>
                <w:lang w:bidi="ar"/>
              </w:rPr>
              <w:t>。</w:t>
            </w:r>
            <w:r>
              <w:rPr>
                <w:rFonts w:hint="eastAsia" w:ascii="Times New Roman" w:hAnsi="Times New Roman" w:eastAsia="宋体" w:cs="Times New Roman"/>
                <w:color w:val="auto"/>
                <w:spacing w:val="0"/>
                <w:position w:val="0"/>
                <w:sz w:val="24"/>
                <w:szCs w:val="24"/>
                <w:highlight w:val="none"/>
                <w:lang w:val="en-US" w:eastAsia="zh-CN"/>
              </w:rPr>
              <w:t>废气污染物排放源信息汇总表（产、排情况）详见表4.</w:t>
            </w:r>
            <w:r>
              <w:rPr>
                <w:rFonts w:hint="eastAsia" w:eastAsia="宋体" w:cs="Times New Roman"/>
                <w:color w:val="auto"/>
                <w:spacing w:val="0"/>
                <w:position w:val="0"/>
                <w:sz w:val="24"/>
                <w:szCs w:val="24"/>
                <w:highlight w:val="none"/>
                <w:lang w:val="en-US" w:eastAsia="zh-CN"/>
              </w:rPr>
              <w:t>1.1</w:t>
            </w:r>
            <w:r>
              <w:rPr>
                <w:rFonts w:hint="eastAsia" w:ascii="Times New Roman" w:hAnsi="Times New Roman" w:eastAsia="宋体" w:cs="Times New Roman"/>
                <w:color w:val="auto"/>
                <w:spacing w:val="0"/>
                <w:position w:val="0"/>
                <w:sz w:val="24"/>
                <w:szCs w:val="24"/>
                <w:highlight w:val="none"/>
                <w:lang w:val="en-US" w:eastAsia="zh-CN"/>
              </w:rPr>
              <w:t>-1</w:t>
            </w:r>
            <w:r>
              <w:rPr>
                <w:rFonts w:hint="eastAsia" w:eastAsia="宋体" w:cs="Times New Roman"/>
                <w:color w:val="auto"/>
                <w:spacing w:val="0"/>
                <w:position w:val="0"/>
                <w:sz w:val="24"/>
                <w:szCs w:val="24"/>
                <w:highlight w:val="none"/>
                <w:lang w:val="en-US" w:eastAsia="zh-CN"/>
              </w:rPr>
              <w:t>。</w:t>
            </w:r>
          </w:p>
          <w:p w14:paraId="0C113043">
            <w:pPr>
              <w:pStyle w:val="120"/>
              <w:keepNext w:val="0"/>
              <w:keepLines w:val="0"/>
              <w:pageBreakBefore w:val="0"/>
              <w:kinsoku/>
              <w:wordWrap/>
              <w:topLinePunct w:val="0"/>
              <w:bidi w:val="0"/>
              <w:adjustRightInd/>
              <w:spacing w:line="360" w:lineRule="auto"/>
              <w:ind w:firstLine="504" w:firstLineChars="200"/>
              <w:jc w:val="both"/>
              <w:rPr>
                <w:rFonts w:hint="eastAsia" w:ascii="Times New Roman" w:hAnsi="Times New Roman" w:eastAsia="宋体" w:cs="Times New Roman"/>
                <w:color w:val="auto"/>
                <w:kern w:val="0"/>
                <w:sz w:val="24"/>
                <w:szCs w:val="24"/>
                <w:highlight w:val="none"/>
                <w:lang w:bidi="ar"/>
              </w:rPr>
            </w:pPr>
          </w:p>
          <w:p w14:paraId="3DF8005C">
            <w:pPr>
              <w:pStyle w:val="120"/>
              <w:keepNext w:val="0"/>
              <w:keepLines w:val="0"/>
              <w:pageBreakBefore w:val="0"/>
              <w:kinsoku/>
              <w:wordWrap/>
              <w:topLinePunct w:val="0"/>
              <w:bidi w:val="0"/>
              <w:adjustRightInd/>
              <w:spacing w:line="360" w:lineRule="auto"/>
              <w:ind w:firstLine="504" w:firstLineChars="200"/>
              <w:jc w:val="both"/>
              <w:rPr>
                <w:rFonts w:hint="eastAsia" w:ascii="Times New Roman" w:hAnsi="Times New Roman" w:eastAsia="宋体" w:cs="Times New Roman"/>
                <w:color w:val="auto"/>
                <w:kern w:val="0"/>
                <w:sz w:val="24"/>
                <w:szCs w:val="24"/>
                <w:highlight w:val="none"/>
                <w:lang w:bidi="ar"/>
              </w:rPr>
            </w:pPr>
          </w:p>
          <w:p w14:paraId="504E45BB">
            <w:pPr>
              <w:pStyle w:val="120"/>
              <w:keepNext w:val="0"/>
              <w:keepLines w:val="0"/>
              <w:pageBreakBefore w:val="0"/>
              <w:kinsoku/>
              <w:wordWrap/>
              <w:topLinePunct w:val="0"/>
              <w:bidi w:val="0"/>
              <w:adjustRightInd/>
              <w:spacing w:line="360" w:lineRule="auto"/>
              <w:ind w:firstLine="504" w:firstLineChars="200"/>
              <w:jc w:val="both"/>
              <w:rPr>
                <w:rFonts w:hint="eastAsia" w:ascii="Times New Roman" w:hAnsi="Times New Roman" w:eastAsia="宋体" w:cs="Times New Roman"/>
                <w:color w:val="auto"/>
                <w:kern w:val="0"/>
                <w:sz w:val="24"/>
                <w:szCs w:val="24"/>
                <w:highlight w:val="none"/>
                <w:lang w:bidi="ar"/>
              </w:rPr>
            </w:pPr>
            <w:r>
              <w:rPr>
                <w:color w:val="auto"/>
                <w:sz w:val="24"/>
                <w:highlight w:val="none"/>
              </w:rPr>
              <mc:AlternateContent>
                <mc:Choice Requires="wpg">
                  <w:drawing>
                    <wp:anchor distT="0" distB="0" distL="114300" distR="114300" simplePos="0" relativeHeight="251664384" behindDoc="0" locked="0" layoutInCell="1" allowOverlap="1">
                      <wp:simplePos x="0" y="0"/>
                      <wp:positionH relativeFrom="column">
                        <wp:posOffset>43815</wp:posOffset>
                      </wp:positionH>
                      <wp:positionV relativeFrom="paragraph">
                        <wp:posOffset>48260</wp:posOffset>
                      </wp:positionV>
                      <wp:extent cx="5538470" cy="1330960"/>
                      <wp:effectExtent l="0" t="4445" r="5080" b="0"/>
                      <wp:wrapNone/>
                      <wp:docPr id="309" name="组合 309"/>
                      <wp:cNvGraphicFramePr/>
                      <a:graphic xmlns:a="http://schemas.openxmlformats.org/drawingml/2006/main">
                        <a:graphicData uri="http://schemas.microsoft.com/office/word/2010/wordprocessingGroup">
                          <wpg:wgp>
                            <wpg:cNvGrpSpPr/>
                            <wpg:grpSpPr>
                              <a:xfrm>
                                <a:off x="0" y="0"/>
                                <a:ext cx="5538470" cy="1330960"/>
                                <a:chOff x="5248" y="983860"/>
                                <a:chExt cx="8722" cy="2096"/>
                              </a:xfrm>
                            </wpg:grpSpPr>
                            <wpg:grpSp>
                              <wpg:cNvPr id="307" name="组合 307"/>
                              <wpg:cNvGrpSpPr/>
                              <wpg:grpSpPr>
                                <a:xfrm>
                                  <a:off x="5248" y="983860"/>
                                  <a:ext cx="8722" cy="1531"/>
                                  <a:chOff x="5299" y="984399"/>
                                  <a:chExt cx="8722" cy="1531"/>
                                </a:xfrm>
                              </wpg:grpSpPr>
                              <wps:wsp>
                                <wps:cNvPr id="8" name="文本框 8"/>
                                <wps:cNvSpPr txBox="1"/>
                                <wps:spPr>
                                  <a:xfrm>
                                    <a:off x="5299" y="984541"/>
                                    <a:ext cx="1104" cy="7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5F8E43">
                                      <w:pPr>
                                        <w:jc w:val="center"/>
                                        <w:rPr>
                                          <w:rFonts w:hint="default" w:eastAsia="宋体"/>
                                          <w:lang w:val="en-US" w:eastAsia="zh-CN"/>
                                        </w:rPr>
                                      </w:pPr>
                                      <w:r>
                                        <w:rPr>
                                          <w:rFonts w:hint="eastAsia"/>
                                          <w:lang w:val="en-US" w:eastAsia="zh-CN"/>
                                        </w:rPr>
                                        <w:t>调漆、喷漆废气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直接箭头连接符 25"/>
                                <wps:cNvCnPr>
                                  <a:stCxn id="8" idx="3"/>
                                </wps:cNvCnPr>
                                <wps:spPr>
                                  <a:xfrm>
                                    <a:off x="6403" y="984924"/>
                                    <a:ext cx="575" cy="4"/>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42" name="文本框 42"/>
                                <wps:cNvSpPr txBox="1"/>
                                <wps:spPr>
                                  <a:xfrm>
                                    <a:off x="6970" y="984399"/>
                                    <a:ext cx="1086" cy="1044"/>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8309706">
                                      <w:pPr>
                                        <w:jc w:val="center"/>
                                        <w:rPr>
                                          <w:rFonts w:hint="default" w:eastAsia="宋体"/>
                                          <w:lang w:val="en-US" w:eastAsia="zh-CN"/>
                                        </w:rPr>
                                      </w:pPr>
                                      <w:r>
                                        <w:rPr>
                                          <w:rFonts w:hint="eastAsia"/>
                                          <w:lang w:val="en-US" w:eastAsia="zh-CN"/>
                                        </w:rPr>
                                        <w:t>水帘柜（负压喷漆房）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6" name="直接箭头连接符 296"/>
                                <wps:cNvCnPr/>
                                <wps:spPr>
                                  <a:xfrm>
                                    <a:off x="8057" y="984928"/>
                                    <a:ext cx="575" cy="4"/>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97" name="文本框 297"/>
                                <wps:cNvSpPr txBox="1"/>
                                <wps:spPr>
                                  <a:xfrm>
                                    <a:off x="8625" y="984669"/>
                                    <a:ext cx="1205" cy="512"/>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CE7A90A">
                                      <w:pPr>
                                        <w:jc w:val="center"/>
                                        <w:rPr>
                                          <w:rFonts w:hint="default" w:eastAsia="宋体"/>
                                          <w:lang w:val="en-US" w:eastAsia="zh-CN"/>
                                        </w:rPr>
                                      </w:pPr>
                                      <w:r>
                                        <w:rPr>
                                          <w:rFonts w:hint="eastAsia"/>
                                          <w:lang w:val="en-US" w:eastAsia="zh-CN"/>
                                        </w:rPr>
                                        <w:t>集气装置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9" name="文本框 299"/>
                                <wps:cNvSpPr txBox="1"/>
                                <wps:spPr>
                                  <a:xfrm>
                                    <a:off x="10384" y="984399"/>
                                    <a:ext cx="1744" cy="1098"/>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A61BCDF">
                                      <w:pPr>
                                        <w:jc w:val="center"/>
                                        <w:rPr>
                                          <w:rFonts w:hint="eastAsia"/>
                                          <w:lang w:val="en-US" w:eastAsia="zh-CN"/>
                                        </w:rPr>
                                      </w:pPr>
                                      <w:r>
                                        <w:rPr>
                                          <w:rFonts w:hint="eastAsia"/>
                                          <w:lang w:val="en-US" w:eastAsia="zh-CN"/>
                                        </w:rPr>
                                        <w:t>气旋塔+过滤棉+两级活性炭吸附装置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1" name="直接箭头连接符 301"/>
                                <wps:cNvCnPr/>
                                <wps:spPr>
                                  <a:xfrm>
                                    <a:off x="9831" y="984932"/>
                                    <a:ext cx="575" cy="4"/>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02" name="直接箭头连接符 302"/>
                                <wps:cNvCnPr/>
                                <wps:spPr>
                                  <a:xfrm flipV="1">
                                    <a:off x="12144" y="984948"/>
                                    <a:ext cx="428" cy="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03" name="文本框 303"/>
                                <wps:cNvSpPr txBox="1"/>
                                <wps:spPr>
                                  <a:xfrm>
                                    <a:off x="12596" y="984453"/>
                                    <a:ext cx="1425" cy="96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8A8F2E7">
                                      <w:pPr>
                                        <w:jc w:val="center"/>
                                        <w:rPr>
                                          <w:rFonts w:hint="eastAsia"/>
                                          <w:lang w:val="en-US" w:eastAsia="zh-CN"/>
                                        </w:rPr>
                                      </w:pPr>
                                      <w:r>
                                        <w:rPr>
                                          <w:rFonts w:hint="eastAsia"/>
                                          <w:lang w:val="en-US" w:eastAsia="zh-CN"/>
                                        </w:rPr>
                                        <w:t>25m高排气筒排放（DA001）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4" name="直接箭头连接符 304"/>
                                <wps:cNvCnPr/>
                                <wps:spPr>
                                  <a:xfrm flipV="1">
                                    <a:off x="9252" y="985189"/>
                                    <a:ext cx="8" cy="369"/>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05" name="文本框 305"/>
                                <wps:cNvSpPr txBox="1"/>
                                <wps:spPr>
                                  <a:xfrm>
                                    <a:off x="8639" y="985485"/>
                                    <a:ext cx="1239" cy="4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181487">
                                      <w:pPr>
                                        <w:jc w:val="center"/>
                                        <w:rPr>
                                          <w:rFonts w:hint="default" w:eastAsia="宋体"/>
                                          <w:lang w:val="en-US" w:eastAsia="zh-CN"/>
                                        </w:rPr>
                                      </w:pPr>
                                      <w:r>
                                        <w:rPr>
                                          <w:rFonts w:hint="eastAsia"/>
                                          <w:lang w:val="en-US" w:eastAsia="zh-CN"/>
                                        </w:rPr>
                                        <w:t>晾干废气</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08" name="文本框 308"/>
                              <wps:cNvSpPr txBox="1"/>
                              <wps:spPr>
                                <a:xfrm>
                                  <a:off x="6952" y="985477"/>
                                  <a:ext cx="5433" cy="4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A9FA4">
                                    <w:pPr>
                                      <w:rPr>
                                        <w:sz w:val="24"/>
                                        <w:szCs w:val="24"/>
                                      </w:rPr>
                                    </w:pPr>
                                    <w:r>
                                      <w:rPr>
                                        <w:rFonts w:hint="eastAsia"/>
                                        <w:b/>
                                        <w:bCs/>
                                        <w:kern w:val="0"/>
                                        <w:sz w:val="24"/>
                                        <w:szCs w:val="24"/>
                                        <w:lang w:bidi="ar"/>
                                      </w:rPr>
                                      <w:t>图</w:t>
                                    </w:r>
                                    <w:r>
                                      <w:rPr>
                                        <w:rFonts w:hint="eastAsia"/>
                                        <w:b/>
                                        <w:bCs/>
                                        <w:kern w:val="0"/>
                                        <w:sz w:val="24"/>
                                        <w:szCs w:val="24"/>
                                        <w:lang w:val="en-US" w:eastAsia="zh-CN" w:bidi="ar"/>
                                      </w:rPr>
                                      <w:t>4.1-1调漆、</w:t>
                                    </w:r>
                                    <w:r>
                                      <w:rPr>
                                        <w:rFonts w:hint="eastAsia"/>
                                        <w:b/>
                                        <w:bCs/>
                                        <w:color w:val="000000"/>
                                        <w:sz w:val="24"/>
                                        <w:szCs w:val="24"/>
                                      </w:rPr>
                                      <w:t>喷漆、晾干废气</w:t>
                                    </w:r>
                                    <w:r>
                                      <w:rPr>
                                        <w:rFonts w:hint="eastAsia"/>
                                        <w:b/>
                                        <w:bCs/>
                                        <w:kern w:val="0"/>
                                        <w:sz w:val="24"/>
                                        <w:szCs w:val="24"/>
                                        <w:lang w:bidi="ar"/>
                                      </w:rPr>
                                      <w:t>处理工艺流程图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45pt;margin-top:3.8pt;height:104.8pt;width:436.1pt;z-index:251664384;mso-width-relative:page;mso-height-relative:page;" coordorigin="5248,983860" coordsize="8722,2096" o:gfxdata="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HfnuODYAAAABwEAAA8AAAAAAAAAAQAgAAAAIgAAAGRycy9kb3du&#10;cmV2LnhtbFBLAQIUABQAAAAIAIdO4kD3ZjcujwUAABgiAAAOAAAAAAAAAAEAIAAAACcBAABkcnMv&#10;ZTJvRG9jLnhtbFBLBQYAAAAABgAGAFkBAAAoCQAAAAA=&#10;">
                      <o:lock v:ext="edit" aspectratio="f"/>
                      <v:group id="_x0000_s1026" o:spid="_x0000_s1026" o:spt="203" style="position:absolute;left:5248;top:983860;height:1531;width:8722;" coordorigin="5299,984399" coordsize="8722,1531" o:gfxdata="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t2tE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5299;top:984541;height:765;width:1104;" fillcolor="#FFFFFF [3201]" filled="t" stroked="f" coordsize="21600,21600" o:gfxdata="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gOWGKzAAAA2g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14:paraId="1D5F8E43">
                                <w:pPr>
                                  <w:jc w:val="center"/>
                                  <w:rPr>
                                    <w:rFonts w:hint="default" w:eastAsia="宋体"/>
                                    <w:lang w:val="en-US" w:eastAsia="zh-CN"/>
                                  </w:rPr>
                                </w:pPr>
                                <w:r>
                                  <w:rPr>
                                    <w:rFonts w:hint="eastAsia"/>
                                    <w:lang w:val="en-US" w:eastAsia="zh-CN"/>
                                  </w:rPr>
                                  <w:t>调漆、喷漆废气</w:t>
                                </w:r>
                              </w:p>
                            </w:txbxContent>
                          </v:textbox>
                        </v:shape>
                        <v:shape id="_x0000_s1026" o:spid="_x0000_s1026" o:spt="32" type="#_x0000_t32" style="position:absolute;left:6403;top:984924;height:4;width:575;" filled="f" stroked="t" coordsize="21600,21600" o:gfxdata="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oSwi/&#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_x0000_s1026" o:spid="_x0000_s1026" o:spt="202" type="#_x0000_t202" style="position:absolute;left:6970;top:984399;height:1044;width:1086;" fillcolor="#FFFFFF [3201]" filled="t" stroked="t" coordsize="21600,21600" o:gfxdata="UEsDBAoAAAAAAIdO4kAAAAAAAAAAAAAAAAAEAAAAZHJzL1BLAwQUAAAACACHTuJAcNmW17cAAADb&#10;AAAADwAAAGRycy9kb3ducmV2LnhtbEWPwQrCMBBE74L/EFbwpqlVRK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2ZbXtwAAANsAAAAP&#10;AAAAAAAAAAEAIAAAACIAAABkcnMvZG93bnJldi54bWxQSwECFAAUAAAACACHTuJAMy8FnjsAAAA5&#10;AAAAEAAAAAAAAAABACAAAAAGAQAAZHJzL3NoYXBleG1sLnhtbFBLBQYAAAAABgAGAFsBAACwAwAA&#10;AAA=&#10;">
                          <v:fill on="t" focussize="0,0"/>
                          <v:stroke weight="0.5pt" color="#000000 [3213]" joinstyle="round"/>
                          <v:imagedata o:title=""/>
                          <o:lock v:ext="edit" aspectratio="f"/>
                          <v:textbox>
                            <w:txbxContent>
                              <w:p w14:paraId="38309706">
                                <w:pPr>
                                  <w:jc w:val="center"/>
                                  <w:rPr>
                                    <w:rFonts w:hint="default" w:eastAsia="宋体"/>
                                    <w:lang w:val="en-US" w:eastAsia="zh-CN"/>
                                  </w:rPr>
                                </w:pPr>
                                <w:r>
                                  <w:rPr>
                                    <w:rFonts w:hint="eastAsia"/>
                                    <w:lang w:val="en-US" w:eastAsia="zh-CN"/>
                                  </w:rPr>
                                  <w:t>水帘柜（负压喷漆房）</w:t>
                                </w:r>
                              </w:p>
                            </w:txbxContent>
                          </v:textbox>
                        </v:shape>
                        <v:shape id="_x0000_s1026" o:spid="_x0000_s1026" o:spt="32" type="#_x0000_t32" style="position:absolute;left:8057;top:984928;height:4;width:575;" filled="f" stroked="t" coordsize="21600,21600" o:gfxdata="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2yn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202" type="#_x0000_t202" style="position:absolute;left:8625;top:984669;height:512;width:1205;" fillcolor="#FFFFFF [3201]" filled="t" stroked="t" coordsize="21600,21600" o:gfxdata="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ierm8AAAA&#10;3AAAAA8AAAAAAAAAAQAgAAAAIgAAAGRycy9kb3ducmV2LnhtbFBLAQIUABQAAAAIAIdO4kAzLwWe&#10;OwAAADkAAAAQAAAAAAAAAAEAIAAAAAsBAABkcnMvc2hhcGV4bWwueG1sUEsFBgAAAAAGAAYAWwEA&#10;ALUDAAAAAA==&#10;">
                          <v:fill on="t" focussize="0,0"/>
                          <v:stroke weight="0.5pt" color="#000000 [3213]" joinstyle="round"/>
                          <v:imagedata o:title=""/>
                          <o:lock v:ext="edit" aspectratio="f"/>
                          <v:textbox>
                            <w:txbxContent>
                              <w:p w14:paraId="2CE7A90A">
                                <w:pPr>
                                  <w:jc w:val="center"/>
                                  <w:rPr>
                                    <w:rFonts w:hint="default" w:eastAsia="宋体"/>
                                    <w:lang w:val="en-US" w:eastAsia="zh-CN"/>
                                  </w:rPr>
                                </w:pPr>
                                <w:r>
                                  <w:rPr>
                                    <w:rFonts w:hint="eastAsia"/>
                                    <w:lang w:val="en-US" w:eastAsia="zh-CN"/>
                                  </w:rPr>
                                  <w:t>集气装置</w:t>
                                </w:r>
                              </w:p>
                            </w:txbxContent>
                          </v:textbox>
                        </v:shape>
                        <v:shape id="_x0000_s1026" o:spid="_x0000_s1026" o:spt="202" type="#_x0000_t202" style="position:absolute;left:10384;top:984399;height:1098;width:1744;" fillcolor="#FFFFFF [3201]" filled="t" stroked="t" coordsize="21600,21600" o:gfxdata="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rFLULgAAADcAAAA&#10;DwAAAAAAAAABACAAAAAiAAAAZHJzL2Rvd25yZXYueG1sUEsBAhQAFAAAAAgAh07iQDMvBZ47AAAA&#10;OQAAABAAAAAAAAAAAQAgAAAABwEAAGRycy9zaGFwZXhtbC54bWxQSwUGAAAAAAYABgBbAQAAsQMA&#10;AAAA&#10;">
                          <v:fill on="t" focussize="0,0"/>
                          <v:stroke weight="0.5pt" color="#000000 [3213]" joinstyle="round"/>
                          <v:imagedata o:title=""/>
                          <o:lock v:ext="edit" aspectratio="f"/>
                          <v:textbox>
                            <w:txbxContent>
                              <w:p w14:paraId="2A61BCDF">
                                <w:pPr>
                                  <w:jc w:val="center"/>
                                  <w:rPr>
                                    <w:rFonts w:hint="eastAsia"/>
                                    <w:lang w:val="en-US" w:eastAsia="zh-CN"/>
                                  </w:rPr>
                                </w:pPr>
                                <w:r>
                                  <w:rPr>
                                    <w:rFonts w:hint="eastAsia"/>
                                    <w:lang w:val="en-US" w:eastAsia="zh-CN"/>
                                  </w:rPr>
                                  <w:t>气旋塔+过滤棉+两级活性炭吸附装置</w:t>
                                </w:r>
                              </w:p>
                            </w:txbxContent>
                          </v:textbox>
                        </v:shape>
                        <v:shape id="_x0000_s1026" o:spid="_x0000_s1026" o:spt="32" type="#_x0000_t32" style="position:absolute;left:9831;top:984932;height:4;width:575;" filled="f" stroked="t" coordsize="21600,21600" o:gfxdata="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w8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2144;top:984948;flip:y;height:5;width:428;" filled="f" stroked="t" coordsize="21600,21600" o:gfxdata="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nSo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202" type="#_x0000_t202" style="position:absolute;left:12596;top:984453;height:967;width:1425;" fillcolor="#FFFFFF [3201]" filled="t" stroked="f" coordsize="21600,21600" o:gfxdata="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MqtO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18A8F2E7">
                                <w:pPr>
                                  <w:jc w:val="center"/>
                                  <w:rPr>
                                    <w:rFonts w:hint="eastAsia"/>
                                    <w:lang w:val="en-US" w:eastAsia="zh-CN"/>
                                  </w:rPr>
                                </w:pPr>
                                <w:r>
                                  <w:rPr>
                                    <w:rFonts w:hint="eastAsia"/>
                                    <w:lang w:val="en-US" w:eastAsia="zh-CN"/>
                                  </w:rPr>
                                  <w:t>25m高排气筒排放（DA001）</w:t>
                                </w:r>
                              </w:p>
                            </w:txbxContent>
                          </v:textbox>
                        </v:shape>
                        <v:shape id="_x0000_s1026" o:spid="_x0000_s1026" o:spt="32" type="#_x0000_t32" style="position:absolute;left:9252;top:985189;flip:y;height:369;width:8;" filled="f" stroked="t" coordsize="21600,21600" o:gfxdata="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80lH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202" type="#_x0000_t202" style="position:absolute;left:8639;top:985485;height:445;width:1239;" fillcolor="#FFFFFF [3201]" filled="t" stroked="f" coordsize="21600,21600" o:gfxdata="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plzy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34181487">
                                <w:pPr>
                                  <w:jc w:val="center"/>
                                  <w:rPr>
                                    <w:rFonts w:hint="default" w:eastAsia="宋体"/>
                                    <w:lang w:val="en-US" w:eastAsia="zh-CN"/>
                                  </w:rPr>
                                </w:pPr>
                                <w:r>
                                  <w:rPr>
                                    <w:rFonts w:hint="eastAsia"/>
                                    <w:lang w:val="en-US" w:eastAsia="zh-CN"/>
                                  </w:rPr>
                                  <w:t>晾干废气</w:t>
                                </w:r>
                              </w:p>
                            </w:txbxContent>
                          </v:textbox>
                        </v:shape>
                      </v:group>
                      <v:shape id="_x0000_s1026" o:spid="_x0000_s1026" o:spt="202" type="#_x0000_t202" style="position:absolute;left:6952;top:985477;height:479;width:5433;" filled="f" stroked="f" coordsize="21600,21600" o:gfxdata="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4b2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2DA9FA4">
                              <w:pPr>
                                <w:rPr>
                                  <w:sz w:val="24"/>
                                  <w:szCs w:val="24"/>
                                </w:rPr>
                              </w:pPr>
                              <w:r>
                                <w:rPr>
                                  <w:rFonts w:hint="eastAsia"/>
                                  <w:b/>
                                  <w:bCs/>
                                  <w:kern w:val="0"/>
                                  <w:sz w:val="24"/>
                                  <w:szCs w:val="24"/>
                                  <w:lang w:bidi="ar"/>
                                </w:rPr>
                                <w:t>图</w:t>
                              </w:r>
                              <w:r>
                                <w:rPr>
                                  <w:rFonts w:hint="eastAsia"/>
                                  <w:b/>
                                  <w:bCs/>
                                  <w:kern w:val="0"/>
                                  <w:sz w:val="24"/>
                                  <w:szCs w:val="24"/>
                                  <w:lang w:val="en-US" w:eastAsia="zh-CN" w:bidi="ar"/>
                                </w:rPr>
                                <w:t>4.1-1调漆、</w:t>
                              </w:r>
                              <w:r>
                                <w:rPr>
                                  <w:rFonts w:hint="eastAsia"/>
                                  <w:b/>
                                  <w:bCs/>
                                  <w:color w:val="000000"/>
                                  <w:sz w:val="24"/>
                                  <w:szCs w:val="24"/>
                                </w:rPr>
                                <w:t>喷漆、晾干废气</w:t>
                              </w:r>
                              <w:r>
                                <w:rPr>
                                  <w:rFonts w:hint="eastAsia"/>
                                  <w:b/>
                                  <w:bCs/>
                                  <w:kern w:val="0"/>
                                  <w:sz w:val="24"/>
                                  <w:szCs w:val="24"/>
                                  <w:lang w:bidi="ar"/>
                                </w:rPr>
                                <w:t>处理工艺流程图</w:t>
                              </w:r>
                            </w:p>
                          </w:txbxContent>
                        </v:textbox>
                      </v:shape>
                    </v:group>
                  </w:pict>
                </mc:Fallback>
              </mc:AlternateContent>
            </w:r>
          </w:p>
          <w:p w14:paraId="315C0694">
            <w:pPr>
              <w:pStyle w:val="120"/>
              <w:keepNext w:val="0"/>
              <w:keepLines w:val="0"/>
              <w:pageBreakBefore w:val="0"/>
              <w:kinsoku/>
              <w:wordWrap/>
              <w:topLinePunct w:val="0"/>
              <w:bidi w:val="0"/>
              <w:adjustRightInd/>
              <w:spacing w:line="360" w:lineRule="auto"/>
              <w:ind w:firstLine="504" w:firstLineChars="200"/>
              <w:jc w:val="both"/>
              <w:rPr>
                <w:rFonts w:hint="eastAsia" w:ascii="Times New Roman" w:hAnsi="Times New Roman" w:eastAsia="宋体" w:cs="Times New Roman"/>
                <w:color w:val="auto"/>
                <w:kern w:val="0"/>
                <w:sz w:val="24"/>
                <w:szCs w:val="24"/>
                <w:highlight w:val="none"/>
                <w:lang w:bidi="ar"/>
              </w:rPr>
            </w:pPr>
          </w:p>
          <w:p w14:paraId="6B98DC40">
            <w:pPr>
              <w:pStyle w:val="120"/>
              <w:keepNext w:val="0"/>
              <w:keepLines w:val="0"/>
              <w:pageBreakBefore w:val="0"/>
              <w:kinsoku/>
              <w:wordWrap/>
              <w:topLinePunct w:val="0"/>
              <w:bidi w:val="0"/>
              <w:adjustRightInd/>
              <w:spacing w:line="360" w:lineRule="auto"/>
              <w:ind w:firstLine="504" w:firstLineChars="200"/>
              <w:jc w:val="both"/>
              <w:rPr>
                <w:rFonts w:hint="eastAsia" w:ascii="Times New Roman" w:hAnsi="Times New Roman" w:eastAsia="宋体" w:cs="Times New Roman"/>
                <w:color w:val="auto"/>
                <w:kern w:val="0"/>
                <w:sz w:val="24"/>
                <w:szCs w:val="24"/>
                <w:highlight w:val="none"/>
                <w:lang w:bidi="ar"/>
              </w:rPr>
            </w:pPr>
          </w:p>
          <w:p w14:paraId="398CCADE">
            <w:pPr>
              <w:pStyle w:val="120"/>
              <w:keepNext w:val="0"/>
              <w:keepLines w:val="0"/>
              <w:pageBreakBefore w:val="0"/>
              <w:kinsoku/>
              <w:wordWrap/>
              <w:topLinePunct w:val="0"/>
              <w:bidi w:val="0"/>
              <w:adjustRightInd/>
              <w:spacing w:line="360" w:lineRule="auto"/>
              <w:ind w:firstLine="504" w:firstLineChars="200"/>
              <w:jc w:val="both"/>
              <w:rPr>
                <w:rFonts w:hint="eastAsia" w:ascii="Times New Roman" w:hAnsi="Times New Roman" w:eastAsia="宋体" w:cs="Times New Roman"/>
                <w:color w:val="auto"/>
                <w:kern w:val="0"/>
                <w:sz w:val="24"/>
                <w:szCs w:val="24"/>
                <w:highlight w:val="none"/>
                <w:lang w:bidi="ar"/>
              </w:rPr>
            </w:pPr>
          </w:p>
          <w:p w14:paraId="61ADC352">
            <w:pPr>
              <w:pStyle w:val="120"/>
              <w:keepNext w:val="0"/>
              <w:keepLines w:val="0"/>
              <w:pageBreakBefore w:val="0"/>
              <w:kinsoku/>
              <w:wordWrap/>
              <w:topLinePunct w:val="0"/>
              <w:bidi w:val="0"/>
              <w:adjustRightInd/>
              <w:spacing w:line="360" w:lineRule="auto"/>
              <w:ind w:firstLine="504" w:firstLineChars="200"/>
              <w:jc w:val="both"/>
              <w:rPr>
                <w:rFonts w:hint="eastAsia" w:ascii="Times New Roman" w:hAnsi="Times New Roman" w:eastAsia="宋体" w:cs="Times New Roman"/>
                <w:color w:val="auto"/>
                <w:sz w:val="24"/>
                <w:szCs w:val="24"/>
                <w:highlight w:val="none"/>
              </w:rPr>
            </w:pPr>
          </w:p>
          <w:p w14:paraId="555B357C">
            <w:pPr>
              <w:pStyle w:val="63"/>
              <w:keepNext w:val="0"/>
              <w:keepLines w:val="0"/>
              <w:pageBreakBefore w:val="0"/>
              <w:widowControl/>
              <w:kinsoku/>
              <w:wordWrap/>
              <w:overflowPunct/>
              <w:topLinePunct w:val="0"/>
              <w:autoSpaceDE/>
              <w:autoSpaceDN/>
              <w:bidi w:val="0"/>
              <w:adjustRightInd/>
              <w:snapToGrid w:val="0"/>
              <w:spacing w:before="157" w:beforeLines="50"/>
              <w:ind w:left="0" w:leftChars="0" w:firstLine="0" w:firstLineChars="0"/>
              <w:textAlignment w:val="auto"/>
              <w:rPr>
                <w:rFonts w:hint="default" w:ascii="Times New Roman" w:hAnsi="Times New Roman" w:eastAsia="宋体" w:cs="Times New Roman"/>
                <w:b/>
                <w:bCs/>
                <w:color w:val="auto"/>
                <w:spacing w:val="0"/>
                <w:position w:val="0"/>
                <w:highlight w:val="none"/>
                <w:lang w:val="en-US" w:eastAsia="zh-CN"/>
              </w:rPr>
            </w:pPr>
            <w:r>
              <w:rPr>
                <w:rFonts w:hint="eastAsia" w:ascii="Times New Roman" w:hAnsi="Times New Roman" w:eastAsia="宋体" w:cs="Times New Roman"/>
                <w:b/>
                <w:bCs/>
                <w:color w:val="auto"/>
                <w:spacing w:val="0"/>
                <w:position w:val="0"/>
                <w:highlight w:val="none"/>
                <w:lang w:val="en-US" w:eastAsia="zh-CN"/>
              </w:rPr>
              <w:t>4.1.3 达标排放分析情况</w:t>
            </w:r>
          </w:p>
          <w:p w14:paraId="3CA24823">
            <w:pPr>
              <w:pStyle w:val="63"/>
              <w:ind w:firstLine="480"/>
              <w:rPr>
                <w:rFonts w:hint="eastAsia"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highlight w:val="none"/>
              </w:rPr>
              <w:t>根据引用</w:t>
            </w:r>
            <w:r>
              <w:rPr>
                <w:rFonts w:hint="eastAsia" w:ascii="Times New Roman" w:hAnsi="Times New Roman" w:eastAsia="宋体" w:cs="Times New Roman"/>
                <w:color w:val="auto"/>
                <w:spacing w:val="0"/>
                <w:position w:val="0"/>
                <w:sz w:val="24"/>
                <w:szCs w:val="24"/>
                <w:highlight w:val="none"/>
              </w:rPr>
              <w:t>的泉州市生态环境主管部门公布的环境质量资料，项目所在区域大气环境质量状况良好，具有一定的大气环境容量。</w:t>
            </w:r>
          </w:p>
          <w:p w14:paraId="2F2ADF5E">
            <w:pPr>
              <w:pStyle w:val="63"/>
              <w:ind w:firstLine="48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eastAsia="zh-CN"/>
              </w:rPr>
              <w:t>根据废气污染源分析，</w:t>
            </w:r>
            <w:r>
              <w:rPr>
                <w:rFonts w:hint="eastAsia" w:ascii="Times New Roman" w:hAnsi="Times New Roman" w:cs="Times New Roman"/>
                <w:color w:val="auto"/>
                <w:kern w:val="0"/>
                <w:sz w:val="24"/>
                <w:szCs w:val="24"/>
                <w:highlight w:val="none"/>
                <w:lang w:val="en-US" w:eastAsia="zh-CN"/>
              </w:rPr>
              <w:t>项目</w:t>
            </w:r>
            <w:r>
              <w:rPr>
                <w:rFonts w:hint="eastAsia" w:cs="Times New Roman"/>
                <w:b w:val="0"/>
                <w:bCs w:val="0"/>
                <w:color w:val="auto"/>
                <w:spacing w:val="0"/>
                <w:position w:val="0"/>
                <w:sz w:val="24"/>
                <w:szCs w:val="24"/>
                <w:highlight w:val="none"/>
                <w:lang w:eastAsia="zh-CN"/>
              </w:rPr>
              <w:t>调漆、喷漆废气经水帘柜处理后，与晾干废气一同经集气装置负压收集后再引入“气旋塔+过滤棉+二级活性炭吸附装置”处理后通过1根</w:t>
            </w:r>
            <w:r>
              <w:rPr>
                <w:rFonts w:hint="eastAsia" w:cs="Times New Roman"/>
                <w:b w:val="0"/>
                <w:bCs w:val="0"/>
                <w:color w:val="auto"/>
                <w:spacing w:val="0"/>
                <w:position w:val="0"/>
                <w:sz w:val="24"/>
                <w:szCs w:val="24"/>
                <w:highlight w:val="none"/>
                <w:lang w:val="en-US" w:eastAsia="zh-CN"/>
              </w:rPr>
              <w:t>25m</w:t>
            </w:r>
            <w:r>
              <w:rPr>
                <w:rFonts w:hint="eastAsia" w:cs="Times New Roman"/>
                <w:b w:val="0"/>
                <w:bCs w:val="0"/>
                <w:color w:val="auto"/>
                <w:spacing w:val="0"/>
                <w:position w:val="0"/>
                <w:sz w:val="24"/>
                <w:szCs w:val="24"/>
                <w:highlight w:val="none"/>
                <w:lang w:eastAsia="zh-CN"/>
              </w:rPr>
              <w:t>排气筒（DA00</w:t>
            </w:r>
            <w:r>
              <w:rPr>
                <w:rFonts w:hint="eastAsia" w:cs="Times New Roman"/>
                <w:b w:val="0"/>
                <w:bCs w:val="0"/>
                <w:color w:val="auto"/>
                <w:spacing w:val="0"/>
                <w:position w:val="0"/>
                <w:sz w:val="24"/>
                <w:szCs w:val="24"/>
                <w:highlight w:val="none"/>
                <w:lang w:val="en-US" w:eastAsia="zh-CN"/>
              </w:rPr>
              <w:t>1</w:t>
            </w:r>
            <w:r>
              <w:rPr>
                <w:rFonts w:hint="eastAsia" w:cs="Times New Roman"/>
                <w:b w:val="0"/>
                <w:bCs w:val="0"/>
                <w:color w:val="auto"/>
                <w:spacing w:val="0"/>
                <w:position w:val="0"/>
                <w:sz w:val="24"/>
                <w:szCs w:val="24"/>
                <w:highlight w:val="none"/>
                <w:lang w:eastAsia="zh-CN"/>
              </w:rPr>
              <w:t>）排放</w:t>
            </w:r>
            <w:r>
              <w:rPr>
                <w:rFonts w:hint="eastAsia" w:ascii="Times New Roman" w:hAnsi="Times New Roman" w:eastAsia="宋体" w:cs="Times New Roman"/>
                <w:color w:val="auto"/>
                <w:spacing w:val="0"/>
                <w:position w:val="0"/>
                <w:sz w:val="24"/>
                <w:szCs w:val="24"/>
                <w:highlight w:val="none"/>
                <w:lang w:val="en-US" w:eastAsia="zh-CN"/>
              </w:rPr>
              <w:t>。</w:t>
            </w:r>
          </w:p>
          <w:p w14:paraId="5146E2AF">
            <w:pPr>
              <w:pStyle w:val="63"/>
              <w:ind w:firstLine="480"/>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kern w:val="0"/>
                <w:position w:val="0"/>
                <w:sz w:val="24"/>
                <w:szCs w:val="24"/>
                <w:highlight w:val="none"/>
                <w:lang w:val="en-US" w:eastAsia="zh-CN"/>
              </w:rPr>
              <w:t>项目</w:t>
            </w:r>
            <w:r>
              <w:rPr>
                <w:rFonts w:hint="eastAsia" w:cs="Times New Roman"/>
                <w:color w:val="auto"/>
                <w:spacing w:val="0"/>
                <w:kern w:val="0"/>
                <w:position w:val="0"/>
                <w:sz w:val="24"/>
                <w:szCs w:val="24"/>
                <w:highlight w:val="none"/>
                <w:lang w:val="en-US" w:eastAsia="zh-CN"/>
              </w:rPr>
              <w:t>调漆、喷漆、晾干</w:t>
            </w:r>
            <w:r>
              <w:rPr>
                <w:rFonts w:hint="eastAsia" w:ascii="Times New Roman" w:hAnsi="Times New Roman" w:eastAsia="宋体" w:cs="Times New Roman"/>
                <w:color w:val="auto"/>
                <w:spacing w:val="0"/>
                <w:position w:val="0"/>
                <w:sz w:val="24"/>
                <w:szCs w:val="24"/>
                <w:highlight w:val="none"/>
                <w:lang w:val="en-US" w:eastAsia="zh-CN"/>
              </w:rPr>
              <w:t>工序产生的</w:t>
            </w:r>
            <w:r>
              <w:rPr>
                <w:rFonts w:hint="eastAsia" w:ascii="Times New Roman" w:hAnsi="Times New Roman" w:eastAsia="宋体" w:cs="Times New Roman"/>
                <w:color w:val="auto"/>
                <w:spacing w:val="0"/>
                <w:position w:val="0"/>
                <w:highlight w:val="none"/>
              </w:rPr>
              <w:t>二甲苯</w:t>
            </w:r>
            <w:r>
              <w:rPr>
                <w:rFonts w:hint="eastAsia" w:ascii="Times New Roman" w:hAnsi="Times New Roman" w:eastAsia="宋体" w:cs="Times New Roman"/>
                <w:color w:val="auto"/>
                <w:spacing w:val="0"/>
                <w:position w:val="0"/>
                <w:highlight w:val="none"/>
                <w:lang w:eastAsia="zh-CN"/>
              </w:rPr>
              <w:t>有组织</w:t>
            </w:r>
            <w:r>
              <w:rPr>
                <w:rFonts w:hint="eastAsia" w:ascii="Times New Roman" w:hAnsi="Times New Roman" w:eastAsia="宋体" w:cs="Times New Roman"/>
                <w:color w:val="auto"/>
                <w:spacing w:val="0"/>
                <w:position w:val="0"/>
                <w:highlight w:val="none"/>
              </w:rPr>
              <w:t>排放</w:t>
            </w:r>
            <w:r>
              <w:rPr>
                <w:rFonts w:hint="eastAsia" w:ascii="Times New Roman" w:hAnsi="Times New Roman" w:eastAsia="宋体" w:cs="Times New Roman"/>
                <w:color w:val="auto"/>
                <w:spacing w:val="0"/>
                <w:position w:val="0"/>
                <w:highlight w:val="none"/>
                <w:lang w:eastAsia="zh-CN"/>
              </w:rPr>
              <w:t>浓度为</w:t>
            </w:r>
            <w:r>
              <w:rPr>
                <w:rFonts w:hint="eastAsia" w:cs="Times New Roman"/>
                <w:i w:val="0"/>
                <w:iCs w:val="0"/>
                <w:color w:val="auto"/>
                <w:spacing w:val="0"/>
                <w:position w:val="0"/>
                <w:highlight w:val="none"/>
                <w:lang w:val="en-US" w:eastAsia="zh-CN"/>
              </w:rPr>
              <w:t>0.4067</w:t>
            </w:r>
            <w:r>
              <w:rPr>
                <w:rFonts w:ascii="Times New Roman" w:hAnsi="Times New Roman" w:eastAsia="宋体" w:cs="Times New Roman"/>
                <w:b w:val="0"/>
                <w:bCs w:val="0"/>
                <w:i w:val="0"/>
                <w:iCs w:val="0"/>
                <w:color w:val="auto"/>
                <w:spacing w:val="0"/>
                <w:position w:val="0"/>
                <w:sz w:val="24"/>
                <w:szCs w:val="32"/>
                <w:highlight w:val="none"/>
              </w:rPr>
              <w:t>mg/m</w:t>
            </w:r>
            <w:r>
              <w:rPr>
                <w:rFonts w:ascii="Times New Roman" w:hAnsi="Times New Roman" w:eastAsia="宋体" w:cs="Times New Roman"/>
                <w:b w:val="0"/>
                <w:bCs w:val="0"/>
                <w:i w:val="0"/>
                <w:iCs w:val="0"/>
                <w:color w:val="auto"/>
                <w:spacing w:val="0"/>
                <w:position w:val="0"/>
                <w:sz w:val="24"/>
                <w:szCs w:val="32"/>
                <w:highlight w:val="none"/>
                <w:vertAlign w:val="superscript"/>
              </w:rPr>
              <w:t>3</w:t>
            </w:r>
            <w:r>
              <w:rPr>
                <w:rFonts w:hint="eastAsia" w:ascii="Times New Roman" w:hAnsi="Times New Roman" w:eastAsia="宋体" w:cs="Times New Roman"/>
                <w:i w:val="0"/>
                <w:iCs w:val="0"/>
                <w:color w:val="auto"/>
                <w:spacing w:val="0"/>
                <w:position w:val="0"/>
                <w:highlight w:val="none"/>
                <w:lang w:val="en-US" w:eastAsia="zh-CN"/>
              </w:rPr>
              <w:t>、</w:t>
            </w:r>
            <w:r>
              <w:rPr>
                <w:rFonts w:hint="eastAsia" w:ascii="Times New Roman" w:hAnsi="Times New Roman" w:eastAsia="宋体" w:cs="Times New Roman"/>
                <w:color w:val="auto"/>
                <w:spacing w:val="0"/>
                <w:position w:val="0"/>
                <w:highlight w:val="none"/>
                <w:lang w:val="en-US" w:eastAsia="zh-CN"/>
              </w:rPr>
              <w:t>排放速率</w:t>
            </w:r>
            <w:r>
              <w:rPr>
                <w:rFonts w:hint="eastAsia" w:cs="Times New Roman"/>
                <w:b w:val="0"/>
                <w:bCs w:val="0"/>
                <w:color w:val="auto"/>
                <w:spacing w:val="0"/>
                <w:position w:val="0"/>
                <w:highlight w:val="none"/>
                <w:lang w:val="en-US" w:eastAsia="zh-CN"/>
              </w:rPr>
              <w:t>0.0122</w:t>
            </w:r>
            <w:r>
              <w:rPr>
                <w:rFonts w:hint="eastAsia" w:ascii="Times New Roman" w:hAnsi="Times New Roman" w:eastAsia="宋体" w:cs="Times New Roman"/>
                <w:color w:val="auto"/>
                <w:spacing w:val="0"/>
                <w:position w:val="0"/>
                <w:highlight w:val="none"/>
                <w:lang w:val="en-US" w:eastAsia="zh-CN"/>
              </w:rPr>
              <w:t>kg/h；</w:t>
            </w:r>
            <w:r>
              <w:rPr>
                <w:rFonts w:hint="eastAsia" w:cs="Times New Roman"/>
                <w:color w:val="auto"/>
                <w:spacing w:val="0"/>
                <w:position w:val="0"/>
                <w:highlight w:val="none"/>
                <w:lang w:val="en-US" w:eastAsia="zh-CN"/>
              </w:rPr>
              <w:t>苯系物</w:t>
            </w:r>
            <w:r>
              <w:rPr>
                <w:rFonts w:hint="eastAsia" w:ascii="Times New Roman" w:hAnsi="Times New Roman" w:eastAsia="宋体" w:cs="Times New Roman"/>
                <w:color w:val="auto"/>
                <w:spacing w:val="0"/>
                <w:position w:val="0"/>
                <w:highlight w:val="none"/>
                <w:lang w:eastAsia="zh-CN"/>
              </w:rPr>
              <w:t>有组织</w:t>
            </w:r>
            <w:r>
              <w:rPr>
                <w:rFonts w:hint="eastAsia" w:ascii="Times New Roman" w:hAnsi="Times New Roman" w:eastAsia="宋体" w:cs="Times New Roman"/>
                <w:color w:val="auto"/>
                <w:spacing w:val="0"/>
                <w:position w:val="0"/>
                <w:highlight w:val="none"/>
              </w:rPr>
              <w:t>排放</w:t>
            </w:r>
            <w:r>
              <w:rPr>
                <w:rFonts w:hint="eastAsia" w:ascii="Times New Roman" w:hAnsi="Times New Roman" w:eastAsia="宋体" w:cs="Times New Roman"/>
                <w:color w:val="auto"/>
                <w:spacing w:val="0"/>
                <w:position w:val="0"/>
                <w:highlight w:val="none"/>
                <w:lang w:eastAsia="zh-CN"/>
              </w:rPr>
              <w:t>浓度为</w:t>
            </w:r>
            <w:r>
              <w:rPr>
                <w:rFonts w:hint="eastAsia" w:cs="Times New Roman"/>
                <w:i w:val="0"/>
                <w:iCs w:val="0"/>
                <w:color w:val="auto"/>
                <w:spacing w:val="0"/>
                <w:position w:val="0"/>
                <w:highlight w:val="none"/>
                <w:lang w:val="en-US" w:eastAsia="zh-CN"/>
              </w:rPr>
              <w:t>1.08</w:t>
            </w:r>
            <w:r>
              <w:rPr>
                <w:rFonts w:ascii="Times New Roman" w:hAnsi="Times New Roman" w:eastAsia="宋体" w:cs="Times New Roman"/>
                <w:b w:val="0"/>
                <w:bCs w:val="0"/>
                <w:i w:val="0"/>
                <w:iCs w:val="0"/>
                <w:color w:val="auto"/>
                <w:spacing w:val="0"/>
                <w:position w:val="0"/>
                <w:sz w:val="24"/>
                <w:szCs w:val="32"/>
                <w:highlight w:val="none"/>
              </w:rPr>
              <w:t>mg/m</w:t>
            </w:r>
            <w:r>
              <w:rPr>
                <w:rFonts w:ascii="Times New Roman" w:hAnsi="Times New Roman" w:eastAsia="宋体" w:cs="Times New Roman"/>
                <w:b w:val="0"/>
                <w:bCs w:val="0"/>
                <w:i w:val="0"/>
                <w:iCs w:val="0"/>
                <w:color w:val="auto"/>
                <w:spacing w:val="0"/>
                <w:position w:val="0"/>
                <w:sz w:val="24"/>
                <w:szCs w:val="32"/>
                <w:highlight w:val="none"/>
                <w:vertAlign w:val="superscript"/>
              </w:rPr>
              <w:t>3</w:t>
            </w:r>
            <w:r>
              <w:rPr>
                <w:rFonts w:hint="eastAsia" w:ascii="Times New Roman" w:hAnsi="Times New Roman" w:eastAsia="宋体" w:cs="Times New Roman"/>
                <w:i w:val="0"/>
                <w:iCs w:val="0"/>
                <w:color w:val="auto"/>
                <w:spacing w:val="0"/>
                <w:position w:val="0"/>
                <w:highlight w:val="none"/>
                <w:lang w:val="en-US" w:eastAsia="zh-CN"/>
              </w:rPr>
              <w:t>、</w:t>
            </w:r>
            <w:r>
              <w:rPr>
                <w:rFonts w:hint="eastAsia" w:ascii="Times New Roman" w:hAnsi="Times New Roman" w:eastAsia="宋体" w:cs="Times New Roman"/>
                <w:color w:val="auto"/>
                <w:spacing w:val="0"/>
                <w:position w:val="0"/>
                <w:highlight w:val="none"/>
                <w:lang w:val="en-US" w:eastAsia="zh-CN"/>
              </w:rPr>
              <w:t>排放速率</w:t>
            </w:r>
            <w:r>
              <w:rPr>
                <w:rFonts w:hint="eastAsia" w:cs="Times New Roman"/>
                <w:b w:val="0"/>
                <w:bCs w:val="0"/>
                <w:color w:val="auto"/>
                <w:spacing w:val="0"/>
                <w:position w:val="0"/>
                <w:highlight w:val="none"/>
                <w:lang w:val="en-US" w:eastAsia="zh-CN"/>
              </w:rPr>
              <w:t>0.0324</w:t>
            </w:r>
            <w:r>
              <w:rPr>
                <w:rFonts w:hint="eastAsia" w:ascii="Times New Roman" w:hAnsi="Times New Roman" w:eastAsia="宋体" w:cs="Times New Roman"/>
                <w:color w:val="auto"/>
                <w:spacing w:val="0"/>
                <w:position w:val="0"/>
                <w:highlight w:val="none"/>
                <w:lang w:val="en-US" w:eastAsia="zh-CN"/>
              </w:rPr>
              <w:t>kg/h；乙酸乙酯与乙酸丁酯合计</w:t>
            </w:r>
            <w:r>
              <w:rPr>
                <w:rFonts w:hint="eastAsia" w:ascii="Times New Roman" w:hAnsi="Times New Roman" w:eastAsia="宋体" w:cs="Times New Roman"/>
                <w:color w:val="auto"/>
                <w:spacing w:val="0"/>
                <w:position w:val="0"/>
                <w:highlight w:val="none"/>
                <w:lang w:eastAsia="zh-CN"/>
              </w:rPr>
              <w:t>有组织</w:t>
            </w:r>
            <w:r>
              <w:rPr>
                <w:rFonts w:hint="eastAsia" w:ascii="Times New Roman" w:hAnsi="Times New Roman" w:eastAsia="宋体" w:cs="Times New Roman"/>
                <w:color w:val="auto"/>
                <w:spacing w:val="0"/>
                <w:position w:val="0"/>
                <w:highlight w:val="none"/>
              </w:rPr>
              <w:t>排放</w:t>
            </w:r>
            <w:r>
              <w:rPr>
                <w:rFonts w:hint="eastAsia" w:ascii="Times New Roman" w:hAnsi="Times New Roman" w:eastAsia="宋体" w:cs="Times New Roman"/>
                <w:color w:val="auto"/>
                <w:spacing w:val="0"/>
                <w:position w:val="0"/>
                <w:highlight w:val="none"/>
                <w:lang w:eastAsia="zh-CN"/>
              </w:rPr>
              <w:t>浓度为</w:t>
            </w:r>
            <w:r>
              <w:rPr>
                <w:rFonts w:hint="eastAsia" w:cs="Times New Roman"/>
                <w:color w:val="auto"/>
                <w:spacing w:val="0"/>
                <w:position w:val="0"/>
                <w:highlight w:val="none"/>
                <w:lang w:val="en-US" w:eastAsia="zh-CN"/>
              </w:rPr>
              <w:t>2.1334</w:t>
            </w:r>
            <w:r>
              <w:rPr>
                <w:rFonts w:ascii="Times New Roman" w:hAnsi="Times New Roman" w:eastAsia="宋体" w:cs="Times New Roman"/>
                <w:b w:val="0"/>
                <w:bCs w:val="0"/>
                <w:color w:val="auto"/>
                <w:spacing w:val="0"/>
                <w:position w:val="0"/>
                <w:sz w:val="24"/>
                <w:szCs w:val="32"/>
                <w:highlight w:val="none"/>
              </w:rPr>
              <w:t>mg/m</w:t>
            </w:r>
            <w:r>
              <w:rPr>
                <w:rFonts w:ascii="Times New Roman" w:hAnsi="Times New Roman" w:eastAsia="宋体" w:cs="Times New Roman"/>
                <w:b w:val="0"/>
                <w:bCs w:val="0"/>
                <w:color w:val="auto"/>
                <w:spacing w:val="0"/>
                <w:position w:val="0"/>
                <w:sz w:val="24"/>
                <w:szCs w:val="32"/>
                <w:highlight w:val="none"/>
                <w:vertAlign w:val="superscript"/>
              </w:rPr>
              <w:t>3</w:t>
            </w:r>
            <w:r>
              <w:rPr>
                <w:rFonts w:hint="eastAsia" w:ascii="Times New Roman" w:hAnsi="Times New Roman" w:eastAsia="宋体" w:cs="Times New Roman"/>
                <w:color w:val="auto"/>
                <w:spacing w:val="0"/>
                <w:position w:val="0"/>
                <w:highlight w:val="none"/>
                <w:lang w:val="en-US" w:eastAsia="zh-CN"/>
              </w:rPr>
              <w:t>、排放速率</w:t>
            </w:r>
            <w:r>
              <w:rPr>
                <w:rFonts w:hint="eastAsia" w:cs="Times New Roman"/>
                <w:color w:val="auto"/>
                <w:spacing w:val="0"/>
                <w:position w:val="0"/>
                <w:highlight w:val="none"/>
                <w:lang w:val="en-US" w:eastAsia="zh-CN"/>
              </w:rPr>
              <w:t>0.064</w:t>
            </w:r>
            <w:r>
              <w:rPr>
                <w:rFonts w:hint="eastAsia" w:ascii="Times New Roman" w:hAnsi="Times New Roman" w:eastAsia="宋体" w:cs="Times New Roman"/>
                <w:color w:val="auto"/>
                <w:spacing w:val="0"/>
                <w:position w:val="0"/>
                <w:highlight w:val="none"/>
                <w:lang w:val="en-US" w:eastAsia="zh-CN"/>
              </w:rPr>
              <w:t>kg/h；</w:t>
            </w:r>
            <w:r>
              <w:rPr>
                <w:rFonts w:hint="eastAsia" w:ascii="Times New Roman" w:hAnsi="Times New Roman" w:eastAsia="宋体" w:cs="Times New Roman"/>
                <w:color w:val="auto"/>
                <w:spacing w:val="0"/>
                <w:position w:val="0"/>
                <w:highlight w:val="none"/>
              </w:rPr>
              <w:t>非甲烷总烃</w:t>
            </w:r>
            <w:r>
              <w:rPr>
                <w:rFonts w:hint="eastAsia" w:ascii="Times New Roman" w:hAnsi="Times New Roman" w:eastAsia="宋体" w:cs="Times New Roman"/>
                <w:color w:val="auto"/>
                <w:spacing w:val="0"/>
                <w:position w:val="0"/>
                <w:highlight w:val="none"/>
                <w:lang w:eastAsia="zh-CN"/>
              </w:rPr>
              <w:t>有组织</w:t>
            </w:r>
            <w:r>
              <w:rPr>
                <w:rFonts w:hint="eastAsia" w:ascii="Times New Roman" w:hAnsi="Times New Roman" w:eastAsia="宋体" w:cs="Times New Roman"/>
                <w:color w:val="auto"/>
                <w:spacing w:val="0"/>
                <w:position w:val="0"/>
                <w:highlight w:val="none"/>
              </w:rPr>
              <w:t>排放</w:t>
            </w:r>
            <w:r>
              <w:rPr>
                <w:rFonts w:hint="eastAsia" w:ascii="Times New Roman" w:hAnsi="Times New Roman" w:eastAsia="宋体" w:cs="Times New Roman"/>
                <w:color w:val="auto"/>
                <w:spacing w:val="0"/>
                <w:position w:val="0"/>
                <w:highlight w:val="none"/>
                <w:lang w:eastAsia="zh-CN"/>
              </w:rPr>
              <w:t>浓度为</w:t>
            </w:r>
            <w:r>
              <w:rPr>
                <w:rFonts w:hint="eastAsia" w:cs="Times New Roman"/>
                <w:color w:val="auto"/>
                <w:spacing w:val="0"/>
                <w:position w:val="0"/>
                <w:highlight w:val="none"/>
                <w:lang w:val="en-US" w:eastAsia="zh-CN"/>
              </w:rPr>
              <w:t>3.8833</w:t>
            </w:r>
            <w:r>
              <w:rPr>
                <w:rFonts w:ascii="Times New Roman" w:hAnsi="Times New Roman" w:eastAsia="宋体" w:cs="Times New Roman"/>
                <w:b w:val="0"/>
                <w:bCs w:val="0"/>
                <w:color w:val="auto"/>
                <w:spacing w:val="0"/>
                <w:position w:val="0"/>
                <w:sz w:val="24"/>
                <w:szCs w:val="32"/>
                <w:highlight w:val="none"/>
              </w:rPr>
              <w:t>mg/m</w:t>
            </w:r>
            <w:r>
              <w:rPr>
                <w:rFonts w:ascii="Times New Roman" w:hAnsi="Times New Roman" w:eastAsia="宋体" w:cs="Times New Roman"/>
                <w:b w:val="0"/>
                <w:bCs w:val="0"/>
                <w:color w:val="auto"/>
                <w:spacing w:val="0"/>
                <w:position w:val="0"/>
                <w:sz w:val="24"/>
                <w:szCs w:val="32"/>
                <w:highlight w:val="none"/>
                <w:vertAlign w:val="superscript"/>
              </w:rPr>
              <w:t>3</w:t>
            </w:r>
            <w:r>
              <w:rPr>
                <w:rFonts w:hint="eastAsia" w:ascii="Times New Roman" w:hAnsi="Times New Roman" w:eastAsia="宋体" w:cs="Times New Roman"/>
                <w:color w:val="auto"/>
                <w:spacing w:val="0"/>
                <w:position w:val="0"/>
                <w:highlight w:val="none"/>
                <w:lang w:val="en-US" w:eastAsia="zh-CN"/>
              </w:rPr>
              <w:t>、排放速率</w:t>
            </w:r>
            <w:r>
              <w:rPr>
                <w:rFonts w:hint="eastAsia" w:cs="Times New Roman"/>
                <w:color w:val="auto"/>
                <w:spacing w:val="0"/>
                <w:position w:val="0"/>
                <w:highlight w:val="none"/>
                <w:lang w:val="en-US" w:eastAsia="zh-CN"/>
              </w:rPr>
              <w:t>0.1165</w:t>
            </w:r>
            <w:r>
              <w:rPr>
                <w:rFonts w:hint="eastAsia" w:ascii="Times New Roman" w:hAnsi="Times New Roman" w:eastAsia="宋体" w:cs="Times New Roman"/>
                <w:color w:val="auto"/>
                <w:spacing w:val="0"/>
                <w:position w:val="0"/>
                <w:highlight w:val="none"/>
                <w:lang w:val="en-US" w:eastAsia="zh-CN"/>
              </w:rPr>
              <w:t>kg/h</w:t>
            </w:r>
            <w:r>
              <w:rPr>
                <w:rFonts w:hint="eastAsia" w:cs="Times New Roman"/>
                <w:color w:val="auto"/>
                <w:spacing w:val="0"/>
                <w:position w:val="0"/>
                <w:highlight w:val="none"/>
                <w:lang w:val="en-US" w:eastAsia="zh-CN"/>
              </w:rPr>
              <w:t>，</w:t>
            </w:r>
            <w:r>
              <w:rPr>
                <w:rFonts w:hint="eastAsia" w:ascii="Times New Roman" w:hAnsi="Times New Roman" w:eastAsia="宋体" w:cs="Times New Roman"/>
                <w:color w:val="auto"/>
                <w:spacing w:val="0"/>
                <w:position w:val="0"/>
                <w:highlight w:val="none"/>
                <w:lang w:eastAsia="zh-CN"/>
              </w:rPr>
              <w:t>均可</w:t>
            </w:r>
            <w:r>
              <w:rPr>
                <w:rFonts w:hint="eastAsia" w:ascii="Times New Roman" w:hAnsi="Times New Roman" w:eastAsia="宋体" w:cs="Times New Roman"/>
                <w:color w:val="auto"/>
                <w:spacing w:val="0"/>
                <w:position w:val="0"/>
                <w:highlight w:val="none"/>
              </w:rPr>
              <w:t>符合《工业涂装工序挥发性有机物排放标准》</w:t>
            </w:r>
            <w:r>
              <w:rPr>
                <w:rFonts w:hint="eastAsia" w:ascii="Times New Roman" w:hAnsi="Times New Roman" w:eastAsia="宋体" w:cs="Times New Roman"/>
                <w:color w:val="auto"/>
                <w:spacing w:val="0"/>
                <w:position w:val="0"/>
                <w:highlight w:val="none"/>
                <w:lang w:eastAsia="zh-CN"/>
              </w:rPr>
              <w:t>（</w:t>
            </w:r>
            <w:r>
              <w:rPr>
                <w:rFonts w:hint="eastAsia" w:ascii="Times New Roman" w:hAnsi="Times New Roman" w:eastAsia="宋体" w:cs="Times New Roman"/>
                <w:color w:val="auto"/>
                <w:spacing w:val="0"/>
                <w:position w:val="0"/>
                <w:highlight w:val="none"/>
              </w:rPr>
              <w:t>DB35/1783-2018</w:t>
            </w:r>
            <w:r>
              <w:rPr>
                <w:rFonts w:hint="eastAsia" w:ascii="Times New Roman" w:hAnsi="Times New Roman" w:eastAsia="宋体" w:cs="Times New Roman"/>
                <w:color w:val="auto"/>
                <w:spacing w:val="0"/>
                <w:position w:val="0"/>
                <w:highlight w:val="none"/>
                <w:lang w:eastAsia="zh-CN"/>
              </w:rPr>
              <w:t>）</w:t>
            </w:r>
            <w:r>
              <w:rPr>
                <w:rFonts w:hint="eastAsia" w:cs="Times New Roman"/>
                <w:color w:val="auto"/>
                <w:spacing w:val="0"/>
                <w:position w:val="0"/>
                <w:highlight w:val="none"/>
                <w:lang w:val="en-US" w:eastAsia="zh-CN"/>
              </w:rPr>
              <w:t>表1</w:t>
            </w:r>
            <w:r>
              <w:rPr>
                <w:rFonts w:hint="eastAsia" w:ascii="Times New Roman" w:hAnsi="Times New Roman" w:eastAsia="宋体" w:cs="Times New Roman"/>
                <w:color w:val="auto"/>
                <w:spacing w:val="0"/>
                <w:position w:val="0"/>
                <w:highlight w:val="none"/>
              </w:rPr>
              <w:t>中</w:t>
            </w:r>
            <w:r>
              <w:rPr>
                <w:rFonts w:hint="eastAsia" w:ascii="Times New Roman" w:hAnsi="Times New Roman" w:eastAsia="宋体" w:cs="Times New Roman"/>
                <w:color w:val="auto"/>
                <w:spacing w:val="0"/>
                <w:position w:val="0"/>
                <w:highlight w:val="none"/>
                <w:lang w:eastAsia="zh-CN"/>
              </w:rPr>
              <w:t>“</w:t>
            </w:r>
            <w:r>
              <w:rPr>
                <w:rFonts w:hint="eastAsia" w:ascii="Times New Roman" w:hAnsi="Times New Roman" w:eastAsia="宋体" w:cs="Times New Roman"/>
                <w:color w:val="auto"/>
                <w:spacing w:val="0"/>
                <w:position w:val="0"/>
                <w:highlight w:val="none"/>
              </w:rPr>
              <w:t>涉涂装工序的其它行业</w:t>
            </w:r>
            <w:r>
              <w:rPr>
                <w:rFonts w:hint="eastAsia" w:ascii="Times New Roman" w:hAnsi="Times New Roman" w:eastAsia="宋体" w:cs="Times New Roman"/>
                <w:color w:val="auto"/>
                <w:spacing w:val="0"/>
                <w:position w:val="0"/>
                <w:highlight w:val="none"/>
                <w:lang w:eastAsia="zh-CN"/>
              </w:rPr>
              <w:t>”</w:t>
            </w:r>
            <w:r>
              <w:rPr>
                <w:rFonts w:hint="eastAsia" w:ascii="Times New Roman" w:hAnsi="Times New Roman" w:eastAsia="宋体" w:cs="Times New Roman"/>
                <w:color w:val="auto"/>
                <w:spacing w:val="0"/>
                <w:position w:val="0"/>
                <w:highlight w:val="none"/>
              </w:rPr>
              <w:t>的相关标准</w:t>
            </w:r>
            <w:r>
              <w:rPr>
                <w:rFonts w:hint="eastAsia" w:cs="Times New Roman"/>
                <w:color w:val="auto"/>
                <w:spacing w:val="0"/>
                <w:position w:val="0"/>
                <w:highlight w:val="none"/>
                <w:lang w:eastAsia="zh-CN"/>
              </w:rPr>
              <w:t>；</w:t>
            </w:r>
            <w:r>
              <w:rPr>
                <w:rFonts w:hint="eastAsia" w:ascii="Times New Roman" w:hAnsi="Times New Roman" w:eastAsia="宋体" w:cs="Times New Roman"/>
                <w:color w:val="auto"/>
                <w:spacing w:val="0"/>
                <w:position w:val="0"/>
                <w:sz w:val="24"/>
                <w:szCs w:val="24"/>
                <w:highlight w:val="none"/>
                <w:lang w:val="en-US" w:eastAsia="zh-CN"/>
              </w:rPr>
              <w:t>喷漆工序产生的漆雾</w:t>
            </w:r>
            <w:r>
              <w:rPr>
                <w:rFonts w:hint="eastAsia" w:ascii="Times New Roman" w:hAnsi="Times New Roman" w:eastAsia="宋体" w:cs="Times New Roman"/>
                <w:color w:val="auto"/>
                <w:spacing w:val="0"/>
                <w:position w:val="0"/>
                <w:sz w:val="24"/>
                <w:szCs w:val="24"/>
                <w:highlight w:val="none"/>
                <w:lang w:eastAsia="zh-CN"/>
              </w:rPr>
              <w:t>有组织</w:t>
            </w:r>
            <w:r>
              <w:rPr>
                <w:rFonts w:hint="eastAsia" w:ascii="Times New Roman" w:hAnsi="Times New Roman" w:eastAsia="宋体" w:cs="Times New Roman"/>
                <w:color w:val="auto"/>
                <w:spacing w:val="0"/>
                <w:position w:val="0"/>
                <w:sz w:val="24"/>
                <w:szCs w:val="24"/>
                <w:highlight w:val="none"/>
              </w:rPr>
              <w:t>排放</w:t>
            </w:r>
            <w:r>
              <w:rPr>
                <w:rFonts w:hint="eastAsia" w:ascii="Times New Roman" w:hAnsi="Times New Roman" w:eastAsia="宋体" w:cs="Times New Roman"/>
                <w:color w:val="auto"/>
                <w:spacing w:val="0"/>
                <w:position w:val="0"/>
                <w:sz w:val="24"/>
                <w:szCs w:val="24"/>
                <w:highlight w:val="none"/>
                <w:lang w:eastAsia="zh-CN"/>
              </w:rPr>
              <w:t>浓度为</w:t>
            </w:r>
            <w:r>
              <w:rPr>
                <w:rFonts w:hint="eastAsia" w:cs="Times New Roman"/>
                <w:color w:val="auto"/>
                <w:spacing w:val="0"/>
                <w:position w:val="0"/>
                <w:sz w:val="24"/>
                <w:szCs w:val="24"/>
                <w:highlight w:val="none"/>
                <w:lang w:val="en-US" w:eastAsia="zh-CN"/>
              </w:rPr>
              <w:t>0.89</w:t>
            </w:r>
            <w:r>
              <w:rPr>
                <w:rFonts w:ascii="Times New Roman" w:hAnsi="Times New Roman" w:eastAsia="宋体" w:cs="Times New Roman"/>
                <w:b w:val="0"/>
                <w:bCs w:val="0"/>
                <w:color w:val="auto"/>
                <w:spacing w:val="0"/>
                <w:position w:val="0"/>
                <w:sz w:val="24"/>
                <w:szCs w:val="24"/>
                <w:highlight w:val="none"/>
              </w:rPr>
              <w:t>mg/m</w:t>
            </w:r>
            <w:r>
              <w:rPr>
                <w:rFonts w:ascii="Times New Roman" w:hAnsi="Times New Roman" w:eastAsia="宋体" w:cs="Times New Roman"/>
                <w:b w:val="0"/>
                <w:bCs w:val="0"/>
                <w:color w:val="auto"/>
                <w:spacing w:val="0"/>
                <w:position w:val="0"/>
                <w:sz w:val="24"/>
                <w:szCs w:val="24"/>
                <w:highlight w:val="none"/>
                <w:vertAlign w:val="superscript"/>
              </w:rPr>
              <w:t>3</w:t>
            </w:r>
            <w:r>
              <w:rPr>
                <w:rFonts w:hint="eastAsia" w:ascii="Times New Roman" w:hAnsi="Times New Roman" w:eastAsia="宋体" w:cs="Times New Roman"/>
                <w:color w:val="auto"/>
                <w:spacing w:val="0"/>
                <w:position w:val="0"/>
                <w:sz w:val="24"/>
                <w:szCs w:val="24"/>
                <w:highlight w:val="none"/>
                <w:lang w:val="en-US" w:eastAsia="zh-CN"/>
              </w:rPr>
              <w:t>、排放速率</w:t>
            </w:r>
            <w:r>
              <w:rPr>
                <w:rFonts w:hint="eastAsia" w:cs="Times New Roman"/>
                <w:color w:val="auto"/>
                <w:spacing w:val="0"/>
                <w:position w:val="0"/>
                <w:sz w:val="24"/>
                <w:szCs w:val="24"/>
                <w:highlight w:val="none"/>
                <w:lang w:val="en-US" w:eastAsia="zh-CN"/>
              </w:rPr>
              <w:t>0.0267</w:t>
            </w:r>
            <w:r>
              <w:rPr>
                <w:rFonts w:hint="eastAsia" w:ascii="Times New Roman" w:hAnsi="Times New Roman" w:eastAsia="宋体" w:cs="Times New Roman"/>
                <w:color w:val="auto"/>
                <w:spacing w:val="0"/>
                <w:position w:val="0"/>
                <w:sz w:val="24"/>
                <w:szCs w:val="24"/>
                <w:highlight w:val="none"/>
                <w:lang w:val="en-US" w:eastAsia="zh-CN"/>
              </w:rPr>
              <w:t>kg/h，均</w:t>
            </w:r>
            <w:r>
              <w:rPr>
                <w:rFonts w:hint="eastAsia" w:ascii="Times New Roman" w:hAnsi="Times New Roman" w:eastAsia="宋体" w:cs="Times New Roman"/>
                <w:color w:val="auto"/>
                <w:spacing w:val="0"/>
                <w:position w:val="0"/>
                <w:sz w:val="24"/>
                <w:szCs w:val="24"/>
                <w:highlight w:val="none"/>
              </w:rPr>
              <w:t>符合《大气污染物综合排放标准》（GB16297-1996）中的相关标准</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highlight w:val="none"/>
                <w:lang w:val="en-US" w:eastAsia="zh-CN"/>
              </w:rPr>
              <w:t>本项目厂界距离最近的</w:t>
            </w:r>
            <w:r>
              <w:rPr>
                <w:rFonts w:hint="eastAsia" w:ascii="Times New Roman" w:hAnsi="Times New Roman" w:eastAsia="宋体" w:cs="Times New Roman"/>
                <w:color w:val="auto"/>
                <w:spacing w:val="0"/>
                <w:position w:val="0"/>
                <w:sz w:val="24"/>
                <w:szCs w:val="24"/>
                <w:highlight w:val="none"/>
                <w:lang w:val="en-US" w:eastAsia="zh-CN"/>
              </w:rPr>
              <w:t>敏感点为</w:t>
            </w:r>
            <w:r>
              <w:rPr>
                <w:rFonts w:hint="eastAsia" w:cs="Times New Roman"/>
                <w:color w:val="auto"/>
                <w:spacing w:val="0"/>
                <w:kern w:val="0"/>
                <w:position w:val="0"/>
                <w:sz w:val="24"/>
                <w:szCs w:val="24"/>
                <w:highlight w:val="none"/>
                <w:lang w:val="en-US" w:eastAsia="zh-CN" w:bidi="ar-SA"/>
              </w:rPr>
              <w:t>西北</w:t>
            </w:r>
            <w:r>
              <w:rPr>
                <w:rFonts w:hint="eastAsia" w:ascii="Times New Roman" w:hAnsi="Times New Roman" w:eastAsia="宋体" w:cs="Times New Roman"/>
                <w:color w:val="auto"/>
                <w:spacing w:val="0"/>
                <w:kern w:val="0"/>
                <w:position w:val="0"/>
                <w:sz w:val="24"/>
                <w:szCs w:val="24"/>
                <w:highlight w:val="none"/>
                <w:lang w:val="en-US" w:eastAsia="zh-CN" w:bidi="ar-SA"/>
              </w:rPr>
              <w:t>侧</w:t>
            </w:r>
            <w:r>
              <w:rPr>
                <w:rFonts w:hint="eastAsia" w:cs="Times New Roman"/>
                <w:color w:val="auto"/>
                <w:spacing w:val="0"/>
                <w:kern w:val="0"/>
                <w:position w:val="0"/>
                <w:sz w:val="24"/>
                <w:szCs w:val="24"/>
                <w:highlight w:val="none"/>
                <w:lang w:val="en-US" w:eastAsia="zh-CN" w:bidi="ar-SA"/>
              </w:rPr>
              <w:t>433</w:t>
            </w:r>
            <w:r>
              <w:rPr>
                <w:rFonts w:hint="default" w:ascii="Times New Roman" w:hAnsi="Times New Roman" w:eastAsia="宋体" w:cs="Times New Roman"/>
                <w:color w:val="auto"/>
                <w:spacing w:val="0"/>
                <w:kern w:val="0"/>
                <w:position w:val="0"/>
                <w:sz w:val="24"/>
                <w:szCs w:val="24"/>
                <w:highlight w:val="none"/>
                <w:lang w:val="en-US" w:eastAsia="zh-CN" w:bidi="ar-SA"/>
              </w:rPr>
              <w:t>m</w:t>
            </w:r>
            <w:r>
              <w:rPr>
                <w:rFonts w:hint="eastAsia" w:cs="Times New Roman"/>
                <w:color w:val="auto"/>
                <w:spacing w:val="0"/>
                <w:position w:val="0"/>
                <w:sz w:val="24"/>
                <w:szCs w:val="24"/>
                <w:highlight w:val="none"/>
                <w:lang w:val="en-US" w:eastAsia="zh-CN"/>
              </w:rPr>
              <w:t>福建京台高速管理中心</w:t>
            </w:r>
            <w:r>
              <w:rPr>
                <w:rFonts w:hint="eastAsia" w:ascii="Times New Roman" w:hAnsi="Times New Roman" w:eastAsia="宋体" w:cs="Times New Roman"/>
                <w:color w:val="auto"/>
                <w:spacing w:val="0"/>
                <w:position w:val="0"/>
                <w:sz w:val="24"/>
                <w:szCs w:val="24"/>
                <w:highlight w:val="none"/>
                <w:lang w:val="en-US" w:eastAsia="zh-CN"/>
              </w:rPr>
              <w:t>，由于距离较远，且废气均经过处理后达标排放。</w:t>
            </w:r>
          </w:p>
          <w:p w14:paraId="23FC8D38">
            <w:pPr>
              <w:pStyle w:val="63"/>
              <w:keepNext w:val="0"/>
              <w:keepLines w:val="0"/>
              <w:pageBreakBefore w:val="0"/>
              <w:widowControl/>
              <w:kinsoku/>
              <w:wordWrap/>
              <w:overflowPunct/>
              <w:topLinePunct w:val="0"/>
              <w:autoSpaceDE/>
              <w:autoSpaceDN/>
              <w:bidi w:val="0"/>
              <w:adjustRightInd/>
              <w:spacing w:line="360" w:lineRule="auto"/>
              <w:ind w:firstLine="482"/>
              <w:textAlignment w:val="auto"/>
              <w:rPr>
                <w:rFonts w:hint="eastAsia"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color w:val="auto"/>
                <w:spacing w:val="0"/>
                <w:position w:val="0"/>
                <w:highlight w:val="none"/>
              </w:rPr>
              <w:t>综上，项目各项废气污染物均可达标排放，对周边大气环境影响较小。</w:t>
            </w:r>
          </w:p>
          <w:p w14:paraId="5D205B08">
            <w:pPr>
              <w:pStyle w:val="63"/>
              <w:ind w:left="0" w:leftChars="0" w:firstLine="0" w:firstLineChars="0"/>
              <w:rPr>
                <w:rFonts w:hint="default" w:ascii="Times New Roman" w:hAnsi="Times New Roman" w:eastAsia="宋体" w:cs="Times New Roman"/>
                <w:b/>
                <w:bCs/>
                <w:color w:val="auto"/>
                <w:spacing w:val="0"/>
                <w:position w:val="0"/>
                <w:highlight w:val="none"/>
                <w:lang w:val="en-US" w:eastAsia="zh-CN"/>
              </w:rPr>
            </w:pPr>
            <w:r>
              <w:rPr>
                <w:rFonts w:hint="eastAsia" w:ascii="Times New Roman" w:hAnsi="Times New Roman" w:eastAsia="宋体" w:cs="Times New Roman"/>
                <w:b/>
                <w:bCs/>
                <w:color w:val="auto"/>
                <w:spacing w:val="0"/>
                <w:position w:val="0"/>
                <w:highlight w:val="none"/>
                <w:lang w:val="en-US" w:eastAsia="zh-CN"/>
              </w:rPr>
              <w:t xml:space="preserve">4.1.4 </w:t>
            </w:r>
            <w:r>
              <w:rPr>
                <w:rFonts w:hint="eastAsia" w:ascii="Times New Roman" w:hAnsi="Times New Roman" w:eastAsia="宋体" w:cs="Times New Roman"/>
                <w:b/>
                <w:bCs/>
                <w:color w:val="auto"/>
                <w:spacing w:val="0"/>
                <w:kern w:val="0"/>
                <w:sz w:val="24"/>
                <w:szCs w:val="24"/>
                <w:highlight w:val="none"/>
                <w:lang w:val="en-US" w:eastAsia="zh-CN" w:bidi="ar"/>
              </w:rPr>
              <w:t>废气污染物防治措施收集</w:t>
            </w:r>
            <w:r>
              <w:rPr>
                <w:rFonts w:hint="eastAsia" w:cs="Times New Roman"/>
                <w:b/>
                <w:bCs/>
                <w:color w:val="auto"/>
                <w:spacing w:val="0"/>
                <w:kern w:val="0"/>
                <w:sz w:val="24"/>
                <w:szCs w:val="24"/>
                <w:highlight w:val="none"/>
                <w:lang w:val="en-US" w:eastAsia="zh-CN" w:bidi="ar"/>
              </w:rPr>
              <w:t>处理</w:t>
            </w:r>
            <w:r>
              <w:rPr>
                <w:rFonts w:hint="eastAsia" w:ascii="Times New Roman" w:hAnsi="Times New Roman" w:eastAsia="宋体" w:cs="Times New Roman"/>
                <w:b/>
                <w:bCs/>
                <w:color w:val="auto"/>
                <w:spacing w:val="0"/>
                <w:kern w:val="0"/>
                <w:sz w:val="24"/>
                <w:szCs w:val="24"/>
                <w:highlight w:val="none"/>
                <w:lang w:val="en-US" w:eastAsia="zh-CN" w:bidi="ar"/>
              </w:rPr>
              <w:t>效率分析</w:t>
            </w:r>
          </w:p>
          <w:p w14:paraId="45B075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cs="Times New Roman"/>
                <w:b/>
                <w:bCs/>
                <w:color w:val="auto"/>
                <w:spacing w:val="0"/>
                <w:position w:val="0"/>
                <w:sz w:val="24"/>
                <w:szCs w:val="24"/>
                <w:highlight w:val="none"/>
                <w:lang w:val="en-US" w:eastAsia="zh-CN"/>
              </w:rPr>
            </w:pPr>
            <w:r>
              <w:rPr>
                <w:rFonts w:hint="eastAsia" w:cs="Times New Roman"/>
                <w:b/>
                <w:bCs/>
                <w:color w:val="auto"/>
                <w:spacing w:val="0"/>
                <w:position w:val="0"/>
                <w:sz w:val="24"/>
                <w:szCs w:val="24"/>
                <w:highlight w:val="none"/>
                <w:lang w:val="en-US" w:eastAsia="zh-CN"/>
              </w:rPr>
              <w:t>（1）引风机风量</w:t>
            </w:r>
          </w:p>
          <w:p w14:paraId="7B09C7EA">
            <w:pPr>
              <w:pStyle w:val="12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06" w:firstLineChars="200"/>
              <w:textAlignment w:val="auto"/>
              <w:rPr>
                <w:rFonts w:hint="eastAsia"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调漆、喷漆及晾干废气</w:t>
            </w:r>
          </w:p>
          <w:p w14:paraId="4D7162C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为减少废气对员工及周边环境的不利影响，项目调漆、喷漆、晾干在密闭喷漆</w:t>
            </w:r>
            <w:r>
              <w:rPr>
                <w:rFonts w:hint="eastAsia" w:cs="Times New Roman"/>
                <w:color w:val="auto"/>
                <w:sz w:val="24"/>
                <w:highlight w:val="none"/>
                <w:lang w:val="en-US" w:eastAsia="zh-CN"/>
              </w:rPr>
              <w:t>晾干</w:t>
            </w:r>
            <w:r>
              <w:rPr>
                <w:rFonts w:hint="eastAsia" w:ascii="Times New Roman" w:hAnsi="Times New Roman" w:eastAsia="宋体" w:cs="Times New Roman"/>
                <w:color w:val="auto"/>
                <w:sz w:val="24"/>
                <w:highlight w:val="none"/>
                <w:lang w:val="en-US" w:eastAsia="zh-CN"/>
              </w:rPr>
              <w:t>房内进行，喷漆</w:t>
            </w:r>
            <w:r>
              <w:rPr>
                <w:rFonts w:hint="eastAsia" w:cs="Times New Roman"/>
                <w:color w:val="auto"/>
                <w:sz w:val="24"/>
                <w:highlight w:val="none"/>
                <w:lang w:val="en-US" w:eastAsia="zh-CN"/>
              </w:rPr>
              <w:t>晾干</w:t>
            </w:r>
            <w:r>
              <w:rPr>
                <w:rFonts w:hint="eastAsia" w:ascii="Times New Roman" w:hAnsi="Times New Roman" w:eastAsia="宋体" w:cs="Times New Roman"/>
                <w:color w:val="auto"/>
                <w:sz w:val="24"/>
                <w:highlight w:val="none"/>
                <w:lang w:val="en-US" w:eastAsia="zh-CN"/>
              </w:rPr>
              <w:t>房建筑</w:t>
            </w:r>
            <w:r>
              <w:rPr>
                <w:rFonts w:hint="eastAsia" w:cs="Times New Roman"/>
                <w:color w:val="auto"/>
                <w:sz w:val="24"/>
                <w:highlight w:val="none"/>
                <w:lang w:val="en-US" w:eastAsia="zh-CN"/>
              </w:rPr>
              <w:t>总</w:t>
            </w:r>
            <w:r>
              <w:rPr>
                <w:rFonts w:hint="eastAsia" w:ascii="Times New Roman" w:hAnsi="Times New Roman" w:eastAsia="宋体" w:cs="Times New Roman"/>
                <w:color w:val="auto"/>
                <w:sz w:val="24"/>
                <w:highlight w:val="none"/>
                <w:lang w:val="en-US" w:eastAsia="zh-CN"/>
              </w:rPr>
              <w:t>面积约为</w:t>
            </w:r>
            <w:r>
              <w:rPr>
                <w:rFonts w:hint="eastAsia" w:cs="Times New Roman"/>
                <w:color w:val="auto"/>
                <w:sz w:val="24"/>
                <w:highlight w:val="none"/>
                <w:lang w:val="en-US" w:eastAsia="zh-CN"/>
              </w:rPr>
              <w:t>250</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喷漆晾干房</w:t>
            </w:r>
            <w:r>
              <w:rPr>
                <w:rFonts w:hint="eastAsia" w:ascii="Times New Roman" w:hAnsi="Times New Roman" w:eastAsia="宋体" w:cs="Times New Roman"/>
                <w:color w:val="auto"/>
                <w:sz w:val="24"/>
                <w:highlight w:val="none"/>
                <w:lang w:val="en-US" w:eastAsia="zh-CN"/>
              </w:rPr>
              <w:t>采取整室</w:t>
            </w:r>
            <w:r>
              <w:rPr>
                <w:rFonts w:hint="eastAsia" w:cs="Times New Roman"/>
                <w:color w:val="auto"/>
                <w:sz w:val="24"/>
                <w:highlight w:val="none"/>
                <w:lang w:val="en-US" w:eastAsia="zh-CN"/>
              </w:rPr>
              <w:t>负</w:t>
            </w:r>
            <w:r>
              <w:rPr>
                <w:rFonts w:hint="eastAsia" w:ascii="Times New Roman" w:hAnsi="Times New Roman" w:eastAsia="宋体" w:cs="Times New Roman"/>
                <w:color w:val="auto"/>
                <w:sz w:val="24"/>
                <w:highlight w:val="none"/>
                <w:lang w:val="en-US" w:eastAsia="zh-CN"/>
              </w:rPr>
              <w:t>压抽风收集废气。项目拟采用“</w:t>
            </w:r>
            <w:r>
              <w:rPr>
                <w:rFonts w:hint="eastAsia" w:ascii="Times New Roman" w:hAnsi="Times New Roman" w:eastAsia="宋体" w:cs="Times New Roman"/>
                <w:color w:val="auto"/>
                <w:sz w:val="24"/>
                <w:szCs w:val="24"/>
                <w:highlight w:val="none"/>
                <w:lang w:val="en-US" w:eastAsia="zh-CN"/>
              </w:rPr>
              <w:t>水帘柜</w:t>
            </w:r>
            <w:r>
              <w:rPr>
                <w:rFonts w:hint="eastAsia" w:cs="Times New Roman"/>
                <w:color w:val="auto"/>
                <w:sz w:val="24"/>
                <w:szCs w:val="24"/>
                <w:highlight w:val="none"/>
                <w:lang w:val="en-US" w:eastAsia="zh-CN"/>
              </w:rPr>
              <w:t>+气旋塔+过滤棉+二级活性炭吸附装置</w:t>
            </w:r>
            <w:r>
              <w:rPr>
                <w:rFonts w:hint="eastAsia" w:ascii="Times New Roman" w:hAnsi="Times New Roman" w:eastAsia="宋体" w:cs="Times New Roman"/>
                <w:color w:val="auto"/>
                <w:sz w:val="24"/>
                <w:highlight w:val="none"/>
                <w:lang w:val="en-US" w:eastAsia="zh-CN"/>
              </w:rPr>
              <w:t>”处理废气。</w:t>
            </w:r>
          </w:p>
          <w:p w14:paraId="0EA52464">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参考《三废处理过程技术手册 废气卷》第十七章净化系统的设计中，一般涂装室换气次数为20次/h。因此本项目喷漆换气次数以20次/h进行设计。设计风量详见下</w:t>
            </w:r>
            <w:r>
              <w:rPr>
                <w:rFonts w:hint="eastAsia" w:ascii="Times New Roman" w:hAnsi="Times New Roman" w:eastAsia="宋体" w:cs="Times New Roman"/>
                <w:color w:val="auto"/>
                <w:sz w:val="24"/>
                <w:highlight w:val="none"/>
              </w:rPr>
              <w:t>表4.</w:t>
            </w:r>
            <w:r>
              <w:rPr>
                <w:rFonts w:hint="eastAsia" w:cs="Times New Roman"/>
                <w:color w:val="auto"/>
                <w:sz w:val="24"/>
                <w:highlight w:val="none"/>
                <w:lang w:val="en-US" w:eastAsia="zh-CN"/>
              </w:rPr>
              <w:t>1.1-5</w:t>
            </w:r>
            <w:r>
              <w:rPr>
                <w:rFonts w:hint="eastAsia" w:ascii="Times New Roman" w:hAnsi="Times New Roman" w:eastAsia="宋体" w:cs="Times New Roman"/>
                <w:color w:val="auto"/>
                <w:sz w:val="24"/>
                <w:highlight w:val="none"/>
              </w:rPr>
              <w:t>分析</w:t>
            </w:r>
            <w:r>
              <w:rPr>
                <w:rFonts w:ascii="Times New Roman" w:hAnsi="Times New Roman" w:eastAsia="宋体" w:cs="Times New Roman"/>
                <w:color w:val="auto"/>
                <w:sz w:val="24"/>
                <w:highlight w:val="none"/>
              </w:rPr>
              <w:t>。</w:t>
            </w:r>
          </w:p>
          <w:p w14:paraId="7BA3FA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z w:val="24"/>
                <w:szCs w:val="32"/>
                <w:highlight w:val="none"/>
              </w:rPr>
            </w:pPr>
          </w:p>
          <w:p w14:paraId="397F97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z w:val="24"/>
                <w:szCs w:val="32"/>
                <w:highlight w:val="none"/>
              </w:rPr>
            </w:pPr>
            <w:r>
              <w:rPr>
                <w:rFonts w:ascii="Times New Roman" w:hAnsi="Times New Roman" w:eastAsia="宋体" w:cs="Times New Roman"/>
                <w:b/>
                <w:bCs/>
                <w:color w:val="auto"/>
                <w:sz w:val="24"/>
                <w:szCs w:val="32"/>
                <w:highlight w:val="none"/>
              </w:rPr>
              <w:t>表</w:t>
            </w:r>
            <w:r>
              <w:rPr>
                <w:rFonts w:hint="eastAsia" w:ascii="Times New Roman" w:hAnsi="Times New Roman" w:eastAsia="宋体" w:cs="Times New Roman"/>
                <w:b/>
                <w:bCs/>
                <w:color w:val="auto"/>
                <w:sz w:val="24"/>
                <w:szCs w:val="32"/>
                <w:highlight w:val="none"/>
              </w:rPr>
              <w:t>4.</w:t>
            </w:r>
            <w:r>
              <w:rPr>
                <w:rFonts w:hint="eastAsia" w:cs="Times New Roman"/>
                <w:b/>
                <w:bCs/>
                <w:color w:val="auto"/>
                <w:sz w:val="24"/>
                <w:szCs w:val="32"/>
                <w:highlight w:val="none"/>
                <w:lang w:val="en-US" w:eastAsia="zh-CN"/>
              </w:rPr>
              <w:t>1.1-5</w:t>
            </w:r>
            <w:r>
              <w:rPr>
                <w:rFonts w:hint="eastAsia" w:ascii="Times New Roman" w:hAnsi="Times New Roman" w:eastAsia="宋体" w:cs="Times New Roman"/>
                <w:b/>
                <w:bCs/>
                <w:color w:val="auto"/>
                <w:sz w:val="24"/>
                <w:szCs w:val="32"/>
                <w:highlight w:val="none"/>
              </w:rPr>
              <w:t xml:space="preserve"> </w:t>
            </w:r>
            <w:r>
              <w:rPr>
                <w:rFonts w:ascii="Times New Roman" w:hAnsi="Times New Roman" w:eastAsia="宋体" w:cs="Times New Roman"/>
                <w:b/>
                <w:bCs/>
                <w:color w:val="auto"/>
                <w:sz w:val="24"/>
                <w:szCs w:val="32"/>
                <w:highlight w:val="none"/>
              </w:rPr>
              <w:t>项目生产设备参数及处理风量</w:t>
            </w:r>
          </w:p>
          <w:tbl>
            <w:tblPr>
              <w:tblStyle w:val="2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662"/>
              <w:gridCol w:w="1116"/>
              <w:gridCol w:w="1681"/>
              <w:gridCol w:w="1773"/>
              <w:gridCol w:w="1173"/>
              <w:gridCol w:w="1749"/>
            </w:tblGrid>
            <w:tr w14:paraId="0CF710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4" w:type="dxa"/>
                  <w:gridSpan w:val="2"/>
                  <w:noWrap w:val="0"/>
                  <w:vAlign w:val="center"/>
                </w:tcPr>
                <w:p w14:paraId="739B5C0C">
                  <w:pPr>
                    <w:keepNext w:val="0"/>
                    <w:keepLines w:val="0"/>
                    <w:pageBreakBefore w:val="0"/>
                    <w:widowControl/>
                    <w:kinsoku/>
                    <w:wordWrap w:val="0"/>
                    <w:overflowPunct/>
                    <w:topLinePunct w:val="0"/>
                    <w:bidi w:val="0"/>
                    <w:spacing w:line="240" w:lineRule="auto"/>
                    <w:ind w:firstLine="0" w:firstLineChars="0"/>
                    <w:jc w:val="center"/>
                    <w:rPr>
                      <w:rFonts w:hint="default" w:ascii="Times New Roman" w:hAnsi="Times New Roman" w:eastAsia="宋体" w:cs="Times New Roman"/>
                      <w:b/>
                      <w:color w:val="auto"/>
                      <w:spacing w:val="-6"/>
                      <w:sz w:val="21"/>
                      <w:szCs w:val="21"/>
                      <w:highlight w:val="none"/>
                      <w:lang w:val="en-US"/>
                    </w:rPr>
                  </w:pPr>
                  <w:r>
                    <w:rPr>
                      <w:rFonts w:hint="eastAsia" w:ascii="Times New Roman" w:hAnsi="Times New Roman" w:eastAsia="宋体" w:cs="Times New Roman"/>
                      <w:b/>
                      <w:color w:val="auto"/>
                      <w:spacing w:val="-6"/>
                      <w:sz w:val="21"/>
                      <w:szCs w:val="21"/>
                      <w:highlight w:val="none"/>
                      <w:lang w:val="en-US" w:eastAsia="zh-CN"/>
                    </w:rPr>
                    <w:t>产污环节</w:t>
                  </w:r>
                </w:p>
              </w:tc>
              <w:tc>
                <w:tcPr>
                  <w:tcW w:w="1116" w:type="dxa"/>
                  <w:noWrap w:val="0"/>
                  <w:vAlign w:val="center"/>
                </w:tcPr>
                <w:p w14:paraId="739DF0BC">
                  <w:pPr>
                    <w:keepNext w:val="0"/>
                    <w:keepLines w:val="0"/>
                    <w:pageBreakBefore w:val="0"/>
                    <w:widowControl/>
                    <w:kinsoku/>
                    <w:wordWrap w:val="0"/>
                    <w:overflowPunct/>
                    <w:topLinePunct w:val="0"/>
                    <w:bidi w:val="0"/>
                    <w:spacing w:line="240" w:lineRule="auto"/>
                    <w:ind w:firstLine="0" w:firstLineChars="0"/>
                    <w:jc w:val="center"/>
                    <w:rPr>
                      <w:rFonts w:hint="eastAsia" w:ascii="Times New Roman" w:hAnsi="Times New Roman" w:eastAsia="宋体" w:cs="Times New Roman"/>
                      <w:b/>
                      <w:color w:val="auto"/>
                      <w:spacing w:val="-6"/>
                      <w:sz w:val="21"/>
                      <w:szCs w:val="21"/>
                      <w:highlight w:val="none"/>
                      <w:lang w:eastAsia="zh-CN"/>
                    </w:rPr>
                  </w:pPr>
                  <w:r>
                    <w:rPr>
                      <w:rFonts w:hint="eastAsia" w:ascii="Times New Roman" w:hAnsi="Times New Roman" w:eastAsia="宋体" w:cs="Times New Roman"/>
                      <w:b/>
                      <w:color w:val="auto"/>
                      <w:spacing w:val="-6"/>
                      <w:sz w:val="21"/>
                      <w:szCs w:val="21"/>
                      <w:highlight w:val="none"/>
                      <w:lang w:val="en-US" w:eastAsia="zh-CN"/>
                    </w:rPr>
                    <w:t>设备</w:t>
                  </w:r>
                </w:p>
              </w:tc>
              <w:tc>
                <w:tcPr>
                  <w:tcW w:w="1681" w:type="dxa"/>
                  <w:noWrap w:val="0"/>
                  <w:vAlign w:val="center"/>
                </w:tcPr>
                <w:p w14:paraId="1F47BD19">
                  <w:pPr>
                    <w:keepNext w:val="0"/>
                    <w:keepLines w:val="0"/>
                    <w:pageBreakBefore w:val="0"/>
                    <w:widowControl/>
                    <w:kinsoku/>
                    <w:wordWrap w:val="0"/>
                    <w:overflowPunct/>
                    <w:topLinePunct w:val="0"/>
                    <w:bidi w:val="0"/>
                    <w:spacing w:line="240" w:lineRule="auto"/>
                    <w:ind w:firstLine="0" w:firstLineChars="0"/>
                    <w:jc w:val="center"/>
                    <w:rPr>
                      <w:rFonts w:ascii="Times New Roman" w:hAnsi="Times New Roman" w:eastAsia="宋体" w:cs="Times New Roman"/>
                      <w:b/>
                      <w:color w:val="auto"/>
                      <w:spacing w:val="-6"/>
                      <w:sz w:val="21"/>
                      <w:szCs w:val="21"/>
                      <w:highlight w:val="none"/>
                    </w:rPr>
                  </w:pPr>
                  <w:r>
                    <w:rPr>
                      <w:rFonts w:hint="eastAsia" w:ascii="Times New Roman" w:hAnsi="Times New Roman" w:eastAsia="宋体" w:cs="Times New Roman"/>
                      <w:b/>
                      <w:color w:val="auto"/>
                      <w:spacing w:val="-6"/>
                      <w:sz w:val="21"/>
                      <w:szCs w:val="21"/>
                      <w:highlight w:val="none"/>
                      <w:lang w:val="en-US" w:eastAsia="zh-CN"/>
                    </w:rPr>
                    <w:t>面积</w:t>
                  </w:r>
                  <w:r>
                    <w:rPr>
                      <w:rFonts w:ascii="Times New Roman" w:hAnsi="Times New Roman" w:eastAsia="宋体" w:cs="Times New Roman"/>
                      <w:b/>
                      <w:color w:val="auto"/>
                      <w:spacing w:val="-6"/>
                      <w:sz w:val="21"/>
                      <w:szCs w:val="21"/>
                      <w:highlight w:val="none"/>
                    </w:rPr>
                    <w:t>（m</w:t>
                  </w:r>
                  <w:r>
                    <w:rPr>
                      <w:rFonts w:hint="eastAsia" w:ascii="Times New Roman" w:hAnsi="Times New Roman" w:eastAsia="宋体" w:cs="Times New Roman"/>
                      <w:b/>
                      <w:color w:val="auto"/>
                      <w:spacing w:val="-6"/>
                      <w:sz w:val="21"/>
                      <w:szCs w:val="21"/>
                      <w:highlight w:val="none"/>
                      <w:vertAlign w:val="superscript"/>
                      <w:lang w:val="en-US" w:eastAsia="zh-CN"/>
                    </w:rPr>
                    <w:t>2</w:t>
                  </w:r>
                  <w:r>
                    <w:rPr>
                      <w:rFonts w:ascii="Times New Roman" w:hAnsi="Times New Roman" w:eastAsia="宋体" w:cs="Times New Roman"/>
                      <w:b/>
                      <w:color w:val="auto"/>
                      <w:spacing w:val="-6"/>
                      <w:sz w:val="21"/>
                      <w:szCs w:val="21"/>
                      <w:highlight w:val="none"/>
                    </w:rPr>
                    <w:t>）</w:t>
                  </w:r>
                </w:p>
              </w:tc>
              <w:tc>
                <w:tcPr>
                  <w:tcW w:w="1773" w:type="dxa"/>
                  <w:noWrap w:val="0"/>
                  <w:vAlign w:val="center"/>
                </w:tcPr>
                <w:p w14:paraId="2C3CAFDD">
                  <w:pPr>
                    <w:keepNext w:val="0"/>
                    <w:keepLines w:val="0"/>
                    <w:pageBreakBefore w:val="0"/>
                    <w:widowControl/>
                    <w:kinsoku/>
                    <w:wordWrap w:val="0"/>
                    <w:overflowPunct/>
                    <w:topLinePunct w:val="0"/>
                    <w:bidi w:val="0"/>
                    <w:spacing w:line="240" w:lineRule="auto"/>
                    <w:ind w:firstLine="0" w:firstLineChars="0"/>
                    <w:jc w:val="center"/>
                    <w:rPr>
                      <w:rFonts w:ascii="Times New Roman" w:hAnsi="Times New Roman" w:eastAsia="宋体" w:cs="Times New Roman"/>
                      <w:b/>
                      <w:color w:val="auto"/>
                      <w:spacing w:val="-6"/>
                      <w:sz w:val="21"/>
                      <w:szCs w:val="21"/>
                      <w:highlight w:val="none"/>
                    </w:rPr>
                  </w:pPr>
                  <w:r>
                    <w:rPr>
                      <w:rFonts w:hint="eastAsia" w:ascii="Times New Roman" w:hAnsi="Times New Roman" w:eastAsia="宋体" w:cs="Times New Roman"/>
                      <w:b/>
                      <w:color w:val="auto"/>
                      <w:spacing w:val="-6"/>
                      <w:sz w:val="21"/>
                      <w:szCs w:val="21"/>
                      <w:highlight w:val="none"/>
                      <w:lang w:val="en-US" w:eastAsia="zh-CN"/>
                    </w:rPr>
                    <w:t>高度</w:t>
                  </w:r>
                  <w:r>
                    <w:rPr>
                      <w:rFonts w:ascii="Times New Roman" w:hAnsi="Times New Roman" w:eastAsia="宋体" w:cs="Times New Roman"/>
                      <w:b/>
                      <w:color w:val="auto"/>
                      <w:spacing w:val="-6"/>
                      <w:sz w:val="21"/>
                      <w:szCs w:val="21"/>
                      <w:highlight w:val="none"/>
                    </w:rPr>
                    <w:t>（m）</w:t>
                  </w:r>
                </w:p>
              </w:tc>
              <w:tc>
                <w:tcPr>
                  <w:tcW w:w="1173" w:type="dxa"/>
                  <w:noWrap w:val="0"/>
                  <w:vAlign w:val="center"/>
                </w:tcPr>
                <w:p w14:paraId="0AC42792">
                  <w:pPr>
                    <w:keepNext w:val="0"/>
                    <w:keepLines w:val="0"/>
                    <w:pageBreakBefore w:val="0"/>
                    <w:widowControl/>
                    <w:kinsoku/>
                    <w:wordWrap w:val="0"/>
                    <w:overflowPunct/>
                    <w:topLinePunct w:val="0"/>
                    <w:bidi w:val="0"/>
                    <w:spacing w:line="240" w:lineRule="auto"/>
                    <w:ind w:firstLine="0" w:firstLineChars="0"/>
                    <w:jc w:val="center"/>
                    <w:rPr>
                      <w:rFonts w:hint="default" w:ascii="Times New Roman" w:hAnsi="Times New Roman" w:eastAsia="宋体" w:cs="Times New Roman"/>
                      <w:b/>
                      <w:color w:val="auto"/>
                      <w:spacing w:val="-6"/>
                      <w:kern w:val="2"/>
                      <w:sz w:val="21"/>
                      <w:szCs w:val="21"/>
                      <w:highlight w:val="none"/>
                      <w:lang w:val="en-US" w:eastAsia="zh-CN" w:bidi="ar-SA"/>
                    </w:rPr>
                  </w:pPr>
                  <w:r>
                    <w:rPr>
                      <w:rFonts w:hint="eastAsia" w:ascii="Times New Roman" w:hAnsi="Times New Roman" w:eastAsia="宋体" w:cs="Times New Roman"/>
                      <w:b/>
                      <w:color w:val="auto"/>
                      <w:spacing w:val="-6"/>
                      <w:kern w:val="2"/>
                      <w:sz w:val="21"/>
                      <w:szCs w:val="21"/>
                      <w:highlight w:val="none"/>
                      <w:lang w:val="en-US" w:eastAsia="zh-CN" w:bidi="ar-SA"/>
                    </w:rPr>
                    <w:t>换气次数（次/h）</w:t>
                  </w:r>
                </w:p>
              </w:tc>
              <w:tc>
                <w:tcPr>
                  <w:tcW w:w="1749" w:type="dxa"/>
                  <w:noWrap w:val="0"/>
                  <w:vAlign w:val="center"/>
                </w:tcPr>
                <w:p w14:paraId="168CA211">
                  <w:pPr>
                    <w:keepNext w:val="0"/>
                    <w:keepLines w:val="0"/>
                    <w:pageBreakBefore w:val="0"/>
                    <w:widowControl/>
                    <w:kinsoku/>
                    <w:wordWrap w:val="0"/>
                    <w:overflowPunct/>
                    <w:topLinePunct w:val="0"/>
                    <w:bidi w:val="0"/>
                    <w:spacing w:line="240" w:lineRule="auto"/>
                    <w:ind w:firstLine="0" w:firstLineChars="0"/>
                    <w:jc w:val="center"/>
                    <w:rPr>
                      <w:rFonts w:ascii="Times New Roman" w:hAnsi="Times New Roman" w:eastAsia="宋体" w:cs="Times New Roman"/>
                      <w:b/>
                      <w:color w:val="auto"/>
                      <w:spacing w:val="-6"/>
                      <w:sz w:val="21"/>
                      <w:szCs w:val="21"/>
                      <w:highlight w:val="none"/>
                    </w:rPr>
                  </w:pPr>
                  <w:r>
                    <w:rPr>
                      <w:rFonts w:hint="eastAsia" w:ascii="Times New Roman" w:hAnsi="Times New Roman" w:eastAsia="宋体" w:cs="Times New Roman"/>
                      <w:b/>
                      <w:color w:val="auto"/>
                      <w:spacing w:val="-6"/>
                      <w:sz w:val="21"/>
                      <w:szCs w:val="21"/>
                      <w:highlight w:val="none"/>
                      <w:lang w:val="en-US" w:eastAsia="zh-CN"/>
                    </w:rPr>
                    <w:t>理论</w:t>
                  </w:r>
                  <w:r>
                    <w:rPr>
                      <w:rFonts w:ascii="Times New Roman" w:hAnsi="Times New Roman" w:eastAsia="宋体" w:cs="Times New Roman"/>
                      <w:b/>
                      <w:color w:val="auto"/>
                      <w:spacing w:val="-6"/>
                      <w:sz w:val="21"/>
                      <w:szCs w:val="21"/>
                      <w:highlight w:val="none"/>
                    </w:rPr>
                    <w:t>风量</w:t>
                  </w:r>
                </w:p>
                <w:p w14:paraId="0E7BAB48">
                  <w:pPr>
                    <w:keepNext w:val="0"/>
                    <w:keepLines w:val="0"/>
                    <w:pageBreakBefore w:val="0"/>
                    <w:widowControl/>
                    <w:kinsoku/>
                    <w:wordWrap w:val="0"/>
                    <w:overflowPunct/>
                    <w:topLinePunct w:val="0"/>
                    <w:bidi w:val="0"/>
                    <w:spacing w:line="240" w:lineRule="auto"/>
                    <w:ind w:firstLine="0" w:firstLineChars="0"/>
                    <w:jc w:val="center"/>
                    <w:rPr>
                      <w:rFonts w:ascii="Times New Roman" w:hAnsi="Times New Roman" w:eastAsia="宋体" w:cs="Times New Roman"/>
                      <w:b/>
                      <w:color w:val="auto"/>
                      <w:spacing w:val="-6"/>
                      <w:sz w:val="21"/>
                      <w:szCs w:val="21"/>
                      <w:highlight w:val="none"/>
                    </w:rPr>
                  </w:pPr>
                  <w:r>
                    <w:rPr>
                      <w:rFonts w:hint="eastAsia" w:ascii="Times New Roman" w:hAnsi="Times New Roman" w:eastAsia="宋体" w:cs="Times New Roman"/>
                      <w:b/>
                      <w:color w:val="auto"/>
                      <w:spacing w:val="-6"/>
                      <w:sz w:val="21"/>
                      <w:szCs w:val="21"/>
                      <w:highlight w:val="none"/>
                      <w:lang w:eastAsia="zh-CN"/>
                    </w:rPr>
                    <w:t>（</w:t>
                  </w:r>
                  <w:r>
                    <w:rPr>
                      <w:rFonts w:ascii="Times New Roman" w:hAnsi="Times New Roman" w:eastAsia="宋体" w:cs="Times New Roman"/>
                      <w:b/>
                      <w:color w:val="auto"/>
                      <w:spacing w:val="-6"/>
                      <w:sz w:val="21"/>
                      <w:szCs w:val="21"/>
                      <w:highlight w:val="none"/>
                      <w:lang w:val="zh-CN"/>
                    </w:rPr>
                    <w:t>m</w:t>
                  </w:r>
                  <w:r>
                    <w:rPr>
                      <w:rFonts w:ascii="Times New Roman" w:hAnsi="Times New Roman" w:eastAsia="宋体" w:cs="Times New Roman"/>
                      <w:b/>
                      <w:color w:val="auto"/>
                      <w:spacing w:val="-6"/>
                      <w:sz w:val="21"/>
                      <w:szCs w:val="21"/>
                      <w:highlight w:val="none"/>
                      <w:vertAlign w:val="superscript"/>
                      <w:lang w:val="zh-CN"/>
                    </w:rPr>
                    <w:t>3</w:t>
                  </w:r>
                  <w:r>
                    <w:rPr>
                      <w:rFonts w:ascii="Times New Roman" w:hAnsi="Times New Roman" w:eastAsia="宋体" w:cs="Times New Roman"/>
                      <w:b/>
                      <w:color w:val="auto"/>
                      <w:spacing w:val="-6"/>
                      <w:sz w:val="21"/>
                      <w:szCs w:val="21"/>
                      <w:highlight w:val="none"/>
                      <w:lang w:val="zh-CN"/>
                    </w:rPr>
                    <w:t>/h</w:t>
                  </w:r>
                  <w:r>
                    <w:rPr>
                      <w:rFonts w:hint="eastAsia" w:ascii="Times New Roman" w:hAnsi="Times New Roman" w:eastAsia="宋体" w:cs="Times New Roman"/>
                      <w:b/>
                      <w:color w:val="auto"/>
                      <w:spacing w:val="-6"/>
                      <w:sz w:val="21"/>
                      <w:szCs w:val="21"/>
                      <w:highlight w:val="none"/>
                      <w:lang w:val="zh-CN"/>
                    </w:rPr>
                    <w:t>）</w:t>
                  </w:r>
                </w:p>
              </w:tc>
            </w:tr>
            <w:tr w14:paraId="2E7868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vMerge w:val="restart"/>
                  <w:noWrap w:val="0"/>
                  <w:vAlign w:val="center"/>
                </w:tcPr>
                <w:p w14:paraId="4A8E864C">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p>
              </w:tc>
              <w:tc>
                <w:tcPr>
                  <w:tcW w:w="662" w:type="dxa"/>
                  <w:noWrap w:val="0"/>
                  <w:vAlign w:val="center"/>
                </w:tcPr>
                <w:p w14:paraId="565F1D0D">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p>
              </w:tc>
              <w:tc>
                <w:tcPr>
                  <w:tcW w:w="1116" w:type="dxa"/>
                  <w:vMerge w:val="restart"/>
                  <w:noWrap w:val="0"/>
                  <w:vAlign w:val="center"/>
                </w:tcPr>
                <w:p w14:paraId="7694012C">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681" w:type="dxa"/>
                  <w:noWrap w:val="0"/>
                  <w:vAlign w:val="center"/>
                </w:tcPr>
                <w:p w14:paraId="4F072F3F">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773" w:type="dxa"/>
                  <w:noWrap w:val="0"/>
                  <w:vAlign w:val="center"/>
                </w:tcPr>
                <w:p w14:paraId="726F69CB">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173" w:type="dxa"/>
                  <w:vMerge w:val="restart"/>
                  <w:noWrap w:val="0"/>
                  <w:vAlign w:val="center"/>
                </w:tcPr>
                <w:p w14:paraId="5B260106">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p>
              </w:tc>
              <w:tc>
                <w:tcPr>
                  <w:tcW w:w="1749" w:type="dxa"/>
                  <w:noWrap w:val="0"/>
                  <w:vAlign w:val="center"/>
                </w:tcPr>
                <w:p w14:paraId="7AC8020F">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r>
            <w:tr w14:paraId="6DD02D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vMerge w:val="continue"/>
                  <w:noWrap w:val="0"/>
                  <w:vAlign w:val="center"/>
                </w:tcPr>
                <w:p w14:paraId="266E5E30">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p>
              </w:tc>
              <w:tc>
                <w:tcPr>
                  <w:tcW w:w="662" w:type="dxa"/>
                  <w:noWrap w:val="0"/>
                  <w:vAlign w:val="center"/>
                </w:tcPr>
                <w:p w14:paraId="4EC125BE">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p>
              </w:tc>
              <w:tc>
                <w:tcPr>
                  <w:tcW w:w="1116" w:type="dxa"/>
                  <w:vMerge w:val="continue"/>
                  <w:noWrap w:val="0"/>
                  <w:vAlign w:val="center"/>
                </w:tcPr>
                <w:p w14:paraId="4434A83E">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p>
              </w:tc>
              <w:tc>
                <w:tcPr>
                  <w:tcW w:w="1681" w:type="dxa"/>
                  <w:noWrap w:val="0"/>
                  <w:vAlign w:val="center"/>
                </w:tcPr>
                <w:p w14:paraId="53624CF4">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default" w:cs="Times New Roman"/>
                      <w:color w:val="auto"/>
                      <w:sz w:val="21"/>
                      <w:szCs w:val="21"/>
                      <w:highlight w:val="none"/>
                      <w:lang w:val="en-US" w:eastAsia="zh-CN"/>
                    </w:rPr>
                  </w:pPr>
                </w:p>
              </w:tc>
              <w:tc>
                <w:tcPr>
                  <w:tcW w:w="1773" w:type="dxa"/>
                  <w:noWrap w:val="0"/>
                  <w:vAlign w:val="center"/>
                </w:tcPr>
                <w:p w14:paraId="3C358F19">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default" w:cs="Times New Roman"/>
                      <w:color w:val="auto"/>
                      <w:sz w:val="21"/>
                      <w:szCs w:val="21"/>
                      <w:highlight w:val="none"/>
                      <w:lang w:val="en-US" w:eastAsia="zh-CN"/>
                    </w:rPr>
                  </w:pPr>
                </w:p>
              </w:tc>
              <w:tc>
                <w:tcPr>
                  <w:tcW w:w="1173" w:type="dxa"/>
                  <w:vMerge w:val="continue"/>
                  <w:noWrap w:val="0"/>
                  <w:vAlign w:val="center"/>
                </w:tcPr>
                <w:p w14:paraId="211C5DE2">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p>
              </w:tc>
              <w:tc>
                <w:tcPr>
                  <w:tcW w:w="1749" w:type="dxa"/>
                  <w:noWrap w:val="0"/>
                  <w:vAlign w:val="center"/>
                </w:tcPr>
                <w:p w14:paraId="2253F924">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baseline"/>
                    <w:rPr>
                      <w:rFonts w:hint="default" w:cs="Times New Roman"/>
                      <w:color w:val="auto"/>
                      <w:sz w:val="21"/>
                      <w:szCs w:val="21"/>
                      <w:highlight w:val="none"/>
                      <w:lang w:val="en-US" w:eastAsia="zh-CN"/>
                    </w:rPr>
                  </w:pPr>
                </w:p>
              </w:tc>
            </w:tr>
          </w:tbl>
          <w:p w14:paraId="7021329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0" w:leftChars="0" w:firstLine="480" w:firstLineChars="200"/>
              <w:textAlignment w:val="auto"/>
              <w:rPr>
                <w:rFonts w:hint="eastAsia" w:eastAsia="宋体" w:cs="Times New Roman"/>
                <w:b/>
                <w:bCs/>
                <w:color w:val="auto"/>
                <w:spacing w:val="0"/>
                <w:position w:val="0"/>
                <w:sz w:val="24"/>
                <w:szCs w:val="24"/>
                <w:highlight w:val="none"/>
                <w:lang w:val="en-US" w:eastAsia="zh-CN"/>
              </w:rPr>
            </w:pPr>
            <w:r>
              <w:rPr>
                <w:rFonts w:ascii="Times New Roman" w:hAnsi="Times New Roman" w:eastAsia="宋体" w:cs="Times New Roman"/>
                <w:b w:val="0"/>
                <w:bCs/>
                <w:color w:val="auto"/>
                <w:sz w:val="24"/>
                <w:highlight w:val="none"/>
              </w:rPr>
              <w:t>项目</w:t>
            </w:r>
            <w:r>
              <w:rPr>
                <w:rFonts w:hint="eastAsia" w:ascii="Times New Roman" w:hAnsi="Times New Roman" w:eastAsia="宋体" w:cs="Times New Roman"/>
                <w:b w:val="0"/>
                <w:bCs/>
                <w:color w:val="auto"/>
                <w:sz w:val="24"/>
                <w:highlight w:val="none"/>
                <w:lang w:val="en-US" w:eastAsia="zh-CN"/>
              </w:rPr>
              <w:t>调漆、喷漆</w:t>
            </w:r>
            <w:r>
              <w:rPr>
                <w:rFonts w:hint="eastAsia" w:ascii="Times New Roman" w:hAnsi="Times New Roman" w:eastAsia="宋体" w:cs="Times New Roman"/>
                <w:b w:val="0"/>
                <w:bCs/>
                <w:color w:val="auto"/>
                <w:sz w:val="24"/>
                <w:szCs w:val="24"/>
                <w:highlight w:val="none"/>
                <w:lang w:val="en-US" w:eastAsia="zh-CN"/>
              </w:rPr>
              <w:t>及晾干</w:t>
            </w:r>
            <w:r>
              <w:rPr>
                <w:rFonts w:hint="eastAsia" w:ascii="Times New Roman" w:hAnsi="Times New Roman" w:eastAsia="宋体" w:cs="Times New Roman"/>
                <w:b w:val="0"/>
                <w:bCs/>
                <w:color w:val="auto"/>
                <w:sz w:val="24"/>
                <w:szCs w:val="24"/>
                <w:highlight w:val="none"/>
              </w:rPr>
              <w:t>废气</w:t>
            </w:r>
            <w:r>
              <w:rPr>
                <w:rFonts w:ascii="Times New Roman" w:hAnsi="Times New Roman" w:eastAsia="宋体" w:cs="Times New Roman"/>
                <w:b w:val="0"/>
                <w:bCs/>
                <w:color w:val="auto"/>
                <w:sz w:val="24"/>
                <w:szCs w:val="24"/>
                <w:highlight w:val="none"/>
              </w:rPr>
              <w:t>排放</w:t>
            </w:r>
            <w:r>
              <w:rPr>
                <w:rFonts w:hint="eastAsia" w:ascii="Times New Roman" w:hAnsi="Times New Roman" w:eastAsia="宋体" w:cs="Times New Roman"/>
                <w:b w:val="0"/>
                <w:bCs/>
                <w:color w:val="auto"/>
                <w:sz w:val="24"/>
                <w:szCs w:val="24"/>
                <w:highlight w:val="none"/>
              </w:rPr>
              <w:t>口（DA00</w:t>
            </w:r>
            <w:r>
              <w:rPr>
                <w:rFonts w:hint="eastAsia" w:cs="Times New Roman"/>
                <w:b w:val="0"/>
                <w:bCs/>
                <w:color w:val="auto"/>
                <w:sz w:val="24"/>
                <w:szCs w:val="24"/>
                <w:highlight w:val="none"/>
                <w:lang w:val="en-US" w:eastAsia="zh-CN"/>
              </w:rPr>
              <w:t>1</w:t>
            </w:r>
            <w:r>
              <w:rPr>
                <w:rFonts w:hint="eastAsia" w:ascii="Times New Roman" w:hAnsi="Times New Roman" w:eastAsia="宋体" w:cs="Times New Roman"/>
                <w:b w:val="0"/>
                <w:bCs/>
                <w:color w:val="auto"/>
                <w:sz w:val="24"/>
                <w:szCs w:val="24"/>
                <w:highlight w:val="none"/>
              </w:rPr>
              <w:t>）</w:t>
            </w:r>
            <w:r>
              <w:rPr>
                <w:rFonts w:ascii="Times New Roman" w:hAnsi="Times New Roman" w:eastAsia="宋体" w:cs="Times New Roman"/>
                <w:b w:val="0"/>
                <w:bCs/>
                <w:color w:val="auto"/>
                <w:sz w:val="24"/>
                <w:szCs w:val="24"/>
                <w:highlight w:val="none"/>
              </w:rPr>
              <w:t>设计风量为</w:t>
            </w:r>
            <w:r>
              <w:rPr>
                <w:rFonts w:hint="eastAsia" w:cs="Times New Roman"/>
                <w:b w:val="0"/>
                <w:bCs/>
                <w:color w:val="auto"/>
                <w:sz w:val="24"/>
                <w:szCs w:val="24"/>
                <w:highlight w:val="none"/>
                <w:lang w:val="en-US" w:eastAsia="zh-CN"/>
              </w:rPr>
              <w:t>25000</w:t>
            </w:r>
            <w:r>
              <w:rPr>
                <w:rFonts w:ascii="Times New Roman" w:hAnsi="Times New Roman" w:eastAsia="宋体" w:cs="Times New Roman"/>
                <w:b w:val="0"/>
                <w:bCs/>
                <w:color w:val="auto"/>
                <w:sz w:val="24"/>
                <w:szCs w:val="24"/>
                <w:highlight w:val="none"/>
              </w:rPr>
              <w:t>m</w:t>
            </w:r>
            <w:r>
              <w:rPr>
                <w:rFonts w:ascii="Times New Roman" w:hAnsi="Times New Roman" w:eastAsia="宋体" w:cs="Times New Roman"/>
                <w:b w:val="0"/>
                <w:bCs/>
                <w:color w:val="auto"/>
                <w:sz w:val="24"/>
                <w:szCs w:val="24"/>
                <w:highlight w:val="none"/>
                <w:vertAlign w:val="superscript"/>
              </w:rPr>
              <w:t>3</w:t>
            </w:r>
            <w:r>
              <w:rPr>
                <w:rFonts w:ascii="Times New Roman" w:hAnsi="Times New Roman" w:eastAsia="宋体" w:cs="Times New Roman"/>
                <w:b w:val="0"/>
                <w:bCs/>
                <w:color w:val="auto"/>
                <w:sz w:val="24"/>
                <w:szCs w:val="24"/>
                <w:highlight w:val="none"/>
              </w:rPr>
              <w:t>/h</w:t>
            </w:r>
            <w:r>
              <w:rPr>
                <w:rFonts w:hint="eastAsia" w:cs="Times New Roman"/>
                <w:b w:val="0"/>
                <w:bCs/>
                <w:color w:val="auto"/>
                <w:sz w:val="24"/>
                <w:szCs w:val="24"/>
                <w:highlight w:val="none"/>
                <w:lang w:eastAsia="zh-CN"/>
              </w:rPr>
              <w:t>（</w:t>
            </w:r>
            <w:r>
              <w:rPr>
                <w:rFonts w:hint="eastAsia" w:cs="Times New Roman"/>
                <w:b w:val="0"/>
                <w:bCs/>
                <w:color w:val="auto"/>
                <w:sz w:val="24"/>
                <w:szCs w:val="24"/>
                <w:highlight w:val="none"/>
                <w:lang w:val="en-US" w:eastAsia="zh-CN"/>
              </w:rPr>
              <w:t>10000</w:t>
            </w:r>
            <w:r>
              <w:rPr>
                <w:rFonts w:ascii="Times New Roman" w:hAnsi="Times New Roman" w:eastAsia="宋体" w:cs="Times New Roman"/>
                <w:b w:val="0"/>
                <w:bCs/>
                <w:color w:val="auto"/>
                <w:sz w:val="24"/>
                <w:szCs w:val="24"/>
                <w:highlight w:val="none"/>
              </w:rPr>
              <w:t>m</w:t>
            </w:r>
            <w:r>
              <w:rPr>
                <w:rFonts w:ascii="Times New Roman" w:hAnsi="Times New Roman" w:eastAsia="宋体" w:cs="Times New Roman"/>
                <w:b w:val="0"/>
                <w:bCs/>
                <w:color w:val="auto"/>
                <w:sz w:val="24"/>
                <w:szCs w:val="24"/>
                <w:highlight w:val="none"/>
                <w:vertAlign w:val="superscript"/>
              </w:rPr>
              <w:t>3</w:t>
            </w:r>
            <w:r>
              <w:rPr>
                <w:rFonts w:ascii="Times New Roman" w:hAnsi="Times New Roman" w:eastAsia="宋体" w:cs="Times New Roman"/>
                <w:b w:val="0"/>
                <w:bCs/>
                <w:color w:val="auto"/>
                <w:sz w:val="24"/>
                <w:szCs w:val="24"/>
                <w:highlight w:val="none"/>
              </w:rPr>
              <w:t>/h</w:t>
            </w:r>
            <w:r>
              <w:rPr>
                <w:rFonts w:hint="eastAsia" w:cs="Times New Roman"/>
                <w:b w:val="0"/>
                <w:bCs/>
                <w:color w:val="auto"/>
                <w:sz w:val="24"/>
                <w:szCs w:val="24"/>
                <w:highlight w:val="none"/>
                <w:lang w:val="en-US" w:eastAsia="zh-CN"/>
              </w:rPr>
              <w:t>+15000</w:t>
            </w:r>
            <w:r>
              <w:rPr>
                <w:rFonts w:ascii="Times New Roman" w:hAnsi="Times New Roman" w:eastAsia="宋体" w:cs="Times New Roman"/>
                <w:b w:val="0"/>
                <w:bCs/>
                <w:color w:val="auto"/>
                <w:sz w:val="24"/>
                <w:szCs w:val="24"/>
                <w:highlight w:val="none"/>
              </w:rPr>
              <w:t>m</w:t>
            </w:r>
            <w:r>
              <w:rPr>
                <w:rFonts w:ascii="Times New Roman" w:hAnsi="Times New Roman" w:eastAsia="宋体" w:cs="Times New Roman"/>
                <w:b w:val="0"/>
                <w:bCs/>
                <w:color w:val="auto"/>
                <w:sz w:val="24"/>
                <w:szCs w:val="24"/>
                <w:highlight w:val="none"/>
                <w:vertAlign w:val="superscript"/>
              </w:rPr>
              <w:t>3</w:t>
            </w:r>
            <w:r>
              <w:rPr>
                <w:rFonts w:ascii="Times New Roman" w:hAnsi="Times New Roman" w:eastAsia="宋体" w:cs="Times New Roman"/>
                <w:b w:val="0"/>
                <w:bCs/>
                <w:color w:val="auto"/>
                <w:sz w:val="24"/>
                <w:szCs w:val="24"/>
                <w:highlight w:val="none"/>
              </w:rPr>
              <w:t>/h</w:t>
            </w:r>
            <w:r>
              <w:rPr>
                <w:rFonts w:hint="eastAsia"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rPr>
              <w:t>，</w:t>
            </w:r>
            <w:r>
              <w:rPr>
                <w:rFonts w:hint="eastAsia" w:cs="Times New Roman"/>
                <w:color w:val="auto"/>
                <w:sz w:val="24"/>
                <w:szCs w:val="24"/>
                <w:highlight w:val="none"/>
                <w:lang w:val="en-US" w:eastAsia="zh-CN"/>
              </w:rPr>
              <w:t>调漆、喷漆废气经水帘柜处理后，与晾干废气一同经集气装置负压收集后再引入“气旋塔+过滤棉+二级活性炭吸附装置”</w:t>
            </w:r>
            <w:r>
              <w:rPr>
                <w:rFonts w:hint="eastAsia" w:ascii="Times New Roman" w:hAnsi="Times New Roman" w:eastAsia="宋体" w:cs="Times New Roman"/>
                <w:color w:val="auto"/>
                <w:sz w:val="24"/>
                <w:szCs w:val="24"/>
                <w:highlight w:val="none"/>
                <w:lang w:val="en-US" w:eastAsia="zh-CN"/>
              </w:rPr>
              <w:t>处理</w:t>
            </w:r>
            <w:r>
              <w:rPr>
                <w:rFonts w:hint="eastAsia" w:eastAsia="宋体" w:cs="Times New Roman"/>
                <w:color w:val="auto"/>
                <w:sz w:val="24"/>
                <w:szCs w:val="24"/>
                <w:highlight w:val="none"/>
                <w:lang w:eastAsia="zh-CN"/>
              </w:rPr>
              <w:t>，</w:t>
            </w:r>
            <w:r>
              <w:rPr>
                <w:rFonts w:hint="eastAsia"/>
                <w:color w:val="auto"/>
                <w:sz w:val="24"/>
                <w:szCs w:val="24"/>
                <w:highlight w:val="none"/>
                <w:lang w:val="en-US" w:eastAsia="zh-CN"/>
              </w:rPr>
              <w:t>考虑</w:t>
            </w:r>
            <w:r>
              <w:rPr>
                <w:rFonts w:hint="eastAsia"/>
                <w:color w:val="auto"/>
                <w:sz w:val="24"/>
                <w:szCs w:val="24"/>
                <w:highlight w:val="none"/>
              </w:rPr>
              <w:t>实际运行过程会因管道等阻力因素造成一定的风量损失，所需风量按1.2倍设计，集气系统设置总风量为</w:t>
            </w:r>
            <w:r>
              <w:rPr>
                <w:rFonts w:hint="eastAsia"/>
                <w:color w:val="auto"/>
                <w:sz w:val="24"/>
                <w:szCs w:val="24"/>
                <w:highlight w:val="none"/>
                <w:lang w:val="en-US" w:eastAsia="zh-CN"/>
              </w:rPr>
              <w:t>30000</w:t>
            </w:r>
            <w:r>
              <w:rPr>
                <w:rFonts w:ascii="Times New Roman" w:hAnsi="Times New Roman" w:eastAsia="宋体" w:cs="Times New Roman"/>
                <w:b w:val="0"/>
                <w:bCs/>
                <w:color w:val="auto"/>
                <w:sz w:val="24"/>
                <w:szCs w:val="24"/>
                <w:highlight w:val="none"/>
              </w:rPr>
              <w:t>m</w:t>
            </w:r>
            <w:r>
              <w:rPr>
                <w:rFonts w:ascii="Times New Roman" w:hAnsi="Times New Roman" w:eastAsia="宋体" w:cs="Times New Roman"/>
                <w:b w:val="0"/>
                <w:bCs/>
                <w:color w:val="auto"/>
                <w:sz w:val="24"/>
                <w:szCs w:val="24"/>
                <w:highlight w:val="none"/>
                <w:vertAlign w:val="superscript"/>
              </w:rPr>
              <w:t>3</w:t>
            </w:r>
            <w:r>
              <w:rPr>
                <w:rFonts w:ascii="Times New Roman" w:hAnsi="Times New Roman" w:eastAsia="宋体" w:cs="Times New Roman"/>
                <w:b w:val="0"/>
                <w:bCs/>
                <w:color w:val="auto"/>
                <w:sz w:val="24"/>
                <w:szCs w:val="24"/>
                <w:highlight w:val="none"/>
              </w:rPr>
              <w:t>/h</w:t>
            </w:r>
            <w:r>
              <w:rPr>
                <w:rFonts w:hint="eastAsia" w:ascii="Times New Roman" w:hAnsi="Times New Roman" w:eastAsia="宋体" w:cs="Times New Roman"/>
                <w:b w:val="0"/>
                <w:bCs/>
                <w:color w:val="auto"/>
                <w:sz w:val="24"/>
                <w:szCs w:val="24"/>
                <w:highlight w:val="none"/>
                <w:lang w:val="en-US" w:eastAsia="zh-CN"/>
              </w:rPr>
              <w:t>计算</w:t>
            </w:r>
            <w:r>
              <w:rPr>
                <w:rFonts w:hint="eastAsia" w:ascii="Times New Roman" w:hAnsi="Times New Roman" w:eastAsia="宋体"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rPr>
              <w:t>可满足需求</w:t>
            </w:r>
            <w:r>
              <w:rPr>
                <w:rFonts w:hint="eastAsia" w:cs="Times New Roman"/>
                <w:b w:val="0"/>
                <w:bCs/>
                <w:color w:val="auto"/>
                <w:sz w:val="24"/>
                <w:szCs w:val="24"/>
                <w:highlight w:val="none"/>
                <w:lang w:eastAsia="zh-CN"/>
              </w:rPr>
              <w:t>。</w:t>
            </w:r>
          </w:p>
          <w:p w14:paraId="0D8872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Times New Roman" w:hAnsi="Times New Roman" w:eastAsia="宋体" w:cs="Times New Roman"/>
                <w:b/>
                <w:bCs/>
                <w:color w:val="auto"/>
                <w:spacing w:val="0"/>
                <w:kern w:val="2"/>
                <w:sz w:val="24"/>
                <w:szCs w:val="24"/>
                <w:highlight w:val="none"/>
                <w:lang w:val="en-US" w:eastAsia="zh-CN" w:bidi="ar-SA"/>
              </w:rPr>
            </w:pPr>
            <w:r>
              <w:rPr>
                <w:rFonts w:hint="eastAsia" w:cs="Times New Roman"/>
                <w:b/>
                <w:bCs/>
                <w:color w:val="auto"/>
                <w:spacing w:val="0"/>
                <w:position w:val="0"/>
                <w:sz w:val="24"/>
                <w:szCs w:val="24"/>
                <w:highlight w:val="none"/>
                <w:lang w:val="en-US" w:eastAsia="zh-CN"/>
              </w:rPr>
              <w:t>（2）</w:t>
            </w:r>
            <w:r>
              <w:rPr>
                <w:rFonts w:hint="eastAsia" w:ascii="Times New Roman" w:hAnsi="Times New Roman" w:eastAsia="宋体" w:cs="Times New Roman"/>
                <w:b/>
                <w:bCs/>
                <w:color w:val="auto"/>
                <w:spacing w:val="0"/>
                <w:kern w:val="2"/>
                <w:sz w:val="24"/>
                <w:szCs w:val="24"/>
                <w:highlight w:val="none"/>
                <w:lang w:val="en-US" w:eastAsia="zh-CN" w:bidi="ar-SA"/>
              </w:rPr>
              <w:t>废气收集效率</w:t>
            </w:r>
          </w:p>
          <w:p w14:paraId="0D737B42">
            <w:pPr>
              <w:pStyle w:val="63"/>
              <w:numPr>
                <w:ilvl w:val="0"/>
                <w:numId w:val="0"/>
              </w:numPr>
              <w:ind w:left="0" w:leftChars="0" w:firstLine="482" w:firstLineChars="200"/>
              <w:rPr>
                <w:rFonts w:hint="eastAsia" w:ascii="Times New Roman" w:hAnsi="Times New Roman" w:eastAsia="宋体" w:cs="Times New Roman"/>
                <w:b/>
                <w:bCs/>
                <w:color w:val="auto"/>
                <w:spacing w:val="0"/>
                <w:position w:val="0"/>
                <w:sz w:val="24"/>
                <w:szCs w:val="24"/>
                <w:highlight w:val="none"/>
                <w:lang w:eastAsia="zh-CN"/>
              </w:rPr>
            </w:pPr>
            <w:r>
              <w:rPr>
                <w:rFonts w:hint="eastAsia" w:ascii="Times New Roman" w:hAnsi="Times New Roman" w:eastAsia="宋体" w:cs="Times New Roman"/>
                <w:b/>
                <w:bCs/>
                <w:color w:val="auto"/>
                <w:spacing w:val="0"/>
                <w:position w:val="0"/>
                <w:sz w:val="24"/>
                <w:szCs w:val="24"/>
                <w:highlight w:val="none"/>
                <w:lang w:eastAsia="zh-CN"/>
              </w:rPr>
              <w:t>调漆、喷漆、晾干</w:t>
            </w:r>
            <w:r>
              <w:rPr>
                <w:rFonts w:hint="eastAsia" w:cs="Times New Roman"/>
                <w:b/>
                <w:bCs/>
                <w:color w:val="auto"/>
                <w:spacing w:val="0"/>
                <w:position w:val="0"/>
                <w:sz w:val="24"/>
                <w:szCs w:val="24"/>
                <w:highlight w:val="none"/>
                <w:lang w:val="en-US" w:eastAsia="zh-CN"/>
              </w:rPr>
              <w:t>废气</w:t>
            </w:r>
          </w:p>
          <w:p w14:paraId="1C59432C">
            <w:pPr>
              <w:pStyle w:val="63"/>
              <w:keepNext w:val="0"/>
              <w:keepLines w:val="0"/>
              <w:pageBreakBefore w:val="0"/>
              <w:widowControl/>
              <w:numPr>
                <w:ilvl w:val="0"/>
                <w:numId w:val="0"/>
              </w:numPr>
              <w:kinsoku/>
              <w:wordWrap/>
              <w:overflowPunct/>
              <w:topLinePunct w:val="0"/>
              <w:autoSpaceDE/>
              <w:autoSpaceDN/>
              <w:bidi w:val="0"/>
              <w:adjustRightInd/>
              <w:snapToGrid w:val="0"/>
              <w:ind w:leftChars="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pacing w:val="0"/>
                <w:kern w:val="2"/>
                <w:sz w:val="24"/>
                <w:szCs w:val="24"/>
                <w:highlight w:val="none"/>
                <w:lang w:val="en-US" w:eastAsia="zh-CN" w:bidi="ar-SA"/>
              </w:rPr>
              <w:t>本项目生产车间为标准生产厂房，且</w:t>
            </w:r>
            <w:r>
              <w:rPr>
                <w:rFonts w:hint="eastAsia" w:cs="Times New Roman"/>
                <w:color w:val="auto"/>
                <w:spacing w:val="0"/>
                <w:kern w:val="2"/>
                <w:sz w:val="24"/>
                <w:szCs w:val="24"/>
                <w:highlight w:val="none"/>
                <w:lang w:val="en-US" w:eastAsia="zh-CN" w:bidi="ar-SA"/>
              </w:rPr>
              <w:t>喷漆晾干房为独立负压</w:t>
            </w:r>
            <w:r>
              <w:rPr>
                <w:rFonts w:hint="eastAsia" w:ascii="Times New Roman" w:hAnsi="Times New Roman" w:eastAsia="宋体" w:cs="Times New Roman"/>
                <w:color w:val="auto"/>
                <w:spacing w:val="0"/>
                <w:kern w:val="2"/>
                <w:sz w:val="24"/>
                <w:szCs w:val="24"/>
                <w:highlight w:val="none"/>
                <w:lang w:val="en-US" w:eastAsia="zh-CN" w:bidi="ar-SA"/>
              </w:rPr>
              <w:t>密闭，在项目运营期间，门窗需关闭，减少横向通风，防止横向气流干扰，以此减少空气对流，废气收集效率参考</w:t>
            </w:r>
            <w:r>
              <w:rPr>
                <w:rFonts w:ascii="Times New Roman" w:hAnsi="Times New Roman" w:eastAsia="宋体" w:cs="Times New Roman"/>
                <w:color w:val="auto"/>
                <w:spacing w:val="0"/>
                <w:sz w:val="24"/>
                <w:szCs w:val="24"/>
                <w:highlight w:val="none"/>
              </w:rPr>
              <w:t>《主要污染物总量减排核算技术指南》（2022年修订）</w:t>
            </w:r>
            <w:r>
              <w:rPr>
                <w:rFonts w:hint="eastAsia" w:ascii="Times New Roman" w:hAnsi="Times New Roman" w:eastAsia="宋体" w:cs="Times New Roman"/>
                <w:color w:val="auto"/>
                <w:spacing w:val="0"/>
                <w:sz w:val="24"/>
                <w:szCs w:val="24"/>
                <w:highlight w:val="none"/>
              </w:rPr>
              <w:t>附件2</w:t>
            </w:r>
            <w:r>
              <w:rPr>
                <w:rFonts w:ascii="Times New Roman" w:hAnsi="Times New Roman" w:eastAsia="宋体" w:cs="Times New Roman"/>
                <w:color w:val="auto"/>
                <w:spacing w:val="0"/>
                <w:sz w:val="24"/>
                <w:szCs w:val="24"/>
                <w:highlight w:val="none"/>
              </w:rPr>
              <w:t>中</w:t>
            </w:r>
            <w:r>
              <w:rPr>
                <w:rFonts w:hint="eastAsia" w:ascii="Times New Roman" w:hAnsi="Times New Roman" w:eastAsia="宋体" w:cs="Times New Roman"/>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表2-3 VOCs废气收集率和治理设施去除率通用系数</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kern w:val="0"/>
                <w:sz w:val="24"/>
                <w:szCs w:val="24"/>
                <w:highlight w:val="none"/>
                <w:lang w:bidi="ar"/>
              </w:rPr>
              <w:t>中“密闭空间”</w:t>
            </w:r>
            <w:r>
              <w:rPr>
                <w:rFonts w:hint="eastAsia" w:ascii="Times New Roman" w:hAnsi="Times New Roman" w:eastAsia="宋体" w:cs="Times New Roman"/>
                <w:color w:val="auto"/>
                <w:sz w:val="24"/>
                <w:szCs w:val="24"/>
                <w:highlight w:val="none"/>
              </w:rPr>
              <w:t>负压</w:t>
            </w:r>
            <w:r>
              <w:rPr>
                <w:rFonts w:ascii="Times New Roman" w:hAnsi="Times New Roman" w:eastAsia="宋体" w:cs="Times New Roman"/>
                <w:color w:val="auto"/>
                <w:sz w:val="24"/>
                <w:szCs w:val="24"/>
                <w:highlight w:val="none"/>
              </w:rPr>
              <w:t>废气</w:t>
            </w:r>
            <w:r>
              <w:rPr>
                <w:rFonts w:ascii="Times New Roman" w:hAnsi="Times New Roman" w:eastAsia="宋体" w:cs="Times New Roman"/>
                <w:snapToGrid w:val="0"/>
                <w:color w:val="auto"/>
                <w:kern w:val="0"/>
                <w:sz w:val="24"/>
                <w:szCs w:val="24"/>
                <w:highlight w:val="none"/>
              </w:rPr>
              <w:t>收集效率取90%</w:t>
            </w:r>
            <w:r>
              <w:rPr>
                <w:rFonts w:hint="eastAsia" w:ascii="Times New Roman" w:hAnsi="Times New Roman" w:eastAsia="宋体" w:cs="Times New Roman"/>
                <w:color w:val="auto"/>
                <w:sz w:val="24"/>
                <w:szCs w:val="24"/>
                <w:highlight w:val="none"/>
              </w:rPr>
              <w:t>。</w:t>
            </w:r>
          </w:p>
          <w:p w14:paraId="31F2CF2A">
            <w:pPr>
              <w:pStyle w:val="63"/>
              <w:keepNext w:val="0"/>
              <w:keepLines w:val="0"/>
              <w:pageBreakBefore w:val="0"/>
              <w:widowControl/>
              <w:kinsoku/>
              <w:wordWrap/>
              <w:overflowPunct/>
              <w:topLinePunct w:val="0"/>
              <w:autoSpaceDE/>
              <w:autoSpaceDN/>
              <w:bidi w:val="0"/>
              <w:adjustRightInd/>
              <w:snapToGrid w:val="0"/>
              <w:ind w:firstLine="482" w:firstLineChars="200"/>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eastAsia" w:cs="Times New Roman"/>
                <w:b/>
                <w:bCs/>
                <w:color w:val="auto"/>
                <w:spacing w:val="0"/>
                <w:position w:val="0"/>
                <w:sz w:val="24"/>
                <w:szCs w:val="24"/>
                <w:highlight w:val="none"/>
                <w:lang w:val="en-US" w:eastAsia="zh-CN"/>
              </w:rPr>
              <w:t>（3）</w:t>
            </w:r>
            <w:r>
              <w:rPr>
                <w:rFonts w:hint="eastAsia" w:ascii="Times New Roman" w:hAnsi="Times New Roman" w:eastAsia="宋体" w:cs="Times New Roman"/>
                <w:b/>
                <w:bCs/>
                <w:color w:val="auto"/>
                <w:spacing w:val="0"/>
                <w:position w:val="0"/>
                <w:sz w:val="24"/>
                <w:szCs w:val="24"/>
                <w:highlight w:val="none"/>
                <w:lang w:val="en-US" w:eastAsia="zh-CN"/>
              </w:rPr>
              <w:t>废气处理效率</w:t>
            </w:r>
          </w:p>
          <w:p w14:paraId="4B37EF1B">
            <w:pPr>
              <w:pStyle w:val="63"/>
              <w:keepNext w:val="0"/>
              <w:keepLines w:val="0"/>
              <w:pageBreakBefore w:val="0"/>
              <w:widowControl/>
              <w:kinsoku/>
              <w:wordWrap/>
              <w:overflowPunct/>
              <w:topLinePunct w:val="0"/>
              <w:autoSpaceDE/>
              <w:autoSpaceDN/>
              <w:bidi w:val="0"/>
              <w:adjustRightInd/>
              <w:snapToGrid w:val="0"/>
              <w:textAlignment w:val="auto"/>
              <w:rPr>
                <w:rFonts w:hint="default" w:cs="Times New Roman"/>
                <w:color w:val="auto"/>
                <w:spacing w:val="0"/>
                <w:sz w:val="24"/>
                <w:szCs w:val="24"/>
                <w:highlight w:val="none"/>
                <w:lang w:val="en-US" w:eastAsia="zh-CN"/>
              </w:rPr>
            </w:pPr>
            <w:r>
              <w:rPr>
                <w:rFonts w:hint="eastAsia" w:cs="Times New Roman"/>
                <w:b/>
                <w:bCs/>
                <w:color w:val="auto"/>
                <w:spacing w:val="0"/>
                <w:sz w:val="24"/>
                <w:szCs w:val="24"/>
                <w:highlight w:val="none"/>
                <w:lang w:val="en-US" w:eastAsia="zh-CN"/>
              </w:rPr>
              <w:t>有机废气</w:t>
            </w:r>
          </w:p>
          <w:p w14:paraId="370E7DAB">
            <w:pPr>
              <w:pStyle w:val="63"/>
              <w:keepNext w:val="0"/>
              <w:keepLines w:val="0"/>
              <w:pageBreakBefore w:val="0"/>
              <w:widowControl/>
              <w:kinsoku/>
              <w:wordWrap/>
              <w:overflowPunct/>
              <w:topLinePunct w:val="0"/>
              <w:autoSpaceDE/>
              <w:autoSpaceDN/>
              <w:bidi w:val="0"/>
              <w:adjustRightInd/>
              <w:snapToGrid w:val="0"/>
              <w:textAlignment w:val="auto"/>
              <w:rPr>
                <w:rFonts w:hint="eastAsia" w:cs="Times New Roman"/>
                <w:snapToGrid w:val="0"/>
                <w:color w:val="auto"/>
                <w:spacing w:val="0"/>
                <w:kern w:val="0"/>
                <w:position w:val="0"/>
                <w:sz w:val="24"/>
                <w:szCs w:val="24"/>
                <w:highlight w:val="none"/>
                <w:lang w:val="en-US" w:eastAsia="zh-CN"/>
              </w:rPr>
            </w:pPr>
            <w:r>
              <w:rPr>
                <w:rFonts w:hint="eastAsia" w:cs="Times New Roman"/>
                <w:color w:val="auto"/>
                <w:spacing w:val="0"/>
                <w:sz w:val="24"/>
                <w:szCs w:val="24"/>
                <w:highlight w:val="none"/>
                <w:lang w:val="en-US" w:eastAsia="zh-CN"/>
              </w:rPr>
              <w:t>根据《福建省重点行业挥发性有机物污染防治工作方案》（闽环保大气【2017】6号）文件要求可知，排放VOCs的生产工序要在密闭空间或设备中实施，产生的含VOCs废气需进行净化处理，净化效率应不低于80%，因此，本评价“气旋塔+过滤棉+二级活性炭吸附装置”对有机废气去除效率按80%计</w:t>
            </w:r>
            <w:r>
              <w:rPr>
                <w:rFonts w:hint="eastAsia" w:cs="Times New Roman"/>
                <w:snapToGrid w:val="0"/>
                <w:color w:val="auto"/>
                <w:spacing w:val="0"/>
                <w:kern w:val="0"/>
                <w:position w:val="0"/>
                <w:sz w:val="24"/>
                <w:szCs w:val="24"/>
                <w:highlight w:val="none"/>
                <w:lang w:val="en-US" w:eastAsia="zh-CN"/>
              </w:rPr>
              <w:t>。参考深圳市生态环境局关于印发《深圳市工业有机废气治理用活性炭更换技术指引（试行）》的通知（深环办（2023）66号）附录A表A.2可知，单级颗粒物活性炭对四氯化碳吸附率60%</w:t>
            </w:r>
            <w:r>
              <w:rPr>
                <w:rFonts w:hint="eastAsia" w:cs="Times New Roman"/>
                <w:b/>
                <w:bCs/>
                <w:snapToGrid w:val="0"/>
                <w:color w:val="auto"/>
                <w:spacing w:val="0"/>
                <w:kern w:val="0"/>
                <w:position w:val="0"/>
                <w:sz w:val="24"/>
                <w:szCs w:val="24"/>
                <w:highlight w:val="none"/>
                <w:lang w:val="en-US" w:eastAsia="zh-CN"/>
              </w:rPr>
              <w:t>（四氯化碳吸附率是评价气相吸附用颗粒活性炭性能的主要指标之一，用于衡量活性炭对挥发性有机物（VOCs）的吸附能力）</w:t>
            </w:r>
            <w:r>
              <w:rPr>
                <w:rFonts w:hint="eastAsia" w:cs="Times New Roman"/>
                <w:snapToGrid w:val="0"/>
                <w:color w:val="auto"/>
                <w:spacing w:val="0"/>
                <w:kern w:val="0"/>
                <w:position w:val="0"/>
                <w:sz w:val="24"/>
                <w:szCs w:val="24"/>
                <w:highlight w:val="none"/>
                <w:lang w:val="en-US" w:eastAsia="zh-CN"/>
              </w:rPr>
              <w:t>，本项目采用“气旋塔+过滤棉+二级活性炭装置”去除效率正常可达84%，本项目按80%计算是可行的。</w:t>
            </w:r>
          </w:p>
          <w:p w14:paraId="664892A1">
            <w:pPr>
              <w:pStyle w:val="63"/>
              <w:keepNext w:val="0"/>
              <w:keepLines w:val="0"/>
              <w:pageBreakBefore w:val="0"/>
              <w:widowControl/>
              <w:kinsoku/>
              <w:wordWrap/>
              <w:overflowPunct/>
              <w:topLinePunct w:val="0"/>
              <w:autoSpaceDE/>
              <w:autoSpaceDN/>
              <w:bidi w:val="0"/>
              <w:adjustRightInd/>
              <w:snapToGrid w:val="0"/>
              <w:textAlignment w:val="auto"/>
              <w:rPr>
                <w:rFonts w:hint="eastAsia" w:cs="Times New Roman"/>
                <w:b/>
                <w:bCs/>
                <w:color w:val="auto"/>
                <w:spacing w:val="0"/>
                <w:position w:val="0"/>
                <w:sz w:val="24"/>
                <w:szCs w:val="24"/>
                <w:highlight w:val="none"/>
                <w:lang w:val="en-US" w:eastAsia="zh-CN"/>
              </w:rPr>
            </w:pPr>
            <w:r>
              <w:rPr>
                <w:rFonts w:hint="eastAsia" w:cs="Times New Roman"/>
                <w:b/>
                <w:bCs/>
                <w:color w:val="auto"/>
                <w:spacing w:val="0"/>
                <w:position w:val="0"/>
                <w:sz w:val="24"/>
                <w:szCs w:val="24"/>
                <w:highlight w:val="none"/>
                <w:lang w:val="en-US" w:eastAsia="zh-CN"/>
              </w:rPr>
              <w:t>颗粒物</w:t>
            </w:r>
          </w:p>
          <w:p w14:paraId="3C006CAD">
            <w:pPr>
              <w:pStyle w:val="63"/>
              <w:keepNext w:val="0"/>
              <w:keepLines w:val="0"/>
              <w:pageBreakBefore w:val="0"/>
              <w:widowControl/>
              <w:numPr>
                <w:ilvl w:val="0"/>
                <w:numId w:val="0"/>
              </w:numPr>
              <w:kinsoku/>
              <w:wordWrap/>
              <w:overflowPunct/>
              <w:topLinePunct w:val="0"/>
              <w:autoSpaceDE/>
              <w:autoSpaceDN/>
              <w:bidi w:val="0"/>
              <w:adjustRightInd/>
              <w:snapToGrid w:val="0"/>
              <w:ind w:leftChars="0" w:firstLine="480" w:firstLineChars="200"/>
              <w:textAlignment w:val="auto"/>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气旋塔去除效率</w:t>
            </w:r>
            <w:r>
              <w:rPr>
                <w:rFonts w:hint="default" w:ascii="Times New Roman" w:hAnsi="Times New Roman" w:eastAsia="宋体" w:cs="Times New Roman"/>
                <w:color w:val="auto"/>
                <w:sz w:val="24"/>
                <w:szCs w:val="24"/>
                <w:highlight w:val="none"/>
                <w:lang w:val="en-US" w:eastAsia="zh-CN"/>
              </w:rPr>
              <w:t>参</w:t>
            </w:r>
            <w:r>
              <w:rPr>
                <w:rFonts w:hint="eastAsia" w:ascii="Times New Roman" w:hAnsi="Times New Roman" w:eastAsia="宋体" w:cs="Times New Roman"/>
                <w:color w:val="auto"/>
                <w:sz w:val="24"/>
                <w:szCs w:val="24"/>
                <w:highlight w:val="none"/>
                <w:lang w:val="en-US" w:eastAsia="zh-CN"/>
              </w:rPr>
              <w:t>考</w:t>
            </w:r>
            <w:r>
              <w:rPr>
                <w:rFonts w:hint="eastAsia"/>
                <w:color w:val="auto"/>
                <w:highlight w:val="none"/>
              </w:rPr>
              <w:t>《汽车工业污染防治可行技术指南》</w:t>
            </w:r>
            <w:r>
              <w:rPr>
                <w:rFonts w:hint="eastAsia"/>
                <w:color w:val="auto"/>
                <w:highlight w:val="none"/>
                <w:lang w:eastAsia="zh-CN"/>
              </w:rPr>
              <w:t>（</w:t>
            </w:r>
            <w:r>
              <w:rPr>
                <w:rFonts w:hint="eastAsia"/>
                <w:color w:val="auto"/>
                <w:highlight w:val="none"/>
              </w:rPr>
              <w:t>HJ</w:t>
            </w:r>
            <w:r>
              <w:rPr>
                <w:rFonts w:hint="eastAsia"/>
                <w:color w:val="auto"/>
                <w:highlight w:val="none"/>
                <w:lang w:val="en-US" w:eastAsia="zh-CN"/>
              </w:rPr>
              <w:t xml:space="preserve"> </w:t>
            </w:r>
            <w:r>
              <w:rPr>
                <w:rFonts w:hint="eastAsia"/>
                <w:color w:val="auto"/>
                <w:highlight w:val="none"/>
              </w:rPr>
              <w:t>1181-2021</w:t>
            </w:r>
            <w:r>
              <w:rPr>
                <w:rFonts w:hint="eastAsia"/>
                <w:color w:val="auto"/>
                <w:highlight w:val="none"/>
                <w:lang w:eastAsia="zh-CN"/>
              </w:rPr>
              <w:t>）</w:t>
            </w:r>
            <w:r>
              <w:rPr>
                <w:rFonts w:hint="eastAsia"/>
                <w:color w:val="auto"/>
                <w:highlight w:val="none"/>
                <w:lang w:val="en-US" w:eastAsia="zh-CN"/>
              </w:rPr>
              <w:t>中6.1.3.1漆雾处理技术：“小规模喷漆生产的漆雾处理技术有水旋喷漆室、水帘喷漆室和漆雾过滤毡（袋）等，漆雾去除效率可达到85%以上”，</w:t>
            </w:r>
            <w:r>
              <w:rPr>
                <w:rFonts w:hint="eastAsia" w:ascii="Times New Roman" w:hAnsi="Times New Roman" w:eastAsia="宋体" w:cs="Times New Roman"/>
                <w:b w:val="0"/>
                <w:bCs w:val="0"/>
                <w:color w:val="auto"/>
                <w:spacing w:val="0"/>
                <w:position w:val="0"/>
                <w:sz w:val="24"/>
                <w:highlight w:val="none"/>
                <w:lang w:val="en-US" w:eastAsia="zh-CN"/>
              </w:rPr>
              <w:t>项目为小规模喷漆，综合考虑项目</w:t>
            </w:r>
            <w:r>
              <w:rPr>
                <w:rFonts w:hint="eastAsia" w:eastAsia="宋体" w:cs="Times New Roman"/>
                <w:b w:val="0"/>
                <w:bCs w:val="0"/>
                <w:color w:val="auto"/>
                <w:spacing w:val="0"/>
                <w:position w:val="0"/>
                <w:sz w:val="24"/>
                <w:highlight w:val="none"/>
                <w:lang w:val="en-US" w:eastAsia="zh-CN"/>
              </w:rPr>
              <w:t>气旋塔</w:t>
            </w:r>
            <w:r>
              <w:rPr>
                <w:rFonts w:hint="eastAsia" w:ascii="Times New Roman" w:hAnsi="Times New Roman" w:eastAsia="宋体" w:cs="Times New Roman"/>
                <w:b w:val="0"/>
                <w:bCs w:val="0"/>
                <w:color w:val="auto"/>
                <w:spacing w:val="0"/>
                <w:position w:val="0"/>
                <w:sz w:val="24"/>
                <w:highlight w:val="none"/>
                <w:lang w:val="en-US" w:eastAsia="zh-CN"/>
              </w:rPr>
              <w:t>设施漆雾去除效率按</w:t>
            </w:r>
            <w:r>
              <w:rPr>
                <w:rFonts w:hint="eastAsia" w:cs="Times New Roman"/>
                <w:b w:val="0"/>
                <w:bCs w:val="0"/>
                <w:color w:val="auto"/>
                <w:spacing w:val="0"/>
                <w:position w:val="0"/>
                <w:sz w:val="24"/>
                <w:highlight w:val="none"/>
                <w:lang w:val="en-US" w:eastAsia="zh-CN"/>
              </w:rPr>
              <w:t>85</w:t>
            </w:r>
            <w:r>
              <w:rPr>
                <w:rFonts w:hint="eastAsia" w:ascii="Times New Roman" w:hAnsi="Times New Roman" w:eastAsia="宋体" w:cs="Times New Roman"/>
                <w:b w:val="0"/>
                <w:bCs w:val="0"/>
                <w:color w:val="auto"/>
                <w:spacing w:val="0"/>
                <w:position w:val="0"/>
                <w:sz w:val="24"/>
                <w:highlight w:val="none"/>
                <w:lang w:val="en-US" w:eastAsia="zh-CN"/>
              </w:rPr>
              <w:t>%计</w:t>
            </w:r>
            <w:r>
              <w:rPr>
                <w:rFonts w:hint="eastAsia" w:eastAsia="宋体" w:cs="Times New Roman"/>
                <w:b w:val="0"/>
                <w:bCs w:val="0"/>
                <w:color w:val="auto"/>
                <w:spacing w:val="0"/>
                <w:position w:val="0"/>
                <w:sz w:val="24"/>
                <w:highlight w:val="none"/>
                <w:lang w:val="en-US" w:eastAsia="zh-CN"/>
              </w:rPr>
              <w:t>。</w:t>
            </w:r>
          </w:p>
          <w:p w14:paraId="77B3E8CB">
            <w:pPr>
              <w:pStyle w:val="63"/>
              <w:keepNext w:val="0"/>
              <w:keepLines w:val="0"/>
              <w:pageBreakBefore w:val="0"/>
              <w:widowControl/>
              <w:numPr>
                <w:ilvl w:val="0"/>
                <w:numId w:val="0"/>
              </w:numPr>
              <w:kinsoku/>
              <w:wordWrap/>
              <w:overflowPunct/>
              <w:topLinePunct w:val="0"/>
              <w:autoSpaceDE/>
              <w:autoSpaceDN/>
              <w:bidi w:val="0"/>
              <w:adjustRightInd/>
              <w:snapToGrid w:val="0"/>
              <w:ind w:leftChars="0" w:firstLine="480" w:firstLineChars="200"/>
              <w:textAlignment w:val="auto"/>
              <w:rPr>
                <w:rFonts w:hint="default" w:cs="Times New Roman"/>
                <w:snapToGrid w:val="0"/>
                <w:color w:val="auto"/>
                <w:spacing w:val="0"/>
                <w:kern w:val="0"/>
                <w:position w:val="0"/>
                <w:sz w:val="24"/>
                <w:szCs w:val="24"/>
                <w:highlight w:val="none"/>
                <w:lang w:val="en-US" w:eastAsia="zh-CN"/>
              </w:rPr>
            </w:pPr>
            <w:r>
              <w:rPr>
                <w:rFonts w:hint="eastAsia" w:cs="Times New Roman"/>
                <w:color w:val="auto"/>
                <w:spacing w:val="0"/>
                <w:sz w:val="24"/>
                <w:szCs w:val="24"/>
                <w:highlight w:val="none"/>
                <w:lang w:val="en-US" w:eastAsia="zh-CN"/>
              </w:rPr>
              <w:t>过滤棉去除效率参考《排放源统计调查产排污核算方法和系数手册》--《211木质家具制造行业系数手册》中喷漆工序产生的颗粒物采用化学纤维过滤棉净化治理技术去除效率为80%</w:t>
            </w:r>
            <w:r>
              <w:rPr>
                <w:rFonts w:hint="eastAsia" w:cs="Times New Roman"/>
                <w:color w:val="auto"/>
                <w:spacing w:val="0"/>
                <w:position w:val="0"/>
                <w:sz w:val="24"/>
                <w:szCs w:val="24"/>
                <w:highlight w:val="none"/>
                <w:lang w:val="en-US" w:eastAsia="zh-CN"/>
              </w:rPr>
              <w:t>。</w:t>
            </w:r>
          </w:p>
          <w:p w14:paraId="3A7ECC11">
            <w:pPr>
              <w:pStyle w:val="63"/>
              <w:ind w:left="0" w:leftChars="0" w:firstLine="0" w:firstLineChars="0"/>
              <w:rPr>
                <w:rFonts w:hint="default" w:ascii="Times New Roman" w:hAnsi="Times New Roman" w:eastAsia="宋体" w:cs="Times New Roman"/>
                <w:b/>
                <w:bCs/>
                <w:color w:val="auto"/>
                <w:spacing w:val="0"/>
                <w:position w:val="0"/>
                <w:highlight w:val="none"/>
                <w:lang w:val="en-US" w:eastAsia="zh-CN"/>
              </w:rPr>
            </w:pPr>
            <w:r>
              <w:rPr>
                <w:rFonts w:hint="eastAsia" w:ascii="Times New Roman" w:hAnsi="Times New Roman" w:eastAsia="宋体" w:cs="Times New Roman"/>
                <w:b/>
                <w:bCs/>
                <w:color w:val="auto"/>
                <w:spacing w:val="0"/>
                <w:position w:val="0"/>
                <w:highlight w:val="none"/>
                <w:lang w:val="en-US" w:eastAsia="zh-CN"/>
              </w:rPr>
              <w:t>4.1.5</w:t>
            </w:r>
            <w:r>
              <w:rPr>
                <w:rFonts w:hint="eastAsia" w:ascii="Times New Roman" w:hAnsi="Times New Roman" w:eastAsia="宋体" w:cs="Times New Roman"/>
                <w:b/>
                <w:bCs/>
                <w:color w:val="auto"/>
                <w:spacing w:val="0"/>
                <w:position w:val="0"/>
                <w:highlight w:val="none"/>
                <w:lang w:eastAsia="zh-CN"/>
              </w:rPr>
              <w:t>非正常情况下废气产排情况</w:t>
            </w:r>
          </w:p>
          <w:p w14:paraId="3AB6870C">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eastAsia="宋体" w:cs="Times New Roman"/>
                <w:b w:val="0"/>
                <w:bCs w:val="0"/>
                <w:color w:val="auto"/>
                <w:spacing w:val="0"/>
                <w:kern w:val="0"/>
                <w:position w:val="0"/>
                <w:sz w:val="24"/>
                <w:szCs w:val="24"/>
                <w:highlight w:val="none"/>
              </w:rPr>
            </w:pPr>
            <w:bookmarkStart w:id="47" w:name="_Toc11471"/>
            <w:r>
              <w:rPr>
                <w:rFonts w:hint="default" w:ascii="Times New Roman" w:hAnsi="Times New Roman" w:eastAsia="宋体" w:cs="Times New Roman"/>
                <w:b w:val="0"/>
                <w:bCs w:val="0"/>
                <w:color w:val="auto"/>
                <w:spacing w:val="0"/>
                <w:kern w:val="0"/>
                <w:position w:val="0"/>
                <w:sz w:val="24"/>
                <w:szCs w:val="24"/>
                <w:highlight w:val="none"/>
              </w:rPr>
              <w:t>对于一般工业企业，非正常工况主要包括：开停车、设备检修、工艺设备运转异常以及污染物排放控制措施达不到应有效率等情况。</w:t>
            </w:r>
          </w:p>
          <w:p w14:paraId="6EFC73AE">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eastAsia="宋体" w:cs="Times New Roman"/>
                <w:b w:val="0"/>
                <w:bCs w:val="0"/>
                <w:color w:val="auto"/>
                <w:spacing w:val="0"/>
                <w:kern w:val="0"/>
                <w:position w:val="0"/>
                <w:sz w:val="24"/>
                <w:szCs w:val="24"/>
                <w:highlight w:val="none"/>
              </w:rPr>
            </w:pPr>
            <w:r>
              <w:rPr>
                <w:rFonts w:hint="eastAsia" w:cs="Times New Roman"/>
                <w:b w:val="0"/>
                <w:bCs w:val="0"/>
                <w:color w:val="auto"/>
                <w:spacing w:val="0"/>
                <w:kern w:val="0"/>
                <w:position w:val="0"/>
                <w:sz w:val="24"/>
                <w:szCs w:val="24"/>
                <w:highlight w:val="none"/>
                <w:lang w:eastAsia="zh-CN"/>
              </w:rPr>
              <w:t>（</w:t>
            </w:r>
            <w:r>
              <w:rPr>
                <w:rFonts w:hint="eastAsia" w:cs="Times New Roman"/>
                <w:b w:val="0"/>
                <w:bCs w:val="0"/>
                <w:color w:val="auto"/>
                <w:spacing w:val="0"/>
                <w:kern w:val="0"/>
                <w:position w:val="0"/>
                <w:sz w:val="24"/>
                <w:szCs w:val="24"/>
                <w:highlight w:val="none"/>
                <w:lang w:val="en-US" w:eastAsia="zh-CN"/>
              </w:rPr>
              <w:t>1</w:t>
            </w:r>
            <w:r>
              <w:rPr>
                <w:rFonts w:hint="eastAsia" w:cs="Times New Roman"/>
                <w:b w:val="0"/>
                <w:bCs w:val="0"/>
                <w:color w:val="auto"/>
                <w:spacing w:val="0"/>
                <w:kern w:val="0"/>
                <w:position w:val="0"/>
                <w:sz w:val="24"/>
                <w:szCs w:val="24"/>
                <w:highlight w:val="none"/>
                <w:lang w:eastAsia="zh-CN"/>
              </w:rPr>
              <w:t>）</w:t>
            </w:r>
            <w:r>
              <w:rPr>
                <w:rFonts w:hint="default" w:ascii="Times New Roman" w:hAnsi="Times New Roman" w:eastAsia="宋体" w:cs="Times New Roman"/>
                <w:b w:val="0"/>
                <w:bCs w:val="0"/>
                <w:color w:val="auto"/>
                <w:spacing w:val="0"/>
                <w:kern w:val="0"/>
                <w:position w:val="0"/>
                <w:sz w:val="24"/>
                <w:szCs w:val="24"/>
                <w:highlight w:val="none"/>
              </w:rPr>
              <w:t xml:space="preserve">开停车在生产线开始工作时，首先开启所有废气收集处理设置，再启动生产作业；停车时，废气收集处理装置继续运转一定的时间，待工艺废气完全排出后再行关闭，使生产过程中产生的废气得到有效的收集处理。因此正常开停车时不会发生污染的非正常排放。 </w:t>
            </w:r>
          </w:p>
          <w:p w14:paraId="559DEA45">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eastAsia="宋体" w:cs="Times New Roman"/>
                <w:b w:val="0"/>
                <w:bCs w:val="0"/>
                <w:color w:val="auto"/>
                <w:spacing w:val="0"/>
                <w:kern w:val="0"/>
                <w:position w:val="0"/>
                <w:sz w:val="24"/>
                <w:szCs w:val="24"/>
                <w:highlight w:val="none"/>
              </w:rPr>
            </w:pPr>
            <w:r>
              <w:rPr>
                <w:rFonts w:hint="eastAsia" w:cs="Times New Roman"/>
                <w:b w:val="0"/>
                <w:bCs w:val="0"/>
                <w:color w:val="auto"/>
                <w:spacing w:val="0"/>
                <w:kern w:val="0"/>
                <w:position w:val="0"/>
                <w:sz w:val="24"/>
                <w:szCs w:val="24"/>
                <w:highlight w:val="none"/>
                <w:lang w:eastAsia="zh-CN"/>
              </w:rPr>
              <w:t>（</w:t>
            </w:r>
            <w:r>
              <w:rPr>
                <w:rFonts w:hint="eastAsia" w:cs="Times New Roman"/>
                <w:b w:val="0"/>
                <w:bCs w:val="0"/>
                <w:color w:val="auto"/>
                <w:spacing w:val="0"/>
                <w:kern w:val="0"/>
                <w:position w:val="0"/>
                <w:sz w:val="24"/>
                <w:szCs w:val="24"/>
                <w:highlight w:val="none"/>
                <w:lang w:val="en-US" w:eastAsia="zh-CN"/>
              </w:rPr>
              <w:t>2）</w:t>
            </w:r>
            <w:r>
              <w:rPr>
                <w:rFonts w:hint="default" w:ascii="Times New Roman" w:hAnsi="Times New Roman" w:eastAsia="宋体" w:cs="Times New Roman"/>
                <w:b w:val="0"/>
                <w:bCs w:val="0"/>
                <w:color w:val="auto"/>
                <w:spacing w:val="0"/>
                <w:kern w:val="0"/>
                <w:position w:val="0"/>
                <w:sz w:val="24"/>
                <w:szCs w:val="24"/>
                <w:highlight w:val="none"/>
              </w:rPr>
              <w:t xml:space="preserve">设备检修企业在设备检修期间可随时安排停产，故生产设备检修期间不会产生废气污染物。 </w:t>
            </w:r>
          </w:p>
          <w:p w14:paraId="1D16AD6B">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eastAsia="宋体" w:cs="Times New Roman"/>
                <w:b w:val="0"/>
                <w:bCs w:val="0"/>
                <w:color w:val="auto"/>
                <w:spacing w:val="0"/>
                <w:kern w:val="0"/>
                <w:position w:val="0"/>
                <w:sz w:val="24"/>
                <w:szCs w:val="24"/>
                <w:highlight w:val="none"/>
              </w:rPr>
            </w:pPr>
            <w:r>
              <w:rPr>
                <w:rFonts w:hint="eastAsia" w:cs="Times New Roman"/>
                <w:b w:val="0"/>
                <w:bCs w:val="0"/>
                <w:color w:val="auto"/>
                <w:spacing w:val="0"/>
                <w:kern w:val="0"/>
                <w:position w:val="0"/>
                <w:sz w:val="24"/>
                <w:szCs w:val="24"/>
                <w:highlight w:val="none"/>
                <w:lang w:eastAsia="zh-CN"/>
              </w:rPr>
              <w:t>（</w:t>
            </w:r>
            <w:r>
              <w:rPr>
                <w:rFonts w:hint="eastAsia" w:cs="Times New Roman"/>
                <w:b w:val="0"/>
                <w:bCs w:val="0"/>
                <w:color w:val="auto"/>
                <w:spacing w:val="0"/>
                <w:kern w:val="0"/>
                <w:position w:val="0"/>
                <w:sz w:val="24"/>
                <w:szCs w:val="24"/>
                <w:highlight w:val="none"/>
                <w:lang w:val="en-US" w:eastAsia="zh-CN"/>
              </w:rPr>
              <w:t>3）</w:t>
            </w:r>
            <w:r>
              <w:rPr>
                <w:rFonts w:hint="default" w:ascii="Times New Roman" w:hAnsi="Times New Roman" w:eastAsia="宋体" w:cs="Times New Roman"/>
                <w:b w:val="0"/>
                <w:bCs w:val="0"/>
                <w:color w:val="auto"/>
                <w:spacing w:val="0"/>
                <w:kern w:val="0"/>
                <w:position w:val="0"/>
                <w:sz w:val="24"/>
                <w:szCs w:val="24"/>
                <w:highlight w:val="none"/>
              </w:rPr>
              <w:t xml:space="preserve">工艺设备运转异常在生产工艺设备运转异常的情况下，安排有计划停车，废气收集处理装置继续运转一定的时间，待工艺废气完全排出后再行关闭。 </w:t>
            </w:r>
          </w:p>
          <w:p w14:paraId="6A0ABE66">
            <w:pPr>
              <w:pStyle w:val="19"/>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bookmarkStart w:id="48" w:name="_Toc23973"/>
            <w:bookmarkStart w:id="49" w:name="_Toc18254"/>
            <w:r>
              <w:rPr>
                <w:rFonts w:hint="default" w:ascii="Times New Roman" w:hAnsi="Times New Roman" w:cs="Times New Roman"/>
                <w:b w:val="0"/>
                <w:bCs w:val="0"/>
                <w:color w:val="auto"/>
                <w:spacing w:val="0"/>
                <w:kern w:val="0"/>
                <w:position w:val="0"/>
                <w:sz w:val="24"/>
                <w:szCs w:val="24"/>
                <w:highlight w:val="none"/>
                <w:lang w:eastAsia="zh-CN"/>
              </w:rPr>
              <w:t>（</w:t>
            </w:r>
            <w:r>
              <w:rPr>
                <w:rFonts w:hint="default" w:ascii="Times New Roman" w:hAnsi="Times New Roman" w:cs="Times New Roman"/>
                <w:b w:val="0"/>
                <w:bCs w:val="0"/>
                <w:color w:val="auto"/>
                <w:spacing w:val="0"/>
                <w:kern w:val="0"/>
                <w:position w:val="0"/>
                <w:sz w:val="24"/>
                <w:szCs w:val="24"/>
                <w:highlight w:val="none"/>
                <w:lang w:val="en-US" w:eastAsia="zh-CN"/>
              </w:rPr>
              <w:t>4）</w:t>
            </w:r>
            <w:r>
              <w:rPr>
                <w:rFonts w:hint="default" w:ascii="Times New Roman" w:hAnsi="Times New Roman" w:eastAsia="宋体" w:cs="Times New Roman"/>
                <w:b w:val="0"/>
                <w:bCs w:val="0"/>
                <w:color w:val="auto"/>
                <w:spacing w:val="0"/>
                <w:kern w:val="0"/>
                <w:position w:val="0"/>
                <w:sz w:val="24"/>
                <w:szCs w:val="24"/>
                <w:highlight w:val="none"/>
              </w:rPr>
              <w:t>污染物排放控制措施达不到应有效率污染治理设施发生故障，可能会导致处理效率降低，造成超标排放。本次考虑</w:t>
            </w:r>
            <w:r>
              <w:rPr>
                <w:rFonts w:hint="eastAsia" w:ascii="Times New Roman" w:eastAsia="宋体" w:cs="Times New Roman"/>
                <w:b w:val="0"/>
                <w:bCs w:val="0"/>
                <w:color w:val="auto"/>
                <w:spacing w:val="0"/>
                <w:kern w:val="0"/>
                <w:position w:val="0"/>
                <w:sz w:val="24"/>
                <w:szCs w:val="24"/>
                <w:highlight w:val="none"/>
                <w:lang w:val="en-US" w:eastAsia="zh-CN"/>
              </w:rPr>
              <w:t>水帘柜、气旋塔</w:t>
            </w:r>
            <w:r>
              <w:rPr>
                <w:rFonts w:hint="eastAsia" w:ascii="Times New Roman" w:hAnsi="Times New Roman" w:eastAsia="宋体" w:cs="Times New Roman"/>
                <w:b w:val="0"/>
                <w:bCs w:val="0"/>
                <w:color w:val="auto"/>
                <w:spacing w:val="0"/>
                <w:kern w:val="0"/>
                <w:position w:val="0"/>
                <w:sz w:val="24"/>
                <w:szCs w:val="24"/>
                <w:highlight w:val="none"/>
                <w:lang w:eastAsia="zh-CN"/>
              </w:rPr>
              <w:t>及</w:t>
            </w:r>
            <w:r>
              <w:rPr>
                <w:rFonts w:hint="eastAsia" w:ascii="Times New Roman" w:eastAsia="宋体" w:cs="Times New Roman"/>
                <w:b w:val="0"/>
                <w:bCs w:val="0"/>
                <w:color w:val="auto"/>
                <w:spacing w:val="0"/>
                <w:kern w:val="0"/>
                <w:position w:val="0"/>
                <w:sz w:val="24"/>
                <w:szCs w:val="24"/>
                <w:highlight w:val="none"/>
                <w:lang w:val="en-US" w:eastAsia="zh-CN"/>
              </w:rPr>
              <w:t>二级活性炭装置</w:t>
            </w:r>
            <w:r>
              <w:rPr>
                <w:rFonts w:hint="default" w:ascii="Times New Roman" w:hAnsi="Times New Roman" w:eastAsia="宋体" w:cs="Times New Roman"/>
                <w:b w:val="0"/>
                <w:bCs w:val="0"/>
                <w:color w:val="auto"/>
                <w:spacing w:val="0"/>
                <w:kern w:val="0"/>
                <w:position w:val="0"/>
                <w:sz w:val="24"/>
                <w:szCs w:val="24"/>
                <w:highlight w:val="none"/>
              </w:rPr>
              <w:t>发生故障的非正常工况情况</w:t>
            </w:r>
            <w:r>
              <w:rPr>
                <w:rFonts w:hint="eastAsia" w:ascii="Times New Roman" w:hAnsi="Times New Roman" w:eastAsia="宋体" w:cs="Times New Roman"/>
                <w:b w:val="0"/>
                <w:bCs w:val="0"/>
                <w:color w:val="auto"/>
                <w:spacing w:val="0"/>
                <w:kern w:val="0"/>
                <w:position w:val="0"/>
                <w:sz w:val="24"/>
                <w:szCs w:val="24"/>
                <w:highlight w:val="none"/>
                <w:lang w:eastAsia="zh-CN"/>
              </w:rPr>
              <w:t>，</w:t>
            </w:r>
            <w:r>
              <w:rPr>
                <w:rFonts w:hint="default" w:ascii="Times New Roman" w:hAnsi="Times New Roman" w:eastAsia="宋体" w:cs="Times New Roman"/>
                <w:b w:val="0"/>
                <w:bCs w:val="0"/>
                <w:color w:val="auto"/>
                <w:spacing w:val="0"/>
                <w:kern w:val="0"/>
                <w:position w:val="0"/>
                <w:sz w:val="24"/>
                <w:szCs w:val="24"/>
                <w:highlight w:val="none"/>
              </w:rPr>
              <w:t>本次考虑</w:t>
            </w:r>
            <w:r>
              <w:rPr>
                <w:rFonts w:hint="eastAsia" w:ascii="Times New Roman" w:hAnsi="Times New Roman" w:eastAsia="宋体" w:cs="Times New Roman"/>
                <w:b w:val="0"/>
                <w:bCs w:val="0"/>
                <w:color w:val="auto"/>
                <w:spacing w:val="0"/>
                <w:kern w:val="0"/>
                <w:position w:val="0"/>
                <w:sz w:val="24"/>
                <w:szCs w:val="24"/>
                <w:highlight w:val="none"/>
                <w:lang w:eastAsia="zh-CN"/>
              </w:rPr>
              <w:t>故障状态下</w:t>
            </w:r>
            <w:r>
              <w:rPr>
                <w:rFonts w:hint="default" w:ascii="Times New Roman" w:hAnsi="Times New Roman" w:eastAsia="宋体" w:cs="Times New Roman"/>
                <w:b w:val="0"/>
                <w:bCs w:val="0"/>
                <w:color w:val="auto"/>
                <w:spacing w:val="0"/>
                <w:kern w:val="0"/>
                <w:position w:val="0"/>
                <w:sz w:val="24"/>
                <w:szCs w:val="24"/>
                <w:highlight w:val="none"/>
              </w:rPr>
              <w:t>废气净化效率降为0情况</w:t>
            </w:r>
            <w:r>
              <w:rPr>
                <w:rFonts w:hint="default" w:ascii="Times New Roman" w:hAnsi="Times New Roman" w:eastAsia="宋体" w:cs="Times New Roman"/>
                <w:color w:val="auto"/>
                <w:spacing w:val="0"/>
                <w:position w:val="0"/>
                <w:sz w:val="24"/>
                <w:szCs w:val="24"/>
                <w:highlight w:val="none"/>
              </w:rPr>
              <w:t>。</w:t>
            </w:r>
            <w:bookmarkEnd w:id="47"/>
            <w:bookmarkEnd w:id="48"/>
            <w:bookmarkEnd w:id="49"/>
          </w:p>
          <w:p w14:paraId="63352587">
            <w:pPr>
              <w:pStyle w:val="9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pacing w:val="0"/>
                <w:position w:val="0"/>
                <w:sz w:val="24"/>
                <w:highlight w:val="none"/>
                <w:lang w:eastAsia="zh-CN"/>
              </w:rPr>
            </w:pPr>
            <w:r>
              <w:rPr>
                <w:rFonts w:hint="default" w:ascii="Times New Roman" w:hAnsi="Times New Roman" w:eastAsia="宋体" w:cs="Times New Roman"/>
                <w:b/>
                <w:color w:val="auto"/>
                <w:spacing w:val="0"/>
                <w:position w:val="0"/>
                <w:sz w:val="24"/>
                <w:highlight w:val="none"/>
              </w:rPr>
              <w:t>表</w:t>
            </w:r>
            <w:r>
              <w:rPr>
                <w:rFonts w:hint="eastAsia" w:ascii="Times New Roman" w:hAnsi="Times New Roman" w:eastAsia="宋体" w:cs="Times New Roman"/>
                <w:b/>
                <w:color w:val="auto"/>
                <w:spacing w:val="0"/>
                <w:position w:val="0"/>
                <w:sz w:val="24"/>
                <w:highlight w:val="none"/>
                <w:lang w:val="en-US" w:eastAsia="zh-CN"/>
              </w:rPr>
              <w:t>4.1</w:t>
            </w:r>
            <w:r>
              <w:rPr>
                <w:rFonts w:hint="eastAsia" w:ascii="Times New Roman" w:hAnsi="Times New Roman" w:cs="Times New Roman"/>
                <w:b/>
                <w:color w:val="auto"/>
                <w:spacing w:val="0"/>
                <w:position w:val="0"/>
                <w:sz w:val="24"/>
                <w:highlight w:val="none"/>
                <w:lang w:val="en-US" w:eastAsia="zh-CN"/>
              </w:rPr>
              <w:t>.1</w:t>
            </w:r>
            <w:r>
              <w:rPr>
                <w:rFonts w:hint="eastAsia" w:ascii="Times New Roman" w:hAnsi="Times New Roman" w:eastAsia="宋体" w:cs="Times New Roman"/>
                <w:b/>
                <w:color w:val="auto"/>
                <w:spacing w:val="0"/>
                <w:position w:val="0"/>
                <w:sz w:val="24"/>
                <w:highlight w:val="none"/>
                <w:lang w:val="en-US" w:eastAsia="zh-CN"/>
              </w:rPr>
              <w:t>-</w:t>
            </w:r>
            <w:r>
              <w:rPr>
                <w:rFonts w:hint="eastAsia" w:ascii="Times New Roman" w:hAnsi="Times New Roman" w:cs="Times New Roman"/>
                <w:b/>
                <w:color w:val="auto"/>
                <w:spacing w:val="0"/>
                <w:position w:val="0"/>
                <w:sz w:val="24"/>
                <w:highlight w:val="none"/>
                <w:lang w:val="en-US" w:eastAsia="zh-CN"/>
              </w:rPr>
              <w:t>6</w:t>
            </w:r>
            <w:r>
              <w:rPr>
                <w:rFonts w:hint="default" w:ascii="Times New Roman" w:hAnsi="Times New Roman" w:eastAsia="宋体" w:cs="Times New Roman"/>
                <w:b/>
                <w:color w:val="auto"/>
                <w:spacing w:val="0"/>
                <w:position w:val="0"/>
                <w:sz w:val="24"/>
                <w:highlight w:val="none"/>
              </w:rPr>
              <w:t xml:space="preserve"> </w:t>
            </w:r>
            <w:r>
              <w:rPr>
                <w:rFonts w:hint="default" w:ascii="Times New Roman" w:hAnsi="Times New Roman" w:eastAsia="宋体" w:cs="Times New Roman"/>
                <w:b/>
                <w:color w:val="auto"/>
                <w:spacing w:val="0"/>
                <w:position w:val="0"/>
                <w:sz w:val="24"/>
                <w:highlight w:val="none"/>
                <w:lang w:eastAsia="zh-CN"/>
              </w:rPr>
              <w:t>非正常排放情况一览表</w:t>
            </w:r>
          </w:p>
          <w:tbl>
            <w:tblPr>
              <w:tblStyle w:val="2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1537"/>
              <w:gridCol w:w="918"/>
              <w:gridCol w:w="725"/>
              <w:gridCol w:w="1110"/>
              <w:gridCol w:w="1039"/>
              <w:gridCol w:w="903"/>
              <w:gridCol w:w="949"/>
              <w:gridCol w:w="769"/>
              <w:gridCol w:w="866"/>
            </w:tblGrid>
            <w:tr w14:paraId="2ACDEB1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871" w:type="pct"/>
                  <w:tcBorders>
                    <w:tl2br w:val="nil"/>
                    <w:tr2bl w:val="nil"/>
                  </w:tcBorders>
                  <w:noWrap w:val="0"/>
                  <w:vAlign w:val="center"/>
                </w:tcPr>
                <w:p w14:paraId="25B1C8DD">
                  <w:pPr>
                    <w:pStyle w:val="101"/>
                    <w:adjustRightInd w:val="0"/>
                    <w:snapToGrid w:val="0"/>
                    <w:spacing w:line="240" w:lineRule="auto"/>
                    <w:jc w:val="center"/>
                    <w:rPr>
                      <w:rFonts w:hint="eastAsia" w:ascii="Times New Roman" w:hAnsi="Times New Roman" w:eastAsia="宋体" w:cs="Times New Roman"/>
                      <w:b/>
                      <w:bCs/>
                      <w:color w:val="auto"/>
                      <w:spacing w:val="0"/>
                      <w:position w:val="0"/>
                      <w:highlight w:val="none"/>
                      <w:lang w:val="en-US" w:eastAsia="zh-CN"/>
                    </w:rPr>
                  </w:pPr>
                  <w:r>
                    <w:rPr>
                      <w:rFonts w:hint="eastAsia" w:ascii="Times New Roman" w:hAnsi="Times New Roman" w:eastAsia="宋体" w:cs="Times New Roman"/>
                      <w:b/>
                      <w:bCs/>
                      <w:color w:val="auto"/>
                      <w:spacing w:val="0"/>
                      <w:position w:val="0"/>
                      <w:highlight w:val="none"/>
                      <w:lang w:eastAsia="zh-CN"/>
                    </w:rPr>
                    <w:t>非正常排放源</w:t>
                  </w:r>
                </w:p>
              </w:tc>
              <w:tc>
                <w:tcPr>
                  <w:tcW w:w="520" w:type="pct"/>
                  <w:tcBorders>
                    <w:tl2br w:val="nil"/>
                    <w:tr2bl w:val="nil"/>
                  </w:tcBorders>
                  <w:noWrap w:val="0"/>
                  <w:vAlign w:val="center"/>
                </w:tcPr>
                <w:p w14:paraId="3C3BC780">
                  <w:pPr>
                    <w:pStyle w:val="101"/>
                    <w:adjustRightInd w:val="0"/>
                    <w:snapToGrid w:val="0"/>
                    <w:spacing w:line="240" w:lineRule="auto"/>
                    <w:jc w:val="center"/>
                    <w:rPr>
                      <w:rFonts w:hint="eastAsia" w:ascii="Times New Roman" w:hAnsi="Times New Roman" w:eastAsia="宋体" w:cs="Times New Roman"/>
                      <w:b/>
                      <w:bCs/>
                      <w:color w:val="auto"/>
                      <w:spacing w:val="0"/>
                      <w:position w:val="0"/>
                      <w:highlight w:val="none"/>
                      <w:lang w:val="en-US" w:eastAsia="zh-CN"/>
                    </w:rPr>
                  </w:pPr>
                  <w:r>
                    <w:rPr>
                      <w:rFonts w:hint="eastAsia" w:ascii="Times New Roman" w:hAnsi="Times New Roman" w:eastAsia="宋体" w:cs="Times New Roman"/>
                      <w:b/>
                      <w:bCs/>
                      <w:color w:val="auto"/>
                      <w:spacing w:val="0"/>
                      <w:position w:val="0"/>
                      <w:highlight w:val="none"/>
                      <w:lang w:eastAsia="zh-CN"/>
                    </w:rPr>
                    <w:t>非正常排放原因</w:t>
                  </w:r>
                </w:p>
              </w:tc>
              <w:tc>
                <w:tcPr>
                  <w:tcW w:w="411" w:type="pct"/>
                  <w:tcBorders>
                    <w:tl2br w:val="nil"/>
                    <w:tr2bl w:val="nil"/>
                  </w:tcBorders>
                  <w:noWrap w:val="0"/>
                  <w:vAlign w:val="center"/>
                </w:tcPr>
                <w:p w14:paraId="3192950E">
                  <w:pPr>
                    <w:pStyle w:val="101"/>
                    <w:adjustRightInd w:val="0"/>
                    <w:snapToGrid w:val="0"/>
                    <w:spacing w:line="240" w:lineRule="auto"/>
                    <w:jc w:val="center"/>
                    <w:rPr>
                      <w:rFonts w:hint="eastAsia" w:ascii="Times New Roman" w:hAnsi="Times New Roman" w:eastAsia="宋体" w:cs="Times New Roman"/>
                      <w:b/>
                      <w:bCs/>
                      <w:color w:val="auto"/>
                      <w:spacing w:val="0"/>
                      <w:position w:val="0"/>
                      <w:highlight w:val="none"/>
                      <w:lang w:val="en-US" w:eastAsia="zh-CN"/>
                    </w:rPr>
                  </w:pPr>
                  <w:r>
                    <w:rPr>
                      <w:rFonts w:hint="eastAsia" w:ascii="Times New Roman" w:hAnsi="Times New Roman" w:eastAsia="宋体" w:cs="Times New Roman"/>
                      <w:b/>
                      <w:bCs/>
                      <w:color w:val="auto"/>
                      <w:spacing w:val="0"/>
                      <w:position w:val="0"/>
                      <w:highlight w:val="none"/>
                      <w:lang w:eastAsia="zh-CN"/>
                    </w:rPr>
                    <w:t>污染物</w:t>
                  </w:r>
                </w:p>
              </w:tc>
              <w:tc>
                <w:tcPr>
                  <w:tcW w:w="1110" w:type="dxa"/>
                  <w:tcBorders>
                    <w:tl2br w:val="nil"/>
                    <w:tr2bl w:val="nil"/>
                  </w:tcBorders>
                  <w:noWrap w:val="0"/>
                  <w:vAlign w:val="center"/>
                </w:tcPr>
                <w:p w14:paraId="654DB398">
                  <w:pPr>
                    <w:pStyle w:val="101"/>
                    <w:adjustRightInd w:val="0"/>
                    <w:snapToGrid w:val="0"/>
                    <w:spacing w:line="240" w:lineRule="auto"/>
                    <w:ind w:left="-63" w:leftChars="-30" w:right="-63" w:rightChars="-30"/>
                    <w:jc w:val="center"/>
                    <w:rPr>
                      <w:rFonts w:hint="eastAsia" w:ascii="Times New Roman" w:hAnsi="Times New Roman" w:eastAsia="宋体" w:cs="Times New Roman"/>
                      <w:b/>
                      <w:bCs/>
                      <w:color w:val="auto"/>
                      <w:spacing w:val="0"/>
                      <w:position w:val="0"/>
                      <w:highlight w:val="none"/>
                      <w:lang w:eastAsia="zh-CN"/>
                    </w:rPr>
                  </w:pPr>
                  <w:r>
                    <w:rPr>
                      <w:b/>
                      <w:bCs/>
                      <w:color w:val="auto"/>
                      <w:sz w:val="21"/>
                      <w:szCs w:val="21"/>
                      <w:highlight w:val="none"/>
                    </w:rPr>
                    <w:t>非正常排放</w:t>
                  </w:r>
                  <w:r>
                    <w:rPr>
                      <w:rFonts w:hint="eastAsia"/>
                      <w:b/>
                      <w:bCs/>
                      <w:color w:val="auto"/>
                      <w:sz w:val="21"/>
                      <w:szCs w:val="21"/>
                      <w:highlight w:val="none"/>
                    </w:rPr>
                    <w:t>量</w:t>
                  </w:r>
                  <w:r>
                    <w:rPr>
                      <w:b/>
                      <w:bCs/>
                      <w:color w:val="auto"/>
                      <w:sz w:val="21"/>
                      <w:szCs w:val="21"/>
                      <w:highlight w:val="none"/>
                    </w:rPr>
                    <w:t>（</w:t>
                  </w:r>
                  <w:r>
                    <w:rPr>
                      <w:rFonts w:hint="eastAsia"/>
                      <w:b/>
                      <w:bCs/>
                      <w:color w:val="auto"/>
                      <w:sz w:val="21"/>
                      <w:szCs w:val="21"/>
                      <w:highlight w:val="none"/>
                      <w:lang w:val="en-US" w:eastAsia="zh-CN"/>
                    </w:rPr>
                    <w:t>kg</w:t>
                  </w:r>
                  <w:r>
                    <w:rPr>
                      <w:rFonts w:hint="eastAsia"/>
                      <w:b/>
                      <w:bCs/>
                      <w:color w:val="auto"/>
                      <w:sz w:val="21"/>
                      <w:szCs w:val="21"/>
                      <w:highlight w:val="none"/>
                    </w:rPr>
                    <w:t>/a</w:t>
                  </w:r>
                  <w:r>
                    <w:rPr>
                      <w:rFonts w:hint="eastAsia" w:ascii="Times New Roman" w:hAnsi="Times New Roman" w:eastAsia="宋体" w:cs="Times New Roman"/>
                      <w:b/>
                      <w:bCs/>
                      <w:color w:val="auto"/>
                      <w:spacing w:val="0"/>
                      <w:position w:val="0"/>
                      <w:sz w:val="21"/>
                      <w:szCs w:val="21"/>
                      <w:highlight w:val="none"/>
                      <w:lang w:val="en-US" w:eastAsia="zh-CN"/>
                    </w:rPr>
                    <w:t>）</w:t>
                  </w:r>
                </w:p>
              </w:tc>
              <w:tc>
                <w:tcPr>
                  <w:tcW w:w="1039" w:type="dxa"/>
                  <w:tcBorders>
                    <w:tl2br w:val="nil"/>
                    <w:tr2bl w:val="nil"/>
                  </w:tcBorders>
                  <w:noWrap w:val="0"/>
                  <w:vAlign w:val="center"/>
                </w:tcPr>
                <w:p w14:paraId="6BF8DFB4">
                  <w:pPr>
                    <w:pStyle w:val="101"/>
                    <w:adjustRightInd w:val="0"/>
                    <w:snapToGrid w:val="0"/>
                    <w:spacing w:line="240" w:lineRule="auto"/>
                    <w:ind w:left="-63" w:leftChars="-30" w:right="-63" w:rightChars="-30"/>
                    <w:jc w:val="center"/>
                    <w:rPr>
                      <w:rFonts w:hint="eastAsia" w:ascii="Times New Roman" w:hAnsi="Times New Roman" w:eastAsia="宋体" w:cs="Times New Roman"/>
                      <w:b/>
                      <w:bCs/>
                      <w:color w:val="auto"/>
                      <w:spacing w:val="0"/>
                      <w:position w:val="0"/>
                      <w:highlight w:val="none"/>
                      <w:lang w:val="en-US" w:eastAsia="zh-CN"/>
                    </w:rPr>
                  </w:pPr>
                  <w:r>
                    <w:rPr>
                      <w:rFonts w:hint="eastAsia" w:ascii="Times New Roman" w:hAnsi="Times New Roman" w:eastAsia="宋体" w:cs="Times New Roman"/>
                      <w:b/>
                      <w:bCs/>
                      <w:color w:val="auto"/>
                      <w:spacing w:val="0"/>
                      <w:position w:val="0"/>
                      <w:sz w:val="21"/>
                      <w:szCs w:val="21"/>
                      <w:highlight w:val="none"/>
                      <w:lang w:eastAsia="zh-CN"/>
                    </w:rPr>
                    <w:t>排放浓度</w:t>
                  </w:r>
                  <w:r>
                    <w:rPr>
                      <w:rFonts w:hint="eastAsia" w:ascii="Times New Roman" w:hAnsi="Times New Roman" w:eastAsia="宋体" w:cs="Times New Roman"/>
                      <w:b/>
                      <w:bCs/>
                      <w:color w:val="auto"/>
                      <w:spacing w:val="0"/>
                      <w:position w:val="0"/>
                      <w:sz w:val="21"/>
                      <w:szCs w:val="21"/>
                      <w:highlight w:val="none"/>
                    </w:rPr>
                    <w:t>（</w:t>
                  </w:r>
                  <w:r>
                    <w:rPr>
                      <w:rFonts w:ascii="Times New Roman" w:hAnsi="Times New Roman" w:eastAsia="宋体" w:cs="Times New Roman"/>
                      <w:b/>
                      <w:bCs/>
                      <w:color w:val="auto"/>
                      <w:spacing w:val="0"/>
                      <w:position w:val="0"/>
                      <w:sz w:val="21"/>
                      <w:szCs w:val="21"/>
                      <w:highlight w:val="none"/>
                    </w:rPr>
                    <w:t>mg/m</w:t>
                  </w:r>
                  <w:r>
                    <w:rPr>
                      <w:rFonts w:ascii="Times New Roman" w:hAnsi="Times New Roman" w:eastAsia="宋体" w:cs="Times New Roman"/>
                      <w:b/>
                      <w:bCs/>
                      <w:color w:val="auto"/>
                      <w:spacing w:val="0"/>
                      <w:position w:val="0"/>
                      <w:sz w:val="21"/>
                      <w:szCs w:val="21"/>
                      <w:highlight w:val="none"/>
                      <w:vertAlign w:val="superscript"/>
                    </w:rPr>
                    <w:t>3</w:t>
                  </w:r>
                  <w:r>
                    <w:rPr>
                      <w:rFonts w:hint="eastAsia" w:ascii="Times New Roman" w:hAnsi="Times New Roman" w:eastAsia="宋体" w:cs="Times New Roman"/>
                      <w:b/>
                      <w:bCs/>
                      <w:color w:val="auto"/>
                      <w:spacing w:val="0"/>
                      <w:position w:val="0"/>
                      <w:sz w:val="21"/>
                      <w:szCs w:val="21"/>
                      <w:highlight w:val="none"/>
                    </w:rPr>
                    <w:t>）</w:t>
                  </w:r>
                </w:p>
              </w:tc>
              <w:tc>
                <w:tcPr>
                  <w:tcW w:w="512" w:type="pct"/>
                  <w:tcBorders>
                    <w:tl2br w:val="nil"/>
                    <w:tr2bl w:val="nil"/>
                  </w:tcBorders>
                  <w:noWrap w:val="0"/>
                  <w:vAlign w:val="center"/>
                </w:tcPr>
                <w:p w14:paraId="05B4382A">
                  <w:pPr>
                    <w:pStyle w:val="101"/>
                    <w:adjustRightInd w:val="0"/>
                    <w:snapToGrid w:val="0"/>
                    <w:spacing w:line="240" w:lineRule="auto"/>
                    <w:jc w:val="center"/>
                    <w:rPr>
                      <w:rFonts w:hint="eastAsia" w:ascii="Times New Roman" w:hAnsi="Times New Roman" w:eastAsia="宋体" w:cs="Times New Roman"/>
                      <w:b/>
                      <w:bCs/>
                      <w:color w:val="auto"/>
                      <w:spacing w:val="0"/>
                      <w:position w:val="0"/>
                      <w:highlight w:val="none"/>
                      <w:lang w:eastAsia="zh-CN"/>
                    </w:rPr>
                  </w:pPr>
                  <w:r>
                    <w:rPr>
                      <w:rFonts w:hint="eastAsia" w:ascii="Times New Roman" w:hAnsi="Times New Roman" w:eastAsia="宋体" w:cs="Times New Roman"/>
                      <w:b/>
                      <w:bCs/>
                      <w:color w:val="auto"/>
                      <w:spacing w:val="0"/>
                      <w:position w:val="0"/>
                      <w:highlight w:val="none"/>
                      <w:lang w:val="en-US" w:eastAsia="zh-CN"/>
                    </w:rPr>
                    <w:t>处理风</w:t>
                  </w:r>
                  <w:r>
                    <w:rPr>
                      <w:rFonts w:hint="eastAsia" w:ascii="Times New Roman" w:hAnsi="Times New Roman" w:eastAsia="宋体" w:cs="Times New Roman"/>
                      <w:b/>
                      <w:bCs/>
                      <w:color w:val="auto"/>
                      <w:spacing w:val="0"/>
                      <w:position w:val="0"/>
                      <w:highlight w:val="none"/>
                      <w:lang w:eastAsia="zh-CN"/>
                    </w:rPr>
                    <w:t>量</w:t>
                  </w:r>
                  <w:r>
                    <w:rPr>
                      <w:rFonts w:hint="eastAsia" w:ascii="Times New Roman" w:hAnsi="Times New Roman" w:eastAsia="宋体" w:cs="Times New Roman"/>
                      <w:b/>
                      <w:bCs/>
                      <w:color w:val="auto"/>
                      <w:spacing w:val="0"/>
                      <w:position w:val="0"/>
                      <w:sz w:val="21"/>
                      <w:szCs w:val="21"/>
                      <w:highlight w:val="none"/>
                    </w:rPr>
                    <w:t>（</w:t>
                  </w:r>
                  <w:r>
                    <w:rPr>
                      <w:rFonts w:hint="eastAsia" w:ascii="Times New Roman" w:hAnsi="Times New Roman" w:eastAsia="宋体" w:cs="Times New Roman"/>
                      <w:b/>
                      <w:bCs/>
                      <w:color w:val="auto"/>
                      <w:spacing w:val="0"/>
                      <w:kern w:val="0"/>
                      <w:position w:val="0"/>
                      <w:sz w:val="21"/>
                      <w:szCs w:val="21"/>
                      <w:highlight w:val="none"/>
                    </w:rPr>
                    <w:t>m</w:t>
                  </w:r>
                  <w:r>
                    <w:rPr>
                      <w:rFonts w:ascii="Times New Roman" w:hAnsi="Times New Roman" w:eastAsia="宋体" w:cs="Times New Roman"/>
                      <w:b/>
                      <w:bCs/>
                      <w:color w:val="auto"/>
                      <w:spacing w:val="0"/>
                      <w:kern w:val="0"/>
                      <w:position w:val="0"/>
                      <w:sz w:val="21"/>
                      <w:szCs w:val="21"/>
                      <w:highlight w:val="none"/>
                      <w:vertAlign w:val="superscript"/>
                    </w:rPr>
                    <w:t>3</w:t>
                  </w:r>
                  <w:r>
                    <w:rPr>
                      <w:rFonts w:ascii="Times New Roman" w:hAnsi="Times New Roman" w:eastAsia="宋体" w:cs="Times New Roman"/>
                      <w:b/>
                      <w:bCs/>
                      <w:color w:val="auto"/>
                      <w:spacing w:val="0"/>
                      <w:kern w:val="0"/>
                      <w:position w:val="0"/>
                      <w:sz w:val="21"/>
                      <w:szCs w:val="21"/>
                      <w:highlight w:val="none"/>
                    </w:rPr>
                    <w:t>/h</w:t>
                  </w:r>
                  <w:r>
                    <w:rPr>
                      <w:rFonts w:hint="eastAsia" w:ascii="Times New Roman" w:hAnsi="Times New Roman" w:eastAsia="宋体" w:cs="Times New Roman"/>
                      <w:b/>
                      <w:bCs/>
                      <w:color w:val="auto"/>
                      <w:spacing w:val="0"/>
                      <w:position w:val="0"/>
                      <w:sz w:val="21"/>
                      <w:szCs w:val="21"/>
                      <w:highlight w:val="none"/>
                    </w:rPr>
                    <w:t>）</w:t>
                  </w:r>
                </w:p>
              </w:tc>
              <w:tc>
                <w:tcPr>
                  <w:tcW w:w="538" w:type="pct"/>
                  <w:tcBorders>
                    <w:tl2br w:val="nil"/>
                    <w:tr2bl w:val="nil"/>
                  </w:tcBorders>
                  <w:noWrap w:val="0"/>
                  <w:vAlign w:val="center"/>
                </w:tcPr>
                <w:p w14:paraId="126E93B5">
                  <w:pPr>
                    <w:pStyle w:val="101"/>
                    <w:adjustRightInd w:val="0"/>
                    <w:snapToGrid w:val="0"/>
                    <w:spacing w:line="240" w:lineRule="auto"/>
                    <w:jc w:val="center"/>
                    <w:rPr>
                      <w:rFonts w:hint="eastAsia" w:ascii="Times New Roman" w:hAnsi="Times New Roman" w:eastAsia="宋体" w:cs="Times New Roman"/>
                      <w:b/>
                      <w:bCs/>
                      <w:color w:val="auto"/>
                      <w:spacing w:val="0"/>
                      <w:position w:val="0"/>
                      <w:highlight w:val="none"/>
                      <w:lang w:val="en-US" w:eastAsia="zh-CN"/>
                    </w:rPr>
                  </w:pPr>
                  <w:r>
                    <w:rPr>
                      <w:rFonts w:hint="eastAsia" w:ascii="Times New Roman" w:hAnsi="Times New Roman" w:eastAsia="宋体" w:cs="Times New Roman"/>
                      <w:b/>
                      <w:bCs/>
                      <w:color w:val="auto"/>
                      <w:spacing w:val="0"/>
                      <w:position w:val="0"/>
                      <w:highlight w:val="none"/>
                      <w:lang w:eastAsia="zh-CN"/>
                    </w:rPr>
                    <w:t>单次持续时间</w:t>
                  </w:r>
                  <w:r>
                    <w:rPr>
                      <w:rFonts w:hint="eastAsia" w:ascii="Times New Roman" w:hAnsi="Times New Roman" w:eastAsia="宋体" w:cs="Times New Roman"/>
                      <w:b/>
                      <w:bCs/>
                      <w:color w:val="auto"/>
                      <w:spacing w:val="0"/>
                      <w:position w:val="0"/>
                      <w:highlight w:val="none"/>
                      <w:lang w:val="en-US" w:eastAsia="zh-CN"/>
                    </w:rPr>
                    <w:t>/h</w:t>
                  </w:r>
                </w:p>
              </w:tc>
              <w:tc>
                <w:tcPr>
                  <w:tcW w:w="436" w:type="pct"/>
                  <w:tcBorders>
                    <w:tl2br w:val="nil"/>
                    <w:tr2bl w:val="nil"/>
                  </w:tcBorders>
                  <w:noWrap w:val="0"/>
                  <w:vAlign w:val="center"/>
                </w:tcPr>
                <w:p w14:paraId="6E3E3241">
                  <w:pPr>
                    <w:pStyle w:val="101"/>
                    <w:adjustRightInd w:val="0"/>
                    <w:snapToGrid w:val="0"/>
                    <w:spacing w:line="240" w:lineRule="auto"/>
                    <w:jc w:val="center"/>
                    <w:rPr>
                      <w:rFonts w:ascii="Times New Roman" w:hAnsi="Times New Roman" w:eastAsia="宋体" w:cs="Times New Roman"/>
                      <w:b/>
                      <w:bCs/>
                      <w:color w:val="auto"/>
                      <w:spacing w:val="0"/>
                      <w:position w:val="0"/>
                      <w:highlight w:val="none"/>
                    </w:rPr>
                  </w:pPr>
                  <w:r>
                    <w:rPr>
                      <w:rFonts w:hint="eastAsia" w:ascii="Times New Roman" w:hAnsi="Times New Roman" w:eastAsia="宋体" w:cs="Times New Roman"/>
                      <w:b/>
                      <w:bCs/>
                      <w:color w:val="auto"/>
                      <w:spacing w:val="0"/>
                      <w:position w:val="0"/>
                      <w:highlight w:val="none"/>
                      <w:lang w:eastAsia="zh-CN"/>
                    </w:rPr>
                    <w:t>年发生频次</w:t>
                  </w:r>
                  <w:r>
                    <w:rPr>
                      <w:rFonts w:hint="eastAsia" w:ascii="Times New Roman" w:hAnsi="Times New Roman" w:eastAsia="宋体" w:cs="Times New Roman"/>
                      <w:b/>
                      <w:bCs/>
                      <w:color w:val="auto"/>
                      <w:spacing w:val="0"/>
                      <w:position w:val="0"/>
                      <w:highlight w:val="none"/>
                      <w:lang w:val="en-US" w:eastAsia="zh-CN"/>
                    </w:rPr>
                    <w:t>/次</w:t>
                  </w:r>
                </w:p>
              </w:tc>
              <w:tc>
                <w:tcPr>
                  <w:tcW w:w="490" w:type="pct"/>
                  <w:tcBorders>
                    <w:tl2br w:val="nil"/>
                    <w:tr2bl w:val="nil"/>
                  </w:tcBorders>
                  <w:noWrap w:val="0"/>
                  <w:vAlign w:val="center"/>
                </w:tcPr>
                <w:p w14:paraId="1A398538">
                  <w:pPr>
                    <w:pStyle w:val="101"/>
                    <w:adjustRightInd w:val="0"/>
                    <w:snapToGrid w:val="0"/>
                    <w:spacing w:line="240" w:lineRule="auto"/>
                    <w:jc w:val="center"/>
                    <w:rPr>
                      <w:rFonts w:hint="eastAsia" w:ascii="Times New Roman" w:hAnsi="Times New Roman" w:eastAsia="宋体" w:cs="Times New Roman"/>
                      <w:b/>
                      <w:bCs/>
                      <w:color w:val="auto"/>
                      <w:spacing w:val="0"/>
                      <w:position w:val="0"/>
                      <w:highlight w:val="none"/>
                      <w:lang w:eastAsia="zh-CN"/>
                    </w:rPr>
                  </w:pPr>
                  <w:r>
                    <w:rPr>
                      <w:rFonts w:hint="eastAsia" w:ascii="Times New Roman" w:hAnsi="Times New Roman" w:eastAsia="宋体" w:cs="Times New Roman"/>
                      <w:b/>
                      <w:bCs/>
                      <w:color w:val="auto"/>
                      <w:spacing w:val="0"/>
                      <w:position w:val="0"/>
                      <w:highlight w:val="none"/>
                      <w:lang w:eastAsia="zh-CN"/>
                    </w:rPr>
                    <w:t>应对措施</w:t>
                  </w:r>
                </w:p>
              </w:tc>
            </w:tr>
            <w:tr w14:paraId="2138269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871" w:type="pct"/>
                  <w:vMerge w:val="restart"/>
                  <w:tcBorders>
                    <w:tl2br w:val="nil"/>
                    <w:tr2bl w:val="nil"/>
                  </w:tcBorders>
                  <w:noWrap w:val="0"/>
                  <w:vAlign w:val="center"/>
                </w:tcPr>
                <w:p w14:paraId="75183CF0">
                  <w:pPr>
                    <w:pStyle w:val="101"/>
                    <w:adjustRightInd w:val="0"/>
                    <w:snapToGrid w:val="0"/>
                    <w:spacing w:line="240" w:lineRule="auto"/>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eastAsia="zh-CN"/>
                    </w:rPr>
                    <w:t>调漆、喷漆、晾干</w:t>
                  </w:r>
                  <w:r>
                    <w:rPr>
                      <w:rFonts w:hint="eastAsia" w:ascii="Times New Roman" w:hAnsi="Times New Roman" w:eastAsia="宋体" w:cs="Times New Roman"/>
                      <w:color w:val="auto"/>
                      <w:spacing w:val="0"/>
                      <w:position w:val="0"/>
                      <w:sz w:val="21"/>
                      <w:szCs w:val="21"/>
                      <w:highlight w:val="none"/>
                      <w:lang w:val="en-US" w:eastAsia="zh-CN"/>
                    </w:rPr>
                    <w:t>工序</w:t>
                  </w:r>
                  <w:r>
                    <w:rPr>
                      <w:rFonts w:hint="eastAsia" w:cs="Times New Roman"/>
                      <w:color w:val="auto"/>
                      <w:spacing w:val="0"/>
                      <w:position w:val="0"/>
                      <w:sz w:val="21"/>
                      <w:szCs w:val="21"/>
                      <w:highlight w:val="none"/>
                      <w:lang w:val="en-US" w:eastAsia="zh-CN"/>
                    </w:rPr>
                    <w:t>DA001</w:t>
                  </w:r>
                </w:p>
              </w:tc>
              <w:tc>
                <w:tcPr>
                  <w:tcW w:w="520" w:type="pct"/>
                  <w:vMerge w:val="restart"/>
                  <w:tcBorders>
                    <w:tl2br w:val="nil"/>
                    <w:tr2bl w:val="nil"/>
                  </w:tcBorders>
                  <w:noWrap w:val="0"/>
                  <w:vAlign w:val="center"/>
                </w:tcPr>
                <w:p w14:paraId="4CF985BE">
                  <w:pPr>
                    <w:pStyle w:val="101"/>
                    <w:adjustRightInd w:val="0"/>
                    <w:snapToGrid w:val="0"/>
                    <w:spacing w:line="240" w:lineRule="auto"/>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kern w:val="0"/>
                      <w:position w:val="0"/>
                      <w:sz w:val="21"/>
                      <w:szCs w:val="21"/>
                      <w:highlight w:val="none"/>
                      <w:lang w:eastAsia="zh-CN"/>
                    </w:rPr>
                    <w:t>废气处理设施故障</w:t>
                  </w:r>
                </w:p>
              </w:tc>
              <w:tc>
                <w:tcPr>
                  <w:tcW w:w="411" w:type="pct"/>
                  <w:tcBorders>
                    <w:tl2br w:val="nil"/>
                    <w:tr2bl w:val="nil"/>
                  </w:tcBorders>
                  <w:noWrap w:val="0"/>
                  <w:vAlign w:val="center"/>
                </w:tcPr>
                <w:p w14:paraId="6414DE51">
                  <w:pPr>
                    <w:pStyle w:val="101"/>
                    <w:adjustRightInd w:val="0"/>
                    <w:snapToGrid w:val="0"/>
                    <w:spacing w:line="240" w:lineRule="auto"/>
                    <w:ind w:left="-63" w:leftChars="-30" w:right="-63" w:rightChars="-30"/>
                    <w:jc w:val="center"/>
                    <w:rPr>
                      <w:rFonts w:hint="eastAsia" w:ascii="Times New Roman" w:hAnsi="Times New Roman" w:eastAsia="宋体" w:cs="Times New Roman"/>
                      <w:color w:val="auto"/>
                      <w:spacing w:val="0"/>
                      <w:position w:val="0"/>
                      <w:sz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二甲苯</w:t>
                  </w:r>
                </w:p>
              </w:tc>
              <w:tc>
                <w:tcPr>
                  <w:tcW w:w="629" w:type="pct"/>
                  <w:tcBorders>
                    <w:tl2br w:val="nil"/>
                    <w:tr2bl w:val="nil"/>
                  </w:tcBorders>
                  <w:shd w:val="clear" w:color="auto" w:fill="auto"/>
                  <w:noWrap w:val="0"/>
                  <w:vAlign w:val="center"/>
                </w:tcPr>
                <w:p w14:paraId="0BD68E37">
                  <w:pPr>
                    <w:adjustRightInd w:val="0"/>
                    <w:snapToGrid w:val="0"/>
                    <w:jc w:val="center"/>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cs="Times New Roman"/>
                      <w:color w:val="auto"/>
                      <w:spacing w:val="0"/>
                      <w:kern w:val="2"/>
                      <w:position w:val="0"/>
                      <w:sz w:val="21"/>
                      <w:szCs w:val="21"/>
                      <w:highlight w:val="none"/>
                      <w:lang w:val="en-US" w:eastAsia="zh-CN" w:bidi="ar-SA"/>
                    </w:rPr>
                    <w:t>0.0608</w:t>
                  </w:r>
                </w:p>
              </w:tc>
              <w:tc>
                <w:tcPr>
                  <w:tcW w:w="589" w:type="pct"/>
                  <w:tcBorders>
                    <w:tl2br w:val="nil"/>
                    <w:tr2bl w:val="nil"/>
                  </w:tcBorders>
                  <w:shd w:val="clear" w:color="auto" w:fill="auto"/>
                  <w:noWrap w:val="0"/>
                  <w:vAlign w:val="center"/>
                </w:tcPr>
                <w:p w14:paraId="5D959F17">
                  <w:pPr>
                    <w:adjustRightInd w:val="0"/>
                    <w:snapToGrid w:val="0"/>
                    <w:jc w:val="center"/>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cs="Times New Roman"/>
                      <w:color w:val="auto"/>
                      <w:spacing w:val="0"/>
                      <w:kern w:val="2"/>
                      <w:position w:val="0"/>
                      <w:sz w:val="21"/>
                      <w:szCs w:val="21"/>
                      <w:highlight w:val="none"/>
                      <w:lang w:val="en-US" w:eastAsia="zh-CN" w:bidi="ar-SA"/>
                    </w:rPr>
                    <w:t>2.0267</w:t>
                  </w:r>
                </w:p>
              </w:tc>
              <w:tc>
                <w:tcPr>
                  <w:tcW w:w="917" w:type="dxa"/>
                  <w:vMerge w:val="restart"/>
                  <w:tcBorders>
                    <w:tl2br w:val="nil"/>
                    <w:tr2bl w:val="nil"/>
                  </w:tcBorders>
                  <w:noWrap w:val="0"/>
                  <w:vAlign w:val="center"/>
                </w:tcPr>
                <w:p w14:paraId="61458D57">
                  <w:pPr>
                    <w:pStyle w:val="101"/>
                    <w:adjustRightInd w:val="0"/>
                    <w:snapToGrid w:val="0"/>
                    <w:spacing w:line="240" w:lineRule="auto"/>
                    <w:ind w:left="-63" w:leftChars="-30" w:right="-63" w:rightChars="-3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30000</w:t>
                  </w:r>
                </w:p>
              </w:tc>
              <w:tc>
                <w:tcPr>
                  <w:tcW w:w="964" w:type="dxa"/>
                  <w:vMerge w:val="restart"/>
                  <w:tcBorders>
                    <w:tl2br w:val="nil"/>
                    <w:tr2bl w:val="nil"/>
                  </w:tcBorders>
                  <w:noWrap w:val="0"/>
                  <w:vAlign w:val="center"/>
                </w:tcPr>
                <w:p w14:paraId="1387FAEB">
                  <w:pPr>
                    <w:pStyle w:val="101"/>
                    <w:adjustRightInd w:val="0"/>
                    <w:snapToGrid w:val="0"/>
                    <w:spacing w:line="240" w:lineRule="auto"/>
                    <w:ind w:left="-63" w:leftChars="-30" w:right="-63" w:rightChars="-3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w:t>
                  </w:r>
                </w:p>
              </w:tc>
              <w:tc>
                <w:tcPr>
                  <w:tcW w:w="782" w:type="dxa"/>
                  <w:vMerge w:val="restart"/>
                  <w:tcBorders>
                    <w:tl2br w:val="nil"/>
                    <w:tr2bl w:val="nil"/>
                  </w:tcBorders>
                  <w:noWrap w:val="0"/>
                  <w:vAlign w:val="center"/>
                </w:tcPr>
                <w:p w14:paraId="4E35A19C">
                  <w:pPr>
                    <w:pStyle w:val="101"/>
                    <w:adjustRightInd w:val="0"/>
                    <w:snapToGrid w:val="0"/>
                    <w:spacing w:line="240" w:lineRule="auto"/>
                    <w:ind w:left="-63" w:leftChars="-30" w:right="-63" w:rightChars="-30"/>
                    <w:jc w:val="center"/>
                    <w:rPr>
                      <w:rFonts w:hint="eastAsia" w:ascii="Times New Roman" w:hAnsi="Times New Roman" w:eastAsia="宋体" w:cs="Times New Roman"/>
                      <w:color w:val="auto"/>
                      <w:spacing w:val="0"/>
                      <w:position w:val="0"/>
                      <w:highlight w:val="none"/>
                      <w:lang w:eastAsia="zh-CN"/>
                    </w:rPr>
                  </w:pPr>
                  <w:r>
                    <w:rPr>
                      <w:rFonts w:hint="eastAsia" w:ascii="Times New Roman" w:hAnsi="Times New Roman" w:eastAsia="宋体" w:cs="Times New Roman"/>
                      <w:b w:val="0"/>
                      <w:bCs w:val="0"/>
                      <w:color w:val="auto"/>
                      <w:spacing w:val="0"/>
                      <w:position w:val="0"/>
                      <w:highlight w:val="none"/>
                    </w:rPr>
                    <w:t>≤1</w:t>
                  </w:r>
                </w:p>
              </w:tc>
              <w:tc>
                <w:tcPr>
                  <w:tcW w:w="877" w:type="dxa"/>
                  <w:vMerge w:val="restart"/>
                  <w:tcBorders>
                    <w:tl2br w:val="nil"/>
                    <w:tr2bl w:val="nil"/>
                  </w:tcBorders>
                  <w:noWrap w:val="0"/>
                  <w:vAlign w:val="center"/>
                </w:tcPr>
                <w:p w14:paraId="58909F9A">
                  <w:pPr>
                    <w:pStyle w:val="101"/>
                    <w:adjustRightInd w:val="0"/>
                    <w:snapToGrid w:val="0"/>
                    <w:spacing w:line="240" w:lineRule="auto"/>
                    <w:ind w:left="-63" w:leftChars="-30" w:right="-63" w:rightChars="-30"/>
                    <w:jc w:val="center"/>
                    <w:rPr>
                      <w:rFonts w:hint="eastAsia" w:ascii="Times New Roman" w:hAnsi="Times New Roman" w:eastAsia="宋体" w:cs="Times New Roman"/>
                      <w:b w:val="0"/>
                      <w:bCs w:val="0"/>
                      <w:color w:val="auto"/>
                      <w:spacing w:val="0"/>
                      <w:position w:val="0"/>
                      <w:highlight w:val="none"/>
                    </w:rPr>
                  </w:pPr>
                  <w:r>
                    <w:rPr>
                      <w:rFonts w:hint="eastAsia" w:ascii="Times New Roman" w:hAnsi="Times New Roman" w:eastAsia="宋体" w:cs="Times New Roman"/>
                      <w:b w:val="0"/>
                      <w:bCs w:val="0"/>
                      <w:color w:val="auto"/>
                      <w:spacing w:val="0"/>
                      <w:position w:val="0"/>
                      <w:highlight w:val="none"/>
                    </w:rPr>
                    <w:t>发现非正常排放情况时，立即暂停生产，进行环保设备检修。</w:t>
                  </w:r>
                </w:p>
              </w:tc>
            </w:tr>
            <w:tr w14:paraId="2FED0D4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871" w:type="pct"/>
                  <w:vMerge w:val="continue"/>
                  <w:tcBorders>
                    <w:tl2br w:val="nil"/>
                    <w:tr2bl w:val="nil"/>
                  </w:tcBorders>
                  <w:noWrap w:val="0"/>
                  <w:vAlign w:val="center"/>
                </w:tcPr>
                <w:p w14:paraId="0ACA8791">
                  <w:pPr>
                    <w:pStyle w:val="101"/>
                    <w:adjustRightInd w:val="0"/>
                    <w:snapToGrid w:val="0"/>
                    <w:spacing w:line="240" w:lineRule="auto"/>
                    <w:jc w:val="center"/>
                    <w:rPr>
                      <w:rFonts w:hint="eastAsia" w:ascii="Times New Roman" w:hAnsi="Times New Roman" w:eastAsia="宋体" w:cs="Times New Roman"/>
                      <w:color w:val="auto"/>
                      <w:spacing w:val="0"/>
                      <w:position w:val="0"/>
                      <w:sz w:val="21"/>
                      <w:szCs w:val="21"/>
                      <w:highlight w:val="none"/>
                      <w:lang w:eastAsia="zh-CN"/>
                    </w:rPr>
                  </w:pPr>
                </w:p>
              </w:tc>
              <w:tc>
                <w:tcPr>
                  <w:tcW w:w="520" w:type="pct"/>
                  <w:vMerge w:val="continue"/>
                  <w:tcBorders>
                    <w:tl2br w:val="nil"/>
                    <w:tr2bl w:val="nil"/>
                  </w:tcBorders>
                  <w:noWrap w:val="0"/>
                  <w:vAlign w:val="center"/>
                </w:tcPr>
                <w:p w14:paraId="7D560BEB">
                  <w:pPr>
                    <w:pStyle w:val="101"/>
                    <w:adjustRightInd w:val="0"/>
                    <w:snapToGrid w:val="0"/>
                    <w:spacing w:line="240" w:lineRule="auto"/>
                    <w:jc w:val="center"/>
                    <w:rPr>
                      <w:rFonts w:hint="eastAsia" w:ascii="Times New Roman" w:hAnsi="Times New Roman" w:eastAsia="宋体" w:cs="Times New Roman"/>
                      <w:b w:val="0"/>
                      <w:bCs w:val="0"/>
                      <w:color w:val="auto"/>
                      <w:spacing w:val="0"/>
                      <w:kern w:val="0"/>
                      <w:position w:val="0"/>
                      <w:sz w:val="21"/>
                      <w:szCs w:val="21"/>
                      <w:highlight w:val="none"/>
                      <w:lang w:eastAsia="zh-CN"/>
                    </w:rPr>
                  </w:pPr>
                </w:p>
              </w:tc>
              <w:tc>
                <w:tcPr>
                  <w:tcW w:w="725" w:type="dxa"/>
                  <w:tcBorders>
                    <w:tl2br w:val="nil"/>
                    <w:tr2bl w:val="nil"/>
                  </w:tcBorders>
                  <w:noWrap w:val="0"/>
                  <w:vAlign w:val="center"/>
                </w:tcPr>
                <w:p w14:paraId="01C91030">
                  <w:pPr>
                    <w:pStyle w:val="101"/>
                    <w:adjustRightInd w:val="0"/>
                    <w:snapToGrid w:val="0"/>
                    <w:spacing w:line="240" w:lineRule="auto"/>
                    <w:ind w:left="-63" w:leftChars="-30" w:right="-63" w:rightChars="-30"/>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苯系物</w:t>
                  </w:r>
                </w:p>
              </w:tc>
              <w:tc>
                <w:tcPr>
                  <w:tcW w:w="1110" w:type="dxa"/>
                  <w:tcBorders>
                    <w:tl2br w:val="nil"/>
                    <w:tr2bl w:val="nil"/>
                  </w:tcBorders>
                  <w:shd w:val="clear" w:color="auto" w:fill="auto"/>
                  <w:noWrap w:val="0"/>
                  <w:vAlign w:val="center"/>
                </w:tcPr>
                <w:p w14:paraId="632C5F93">
                  <w:pPr>
                    <w:adjustRightInd w:val="0"/>
                    <w:snapToGrid w:val="0"/>
                    <w:jc w:val="center"/>
                    <w:rPr>
                      <w:rFonts w:hint="default" w:cs="Times New Roman"/>
                      <w:color w:val="auto"/>
                      <w:spacing w:val="0"/>
                      <w:kern w:val="2"/>
                      <w:position w:val="0"/>
                      <w:sz w:val="21"/>
                      <w:szCs w:val="21"/>
                      <w:highlight w:val="none"/>
                      <w:lang w:val="en-US" w:eastAsia="zh-CN" w:bidi="ar-SA"/>
                    </w:rPr>
                  </w:pPr>
                  <w:r>
                    <w:rPr>
                      <w:rFonts w:hint="eastAsia" w:cs="Times New Roman"/>
                      <w:color w:val="auto"/>
                      <w:spacing w:val="0"/>
                      <w:kern w:val="2"/>
                      <w:position w:val="0"/>
                      <w:sz w:val="21"/>
                      <w:szCs w:val="21"/>
                      <w:highlight w:val="none"/>
                      <w:lang w:val="en-US" w:eastAsia="zh-CN" w:bidi="ar-SA"/>
                    </w:rPr>
                    <w:t>0.162</w:t>
                  </w:r>
                </w:p>
              </w:tc>
              <w:tc>
                <w:tcPr>
                  <w:tcW w:w="1039" w:type="dxa"/>
                  <w:tcBorders>
                    <w:tl2br w:val="nil"/>
                    <w:tr2bl w:val="nil"/>
                  </w:tcBorders>
                  <w:shd w:val="clear" w:color="auto" w:fill="auto"/>
                  <w:noWrap w:val="0"/>
                  <w:vAlign w:val="center"/>
                </w:tcPr>
                <w:p w14:paraId="538FEDB4">
                  <w:pPr>
                    <w:adjustRightInd w:val="0"/>
                    <w:snapToGrid w:val="0"/>
                    <w:jc w:val="center"/>
                    <w:rPr>
                      <w:rFonts w:hint="default" w:cs="Times New Roman"/>
                      <w:color w:val="auto"/>
                      <w:spacing w:val="0"/>
                      <w:kern w:val="2"/>
                      <w:position w:val="0"/>
                      <w:sz w:val="21"/>
                      <w:szCs w:val="21"/>
                      <w:highlight w:val="none"/>
                      <w:lang w:val="en-US" w:eastAsia="zh-CN" w:bidi="ar-SA"/>
                    </w:rPr>
                  </w:pPr>
                  <w:r>
                    <w:rPr>
                      <w:rFonts w:hint="eastAsia" w:cs="Times New Roman"/>
                      <w:color w:val="auto"/>
                      <w:spacing w:val="0"/>
                      <w:kern w:val="2"/>
                      <w:position w:val="0"/>
                      <w:sz w:val="21"/>
                      <w:szCs w:val="21"/>
                      <w:highlight w:val="none"/>
                      <w:lang w:val="en-US" w:eastAsia="zh-CN" w:bidi="ar-SA"/>
                    </w:rPr>
                    <w:t>5.4</w:t>
                  </w:r>
                </w:p>
              </w:tc>
              <w:tc>
                <w:tcPr>
                  <w:tcW w:w="917" w:type="dxa"/>
                  <w:vMerge w:val="continue"/>
                  <w:tcBorders>
                    <w:tl2br w:val="nil"/>
                    <w:tr2bl w:val="nil"/>
                  </w:tcBorders>
                  <w:noWrap w:val="0"/>
                  <w:vAlign w:val="center"/>
                </w:tcPr>
                <w:p w14:paraId="49B89A6B">
                  <w:pPr>
                    <w:pStyle w:val="101"/>
                    <w:adjustRightInd w:val="0"/>
                    <w:snapToGrid w:val="0"/>
                    <w:spacing w:line="240" w:lineRule="auto"/>
                    <w:ind w:left="-63" w:leftChars="-30" w:right="-63" w:rightChars="-30"/>
                    <w:jc w:val="center"/>
                    <w:rPr>
                      <w:rFonts w:hint="eastAsia" w:ascii="Times New Roman" w:hAnsi="Times New Roman" w:eastAsia="宋体" w:cs="Times New Roman"/>
                      <w:color w:val="auto"/>
                      <w:spacing w:val="0"/>
                      <w:position w:val="0"/>
                      <w:highlight w:val="none"/>
                      <w:lang w:val="en-US" w:eastAsia="zh-CN"/>
                    </w:rPr>
                  </w:pPr>
                </w:p>
              </w:tc>
              <w:tc>
                <w:tcPr>
                  <w:tcW w:w="964" w:type="dxa"/>
                  <w:vMerge w:val="continue"/>
                  <w:tcBorders>
                    <w:tl2br w:val="nil"/>
                    <w:tr2bl w:val="nil"/>
                  </w:tcBorders>
                  <w:noWrap w:val="0"/>
                  <w:vAlign w:val="center"/>
                </w:tcPr>
                <w:p w14:paraId="47998B00">
                  <w:pPr>
                    <w:pStyle w:val="101"/>
                    <w:adjustRightInd w:val="0"/>
                    <w:snapToGrid w:val="0"/>
                    <w:spacing w:line="240" w:lineRule="auto"/>
                    <w:ind w:left="-63" w:leftChars="-30" w:right="-63" w:rightChars="-30"/>
                    <w:jc w:val="center"/>
                    <w:rPr>
                      <w:rFonts w:hint="eastAsia" w:ascii="Times New Roman" w:hAnsi="Times New Roman" w:eastAsia="宋体" w:cs="Times New Roman"/>
                      <w:color w:val="auto"/>
                      <w:spacing w:val="0"/>
                      <w:position w:val="0"/>
                      <w:highlight w:val="none"/>
                      <w:lang w:val="en-US" w:eastAsia="zh-CN"/>
                    </w:rPr>
                  </w:pPr>
                </w:p>
              </w:tc>
              <w:tc>
                <w:tcPr>
                  <w:tcW w:w="782" w:type="dxa"/>
                  <w:vMerge w:val="continue"/>
                  <w:tcBorders>
                    <w:tl2br w:val="nil"/>
                    <w:tr2bl w:val="nil"/>
                  </w:tcBorders>
                  <w:noWrap w:val="0"/>
                  <w:vAlign w:val="center"/>
                </w:tcPr>
                <w:p w14:paraId="3F9A3887">
                  <w:pPr>
                    <w:pStyle w:val="101"/>
                    <w:adjustRightInd w:val="0"/>
                    <w:snapToGrid w:val="0"/>
                    <w:spacing w:line="240" w:lineRule="auto"/>
                    <w:ind w:left="-63" w:leftChars="-30" w:right="-63" w:rightChars="-30"/>
                    <w:jc w:val="center"/>
                    <w:rPr>
                      <w:rFonts w:hint="eastAsia" w:ascii="Times New Roman" w:hAnsi="Times New Roman" w:eastAsia="宋体" w:cs="Times New Roman"/>
                      <w:b w:val="0"/>
                      <w:bCs w:val="0"/>
                      <w:color w:val="auto"/>
                      <w:spacing w:val="0"/>
                      <w:position w:val="0"/>
                      <w:highlight w:val="none"/>
                    </w:rPr>
                  </w:pPr>
                </w:p>
              </w:tc>
              <w:tc>
                <w:tcPr>
                  <w:tcW w:w="877" w:type="dxa"/>
                  <w:vMerge w:val="continue"/>
                  <w:tcBorders>
                    <w:tl2br w:val="nil"/>
                    <w:tr2bl w:val="nil"/>
                  </w:tcBorders>
                  <w:noWrap w:val="0"/>
                  <w:vAlign w:val="center"/>
                </w:tcPr>
                <w:p w14:paraId="0748CBE3">
                  <w:pPr>
                    <w:pStyle w:val="101"/>
                    <w:adjustRightInd w:val="0"/>
                    <w:snapToGrid w:val="0"/>
                    <w:spacing w:line="240" w:lineRule="auto"/>
                    <w:ind w:left="-63" w:leftChars="-30" w:right="-63" w:rightChars="-30"/>
                    <w:jc w:val="center"/>
                    <w:rPr>
                      <w:rFonts w:hint="eastAsia" w:ascii="Times New Roman" w:hAnsi="Times New Roman" w:eastAsia="宋体" w:cs="Times New Roman"/>
                      <w:b w:val="0"/>
                      <w:bCs w:val="0"/>
                      <w:color w:val="auto"/>
                      <w:spacing w:val="0"/>
                      <w:position w:val="0"/>
                      <w:highlight w:val="none"/>
                    </w:rPr>
                  </w:pPr>
                </w:p>
              </w:tc>
            </w:tr>
            <w:tr w14:paraId="389348F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871" w:type="pct"/>
                  <w:vMerge w:val="continue"/>
                  <w:tcBorders>
                    <w:tl2br w:val="nil"/>
                    <w:tr2bl w:val="nil"/>
                  </w:tcBorders>
                  <w:noWrap w:val="0"/>
                  <w:vAlign w:val="center"/>
                </w:tcPr>
                <w:p w14:paraId="2090240E">
                  <w:pPr>
                    <w:pStyle w:val="101"/>
                    <w:adjustRightInd w:val="0"/>
                    <w:snapToGrid w:val="0"/>
                    <w:spacing w:line="240" w:lineRule="auto"/>
                    <w:jc w:val="center"/>
                    <w:rPr>
                      <w:rFonts w:hint="eastAsia" w:ascii="Times New Roman" w:hAnsi="Times New Roman" w:eastAsia="宋体" w:cs="Times New Roman"/>
                      <w:color w:val="auto"/>
                      <w:spacing w:val="0"/>
                      <w:position w:val="0"/>
                      <w:sz w:val="21"/>
                      <w:szCs w:val="21"/>
                      <w:highlight w:val="none"/>
                      <w:lang w:eastAsia="zh-CN"/>
                    </w:rPr>
                  </w:pPr>
                </w:p>
              </w:tc>
              <w:tc>
                <w:tcPr>
                  <w:tcW w:w="520" w:type="pct"/>
                  <w:vMerge w:val="continue"/>
                  <w:tcBorders>
                    <w:tl2br w:val="nil"/>
                    <w:tr2bl w:val="nil"/>
                  </w:tcBorders>
                  <w:noWrap w:val="0"/>
                  <w:vAlign w:val="center"/>
                </w:tcPr>
                <w:p w14:paraId="1B5E7DA6">
                  <w:pPr>
                    <w:pStyle w:val="101"/>
                    <w:adjustRightInd w:val="0"/>
                    <w:snapToGrid w:val="0"/>
                    <w:spacing w:line="240" w:lineRule="auto"/>
                    <w:jc w:val="center"/>
                    <w:rPr>
                      <w:rFonts w:hint="eastAsia" w:ascii="Times New Roman" w:hAnsi="Times New Roman" w:eastAsia="宋体" w:cs="Times New Roman"/>
                      <w:b w:val="0"/>
                      <w:bCs w:val="0"/>
                      <w:color w:val="auto"/>
                      <w:spacing w:val="0"/>
                      <w:kern w:val="0"/>
                      <w:position w:val="0"/>
                      <w:szCs w:val="20"/>
                      <w:highlight w:val="none"/>
                      <w:lang w:eastAsia="zh-CN"/>
                    </w:rPr>
                  </w:pPr>
                </w:p>
              </w:tc>
              <w:tc>
                <w:tcPr>
                  <w:tcW w:w="411" w:type="pct"/>
                  <w:tcBorders>
                    <w:tl2br w:val="nil"/>
                    <w:tr2bl w:val="nil"/>
                  </w:tcBorders>
                  <w:noWrap w:val="0"/>
                  <w:vAlign w:val="center"/>
                </w:tcPr>
                <w:p w14:paraId="49EB9F85">
                  <w:pPr>
                    <w:pStyle w:val="101"/>
                    <w:adjustRightInd w:val="0"/>
                    <w:snapToGrid w:val="0"/>
                    <w:spacing w:line="240" w:lineRule="auto"/>
                    <w:ind w:left="-63" w:leftChars="-30" w:right="-63" w:rightChars="-30"/>
                    <w:jc w:val="center"/>
                    <w:rPr>
                      <w:rFonts w:hint="eastAsia" w:ascii="Times New Roman" w:hAnsi="Times New Roman" w:eastAsia="宋体" w:cs="Times New Roman"/>
                      <w:color w:val="auto"/>
                      <w:spacing w:val="0"/>
                      <w:position w:val="0"/>
                      <w:sz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乙酸乙酯与乙酸丁酯合计</w:t>
                  </w:r>
                </w:p>
              </w:tc>
              <w:tc>
                <w:tcPr>
                  <w:tcW w:w="629" w:type="pct"/>
                  <w:tcBorders>
                    <w:tl2br w:val="nil"/>
                    <w:tr2bl w:val="nil"/>
                  </w:tcBorders>
                  <w:noWrap w:val="0"/>
                  <w:vAlign w:val="center"/>
                </w:tcPr>
                <w:p w14:paraId="5DF7109F">
                  <w:pPr>
                    <w:adjustRightInd w:val="0"/>
                    <w:snapToGrid w:val="0"/>
                    <w:jc w:val="center"/>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0.3196</w:t>
                  </w:r>
                </w:p>
              </w:tc>
              <w:tc>
                <w:tcPr>
                  <w:tcW w:w="589" w:type="pct"/>
                  <w:tcBorders>
                    <w:tl2br w:val="nil"/>
                    <w:tr2bl w:val="nil"/>
                  </w:tcBorders>
                  <w:noWrap w:val="0"/>
                  <w:vAlign w:val="center"/>
                </w:tcPr>
                <w:p w14:paraId="483C864E">
                  <w:pPr>
                    <w:adjustRightInd w:val="0"/>
                    <w:snapToGrid w:val="0"/>
                    <w:jc w:val="center"/>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10.4534</w:t>
                  </w:r>
                </w:p>
              </w:tc>
              <w:tc>
                <w:tcPr>
                  <w:tcW w:w="512" w:type="pct"/>
                  <w:vMerge w:val="continue"/>
                  <w:tcBorders>
                    <w:tl2br w:val="nil"/>
                    <w:tr2bl w:val="nil"/>
                  </w:tcBorders>
                  <w:noWrap w:val="0"/>
                  <w:vAlign w:val="center"/>
                </w:tcPr>
                <w:p w14:paraId="7A7160B6">
                  <w:pPr>
                    <w:pStyle w:val="101"/>
                    <w:adjustRightInd w:val="0"/>
                    <w:snapToGrid w:val="0"/>
                    <w:spacing w:line="240" w:lineRule="auto"/>
                    <w:jc w:val="center"/>
                    <w:rPr>
                      <w:rFonts w:hint="eastAsia" w:ascii="Times New Roman" w:hAnsi="Times New Roman" w:eastAsia="宋体" w:cs="Times New Roman"/>
                      <w:color w:val="auto"/>
                      <w:spacing w:val="0"/>
                      <w:position w:val="0"/>
                      <w:highlight w:val="none"/>
                      <w:lang w:val="en-US" w:eastAsia="zh-CN"/>
                    </w:rPr>
                  </w:pPr>
                </w:p>
              </w:tc>
              <w:tc>
                <w:tcPr>
                  <w:tcW w:w="538" w:type="pct"/>
                  <w:vMerge w:val="continue"/>
                  <w:tcBorders>
                    <w:tl2br w:val="nil"/>
                    <w:tr2bl w:val="nil"/>
                  </w:tcBorders>
                  <w:noWrap w:val="0"/>
                  <w:vAlign w:val="center"/>
                </w:tcPr>
                <w:p w14:paraId="57BC0FEA">
                  <w:pPr>
                    <w:pStyle w:val="101"/>
                    <w:adjustRightInd w:val="0"/>
                    <w:snapToGrid w:val="0"/>
                    <w:spacing w:line="240" w:lineRule="auto"/>
                    <w:jc w:val="center"/>
                    <w:rPr>
                      <w:rFonts w:hint="eastAsia" w:ascii="Times New Roman" w:hAnsi="Times New Roman" w:eastAsia="宋体" w:cs="Times New Roman"/>
                      <w:color w:val="auto"/>
                      <w:spacing w:val="0"/>
                      <w:position w:val="0"/>
                      <w:highlight w:val="none"/>
                      <w:lang w:val="en-US" w:eastAsia="zh-CN"/>
                    </w:rPr>
                  </w:pPr>
                </w:p>
              </w:tc>
              <w:tc>
                <w:tcPr>
                  <w:tcW w:w="436" w:type="pct"/>
                  <w:vMerge w:val="continue"/>
                  <w:tcBorders>
                    <w:tl2br w:val="nil"/>
                    <w:tr2bl w:val="nil"/>
                  </w:tcBorders>
                  <w:noWrap w:val="0"/>
                  <w:vAlign w:val="center"/>
                </w:tcPr>
                <w:p w14:paraId="1E5ACA92">
                  <w:pPr>
                    <w:pStyle w:val="101"/>
                    <w:adjustRightInd w:val="0"/>
                    <w:snapToGrid w:val="0"/>
                    <w:spacing w:line="240" w:lineRule="auto"/>
                    <w:jc w:val="center"/>
                    <w:rPr>
                      <w:rFonts w:hint="eastAsia" w:ascii="Times New Roman" w:hAnsi="Times New Roman" w:eastAsia="宋体" w:cs="Times New Roman"/>
                      <w:b w:val="0"/>
                      <w:bCs w:val="0"/>
                      <w:color w:val="auto"/>
                      <w:spacing w:val="0"/>
                      <w:position w:val="0"/>
                      <w:highlight w:val="none"/>
                    </w:rPr>
                  </w:pPr>
                </w:p>
              </w:tc>
              <w:tc>
                <w:tcPr>
                  <w:tcW w:w="490" w:type="pct"/>
                  <w:vMerge w:val="continue"/>
                  <w:tcBorders>
                    <w:tl2br w:val="nil"/>
                    <w:tr2bl w:val="nil"/>
                  </w:tcBorders>
                  <w:noWrap w:val="0"/>
                  <w:vAlign w:val="center"/>
                </w:tcPr>
                <w:p w14:paraId="1B639A62">
                  <w:pPr>
                    <w:pStyle w:val="101"/>
                    <w:adjustRightInd w:val="0"/>
                    <w:snapToGrid w:val="0"/>
                    <w:spacing w:line="240" w:lineRule="auto"/>
                    <w:jc w:val="center"/>
                    <w:rPr>
                      <w:rFonts w:hint="eastAsia" w:ascii="Times New Roman" w:hAnsi="Times New Roman" w:eastAsia="宋体" w:cs="Times New Roman"/>
                      <w:b w:val="0"/>
                      <w:bCs w:val="0"/>
                      <w:color w:val="auto"/>
                      <w:spacing w:val="0"/>
                      <w:position w:val="0"/>
                      <w:highlight w:val="none"/>
                    </w:rPr>
                  </w:pPr>
                </w:p>
              </w:tc>
            </w:tr>
            <w:tr w14:paraId="550D845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871" w:type="pct"/>
                  <w:vMerge w:val="continue"/>
                  <w:tcBorders>
                    <w:tl2br w:val="nil"/>
                    <w:tr2bl w:val="nil"/>
                  </w:tcBorders>
                  <w:noWrap w:val="0"/>
                  <w:vAlign w:val="center"/>
                </w:tcPr>
                <w:p w14:paraId="12439F6C">
                  <w:pPr>
                    <w:pStyle w:val="101"/>
                    <w:adjustRightInd w:val="0"/>
                    <w:snapToGrid w:val="0"/>
                    <w:spacing w:line="240" w:lineRule="auto"/>
                    <w:jc w:val="center"/>
                    <w:rPr>
                      <w:rFonts w:hint="eastAsia" w:ascii="Times New Roman" w:hAnsi="Times New Roman" w:eastAsia="宋体" w:cs="Times New Roman"/>
                      <w:color w:val="auto"/>
                      <w:spacing w:val="0"/>
                      <w:position w:val="0"/>
                      <w:sz w:val="21"/>
                      <w:szCs w:val="21"/>
                      <w:highlight w:val="none"/>
                      <w:lang w:eastAsia="zh-CN"/>
                    </w:rPr>
                  </w:pPr>
                </w:p>
              </w:tc>
              <w:tc>
                <w:tcPr>
                  <w:tcW w:w="520" w:type="pct"/>
                  <w:vMerge w:val="continue"/>
                  <w:tcBorders>
                    <w:tl2br w:val="nil"/>
                    <w:tr2bl w:val="nil"/>
                  </w:tcBorders>
                  <w:noWrap w:val="0"/>
                  <w:vAlign w:val="center"/>
                </w:tcPr>
                <w:p w14:paraId="1767AFD6">
                  <w:pPr>
                    <w:pStyle w:val="101"/>
                    <w:adjustRightInd w:val="0"/>
                    <w:snapToGrid w:val="0"/>
                    <w:spacing w:line="240" w:lineRule="auto"/>
                    <w:jc w:val="center"/>
                    <w:rPr>
                      <w:rFonts w:hint="eastAsia" w:ascii="Times New Roman" w:hAnsi="Times New Roman" w:eastAsia="宋体" w:cs="Times New Roman"/>
                      <w:b w:val="0"/>
                      <w:bCs w:val="0"/>
                      <w:color w:val="auto"/>
                      <w:spacing w:val="0"/>
                      <w:kern w:val="0"/>
                      <w:position w:val="0"/>
                      <w:szCs w:val="20"/>
                      <w:highlight w:val="none"/>
                      <w:lang w:eastAsia="zh-CN"/>
                    </w:rPr>
                  </w:pPr>
                </w:p>
              </w:tc>
              <w:tc>
                <w:tcPr>
                  <w:tcW w:w="411" w:type="pct"/>
                  <w:tcBorders>
                    <w:tl2br w:val="nil"/>
                    <w:tr2bl w:val="nil"/>
                  </w:tcBorders>
                  <w:noWrap w:val="0"/>
                  <w:vAlign w:val="center"/>
                </w:tcPr>
                <w:p w14:paraId="1F402EEB">
                  <w:pPr>
                    <w:pStyle w:val="101"/>
                    <w:adjustRightInd w:val="0"/>
                    <w:snapToGrid w:val="0"/>
                    <w:spacing w:line="240" w:lineRule="auto"/>
                    <w:ind w:left="-63" w:leftChars="-30" w:right="-63" w:rightChars="-3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sz w:val="21"/>
                      <w:highlight w:val="none"/>
                      <w:lang w:val="en-US" w:eastAsia="zh-CN"/>
                    </w:rPr>
                    <w:t>非甲烷总烃</w:t>
                  </w:r>
                </w:p>
              </w:tc>
              <w:tc>
                <w:tcPr>
                  <w:tcW w:w="629" w:type="pct"/>
                  <w:tcBorders>
                    <w:tl2br w:val="nil"/>
                    <w:tr2bl w:val="nil"/>
                  </w:tcBorders>
                  <w:shd w:val="clear" w:color="auto" w:fill="auto"/>
                  <w:noWrap w:val="0"/>
                  <w:vAlign w:val="center"/>
                </w:tcPr>
                <w:p w14:paraId="1856A5EC">
                  <w:pPr>
                    <w:adjustRightInd w:val="0"/>
                    <w:snapToGrid w:val="0"/>
                    <w:jc w:val="center"/>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0.5828</w:t>
                  </w:r>
                </w:p>
              </w:tc>
              <w:tc>
                <w:tcPr>
                  <w:tcW w:w="589" w:type="pct"/>
                  <w:tcBorders>
                    <w:tl2br w:val="nil"/>
                    <w:tr2bl w:val="nil"/>
                  </w:tcBorders>
                  <w:shd w:val="clear" w:color="auto" w:fill="auto"/>
                  <w:noWrap w:val="0"/>
                  <w:vAlign w:val="center"/>
                </w:tcPr>
                <w:p w14:paraId="3802012A">
                  <w:pPr>
                    <w:adjustRightInd w:val="0"/>
                    <w:snapToGrid w:val="0"/>
                    <w:jc w:val="center"/>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19.4267</w:t>
                  </w:r>
                </w:p>
              </w:tc>
              <w:tc>
                <w:tcPr>
                  <w:tcW w:w="512" w:type="pct"/>
                  <w:vMerge w:val="continue"/>
                  <w:tcBorders>
                    <w:tl2br w:val="nil"/>
                    <w:tr2bl w:val="nil"/>
                  </w:tcBorders>
                  <w:noWrap w:val="0"/>
                  <w:vAlign w:val="center"/>
                </w:tcPr>
                <w:p w14:paraId="7C9E6CFF">
                  <w:pPr>
                    <w:pStyle w:val="101"/>
                    <w:adjustRightInd w:val="0"/>
                    <w:snapToGrid w:val="0"/>
                    <w:spacing w:line="240" w:lineRule="auto"/>
                    <w:jc w:val="center"/>
                    <w:rPr>
                      <w:rFonts w:hint="eastAsia" w:ascii="Times New Roman" w:hAnsi="Times New Roman" w:eastAsia="宋体" w:cs="Times New Roman"/>
                      <w:color w:val="auto"/>
                      <w:spacing w:val="0"/>
                      <w:position w:val="0"/>
                      <w:highlight w:val="none"/>
                      <w:lang w:val="en-US" w:eastAsia="zh-CN"/>
                    </w:rPr>
                  </w:pPr>
                </w:p>
              </w:tc>
              <w:tc>
                <w:tcPr>
                  <w:tcW w:w="538" w:type="pct"/>
                  <w:vMerge w:val="continue"/>
                  <w:tcBorders>
                    <w:tl2br w:val="nil"/>
                    <w:tr2bl w:val="nil"/>
                  </w:tcBorders>
                  <w:noWrap w:val="0"/>
                  <w:vAlign w:val="center"/>
                </w:tcPr>
                <w:p w14:paraId="1DC44EC9">
                  <w:pPr>
                    <w:pStyle w:val="101"/>
                    <w:adjustRightInd w:val="0"/>
                    <w:snapToGrid w:val="0"/>
                    <w:spacing w:line="240" w:lineRule="auto"/>
                    <w:jc w:val="center"/>
                    <w:rPr>
                      <w:rFonts w:hint="eastAsia" w:ascii="Times New Roman" w:hAnsi="Times New Roman" w:eastAsia="宋体" w:cs="Times New Roman"/>
                      <w:color w:val="auto"/>
                      <w:spacing w:val="0"/>
                      <w:position w:val="0"/>
                      <w:highlight w:val="none"/>
                      <w:lang w:val="en-US" w:eastAsia="zh-CN"/>
                    </w:rPr>
                  </w:pPr>
                </w:p>
              </w:tc>
              <w:tc>
                <w:tcPr>
                  <w:tcW w:w="436" w:type="pct"/>
                  <w:vMerge w:val="continue"/>
                  <w:tcBorders>
                    <w:tl2br w:val="nil"/>
                    <w:tr2bl w:val="nil"/>
                  </w:tcBorders>
                  <w:noWrap w:val="0"/>
                  <w:vAlign w:val="center"/>
                </w:tcPr>
                <w:p w14:paraId="53D99C29">
                  <w:pPr>
                    <w:pStyle w:val="101"/>
                    <w:adjustRightInd w:val="0"/>
                    <w:snapToGrid w:val="0"/>
                    <w:spacing w:line="240" w:lineRule="auto"/>
                    <w:jc w:val="center"/>
                    <w:rPr>
                      <w:rFonts w:hint="eastAsia" w:ascii="Times New Roman" w:hAnsi="Times New Roman" w:eastAsia="宋体" w:cs="Times New Roman"/>
                      <w:b w:val="0"/>
                      <w:bCs w:val="0"/>
                      <w:color w:val="auto"/>
                      <w:spacing w:val="0"/>
                      <w:position w:val="0"/>
                      <w:highlight w:val="none"/>
                    </w:rPr>
                  </w:pPr>
                </w:p>
              </w:tc>
              <w:tc>
                <w:tcPr>
                  <w:tcW w:w="490" w:type="pct"/>
                  <w:vMerge w:val="continue"/>
                  <w:tcBorders>
                    <w:tl2br w:val="nil"/>
                    <w:tr2bl w:val="nil"/>
                  </w:tcBorders>
                  <w:noWrap w:val="0"/>
                  <w:vAlign w:val="center"/>
                </w:tcPr>
                <w:p w14:paraId="4593AB93">
                  <w:pPr>
                    <w:pStyle w:val="101"/>
                    <w:adjustRightInd w:val="0"/>
                    <w:snapToGrid w:val="0"/>
                    <w:spacing w:line="240" w:lineRule="auto"/>
                    <w:jc w:val="center"/>
                    <w:rPr>
                      <w:rFonts w:hint="eastAsia" w:ascii="Times New Roman" w:hAnsi="Times New Roman" w:eastAsia="宋体" w:cs="Times New Roman"/>
                      <w:b w:val="0"/>
                      <w:bCs w:val="0"/>
                      <w:color w:val="auto"/>
                      <w:spacing w:val="0"/>
                      <w:position w:val="0"/>
                      <w:highlight w:val="none"/>
                    </w:rPr>
                  </w:pPr>
                </w:p>
              </w:tc>
            </w:tr>
            <w:tr w14:paraId="18C4F53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871" w:type="pct"/>
                  <w:vMerge w:val="continue"/>
                  <w:tcBorders>
                    <w:tl2br w:val="nil"/>
                    <w:tr2bl w:val="nil"/>
                  </w:tcBorders>
                  <w:noWrap w:val="0"/>
                  <w:vAlign w:val="center"/>
                </w:tcPr>
                <w:p w14:paraId="3486AD70">
                  <w:pPr>
                    <w:pStyle w:val="101"/>
                    <w:adjustRightInd w:val="0"/>
                    <w:snapToGrid w:val="0"/>
                    <w:spacing w:line="240" w:lineRule="auto"/>
                    <w:jc w:val="center"/>
                    <w:rPr>
                      <w:rFonts w:hint="eastAsia" w:ascii="Times New Roman" w:hAnsi="Times New Roman" w:eastAsia="宋体" w:cs="Times New Roman"/>
                      <w:color w:val="auto"/>
                      <w:spacing w:val="0"/>
                      <w:position w:val="0"/>
                      <w:sz w:val="21"/>
                      <w:szCs w:val="21"/>
                      <w:highlight w:val="none"/>
                      <w:lang w:eastAsia="zh-CN"/>
                    </w:rPr>
                  </w:pPr>
                </w:p>
              </w:tc>
              <w:tc>
                <w:tcPr>
                  <w:tcW w:w="520" w:type="pct"/>
                  <w:vMerge w:val="continue"/>
                  <w:tcBorders>
                    <w:tl2br w:val="nil"/>
                    <w:tr2bl w:val="nil"/>
                  </w:tcBorders>
                  <w:noWrap w:val="0"/>
                  <w:vAlign w:val="center"/>
                </w:tcPr>
                <w:p w14:paraId="12D59034">
                  <w:pPr>
                    <w:pStyle w:val="101"/>
                    <w:adjustRightInd w:val="0"/>
                    <w:snapToGrid w:val="0"/>
                    <w:spacing w:line="240" w:lineRule="auto"/>
                    <w:jc w:val="center"/>
                    <w:rPr>
                      <w:rFonts w:hint="eastAsia" w:ascii="Times New Roman" w:hAnsi="Times New Roman" w:eastAsia="宋体" w:cs="Times New Roman"/>
                      <w:b w:val="0"/>
                      <w:bCs w:val="0"/>
                      <w:color w:val="auto"/>
                      <w:spacing w:val="0"/>
                      <w:kern w:val="0"/>
                      <w:position w:val="0"/>
                      <w:szCs w:val="20"/>
                      <w:highlight w:val="none"/>
                      <w:lang w:eastAsia="zh-CN"/>
                    </w:rPr>
                  </w:pPr>
                </w:p>
              </w:tc>
              <w:tc>
                <w:tcPr>
                  <w:tcW w:w="411" w:type="pct"/>
                  <w:tcBorders>
                    <w:tl2br w:val="nil"/>
                    <w:tr2bl w:val="nil"/>
                  </w:tcBorders>
                  <w:noWrap w:val="0"/>
                  <w:vAlign w:val="center"/>
                </w:tcPr>
                <w:p w14:paraId="2D936585">
                  <w:pPr>
                    <w:pStyle w:val="101"/>
                    <w:adjustRightInd w:val="0"/>
                    <w:snapToGrid w:val="0"/>
                    <w:spacing w:line="240" w:lineRule="auto"/>
                    <w:ind w:left="-63" w:leftChars="-30" w:right="-63" w:rightChars="-30"/>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highlight w:val="none"/>
                      <w:lang w:val="en-US" w:eastAsia="zh-CN"/>
                    </w:rPr>
                    <w:t>颗粒物</w:t>
                  </w:r>
                  <w:r>
                    <w:rPr>
                      <w:rFonts w:hint="eastAsia" w:cs="Times New Roman"/>
                      <w:color w:val="auto"/>
                      <w:spacing w:val="0"/>
                      <w:position w:val="0"/>
                      <w:sz w:val="21"/>
                      <w:highlight w:val="none"/>
                      <w:lang w:val="en-US" w:eastAsia="zh-CN"/>
                    </w:rPr>
                    <w:t>（漆雾）</w:t>
                  </w:r>
                </w:p>
              </w:tc>
              <w:tc>
                <w:tcPr>
                  <w:tcW w:w="629" w:type="pct"/>
                  <w:tcBorders>
                    <w:tl2br w:val="nil"/>
                    <w:tr2bl w:val="nil"/>
                  </w:tcBorders>
                  <w:shd w:val="clear" w:color="auto" w:fill="auto"/>
                  <w:noWrap w:val="0"/>
                  <w:vAlign w:val="center"/>
                </w:tcPr>
                <w:p w14:paraId="194BF729">
                  <w:pPr>
                    <w:adjustRightInd w:val="0"/>
                    <w:snapToGrid w:val="0"/>
                    <w:jc w:val="center"/>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0.8899</w:t>
                  </w:r>
                </w:p>
              </w:tc>
              <w:tc>
                <w:tcPr>
                  <w:tcW w:w="589" w:type="pct"/>
                  <w:tcBorders>
                    <w:tl2br w:val="nil"/>
                    <w:tr2bl w:val="nil"/>
                  </w:tcBorders>
                  <w:shd w:val="clear" w:color="auto" w:fill="auto"/>
                  <w:noWrap w:val="0"/>
                  <w:vAlign w:val="center"/>
                </w:tcPr>
                <w:p w14:paraId="0F7015B6">
                  <w:pPr>
                    <w:adjustRightInd w:val="0"/>
                    <w:snapToGrid w:val="0"/>
                    <w:jc w:val="center"/>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cs="Times New Roman"/>
                      <w:b w:val="0"/>
                      <w:bCs w:val="0"/>
                      <w:color w:val="auto"/>
                      <w:spacing w:val="0"/>
                      <w:position w:val="0"/>
                      <w:sz w:val="21"/>
                      <w:szCs w:val="21"/>
                      <w:highlight w:val="none"/>
                      <w:lang w:val="en-US" w:eastAsia="zh-CN"/>
                    </w:rPr>
                    <w:t>29.6633</w:t>
                  </w:r>
                </w:p>
              </w:tc>
              <w:tc>
                <w:tcPr>
                  <w:tcW w:w="512" w:type="pct"/>
                  <w:vMerge w:val="continue"/>
                  <w:tcBorders>
                    <w:tl2br w:val="nil"/>
                    <w:tr2bl w:val="nil"/>
                  </w:tcBorders>
                  <w:noWrap w:val="0"/>
                  <w:vAlign w:val="center"/>
                </w:tcPr>
                <w:p w14:paraId="66A19AAC">
                  <w:pPr>
                    <w:pStyle w:val="101"/>
                    <w:adjustRightInd w:val="0"/>
                    <w:snapToGrid w:val="0"/>
                    <w:spacing w:line="240" w:lineRule="auto"/>
                    <w:jc w:val="center"/>
                    <w:rPr>
                      <w:rFonts w:hint="eastAsia" w:ascii="Times New Roman" w:hAnsi="Times New Roman" w:eastAsia="宋体" w:cs="Times New Roman"/>
                      <w:color w:val="auto"/>
                      <w:spacing w:val="0"/>
                      <w:position w:val="0"/>
                      <w:highlight w:val="none"/>
                      <w:lang w:val="en-US" w:eastAsia="zh-CN"/>
                    </w:rPr>
                  </w:pPr>
                </w:p>
              </w:tc>
              <w:tc>
                <w:tcPr>
                  <w:tcW w:w="538" w:type="pct"/>
                  <w:vMerge w:val="continue"/>
                  <w:tcBorders>
                    <w:tl2br w:val="nil"/>
                    <w:tr2bl w:val="nil"/>
                  </w:tcBorders>
                  <w:noWrap w:val="0"/>
                  <w:vAlign w:val="center"/>
                </w:tcPr>
                <w:p w14:paraId="02B51651">
                  <w:pPr>
                    <w:pStyle w:val="101"/>
                    <w:adjustRightInd w:val="0"/>
                    <w:snapToGrid w:val="0"/>
                    <w:spacing w:line="240" w:lineRule="auto"/>
                    <w:jc w:val="center"/>
                    <w:rPr>
                      <w:rFonts w:hint="eastAsia" w:ascii="Times New Roman" w:hAnsi="Times New Roman" w:eastAsia="宋体" w:cs="Times New Roman"/>
                      <w:color w:val="auto"/>
                      <w:spacing w:val="0"/>
                      <w:position w:val="0"/>
                      <w:highlight w:val="none"/>
                      <w:lang w:val="en-US" w:eastAsia="zh-CN"/>
                    </w:rPr>
                  </w:pPr>
                </w:p>
              </w:tc>
              <w:tc>
                <w:tcPr>
                  <w:tcW w:w="436" w:type="pct"/>
                  <w:vMerge w:val="continue"/>
                  <w:tcBorders>
                    <w:tl2br w:val="nil"/>
                    <w:tr2bl w:val="nil"/>
                  </w:tcBorders>
                  <w:noWrap w:val="0"/>
                  <w:vAlign w:val="center"/>
                </w:tcPr>
                <w:p w14:paraId="24071BA3">
                  <w:pPr>
                    <w:pStyle w:val="101"/>
                    <w:adjustRightInd w:val="0"/>
                    <w:snapToGrid w:val="0"/>
                    <w:spacing w:line="240" w:lineRule="auto"/>
                    <w:jc w:val="center"/>
                    <w:rPr>
                      <w:rFonts w:hint="eastAsia" w:ascii="Times New Roman" w:hAnsi="Times New Roman" w:eastAsia="宋体" w:cs="Times New Roman"/>
                      <w:b w:val="0"/>
                      <w:bCs w:val="0"/>
                      <w:color w:val="auto"/>
                      <w:spacing w:val="0"/>
                      <w:position w:val="0"/>
                      <w:highlight w:val="none"/>
                    </w:rPr>
                  </w:pPr>
                </w:p>
              </w:tc>
              <w:tc>
                <w:tcPr>
                  <w:tcW w:w="490" w:type="pct"/>
                  <w:vMerge w:val="continue"/>
                  <w:tcBorders>
                    <w:tl2br w:val="nil"/>
                    <w:tr2bl w:val="nil"/>
                  </w:tcBorders>
                  <w:noWrap w:val="0"/>
                  <w:vAlign w:val="center"/>
                </w:tcPr>
                <w:p w14:paraId="78F9AC41">
                  <w:pPr>
                    <w:pStyle w:val="101"/>
                    <w:adjustRightInd w:val="0"/>
                    <w:snapToGrid w:val="0"/>
                    <w:spacing w:line="240" w:lineRule="auto"/>
                    <w:jc w:val="center"/>
                    <w:rPr>
                      <w:rFonts w:hint="eastAsia" w:ascii="Times New Roman" w:hAnsi="Times New Roman" w:eastAsia="宋体" w:cs="Times New Roman"/>
                      <w:b w:val="0"/>
                      <w:bCs w:val="0"/>
                      <w:color w:val="auto"/>
                      <w:spacing w:val="0"/>
                      <w:position w:val="0"/>
                      <w:highlight w:val="none"/>
                    </w:rPr>
                  </w:pPr>
                </w:p>
              </w:tc>
            </w:tr>
          </w:tbl>
          <w:p w14:paraId="300DA0E8">
            <w:pPr>
              <w:keepNext w:val="0"/>
              <w:keepLines w:val="0"/>
              <w:pageBreakBefore w:val="0"/>
              <w:widowControl/>
              <w:kinsoku/>
              <w:wordWrap/>
              <w:overflowPunct/>
              <w:topLinePunct w:val="0"/>
              <w:autoSpaceDE/>
              <w:autoSpaceDN/>
              <w:bidi w:val="0"/>
              <w:adjustRightInd/>
              <w:snapToGrid/>
              <w:spacing w:before="157" w:beforeLines="50" w:line="360" w:lineRule="auto"/>
              <w:ind w:firstLine="482" w:firstLineChars="200"/>
              <w:jc w:val="left"/>
              <w:textAlignment w:val="auto"/>
              <w:rPr>
                <w:rFonts w:ascii="Times New Roman" w:hAnsi="Times New Roman" w:eastAsia="宋体" w:cs="Times New Roman"/>
                <w:color w:val="auto"/>
                <w:sz w:val="24"/>
                <w:szCs w:val="24"/>
                <w:highlight w:val="none"/>
                <w:shd w:val="clear" w:color="auto" w:fill="auto"/>
              </w:rPr>
            </w:pPr>
            <w:r>
              <w:rPr>
                <w:rFonts w:ascii="Times New Roman" w:hAnsi="Times New Roman" w:eastAsia="宋体" w:cs="Times New Roman"/>
                <w:b/>
                <w:bCs/>
                <w:color w:val="auto"/>
                <w:kern w:val="0"/>
                <w:sz w:val="24"/>
                <w:szCs w:val="24"/>
                <w:highlight w:val="none"/>
                <w:shd w:val="clear" w:color="auto" w:fill="auto"/>
                <w:lang w:bidi="ar"/>
              </w:rPr>
              <w:t>非正常排放防治措施</w:t>
            </w:r>
          </w:p>
          <w:p w14:paraId="262CA70D">
            <w:pPr>
              <w:pStyle w:val="27"/>
              <w:keepNext w:val="0"/>
              <w:keepLines w:val="0"/>
              <w:pageBreakBefore w:val="0"/>
              <w:kinsoku/>
              <w:wordWrap/>
              <w:overflowPunct w:val="0"/>
              <w:topLinePunct w:val="0"/>
              <w:autoSpaceDE w:val="0"/>
              <w:autoSpaceDN w:val="0"/>
              <w:bidi w:val="0"/>
              <w:adjustRightInd/>
              <w:spacing w:before="0" w:after="0" w:line="360" w:lineRule="auto"/>
              <w:ind w:right="0" w:firstLine="480" w:firstLineChars="200"/>
              <w:textAlignment w:val="baseline"/>
              <w:rPr>
                <w:rFonts w:ascii="Times New Roman" w:hAnsi="Times New Roman" w:eastAsia="宋体" w:cs="Times New Roman"/>
                <w:color w:val="auto"/>
                <w:sz w:val="24"/>
                <w:szCs w:val="24"/>
                <w:highlight w:val="none"/>
                <w:u w:val="none"/>
                <w:shd w:val="clear" w:color="auto" w:fill="auto"/>
              </w:rPr>
            </w:pPr>
            <w:r>
              <w:rPr>
                <w:rFonts w:hint="eastAsia" w:ascii="Times New Roman" w:hAnsi="Times New Roman" w:eastAsia="宋体" w:cs="Times New Roman"/>
                <w:color w:val="auto"/>
                <w:sz w:val="24"/>
                <w:szCs w:val="24"/>
                <w:highlight w:val="none"/>
                <w:u w:val="none"/>
                <w:shd w:val="clear" w:color="auto" w:fill="auto"/>
              </w:rPr>
              <w:t>针对以上非正常排放情形，本评价建议</w:t>
            </w:r>
            <w:r>
              <w:rPr>
                <w:rFonts w:ascii="Times New Roman" w:hAnsi="Times New Roman" w:eastAsia="宋体" w:cs="Times New Roman"/>
                <w:color w:val="auto"/>
                <w:sz w:val="24"/>
                <w:szCs w:val="24"/>
                <w:highlight w:val="none"/>
                <w:u w:val="none"/>
                <w:shd w:val="clear" w:color="auto" w:fill="auto"/>
                <w:lang w:bidi="ar"/>
              </w:rPr>
              <w:t>建设单位</w:t>
            </w:r>
            <w:r>
              <w:rPr>
                <w:rFonts w:ascii="Times New Roman" w:hAnsi="Times New Roman" w:eastAsia="宋体" w:cs="Times New Roman"/>
                <w:color w:val="auto"/>
                <w:sz w:val="24"/>
                <w:szCs w:val="24"/>
                <w:highlight w:val="none"/>
                <w:u w:val="none"/>
                <w:shd w:val="clear" w:color="auto" w:fill="auto"/>
              </w:rPr>
              <w:t>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180AFB24">
            <w:pPr>
              <w:keepNext w:val="0"/>
              <w:keepLines w:val="0"/>
              <w:pageBreakBefore w:val="0"/>
              <w:kinsoku/>
              <w:wordWrap/>
              <w:topLinePunct w:val="0"/>
              <w:bidi w:val="0"/>
              <w:adjustRightInd/>
              <w:spacing w:line="360" w:lineRule="auto"/>
              <w:ind w:firstLine="480" w:firstLineChars="200"/>
              <w:rPr>
                <w:rFonts w:ascii="Times New Roman" w:hAnsi="Times New Roman" w:eastAsia="宋体" w:cs="Times New Roman"/>
                <w:color w:val="auto"/>
                <w:sz w:val="24"/>
                <w:szCs w:val="24"/>
                <w:highlight w:val="none"/>
                <w:shd w:val="clear" w:color="auto" w:fill="auto"/>
              </w:rPr>
            </w:pPr>
            <w:r>
              <w:rPr>
                <w:rFonts w:ascii="Times New Roman" w:hAnsi="Times New Roman" w:eastAsia="宋体" w:cs="Times New Roman"/>
                <w:color w:val="auto"/>
                <w:sz w:val="24"/>
                <w:szCs w:val="24"/>
                <w:highlight w:val="none"/>
                <w:shd w:val="clear" w:color="auto" w:fill="auto"/>
              </w:rPr>
              <w:t>①安排专人负责环保设备的日常维护和管理，</w:t>
            </w:r>
            <w:r>
              <w:rPr>
                <w:rFonts w:hint="eastAsia" w:ascii="Times New Roman" w:hAnsi="Times New Roman" w:eastAsia="宋体" w:cs="Times New Roman"/>
                <w:color w:val="auto"/>
                <w:sz w:val="24"/>
                <w:szCs w:val="24"/>
                <w:highlight w:val="none"/>
                <w:shd w:val="clear" w:color="auto" w:fill="auto"/>
                <w:lang w:eastAsia="zh-CN"/>
              </w:rPr>
              <w:t>每隔</w:t>
            </w:r>
            <w:r>
              <w:rPr>
                <w:rFonts w:ascii="Times New Roman" w:hAnsi="Times New Roman" w:eastAsia="宋体" w:cs="Times New Roman"/>
                <w:color w:val="auto"/>
                <w:sz w:val="24"/>
                <w:szCs w:val="24"/>
                <w:highlight w:val="none"/>
                <w:shd w:val="clear" w:color="auto" w:fill="auto"/>
              </w:rPr>
              <w:t>固定时间检查、汇报情况，及时发现废气处理设备的隐患，确保废气处理系统正常运行；</w:t>
            </w:r>
          </w:p>
          <w:p w14:paraId="25B8CB70">
            <w:pPr>
              <w:keepNext w:val="0"/>
              <w:keepLines w:val="0"/>
              <w:pageBreakBefore w:val="0"/>
              <w:kinsoku/>
              <w:wordWrap/>
              <w:topLinePunct w:val="0"/>
              <w:bidi w:val="0"/>
              <w:adjustRightInd/>
              <w:spacing w:line="360" w:lineRule="auto"/>
              <w:ind w:firstLine="480" w:firstLineChars="200"/>
              <w:rPr>
                <w:rFonts w:hint="eastAsia" w:ascii="Times New Roman" w:hAnsi="Times New Roman" w:eastAsia="宋体" w:cs="Times New Roman"/>
                <w:color w:val="auto"/>
                <w:sz w:val="24"/>
                <w:szCs w:val="24"/>
                <w:highlight w:val="none"/>
                <w:shd w:val="clear" w:color="auto" w:fill="auto"/>
                <w:lang w:eastAsia="zh-CN"/>
              </w:rPr>
            </w:pPr>
            <w:r>
              <w:rPr>
                <w:rFonts w:ascii="Times New Roman" w:hAnsi="Times New Roman" w:eastAsia="宋体" w:cs="Times New Roman"/>
                <w:color w:val="auto"/>
                <w:sz w:val="24"/>
                <w:szCs w:val="24"/>
                <w:highlight w:val="none"/>
                <w:shd w:val="clear" w:color="auto" w:fill="auto"/>
              </w:rPr>
              <w:t>②定期更换活性炭</w:t>
            </w:r>
            <w:r>
              <w:rPr>
                <w:rFonts w:hint="eastAsia" w:cs="Times New Roman"/>
                <w:color w:val="auto"/>
                <w:sz w:val="24"/>
                <w:szCs w:val="24"/>
                <w:highlight w:val="none"/>
                <w:shd w:val="clear" w:color="auto" w:fill="auto"/>
                <w:lang w:eastAsia="zh-CN"/>
              </w:rPr>
              <w:t>、</w:t>
            </w:r>
            <w:r>
              <w:rPr>
                <w:rFonts w:hint="eastAsia" w:cs="Times New Roman"/>
                <w:color w:val="auto"/>
                <w:sz w:val="24"/>
                <w:szCs w:val="24"/>
                <w:highlight w:val="none"/>
                <w:shd w:val="clear" w:color="auto" w:fill="auto"/>
                <w:lang w:val="en-US" w:eastAsia="zh-CN"/>
              </w:rPr>
              <w:t>过滤棉、打捞漆渣</w:t>
            </w:r>
            <w:r>
              <w:rPr>
                <w:rFonts w:hint="eastAsia" w:cs="Times New Roman"/>
                <w:color w:val="auto"/>
                <w:sz w:val="24"/>
                <w:szCs w:val="24"/>
                <w:highlight w:val="none"/>
                <w:shd w:val="clear" w:color="auto" w:fill="auto"/>
                <w:lang w:eastAsia="zh-CN"/>
              </w:rPr>
              <w:t>；</w:t>
            </w:r>
          </w:p>
          <w:p w14:paraId="12C53F05">
            <w:pPr>
              <w:keepNext w:val="0"/>
              <w:keepLines w:val="0"/>
              <w:pageBreakBefore w:val="0"/>
              <w:kinsoku/>
              <w:wordWrap/>
              <w:topLinePunct w:val="0"/>
              <w:bidi w:val="0"/>
              <w:adjustRightInd/>
              <w:spacing w:line="360" w:lineRule="auto"/>
              <w:ind w:firstLine="480" w:firstLineChars="200"/>
              <w:rPr>
                <w:rFonts w:ascii="Times New Roman" w:hAnsi="Times New Roman" w:eastAsia="宋体" w:cs="Times New Roman"/>
                <w:color w:val="auto"/>
                <w:sz w:val="24"/>
                <w:szCs w:val="24"/>
                <w:highlight w:val="none"/>
                <w:shd w:val="clear" w:color="auto" w:fill="auto"/>
              </w:rPr>
            </w:pPr>
            <w:r>
              <w:rPr>
                <w:rFonts w:ascii="Times New Roman" w:hAnsi="Times New Roman" w:eastAsia="宋体" w:cs="Times New Roman"/>
                <w:color w:val="auto"/>
                <w:sz w:val="24"/>
                <w:szCs w:val="24"/>
                <w:highlight w:val="none"/>
                <w:shd w:val="clear" w:color="auto" w:fill="auto"/>
              </w:rPr>
              <w:t>③建立健全的环保管理机构，对环保管理人员和技术人员进行岗位培训，委托具有专业资质的环境检测单位对项目排放的各类污染物进行定期检测；</w:t>
            </w:r>
          </w:p>
          <w:p w14:paraId="53E32FA2">
            <w:pPr>
              <w:pStyle w:val="63"/>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b/>
                <w:bCs/>
                <w:color w:val="auto"/>
                <w:spacing w:val="0"/>
                <w:position w:val="0"/>
                <w:sz w:val="24"/>
                <w:szCs w:val="24"/>
                <w:highlight w:val="none"/>
                <w:lang w:val="en-US" w:eastAsia="zh-CN"/>
              </w:rPr>
            </w:pPr>
            <w:r>
              <w:rPr>
                <w:rFonts w:ascii="Times New Roman" w:hAnsi="Times New Roman" w:eastAsia="宋体" w:cs="Times New Roman"/>
                <w:color w:val="auto"/>
                <w:sz w:val="24"/>
                <w:szCs w:val="24"/>
                <w:highlight w:val="none"/>
                <w:shd w:val="clear" w:color="auto" w:fill="auto"/>
              </w:rPr>
              <w:t>④定期维护、检修废气净化装置，以保持废气处理装置的净化能力和净化容量。</w:t>
            </w:r>
          </w:p>
          <w:p w14:paraId="31D7B0B7">
            <w:pPr>
              <w:pStyle w:val="63"/>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textAlignment w:val="auto"/>
              <w:rPr>
                <w:rFonts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b/>
                <w:bCs/>
                <w:color w:val="auto"/>
                <w:spacing w:val="0"/>
                <w:position w:val="0"/>
                <w:sz w:val="24"/>
                <w:szCs w:val="24"/>
                <w:highlight w:val="none"/>
                <w:lang w:val="en-US" w:eastAsia="zh-CN"/>
              </w:rPr>
              <w:t>4.1.6</w:t>
            </w:r>
            <w:r>
              <w:rPr>
                <w:rFonts w:hint="eastAsia" w:ascii="Times New Roman" w:hAnsi="Times New Roman" w:eastAsia="宋体" w:cs="Times New Roman"/>
                <w:b/>
                <w:bCs/>
                <w:color w:val="auto"/>
                <w:spacing w:val="0"/>
                <w:position w:val="0"/>
                <w:sz w:val="24"/>
                <w:szCs w:val="24"/>
                <w:highlight w:val="none"/>
              </w:rPr>
              <w:t>废气治理措施可行性分析</w:t>
            </w:r>
          </w:p>
          <w:p w14:paraId="04D385FF">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eastAsia" w:ascii="Times New Roman" w:hAnsi="Times New Roman" w:eastAsia="宋体" w:cs="Times New Roman"/>
                <w:i w:val="0"/>
                <w:iCs w:val="0"/>
                <w:color w:val="auto"/>
                <w:spacing w:val="0"/>
                <w:kern w:val="0"/>
                <w:sz w:val="24"/>
                <w:szCs w:val="24"/>
                <w:highlight w:val="none"/>
                <w:u w:val="none"/>
                <w:lang w:val="en-US" w:eastAsia="zh-CN" w:bidi="ar"/>
              </w:rPr>
            </w:pPr>
            <w:r>
              <w:rPr>
                <w:rFonts w:hint="eastAsia"/>
                <w:color w:val="auto"/>
                <w:sz w:val="24"/>
                <w:szCs w:val="24"/>
                <w:highlight w:val="none"/>
              </w:rPr>
              <w:t>项目污染治理设施可行技术参照</w:t>
            </w:r>
            <w:r>
              <w:rPr>
                <w:rFonts w:hint="eastAsia"/>
                <w:color w:val="auto"/>
                <w:sz w:val="24"/>
                <w:szCs w:val="24"/>
                <w:highlight w:val="none"/>
                <w:lang w:eastAsia="zh-CN"/>
              </w:rPr>
              <w:t>《</w:t>
            </w:r>
            <w:r>
              <w:rPr>
                <w:rFonts w:hint="eastAsia"/>
                <w:color w:val="auto"/>
                <w:sz w:val="24"/>
                <w:szCs w:val="24"/>
                <w:highlight w:val="none"/>
              </w:rPr>
              <w:t>排污许可证申请与核发技术规范</w:t>
            </w:r>
            <w:r>
              <w:rPr>
                <w:rFonts w:hint="eastAsia"/>
                <w:color w:val="auto"/>
                <w:sz w:val="24"/>
                <w:szCs w:val="24"/>
                <w:highlight w:val="none"/>
                <w:lang w:val="en-US" w:eastAsia="zh-CN"/>
              </w:rPr>
              <w:t xml:space="preserve"> </w:t>
            </w:r>
            <w:r>
              <w:rPr>
                <w:rFonts w:hint="eastAsia"/>
                <w:color w:val="auto"/>
                <w:sz w:val="24"/>
                <w:szCs w:val="24"/>
                <w:highlight w:val="none"/>
              </w:rPr>
              <w:t>家具制造工业</w:t>
            </w:r>
            <w:r>
              <w:rPr>
                <w:rFonts w:hint="eastAsia"/>
                <w:color w:val="auto"/>
                <w:sz w:val="24"/>
                <w:szCs w:val="24"/>
                <w:highlight w:val="none"/>
                <w:lang w:eastAsia="zh-CN"/>
              </w:rPr>
              <w:t>》（</w:t>
            </w:r>
            <w:r>
              <w:rPr>
                <w:rFonts w:hint="eastAsia"/>
                <w:color w:val="auto"/>
                <w:sz w:val="24"/>
                <w:szCs w:val="24"/>
                <w:highlight w:val="none"/>
              </w:rPr>
              <w:t>HJ1027-2019</w:t>
            </w:r>
            <w:r>
              <w:rPr>
                <w:rFonts w:hint="eastAsia"/>
                <w:color w:val="auto"/>
                <w:sz w:val="24"/>
                <w:szCs w:val="24"/>
                <w:highlight w:val="none"/>
                <w:lang w:eastAsia="zh-CN"/>
              </w:rPr>
              <w:t>）</w:t>
            </w:r>
            <w:r>
              <w:rPr>
                <w:rFonts w:hint="eastAsia"/>
                <w:color w:val="auto"/>
                <w:sz w:val="24"/>
                <w:szCs w:val="24"/>
                <w:highlight w:val="none"/>
                <w:lang w:val="en-US" w:eastAsia="zh-CN"/>
              </w:rPr>
              <w:t>中</w:t>
            </w:r>
            <w:r>
              <w:rPr>
                <w:rFonts w:hint="eastAsia"/>
                <w:color w:val="auto"/>
                <w:sz w:val="24"/>
                <w:szCs w:val="24"/>
                <w:highlight w:val="none"/>
              </w:rPr>
              <w:t>“表</w:t>
            </w:r>
            <w:r>
              <w:rPr>
                <w:rFonts w:hint="eastAsia"/>
                <w:color w:val="auto"/>
                <w:sz w:val="24"/>
                <w:szCs w:val="24"/>
                <w:highlight w:val="none"/>
                <w:lang w:val="en-US" w:eastAsia="zh-CN"/>
              </w:rPr>
              <w:t>6</w:t>
            </w:r>
            <w:r>
              <w:rPr>
                <w:rFonts w:hint="eastAsia"/>
                <w:color w:val="auto"/>
                <w:sz w:val="24"/>
                <w:szCs w:val="24"/>
                <w:highlight w:val="none"/>
              </w:rPr>
              <w:t xml:space="preserve"> 废气治理可行技术参照表”</w:t>
            </w:r>
            <w:r>
              <w:rPr>
                <w:rFonts w:hint="eastAsia"/>
                <w:color w:val="auto"/>
                <w:sz w:val="24"/>
                <w:szCs w:val="24"/>
                <w:highlight w:val="none"/>
                <w:lang w:val="en-US" w:eastAsia="zh-CN"/>
              </w:rPr>
              <w:t>及</w:t>
            </w:r>
            <w:r>
              <w:rPr>
                <w:rFonts w:hint="eastAsia"/>
                <w:color w:val="auto"/>
                <w:sz w:val="24"/>
                <w:szCs w:val="24"/>
                <w:highlight w:val="none"/>
                <w:lang w:eastAsia="zh-CN"/>
              </w:rPr>
              <w:t>《</w:t>
            </w:r>
            <w:r>
              <w:rPr>
                <w:rFonts w:hint="eastAsia"/>
                <w:color w:val="auto"/>
                <w:sz w:val="24"/>
                <w:szCs w:val="24"/>
                <w:highlight w:val="none"/>
              </w:rPr>
              <w:t>排污许可证申请与核发技术规范</w:t>
            </w:r>
            <w:r>
              <w:rPr>
                <w:rFonts w:hint="eastAsia"/>
                <w:color w:val="auto"/>
                <w:sz w:val="24"/>
                <w:szCs w:val="24"/>
                <w:highlight w:val="none"/>
                <w:lang w:val="en-US" w:eastAsia="zh-CN"/>
              </w:rPr>
              <w:t xml:space="preserve"> 铁路、船舶、航空航天和其他运输设备制造业》（HJ1124-2020）附录A“表A.4 表面处理（涂装）排污单位废气污染防治推荐可行技术”分析</w:t>
            </w:r>
            <w:r>
              <w:rPr>
                <w:rFonts w:hint="eastAsia"/>
                <w:color w:val="auto"/>
                <w:sz w:val="24"/>
                <w:szCs w:val="24"/>
                <w:highlight w:val="none"/>
                <w:lang w:eastAsia="zh-CN"/>
              </w:rPr>
              <w:t>，</w:t>
            </w:r>
            <w:r>
              <w:rPr>
                <w:rFonts w:hint="eastAsia" w:ascii="宋体" w:hAnsi="宋体" w:cs="宋体"/>
                <w:color w:val="auto"/>
                <w:kern w:val="0"/>
                <w:sz w:val="24"/>
                <w:szCs w:val="24"/>
                <w:highlight w:val="none"/>
                <w:lang w:eastAsia="zh-CN" w:bidi="ar"/>
              </w:rPr>
              <w:t>调漆、喷漆废气经水帘柜处理后，与晾干废气一同经集气装置负压收集后再引入“气旋塔+过滤棉+二级活性炭吸附装置”</w:t>
            </w:r>
            <w:r>
              <w:rPr>
                <w:rFonts w:hint="eastAsia"/>
                <w:color w:val="auto"/>
                <w:sz w:val="24"/>
                <w:szCs w:val="24"/>
                <w:highlight w:val="none"/>
              </w:rPr>
              <w:t>处理后排放，水帘柜、气旋</w:t>
            </w:r>
            <w:r>
              <w:rPr>
                <w:color w:val="auto"/>
                <w:sz w:val="24"/>
                <w:szCs w:val="24"/>
                <w:highlight w:val="none"/>
              </w:rPr>
              <w:t>塔</w:t>
            </w:r>
            <w:r>
              <w:rPr>
                <w:rFonts w:hint="eastAsia"/>
                <w:color w:val="auto"/>
                <w:sz w:val="24"/>
                <w:szCs w:val="24"/>
                <w:highlight w:val="none"/>
              </w:rPr>
              <w:t>处理漆雾，属于可行技术，活性炭吸附装置处理有机废气，属于可行技术</w:t>
            </w:r>
            <w:r>
              <w:rPr>
                <w:rFonts w:hint="eastAsia"/>
                <w:color w:val="auto"/>
                <w:sz w:val="24"/>
                <w:szCs w:val="24"/>
                <w:highlight w:val="none"/>
                <w:lang w:eastAsia="zh-CN"/>
              </w:rPr>
              <w:t>，</w:t>
            </w:r>
            <w:r>
              <w:rPr>
                <w:rFonts w:hint="eastAsia" w:ascii="Times New Roman" w:hAnsi="Times New Roman" w:eastAsia="宋体" w:cs="Times New Roman"/>
                <w:i w:val="0"/>
                <w:iCs w:val="0"/>
                <w:color w:val="auto"/>
                <w:spacing w:val="0"/>
                <w:kern w:val="0"/>
                <w:sz w:val="24"/>
                <w:szCs w:val="24"/>
                <w:highlight w:val="none"/>
                <w:u w:val="none"/>
                <w:lang w:val="en-US" w:eastAsia="zh-CN" w:bidi="ar"/>
              </w:rPr>
              <w:t>详见下表4.1.1-</w:t>
            </w:r>
            <w:r>
              <w:rPr>
                <w:rFonts w:hint="eastAsia" w:cs="Times New Roman"/>
                <w:i w:val="0"/>
                <w:iCs w:val="0"/>
                <w:color w:val="auto"/>
                <w:spacing w:val="0"/>
                <w:kern w:val="0"/>
                <w:sz w:val="24"/>
                <w:szCs w:val="24"/>
                <w:highlight w:val="none"/>
                <w:u w:val="none"/>
                <w:lang w:val="en-US" w:eastAsia="zh-CN" w:bidi="ar"/>
              </w:rPr>
              <w:t>7</w:t>
            </w:r>
            <w:r>
              <w:rPr>
                <w:rFonts w:hint="eastAsia" w:ascii="Times New Roman" w:hAnsi="Times New Roman" w:eastAsia="宋体" w:cs="Times New Roman"/>
                <w:i w:val="0"/>
                <w:iCs w:val="0"/>
                <w:color w:val="auto"/>
                <w:spacing w:val="0"/>
                <w:kern w:val="0"/>
                <w:sz w:val="24"/>
                <w:szCs w:val="24"/>
                <w:highlight w:val="none"/>
                <w:u w:val="none"/>
                <w:lang w:val="en-US" w:eastAsia="zh-CN" w:bidi="ar"/>
              </w:rPr>
              <w:t>。</w:t>
            </w:r>
          </w:p>
          <w:p w14:paraId="222CFC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color w:val="auto"/>
                <w:spacing w:val="0"/>
                <w:kern w:val="0"/>
                <w:sz w:val="24"/>
                <w:szCs w:val="24"/>
                <w:highlight w:val="none"/>
                <w:u w:val="none"/>
                <w:lang w:val="en-US" w:eastAsia="zh-CN" w:bidi="ar"/>
              </w:rPr>
            </w:pPr>
            <w:r>
              <w:rPr>
                <w:rFonts w:hint="eastAsia" w:ascii="Times New Roman" w:hAnsi="Times New Roman" w:eastAsia="宋体" w:cs="Times New Roman"/>
                <w:b/>
                <w:bCs/>
                <w:i w:val="0"/>
                <w:iCs w:val="0"/>
                <w:color w:val="auto"/>
                <w:spacing w:val="0"/>
                <w:kern w:val="0"/>
                <w:sz w:val="24"/>
                <w:szCs w:val="24"/>
                <w:highlight w:val="none"/>
                <w:u w:val="none"/>
                <w:lang w:val="en-US" w:eastAsia="zh-CN" w:bidi="ar"/>
              </w:rPr>
              <w:t>表4.1.1-</w:t>
            </w:r>
            <w:r>
              <w:rPr>
                <w:rFonts w:hint="eastAsia" w:cs="Times New Roman"/>
                <w:b/>
                <w:bCs/>
                <w:i w:val="0"/>
                <w:iCs w:val="0"/>
                <w:color w:val="auto"/>
                <w:spacing w:val="0"/>
                <w:kern w:val="0"/>
                <w:sz w:val="24"/>
                <w:szCs w:val="24"/>
                <w:highlight w:val="none"/>
                <w:u w:val="none"/>
                <w:lang w:val="en-US" w:eastAsia="zh-CN" w:bidi="ar"/>
              </w:rPr>
              <w:t>7</w:t>
            </w:r>
            <w:r>
              <w:rPr>
                <w:rFonts w:hint="eastAsia" w:ascii="Times New Roman" w:hAnsi="Times New Roman" w:eastAsia="宋体" w:cs="Times New Roman"/>
                <w:b/>
                <w:bCs/>
                <w:i w:val="0"/>
                <w:iCs w:val="0"/>
                <w:color w:val="auto"/>
                <w:spacing w:val="0"/>
                <w:kern w:val="0"/>
                <w:sz w:val="24"/>
                <w:szCs w:val="24"/>
                <w:highlight w:val="none"/>
                <w:u w:val="none"/>
                <w:lang w:val="en-US" w:eastAsia="zh-CN" w:bidi="ar"/>
              </w:rPr>
              <w:t xml:space="preserve">  废气防治措施可行性分析一览表</w:t>
            </w:r>
          </w:p>
          <w:tbl>
            <w:tblPr>
              <w:tblStyle w:val="30"/>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931"/>
              <w:gridCol w:w="1020"/>
              <w:gridCol w:w="1176"/>
              <w:gridCol w:w="759"/>
              <w:gridCol w:w="1667"/>
              <w:gridCol w:w="1908"/>
              <w:gridCol w:w="670"/>
            </w:tblGrid>
            <w:tr w14:paraId="5691FD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tcBorders>
                    <w:tl2br w:val="nil"/>
                    <w:tr2bl w:val="nil"/>
                  </w:tcBorders>
                  <w:noWrap w:val="0"/>
                  <w:vAlign w:val="center"/>
                </w:tcPr>
                <w:p w14:paraId="32ADA9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生产单元</w:t>
                  </w:r>
                </w:p>
              </w:tc>
              <w:tc>
                <w:tcPr>
                  <w:tcW w:w="931" w:type="dxa"/>
                  <w:tcBorders>
                    <w:tl2br w:val="nil"/>
                    <w:tr2bl w:val="nil"/>
                  </w:tcBorders>
                  <w:noWrap w:val="0"/>
                  <w:vAlign w:val="center"/>
                </w:tcPr>
                <w:p w14:paraId="4433B4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生产</w:t>
                  </w:r>
                </w:p>
                <w:p w14:paraId="7D8A89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设施</w:t>
                  </w:r>
                </w:p>
              </w:tc>
              <w:tc>
                <w:tcPr>
                  <w:tcW w:w="1020" w:type="dxa"/>
                  <w:tcBorders>
                    <w:tl2br w:val="nil"/>
                    <w:tr2bl w:val="nil"/>
                  </w:tcBorders>
                  <w:noWrap w:val="0"/>
                  <w:vAlign w:val="center"/>
                </w:tcPr>
                <w:p w14:paraId="50A1C2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产污</w:t>
                  </w:r>
                </w:p>
                <w:p w14:paraId="6562E6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环节</w:t>
                  </w:r>
                </w:p>
              </w:tc>
              <w:tc>
                <w:tcPr>
                  <w:tcW w:w="1176" w:type="dxa"/>
                  <w:tcBorders>
                    <w:tl2br w:val="nil"/>
                    <w:tr2bl w:val="nil"/>
                  </w:tcBorders>
                  <w:noWrap w:val="0"/>
                  <w:vAlign w:val="center"/>
                </w:tcPr>
                <w:p w14:paraId="74F0F4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主要</w:t>
                  </w:r>
                </w:p>
                <w:p w14:paraId="728A23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污染物</w:t>
                  </w:r>
                </w:p>
              </w:tc>
              <w:tc>
                <w:tcPr>
                  <w:tcW w:w="759" w:type="dxa"/>
                  <w:tcBorders>
                    <w:tl2br w:val="nil"/>
                    <w:tr2bl w:val="nil"/>
                  </w:tcBorders>
                  <w:noWrap w:val="0"/>
                  <w:vAlign w:val="center"/>
                </w:tcPr>
                <w:p w14:paraId="12961F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排放形式</w:t>
                  </w:r>
                </w:p>
              </w:tc>
              <w:tc>
                <w:tcPr>
                  <w:tcW w:w="1667" w:type="dxa"/>
                  <w:tcBorders>
                    <w:tl2br w:val="nil"/>
                    <w:tr2bl w:val="nil"/>
                  </w:tcBorders>
                  <w:noWrap w:val="0"/>
                  <w:vAlign w:val="center"/>
                </w:tcPr>
                <w:p w14:paraId="6F0799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可行技术</w:t>
                  </w:r>
                </w:p>
              </w:tc>
              <w:tc>
                <w:tcPr>
                  <w:tcW w:w="1908" w:type="dxa"/>
                  <w:tcBorders>
                    <w:tl2br w:val="nil"/>
                    <w:tr2bl w:val="nil"/>
                  </w:tcBorders>
                  <w:noWrap w:val="0"/>
                  <w:vAlign w:val="center"/>
                </w:tcPr>
                <w:p w14:paraId="5B53E4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本项目情况</w:t>
                  </w:r>
                </w:p>
              </w:tc>
              <w:tc>
                <w:tcPr>
                  <w:tcW w:w="670" w:type="dxa"/>
                  <w:tcBorders>
                    <w:tl2br w:val="nil"/>
                    <w:tr2bl w:val="nil"/>
                  </w:tcBorders>
                  <w:noWrap w:val="0"/>
                  <w:vAlign w:val="center"/>
                </w:tcPr>
                <w:p w14:paraId="22CC56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是否可行</w:t>
                  </w:r>
                </w:p>
              </w:tc>
            </w:tr>
            <w:tr w14:paraId="5C624D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restart"/>
                  <w:tcBorders>
                    <w:tl2br w:val="nil"/>
                    <w:tr2bl w:val="nil"/>
                  </w:tcBorders>
                  <w:noWrap w:val="0"/>
                  <w:vAlign w:val="center"/>
                </w:tcPr>
                <w:p w14:paraId="5869B2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涂装</w:t>
                  </w:r>
                </w:p>
              </w:tc>
              <w:tc>
                <w:tcPr>
                  <w:tcW w:w="931" w:type="dxa"/>
                  <w:tcBorders>
                    <w:tl2br w:val="nil"/>
                    <w:tr2bl w:val="nil"/>
                  </w:tcBorders>
                  <w:noWrap w:val="0"/>
                  <w:vAlign w:val="center"/>
                </w:tcPr>
                <w:p w14:paraId="4A59F6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喷漆室（作业区）</w:t>
                  </w:r>
                </w:p>
              </w:tc>
              <w:tc>
                <w:tcPr>
                  <w:tcW w:w="1020" w:type="dxa"/>
                  <w:vMerge w:val="restart"/>
                  <w:tcBorders>
                    <w:tl2br w:val="nil"/>
                    <w:tr2bl w:val="nil"/>
                  </w:tcBorders>
                  <w:noWrap w:val="0"/>
                  <w:vAlign w:val="center"/>
                </w:tcPr>
                <w:p w14:paraId="59CFA1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调漆、喷漆及晾干</w:t>
                  </w:r>
                </w:p>
              </w:tc>
              <w:tc>
                <w:tcPr>
                  <w:tcW w:w="1176" w:type="dxa"/>
                  <w:tcBorders>
                    <w:tl2br w:val="nil"/>
                    <w:tr2bl w:val="nil"/>
                  </w:tcBorders>
                  <w:noWrap w:val="0"/>
                  <w:vAlign w:val="center"/>
                </w:tcPr>
                <w:p w14:paraId="23CB10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颗粒物</w:t>
                  </w:r>
                </w:p>
              </w:tc>
              <w:tc>
                <w:tcPr>
                  <w:tcW w:w="759" w:type="dxa"/>
                  <w:tcBorders>
                    <w:tl2br w:val="nil"/>
                    <w:tr2bl w:val="nil"/>
                  </w:tcBorders>
                  <w:noWrap w:val="0"/>
                  <w:vAlign w:val="center"/>
                </w:tcPr>
                <w:p w14:paraId="4F48E6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有组织</w:t>
                  </w:r>
                </w:p>
              </w:tc>
              <w:tc>
                <w:tcPr>
                  <w:tcW w:w="1667" w:type="dxa"/>
                  <w:tcBorders>
                    <w:tl2br w:val="nil"/>
                    <w:tr2bl w:val="nil"/>
                  </w:tcBorders>
                  <w:noWrap w:val="0"/>
                  <w:vAlign w:val="center"/>
                </w:tcPr>
                <w:p w14:paraId="0CE626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文丘里/水旋/水帘、石灰粉吸附、纸盒过滤、化学纤维过滤</w:t>
                  </w:r>
                </w:p>
              </w:tc>
              <w:tc>
                <w:tcPr>
                  <w:tcW w:w="1908" w:type="dxa"/>
                  <w:tcBorders>
                    <w:tl2br w:val="nil"/>
                    <w:tr2bl w:val="nil"/>
                  </w:tcBorders>
                  <w:noWrap w:val="0"/>
                  <w:vAlign w:val="center"/>
                </w:tcPr>
                <w:p w14:paraId="248206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vertAlign w:val="baseline"/>
                      <w:lang w:val="en-US" w:eastAsia="zh-CN"/>
                    </w:rPr>
                    <w:t>本项目</w:t>
                  </w:r>
                  <w:r>
                    <w:rPr>
                      <w:rFonts w:hint="eastAsia"/>
                      <w:color w:val="auto"/>
                      <w:sz w:val="21"/>
                      <w:szCs w:val="21"/>
                      <w:highlight w:val="none"/>
                      <w:vertAlign w:val="baseline"/>
                      <w:lang w:val="en-US" w:eastAsia="zh-CN"/>
                    </w:rPr>
                    <w:t>喷漆产生的漆雾</w:t>
                  </w:r>
                  <w:r>
                    <w:rPr>
                      <w:color w:val="auto"/>
                      <w:sz w:val="21"/>
                      <w:szCs w:val="21"/>
                      <w:highlight w:val="none"/>
                    </w:rPr>
                    <w:t>经</w:t>
                  </w:r>
                  <w:r>
                    <w:rPr>
                      <w:rFonts w:hint="eastAsia"/>
                      <w:color w:val="auto"/>
                      <w:sz w:val="21"/>
                      <w:szCs w:val="21"/>
                      <w:highlight w:val="none"/>
                    </w:rPr>
                    <w:t>“</w:t>
                  </w:r>
                  <w:r>
                    <w:rPr>
                      <w:rFonts w:hint="eastAsia"/>
                      <w:color w:val="auto"/>
                      <w:sz w:val="21"/>
                      <w:szCs w:val="21"/>
                      <w:highlight w:val="none"/>
                      <w:lang w:val="en-US" w:eastAsia="zh-CN"/>
                    </w:rPr>
                    <w:t>水帘柜</w:t>
                  </w:r>
                </w:p>
                <w:p w14:paraId="71DDC4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lang w:val="en-US" w:eastAsia="zh-CN"/>
                    </w:rPr>
                    <w:t>+</w:t>
                  </w:r>
                  <w:r>
                    <w:rPr>
                      <w:rFonts w:hint="eastAsia"/>
                      <w:color w:val="auto"/>
                      <w:sz w:val="21"/>
                      <w:szCs w:val="21"/>
                      <w:highlight w:val="none"/>
                    </w:rPr>
                    <w:t>气旋</w:t>
                  </w:r>
                  <w:r>
                    <w:rPr>
                      <w:color w:val="auto"/>
                      <w:sz w:val="21"/>
                      <w:szCs w:val="21"/>
                      <w:highlight w:val="none"/>
                    </w:rPr>
                    <w:t>塔</w:t>
                  </w:r>
                  <w:r>
                    <w:rPr>
                      <w:rFonts w:hint="eastAsia"/>
                      <w:color w:val="auto"/>
                      <w:sz w:val="21"/>
                      <w:szCs w:val="21"/>
                      <w:highlight w:val="none"/>
                      <w:lang w:val="en-US" w:eastAsia="zh-CN"/>
                    </w:rPr>
                    <w:t>+过滤棉</w:t>
                  </w:r>
                  <w:r>
                    <w:rPr>
                      <w:rFonts w:hint="eastAsia"/>
                      <w:color w:val="auto"/>
                      <w:sz w:val="21"/>
                      <w:szCs w:val="21"/>
                      <w:highlight w:val="none"/>
                      <w:lang w:eastAsia="zh-CN"/>
                    </w:rPr>
                    <w:t>”</w:t>
                  </w:r>
                  <w:r>
                    <w:rPr>
                      <w:rFonts w:hint="default"/>
                      <w:color w:val="auto"/>
                      <w:sz w:val="21"/>
                      <w:szCs w:val="21"/>
                      <w:highlight w:val="none"/>
                      <w:vertAlign w:val="baseline"/>
                      <w:lang w:val="en-US" w:eastAsia="zh-CN"/>
                    </w:rPr>
                    <w:t>进行处理</w:t>
                  </w:r>
                </w:p>
              </w:tc>
              <w:tc>
                <w:tcPr>
                  <w:tcW w:w="670" w:type="dxa"/>
                  <w:tcBorders>
                    <w:tl2br w:val="nil"/>
                    <w:tr2bl w:val="nil"/>
                  </w:tcBorders>
                  <w:noWrap w:val="0"/>
                  <w:vAlign w:val="center"/>
                </w:tcPr>
                <w:p w14:paraId="3BA5CD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是</w:t>
                  </w:r>
                </w:p>
              </w:tc>
            </w:tr>
            <w:tr w14:paraId="66A67B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noWrap w:val="0"/>
                  <w:vAlign w:val="center"/>
                </w:tcPr>
                <w:p w14:paraId="37E1D9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p>
              </w:tc>
              <w:tc>
                <w:tcPr>
                  <w:tcW w:w="931" w:type="dxa"/>
                  <w:tcBorders>
                    <w:tl2br w:val="nil"/>
                    <w:tr2bl w:val="nil"/>
                  </w:tcBorders>
                  <w:noWrap w:val="0"/>
                  <w:vAlign w:val="center"/>
                </w:tcPr>
                <w:p w14:paraId="0DA466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喷漆室（作业区）</w:t>
                  </w:r>
                </w:p>
              </w:tc>
              <w:tc>
                <w:tcPr>
                  <w:tcW w:w="1020" w:type="dxa"/>
                  <w:vMerge w:val="continue"/>
                  <w:tcBorders>
                    <w:tl2br w:val="nil"/>
                    <w:tr2bl w:val="nil"/>
                  </w:tcBorders>
                  <w:noWrap w:val="0"/>
                  <w:vAlign w:val="center"/>
                </w:tcPr>
                <w:p w14:paraId="213656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p>
              </w:tc>
              <w:tc>
                <w:tcPr>
                  <w:tcW w:w="1176" w:type="dxa"/>
                  <w:vMerge w:val="restart"/>
                  <w:tcBorders>
                    <w:tl2br w:val="nil"/>
                    <w:tr2bl w:val="nil"/>
                  </w:tcBorders>
                  <w:noWrap w:val="0"/>
                  <w:vAlign w:val="center"/>
                </w:tcPr>
                <w:p w14:paraId="28CE2F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rPr>
                    <w:t>非甲烷总烃、</w:t>
                  </w:r>
                  <w:r>
                    <w:rPr>
                      <w:rFonts w:hint="eastAsia"/>
                      <w:color w:val="auto"/>
                      <w:sz w:val="21"/>
                      <w:szCs w:val="21"/>
                      <w:highlight w:val="none"/>
                      <w:lang w:val="en-US" w:eastAsia="zh-CN"/>
                    </w:rPr>
                    <w:t>二甲苯、苯系物、乙酸乙酯</w:t>
                  </w:r>
                  <w:r>
                    <w:rPr>
                      <w:rFonts w:hint="eastAsia"/>
                      <w:color w:val="auto"/>
                      <w:sz w:val="21"/>
                      <w:szCs w:val="21"/>
                      <w:highlight w:val="none"/>
                    </w:rPr>
                    <w:t>、乙酸丁酯</w:t>
                  </w:r>
                </w:p>
              </w:tc>
              <w:tc>
                <w:tcPr>
                  <w:tcW w:w="759" w:type="dxa"/>
                  <w:vMerge w:val="restart"/>
                  <w:tcBorders>
                    <w:tl2br w:val="nil"/>
                    <w:tr2bl w:val="nil"/>
                  </w:tcBorders>
                  <w:noWrap w:val="0"/>
                  <w:vAlign w:val="center"/>
                </w:tcPr>
                <w:p w14:paraId="2AEDEA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有组织</w:t>
                  </w:r>
                </w:p>
              </w:tc>
              <w:tc>
                <w:tcPr>
                  <w:tcW w:w="1667" w:type="dxa"/>
                  <w:tcBorders>
                    <w:tl2br w:val="nil"/>
                    <w:tr2bl w:val="nil"/>
                  </w:tcBorders>
                  <w:noWrap w:val="0"/>
                  <w:vAlign w:val="center"/>
                </w:tcPr>
                <w:p w14:paraId="3E61D1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吸附/浓缩+热力燃烧/催化氧化、吸附+冷凝回收</w:t>
                  </w:r>
                </w:p>
              </w:tc>
              <w:tc>
                <w:tcPr>
                  <w:tcW w:w="1908" w:type="dxa"/>
                  <w:vMerge w:val="restart"/>
                  <w:tcBorders>
                    <w:tl2br w:val="nil"/>
                    <w:tr2bl w:val="nil"/>
                  </w:tcBorders>
                  <w:noWrap w:val="0"/>
                  <w:vAlign w:val="center"/>
                </w:tcPr>
                <w:p w14:paraId="684B42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s="Times New Roman"/>
                      <w:b w:val="0"/>
                      <w:bCs/>
                      <w:color w:val="auto"/>
                      <w:spacing w:val="0"/>
                      <w:position w:val="0"/>
                      <w:sz w:val="21"/>
                      <w:szCs w:val="21"/>
                      <w:highlight w:val="none"/>
                      <w:lang w:val="en-US" w:eastAsia="zh-CN"/>
                    </w:rPr>
                    <w:t>调漆、喷漆废气经水帘柜处理后，与晾干废气一同经集气装置负压收集后再引入“气旋塔+过滤棉+二级活性炭吸附装置”</w:t>
                  </w:r>
                  <w:r>
                    <w:rPr>
                      <w:rFonts w:hint="default"/>
                      <w:color w:val="auto"/>
                      <w:sz w:val="21"/>
                      <w:szCs w:val="21"/>
                      <w:highlight w:val="none"/>
                      <w:vertAlign w:val="baseline"/>
                      <w:lang w:val="en-US" w:eastAsia="zh-CN"/>
                    </w:rPr>
                    <w:t>进行处理</w:t>
                  </w:r>
                </w:p>
              </w:tc>
              <w:tc>
                <w:tcPr>
                  <w:tcW w:w="670" w:type="dxa"/>
                  <w:vMerge w:val="restart"/>
                  <w:tcBorders>
                    <w:tl2br w:val="nil"/>
                    <w:tr2bl w:val="nil"/>
                  </w:tcBorders>
                  <w:noWrap w:val="0"/>
                  <w:vAlign w:val="center"/>
                </w:tcPr>
                <w:p w14:paraId="2A3D93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是</w:t>
                  </w:r>
                </w:p>
              </w:tc>
            </w:tr>
            <w:tr w14:paraId="43C3E6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noWrap w:val="0"/>
                  <w:vAlign w:val="center"/>
                </w:tcPr>
                <w:p w14:paraId="50C413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931" w:type="dxa"/>
                  <w:tcBorders>
                    <w:tl2br w:val="nil"/>
                    <w:tr2bl w:val="nil"/>
                  </w:tcBorders>
                  <w:noWrap w:val="0"/>
                  <w:vAlign w:val="center"/>
                </w:tcPr>
                <w:p w14:paraId="413B41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调漆</w:t>
                  </w:r>
                </w:p>
              </w:tc>
              <w:tc>
                <w:tcPr>
                  <w:tcW w:w="1020" w:type="dxa"/>
                  <w:vMerge w:val="continue"/>
                  <w:tcBorders>
                    <w:tl2br w:val="nil"/>
                    <w:tr2bl w:val="nil"/>
                  </w:tcBorders>
                  <w:noWrap w:val="0"/>
                  <w:vAlign w:val="center"/>
                </w:tcPr>
                <w:p w14:paraId="3742D5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p>
              </w:tc>
              <w:tc>
                <w:tcPr>
                  <w:tcW w:w="1176" w:type="dxa"/>
                  <w:vMerge w:val="continue"/>
                  <w:tcBorders>
                    <w:tl2br w:val="nil"/>
                    <w:tr2bl w:val="nil"/>
                  </w:tcBorders>
                  <w:noWrap w:val="0"/>
                  <w:vAlign w:val="center"/>
                </w:tcPr>
                <w:p w14:paraId="2E762B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p>
              </w:tc>
              <w:tc>
                <w:tcPr>
                  <w:tcW w:w="759" w:type="dxa"/>
                  <w:vMerge w:val="continue"/>
                  <w:tcBorders>
                    <w:tl2br w:val="nil"/>
                    <w:tr2bl w:val="nil"/>
                  </w:tcBorders>
                  <w:noWrap w:val="0"/>
                  <w:vAlign w:val="center"/>
                </w:tcPr>
                <w:p w14:paraId="668547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p>
              </w:tc>
              <w:tc>
                <w:tcPr>
                  <w:tcW w:w="1667" w:type="dxa"/>
                  <w:tcBorders>
                    <w:tl2br w:val="nil"/>
                    <w:tr2bl w:val="nil"/>
                  </w:tcBorders>
                  <w:noWrap w:val="0"/>
                  <w:vAlign w:val="center"/>
                </w:tcPr>
                <w:p w14:paraId="71C061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活性炭吸附</w:t>
                  </w:r>
                </w:p>
              </w:tc>
              <w:tc>
                <w:tcPr>
                  <w:tcW w:w="1908" w:type="dxa"/>
                  <w:vMerge w:val="continue"/>
                  <w:tcBorders>
                    <w:tl2br w:val="nil"/>
                    <w:tr2bl w:val="nil"/>
                  </w:tcBorders>
                  <w:noWrap w:val="0"/>
                  <w:vAlign w:val="center"/>
                </w:tcPr>
                <w:p w14:paraId="29A0F5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p>
              </w:tc>
              <w:tc>
                <w:tcPr>
                  <w:tcW w:w="670" w:type="dxa"/>
                  <w:vMerge w:val="continue"/>
                  <w:tcBorders>
                    <w:tl2br w:val="nil"/>
                    <w:tr2bl w:val="nil"/>
                  </w:tcBorders>
                  <w:noWrap w:val="0"/>
                  <w:vAlign w:val="center"/>
                </w:tcPr>
                <w:p w14:paraId="492CFB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p>
              </w:tc>
            </w:tr>
            <w:tr w14:paraId="1F8AE1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tl2br w:val="nil"/>
                    <w:tr2bl w:val="nil"/>
                  </w:tcBorders>
                  <w:noWrap w:val="0"/>
                  <w:vAlign w:val="center"/>
                </w:tcPr>
                <w:p w14:paraId="6F74CB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931" w:type="dxa"/>
                  <w:tcBorders>
                    <w:tl2br w:val="nil"/>
                    <w:tr2bl w:val="nil"/>
                  </w:tcBorders>
                  <w:noWrap w:val="0"/>
                  <w:vAlign w:val="center"/>
                </w:tcPr>
                <w:p w14:paraId="10A088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晾干室</w:t>
                  </w:r>
                </w:p>
              </w:tc>
              <w:tc>
                <w:tcPr>
                  <w:tcW w:w="1020" w:type="dxa"/>
                  <w:vMerge w:val="continue"/>
                  <w:tcBorders>
                    <w:tl2br w:val="nil"/>
                    <w:tr2bl w:val="nil"/>
                  </w:tcBorders>
                  <w:noWrap w:val="0"/>
                  <w:vAlign w:val="center"/>
                </w:tcPr>
                <w:p w14:paraId="5B3783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p>
              </w:tc>
              <w:tc>
                <w:tcPr>
                  <w:tcW w:w="1176" w:type="dxa"/>
                  <w:vMerge w:val="continue"/>
                  <w:tcBorders>
                    <w:tl2br w:val="nil"/>
                    <w:tr2bl w:val="nil"/>
                  </w:tcBorders>
                  <w:noWrap w:val="0"/>
                  <w:vAlign w:val="center"/>
                </w:tcPr>
                <w:p w14:paraId="2F9EC1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p>
              </w:tc>
              <w:tc>
                <w:tcPr>
                  <w:tcW w:w="759" w:type="dxa"/>
                  <w:vMerge w:val="continue"/>
                  <w:tcBorders>
                    <w:tl2br w:val="nil"/>
                    <w:tr2bl w:val="nil"/>
                  </w:tcBorders>
                  <w:noWrap w:val="0"/>
                  <w:vAlign w:val="center"/>
                </w:tcPr>
                <w:p w14:paraId="51C56E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p>
              </w:tc>
              <w:tc>
                <w:tcPr>
                  <w:tcW w:w="1667" w:type="dxa"/>
                  <w:tcBorders>
                    <w:tl2br w:val="nil"/>
                    <w:tr2bl w:val="nil"/>
                  </w:tcBorders>
                  <w:noWrap w:val="0"/>
                  <w:vAlign w:val="center"/>
                </w:tcPr>
                <w:p w14:paraId="6FA3F7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热力焚烧/催化氧化、吸附/浓缩+热力焚烧/催化氧化、吸附+冷凝回收</w:t>
                  </w:r>
                </w:p>
              </w:tc>
              <w:tc>
                <w:tcPr>
                  <w:tcW w:w="1908" w:type="dxa"/>
                  <w:vMerge w:val="continue"/>
                  <w:tcBorders>
                    <w:tl2br w:val="nil"/>
                    <w:tr2bl w:val="nil"/>
                  </w:tcBorders>
                  <w:noWrap w:val="0"/>
                  <w:vAlign w:val="center"/>
                </w:tcPr>
                <w:p w14:paraId="36FC63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p>
              </w:tc>
              <w:tc>
                <w:tcPr>
                  <w:tcW w:w="670" w:type="dxa"/>
                  <w:vMerge w:val="continue"/>
                  <w:tcBorders>
                    <w:tl2br w:val="nil"/>
                    <w:tr2bl w:val="nil"/>
                  </w:tcBorders>
                  <w:noWrap w:val="0"/>
                  <w:vAlign w:val="center"/>
                </w:tcPr>
                <w:p w14:paraId="2B4B78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p>
              </w:tc>
            </w:tr>
          </w:tbl>
          <w:p w14:paraId="2017165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eastAsia="宋体" w:cs="Times New Roman"/>
                <w:color w:val="auto"/>
                <w:spacing w:val="0"/>
                <w:position w:val="0"/>
                <w:sz w:val="24"/>
                <w:szCs w:val="24"/>
                <w:highlight w:val="none"/>
                <w:lang w:eastAsia="zh-CN"/>
              </w:rPr>
            </w:pPr>
            <w:r>
              <w:rPr>
                <w:rFonts w:hint="eastAsia"/>
                <w:color w:val="auto"/>
                <w:sz w:val="24"/>
                <w:highlight w:val="none"/>
                <w:lang w:val="en-US" w:eastAsia="zh-CN"/>
              </w:rPr>
              <w:t>综上分析</w:t>
            </w:r>
            <w:r>
              <w:rPr>
                <w:rFonts w:hint="eastAsia"/>
                <w:color w:val="auto"/>
                <w:sz w:val="24"/>
                <w:highlight w:val="none"/>
              </w:rPr>
              <w:t>，项目工艺废气采用的废气处理方案可行</w:t>
            </w:r>
            <w:r>
              <w:rPr>
                <w:color w:val="auto"/>
                <w:sz w:val="24"/>
                <w:highlight w:val="none"/>
              </w:rPr>
              <w:t>。</w:t>
            </w:r>
          </w:p>
          <w:p w14:paraId="71D030A0">
            <w:pPr>
              <w:keepNext w:val="0"/>
              <w:keepLines w:val="0"/>
              <w:pageBreakBefore w:val="0"/>
              <w:widowControl/>
              <w:suppressLineNumbers w:val="0"/>
              <w:kinsoku/>
              <w:wordWrap/>
              <w:overflowPunct/>
              <w:topLinePunct w:val="0"/>
              <w:autoSpaceDE/>
              <w:autoSpaceDN/>
              <w:bidi w:val="0"/>
              <w:adjustRightInd/>
              <w:snapToGrid/>
              <w:spacing w:line="356" w:lineRule="auto"/>
              <w:ind w:firstLine="482" w:firstLineChars="200"/>
              <w:jc w:val="left"/>
              <w:textAlignment w:val="auto"/>
              <w:rPr>
                <w:rFonts w:ascii="Times New Roman" w:hAnsi="Times New Roman" w:eastAsia="宋体" w:cs="Times New Roman"/>
                <w:b/>
                <w:bCs/>
                <w:color w:val="auto"/>
                <w:spacing w:val="0"/>
                <w:position w:val="0"/>
                <w:sz w:val="24"/>
                <w:szCs w:val="24"/>
                <w:highlight w:val="none"/>
              </w:rPr>
            </w:pPr>
            <w:r>
              <w:rPr>
                <w:rFonts w:hint="default" w:ascii="Times New Roman" w:hAnsi="Times New Roman" w:eastAsia="宋体" w:cs="Times New Roman"/>
                <w:b/>
                <w:bCs/>
                <w:color w:val="auto"/>
                <w:spacing w:val="0"/>
                <w:position w:val="0"/>
                <w:sz w:val="24"/>
                <w:szCs w:val="24"/>
                <w:highlight w:val="none"/>
              </w:rPr>
              <w:fldChar w:fldCharType="begin"/>
            </w:r>
            <w:r>
              <w:rPr>
                <w:rFonts w:hint="default" w:ascii="Times New Roman" w:hAnsi="Times New Roman" w:eastAsia="宋体" w:cs="Times New Roman"/>
                <w:b/>
                <w:bCs/>
                <w:color w:val="auto"/>
                <w:spacing w:val="0"/>
                <w:position w:val="0"/>
                <w:sz w:val="24"/>
                <w:szCs w:val="24"/>
                <w:highlight w:val="none"/>
              </w:rPr>
              <w:instrText xml:space="preserve"> = 1 \* GB3 \* MERGEFORMAT </w:instrText>
            </w:r>
            <w:r>
              <w:rPr>
                <w:rFonts w:hint="default" w:ascii="Times New Roman" w:hAnsi="Times New Roman" w:eastAsia="宋体" w:cs="Times New Roman"/>
                <w:b/>
                <w:bCs/>
                <w:color w:val="auto"/>
                <w:spacing w:val="0"/>
                <w:position w:val="0"/>
                <w:sz w:val="24"/>
                <w:szCs w:val="24"/>
                <w:highlight w:val="none"/>
              </w:rPr>
              <w:fldChar w:fldCharType="separate"/>
            </w:r>
            <w:r>
              <w:rPr>
                <w:rFonts w:ascii="Times New Roman" w:hAnsi="Times New Roman" w:eastAsia="宋体" w:cs="Times New Roman"/>
                <w:b/>
                <w:bCs/>
                <w:color w:val="auto"/>
                <w:spacing w:val="0"/>
                <w:position w:val="0"/>
                <w:sz w:val="24"/>
                <w:szCs w:val="24"/>
                <w:highlight w:val="none"/>
              </w:rPr>
              <w:t>①</w:t>
            </w:r>
            <w:r>
              <w:rPr>
                <w:rFonts w:hint="default" w:ascii="Times New Roman" w:hAnsi="Times New Roman" w:eastAsia="宋体" w:cs="Times New Roman"/>
                <w:b/>
                <w:bCs/>
                <w:color w:val="auto"/>
                <w:spacing w:val="0"/>
                <w:position w:val="0"/>
                <w:sz w:val="24"/>
                <w:szCs w:val="24"/>
                <w:highlight w:val="none"/>
              </w:rPr>
              <w:fldChar w:fldCharType="end"/>
            </w:r>
            <w:r>
              <w:rPr>
                <w:rFonts w:hint="eastAsia" w:ascii="Times New Roman" w:hAnsi="Times New Roman" w:eastAsia="宋体" w:cs="Times New Roman"/>
                <w:b/>
                <w:bCs/>
                <w:color w:val="auto"/>
                <w:spacing w:val="0"/>
                <w:kern w:val="0"/>
                <w:position w:val="0"/>
                <w:sz w:val="24"/>
                <w:szCs w:val="24"/>
                <w:highlight w:val="none"/>
                <w:lang w:val="en-US" w:eastAsia="zh-CN" w:bidi="ar"/>
              </w:rPr>
              <w:t>水帘</w:t>
            </w:r>
            <w:r>
              <w:rPr>
                <w:rFonts w:hint="eastAsia" w:cs="Times New Roman"/>
                <w:b/>
                <w:bCs/>
                <w:color w:val="auto"/>
                <w:spacing w:val="0"/>
                <w:kern w:val="0"/>
                <w:position w:val="0"/>
                <w:sz w:val="24"/>
                <w:szCs w:val="24"/>
                <w:highlight w:val="none"/>
                <w:lang w:val="en-US" w:eastAsia="zh-CN" w:bidi="ar"/>
              </w:rPr>
              <w:t>柜工作原理：</w:t>
            </w:r>
            <w:r>
              <w:rPr>
                <w:rFonts w:hint="eastAsia" w:ascii="Times New Roman" w:hAnsi="Times New Roman" w:eastAsia="宋体" w:cs="Times New Roman"/>
                <w:b/>
                <w:bCs/>
                <w:color w:val="auto"/>
                <w:spacing w:val="0"/>
                <w:kern w:val="0"/>
                <w:position w:val="0"/>
                <w:sz w:val="24"/>
                <w:szCs w:val="24"/>
                <w:highlight w:val="none"/>
                <w:lang w:val="en-US" w:eastAsia="zh-CN" w:bidi="ar"/>
              </w:rPr>
              <w:t xml:space="preserve"> </w:t>
            </w:r>
          </w:p>
          <w:p w14:paraId="30D7C23B">
            <w:pPr>
              <w:keepNext w:val="0"/>
              <w:keepLines w:val="0"/>
              <w:pageBreakBefore w:val="0"/>
              <w:widowControl/>
              <w:suppressLineNumbers w:val="0"/>
              <w:kinsoku/>
              <w:wordWrap/>
              <w:overflowPunct/>
              <w:topLinePunct w:val="0"/>
              <w:autoSpaceDE/>
              <w:autoSpaceDN/>
              <w:bidi w:val="0"/>
              <w:adjustRightInd/>
              <w:snapToGrid/>
              <w:spacing w:line="356" w:lineRule="auto"/>
              <w:ind w:firstLine="480" w:firstLineChars="200"/>
              <w:jc w:val="both"/>
              <w:textAlignment w:val="auto"/>
              <w:rPr>
                <w:rFonts w:hint="default"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lang w:val="en-US" w:eastAsia="zh-CN" w:bidi="ar"/>
              </w:rPr>
              <w:t>水帘</w:t>
            </w:r>
            <w:r>
              <w:rPr>
                <w:rFonts w:hint="eastAsia" w:cs="Times New Roman"/>
                <w:color w:val="auto"/>
                <w:spacing w:val="0"/>
                <w:kern w:val="0"/>
                <w:position w:val="0"/>
                <w:sz w:val="24"/>
                <w:szCs w:val="24"/>
                <w:highlight w:val="none"/>
                <w:lang w:val="en-US" w:eastAsia="zh-CN" w:bidi="ar"/>
              </w:rPr>
              <w:t>柜</w:t>
            </w:r>
            <w:r>
              <w:rPr>
                <w:rFonts w:hint="eastAsia" w:ascii="Times New Roman" w:hAnsi="Times New Roman" w:eastAsia="宋体" w:cs="Times New Roman"/>
                <w:color w:val="auto"/>
                <w:spacing w:val="0"/>
                <w:kern w:val="0"/>
                <w:position w:val="0"/>
                <w:sz w:val="24"/>
                <w:szCs w:val="24"/>
                <w:highlight w:val="none"/>
                <w:lang w:val="en-US" w:eastAsia="zh-CN" w:bidi="ar"/>
              </w:rPr>
              <w:t>原理：喷漆过程中含有漆雾的空气经过水帘喷漆台前面水帘后进行第一次的拦截，随即进入“沸腾搅浆通道”，气流掠经通道下方的水面时，由于高速作用将水带起进入通道内，气流到达通道的上方后由于流速的降低，被带起的水因为重力的作用会有一部分水落回到通道口下方，这样就会与继续带起的水产生撞击从而形成沸腾状，呈沸腾状的水珠与气流充分混合搅浆后，颗粒物将被彻底清洗到水中，从而达到对漆雾颗粒清洗净化的目的。而被提起的水其中一部分跟随气流组织进入集气箱，经过分流格栅将空气与水分离，分离后的净化空气由排风机排向室外，分离后的水则沉积在集气箱底部，汇集到溢水槽后溢流到水幕板上形成循环水帘，从而有效地除去空气中的漆雾颗粒，给操作人员以洁净的工作环境。</w:t>
            </w:r>
          </w:p>
          <w:p w14:paraId="2E471DB9">
            <w:pPr>
              <w:keepNext w:val="0"/>
              <w:keepLines w:val="0"/>
              <w:pageBreakBefore w:val="0"/>
              <w:widowControl/>
              <w:suppressLineNumbers w:val="0"/>
              <w:kinsoku/>
              <w:wordWrap/>
              <w:overflowPunct/>
              <w:topLinePunct w:val="0"/>
              <w:autoSpaceDE/>
              <w:autoSpaceDN/>
              <w:bidi w:val="0"/>
              <w:adjustRightInd/>
              <w:snapToGrid/>
              <w:spacing w:line="356" w:lineRule="auto"/>
              <w:ind w:firstLine="482" w:firstLineChars="200"/>
              <w:jc w:val="both"/>
              <w:textAlignment w:val="auto"/>
              <w:rPr>
                <w:rFonts w:ascii="Times New Roman" w:hAnsi="Times New Roman" w:eastAsia="宋体" w:cs="Times New Roman"/>
                <w:b/>
                <w:bCs/>
                <w:color w:val="auto"/>
                <w:spacing w:val="0"/>
                <w:position w:val="0"/>
                <w:sz w:val="24"/>
                <w:szCs w:val="24"/>
                <w:highlight w:val="none"/>
              </w:rPr>
            </w:pPr>
            <w:r>
              <w:rPr>
                <w:rFonts w:hint="default" w:ascii="Times New Roman" w:hAnsi="Times New Roman" w:eastAsia="宋体" w:cs="Times New Roman"/>
                <w:b/>
                <w:bCs/>
                <w:color w:val="auto"/>
                <w:spacing w:val="0"/>
                <w:position w:val="0"/>
                <w:sz w:val="24"/>
                <w:szCs w:val="24"/>
                <w:highlight w:val="none"/>
              </w:rPr>
              <w:fldChar w:fldCharType="begin"/>
            </w:r>
            <w:r>
              <w:rPr>
                <w:rFonts w:hint="default" w:ascii="Times New Roman" w:hAnsi="Times New Roman" w:eastAsia="宋体" w:cs="Times New Roman"/>
                <w:b/>
                <w:bCs/>
                <w:color w:val="auto"/>
                <w:spacing w:val="0"/>
                <w:position w:val="0"/>
                <w:sz w:val="24"/>
                <w:szCs w:val="24"/>
                <w:highlight w:val="none"/>
              </w:rPr>
              <w:instrText xml:space="preserve"> = 2 \* GB3 \* MERGEFORMAT </w:instrText>
            </w:r>
            <w:r>
              <w:rPr>
                <w:rFonts w:hint="default" w:ascii="Times New Roman" w:hAnsi="Times New Roman" w:eastAsia="宋体" w:cs="Times New Roman"/>
                <w:b/>
                <w:bCs/>
                <w:color w:val="auto"/>
                <w:spacing w:val="0"/>
                <w:position w:val="0"/>
                <w:sz w:val="24"/>
                <w:szCs w:val="24"/>
                <w:highlight w:val="none"/>
              </w:rPr>
              <w:fldChar w:fldCharType="separate"/>
            </w:r>
            <w:r>
              <w:rPr>
                <w:b/>
                <w:bCs/>
                <w:color w:val="auto"/>
                <w:sz w:val="24"/>
                <w:szCs w:val="24"/>
                <w:highlight w:val="none"/>
              </w:rPr>
              <w:t>②</w:t>
            </w:r>
            <w:r>
              <w:rPr>
                <w:rFonts w:hint="default" w:ascii="Times New Roman" w:hAnsi="Times New Roman" w:eastAsia="宋体" w:cs="Times New Roman"/>
                <w:b/>
                <w:bCs/>
                <w:color w:val="auto"/>
                <w:spacing w:val="0"/>
                <w:position w:val="0"/>
                <w:sz w:val="24"/>
                <w:szCs w:val="24"/>
                <w:highlight w:val="none"/>
              </w:rPr>
              <w:fldChar w:fldCharType="end"/>
            </w:r>
            <w:r>
              <w:rPr>
                <w:rFonts w:hint="eastAsia" w:cs="Times New Roman"/>
                <w:b/>
                <w:bCs/>
                <w:color w:val="auto"/>
                <w:spacing w:val="0"/>
                <w:kern w:val="0"/>
                <w:position w:val="0"/>
                <w:sz w:val="24"/>
                <w:szCs w:val="24"/>
                <w:highlight w:val="none"/>
                <w:lang w:val="en-US" w:eastAsia="zh-CN" w:bidi="ar"/>
              </w:rPr>
              <w:t>气旋塔</w:t>
            </w:r>
            <w:r>
              <w:rPr>
                <w:rFonts w:hint="eastAsia"/>
                <w:b/>
                <w:bCs/>
                <w:color w:val="auto"/>
                <w:sz w:val="24"/>
                <w:szCs w:val="24"/>
                <w:highlight w:val="none"/>
                <w:lang w:val="en-US" w:eastAsia="zh-CN"/>
              </w:rPr>
              <w:t>工作原理：</w:t>
            </w:r>
            <w:r>
              <w:rPr>
                <w:rFonts w:hint="eastAsia" w:ascii="Times New Roman" w:hAnsi="Times New Roman" w:eastAsia="宋体" w:cs="Times New Roman"/>
                <w:b/>
                <w:bCs/>
                <w:color w:val="auto"/>
                <w:spacing w:val="0"/>
                <w:kern w:val="0"/>
                <w:position w:val="0"/>
                <w:sz w:val="24"/>
                <w:szCs w:val="24"/>
                <w:highlight w:val="none"/>
                <w:lang w:val="en-US" w:eastAsia="zh-CN" w:bidi="ar"/>
              </w:rPr>
              <w:t xml:space="preserve"> </w:t>
            </w:r>
          </w:p>
          <w:p w14:paraId="5C06AEF5">
            <w:pPr>
              <w:keepNext w:val="0"/>
              <w:keepLines w:val="0"/>
              <w:pageBreakBefore w:val="0"/>
              <w:kinsoku/>
              <w:wordWrap/>
              <w:overflowPunct/>
              <w:topLinePunct w:val="0"/>
              <w:autoSpaceDE/>
              <w:autoSpaceDN/>
              <w:bidi w:val="0"/>
              <w:adjustRightInd/>
              <w:snapToGrid/>
              <w:spacing w:line="356" w:lineRule="auto"/>
              <w:ind w:firstLine="480" w:firstLineChars="200"/>
              <w:textAlignment w:val="auto"/>
              <w:rPr>
                <w:rFonts w:hint="default" w:ascii="Times New Roman" w:hAnsi="Times New Roman" w:eastAsia="宋体" w:cs="Times New Roman"/>
                <w:b w:val="0"/>
                <w:bCs/>
                <w:color w:val="auto"/>
                <w:spacing w:val="0"/>
                <w:position w:val="0"/>
                <w:sz w:val="24"/>
                <w:szCs w:val="24"/>
                <w:highlight w:val="none"/>
              </w:rPr>
            </w:pPr>
            <w:r>
              <w:rPr>
                <w:rFonts w:hint="eastAsia" w:cs="宋体"/>
                <w:color w:val="auto"/>
                <w:kern w:val="0"/>
                <w:sz w:val="24"/>
                <w:szCs w:val="24"/>
                <w:highlight w:val="none"/>
                <w:lang w:bidi="ar"/>
              </w:rPr>
              <w:t>气旋塔采用流体力学技术，通常由双塔体、喷淋层、除雾层等组件组成。气旋塔内安装有若干个“圆形旋流桶”和除雾板，旋流桶内放有实心填料球，上层的除雾板用来净化水雾，含尘气体在塔内旋流上升，并在各板上与由塔顶进入的液体旋流接触，通过离心力的作用，废气中的大颗粒沉入水池，之后由人工捞出清理机壳，这样气体深受净化，达标排放，同时气旋塔内的水可以继续循环使用</w:t>
            </w:r>
            <w:r>
              <w:rPr>
                <w:rFonts w:hint="default" w:ascii="Times New Roman" w:hAnsi="Times New Roman" w:eastAsia="宋体" w:cs="Times New Roman"/>
                <w:b w:val="0"/>
                <w:bCs/>
                <w:color w:val="auto"/>
                <w:spacing w:val="0"/>
                <w:position w:val="0"/>
                <w:sz w:val="24"/>
                <w:szCs w:val="24"/>
                <w:highlight w:val="none"/>
              </w:rPr>
              <w:t>。</w:t>
            </w:r>
          </w:p>
          <w:p w14:paraId="31C87B9D">
            <w:pPr>
              <w:pStyle w:val="37"/>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eastAsia"/>
                <w:b/>
                <w:bCs/>
                <w:color w:val="auto"/>
                <w:kern w:val="0"/>
                <w:sz w:val="24"/>
                <w:szCs w:val="24"/>
                <w:highlight w:val="none"/>
                <w:lang w:val="en-US" w:eastAsia="zh-CN" w:bidi="ar"/>
              </w:rPr>
            </w:pPr>
            <w:r>
              <w:rPr>
                <w:rFonts w:hint="eastAsia"/>
                <w:b/>
                <w:bCs/>
                <w:color w:val="auto"/>
                <w:kern w:val="0"/>
                <w:sz w:val="24"/>
                <w:szCs w:val="24"/>
                <w:highlight w:val="none"/>
                <w:lang w:bidi="ar"/>
              </w:rPr>
              <w:fldChar w:fldCharType="begin"/>
            </w:r>
            <w:r>
              <w:rPr>
                <w:rFonts w:hint="eastAsia"/>
                <w:b/>
                <w:bCs/>
                <w:color w:val="auto"/>
                <w:kern w:val="0"/>
                <w:sz w:val="24"/>
                <w:szCs w:val="24"/>
                <w:highlight w:val="none"/>
                <w:lang w:bidi="ar"/>
              </w:rPr>
              <w:instrText xml:space="preserve"> = 3 \* GB3 \* MERGEFORMAT </w:instrText>
            </w:r>
            <w:r>
              <w:rPr>
                <w:rFonts w:hint="eastAsia"/>
                <w:b/>
                <w:bCs/>
                <w:color w:val="auto"/>
                <w:kern w:val="0"/>
                <w:sz w:val="24"/>
                <w:szCs w:val="24"/>
                <w:highlight w:val="none"/>
                <w:lang w:bidi="ar"/>
              </w:rPr>
              <w:fldChar w:fldCharType="separate"/>
            </w:r>
            <w:r>
              <w:rPr>
                <w:b/>
                <w:bCs/>
                <w:color w:val="auto"/>
                <w:sz w:val="24"/>
                <w:szCs w:val="24"/>
                <w:highlight w:val="none"/>
              </w:rPr>
              <w:t>③</w:t>
            </w:r>
            <w:r>
              <w:rPr>
                <w:rFonts w:hint="eastAsia"/>
                <w:b/>
                <w:bCs/>
                <w:color w:val="auto"/>
                <w:kern w:val="0"/>
                <w:sz w:val="24"/>
                <w:szCs w:val="24"/>
                <w:highlight w:val="none"/>
                <w:lang w:bidi="ar"/>
              </w:rPr>
              <w:fldChar w:fldCharType="end"/>
            </w:r>
            <w:r>
              <w:rPr>
                <w:rFonts w:hint="eastAsia"/>
                <w:b/>
                <w:bCs/>
                <w:color w:val="auto"/>
                <w:kern w:val="0"/>
                <w:sz w:val="24"/>
                <w:szCs w:val="24"/>
                <w:highlight w:val="none"/>
                <w:lang w:val="en-US" w:eastAsia="zh-CN" w:bidi="ar"/>
              </w:rPr>
              <w:t>过滤棉</w:t>
            </w:r>
          </w:p>
          <w:p w14:paraId="4C759E37">
            <w:pPr>
              <w:pStyle w:val="37"/>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b/>
                <w:bCs/>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lang w:bidi="ar"/>
              </w:rPr>
              <w:t>本项目</w:t>
            </w:r>
            <w:r>
              <w:rPr>
                <w:rFonts w:hint="default" w:ascii="Times New Roman" w:hAnsi="Times New Roman" w:eastAsia="宋体" w:cs="Times New Roman"/>
                <w:color w:val="auto"/>
                <w:sz w:val="24"/>
                <w:szCs w:val="24"/>
                <w:highlight w:val="none"/>
                <w:lang w:eastAsia="zh-CN" w:bidi="ar"/>
              </w:rPr>
              <w:t>使用</w:t>
            </w:r>
            <w:r>
              <w:rPr>
                <w:rFonts w:hint="default" w:ascii="Times New Roman" w:hAnsi="Times New Roman" w:cs="Times New Roman"/>
                <w:color w:val="auto"/>
                <w:sz w:val="24"/>
                <w:szCs w:val="24"/>
                <w:highlight w:val="none"/>
                <w:lang w:eastAsia="zh-CN" w:bidi="ar"/>
              </w:rPr>
              <w:t>纤维过滤棉降低有机废气中的含水率</w:t>
            </w:r>
            <w:r>
              <w:rPr>
                <w:rFonts w:hint="eastAsia" w:ascii="Times New Roman" w:hAnsi="Times New Roman" w:cs="Times New Roman"/>
                <w:color w:val="auto"/>
                <w:sz w:val="24"/>
                <w:szCs w:val="24"/>
                <w:highlight w:val="none"/>
                <w:lang w:val="en-US" w:eastAsia="zh-CN" w:bidi="ar"/>
              </w:rPr>
              <w:t>及颗粒物，</w:t>
            </w:r>
            <w:r>
              <w:rPr>
                <w:rFonts w:hint="default" w:ascii="Times New Roman" w:hAnsi="Times New Roman" w:eastAsia="宋体" w:cs="Times New Roman"/>
                <w:color w:val="auto"/>
                <w:sz w:val="24"/>
                <w:szCs w:val="24"/>
                <w:highlight w:val="none"/>
                <w:lang w:val="en-US" w:eastAsia="zh-CN" w:bidi="ar"/>
              </w:rPr>
              <w:t>为后续活性炭吸附装置创造良好的运行条件，</w:t>
            </w:r>
            <w:r>
              <w:rPr>
                <w:rFonts w:hint="eastAsia" w:ascii="Times New Roman" w:hAnsi="Times New Roman" w:eastAsia="宋体" w:cs="Times New Roman"/>
                <w:color w:val="auto"/>
                <w:sz w:val="24"/>
                <w:szCs w:val="24"/>
                <w:highlight w:val="none"/>
                <w:lang w:val="en-US" w:eastAsia="zh-CN" w:bidi="ar"/>
              </w:rPr>
              <w:t>避免活性炭被水包裹，提高活性炭去除效率，因此，项目采取的废气治理措施合理可行</w:t>
            </w:r>
            <w:r>
              <w:rPr>
                <w:rFonts w:hint="eastAsia" w:eastAsia="宋体" w:cs="Times New Roman"/>
                <w:color w:val="auto"/>
                <w:sz w:val="24"/>
                <w:szCs w:val="24"/>
                <w:highlight w:val="none"/>
                <w:lang w:val="en-US" w:eastAsia="zh-CN" w:bidi="ar"/>
              </w:rPr>
              <w:t>。</w:t>
            </w:r>
          </w:p>
          <w:p w14:paraId="1C2518BB">
            <w:pPr>
              <w:widowControl/>
              <w:spacing w:line="360" w:lineRule="auto"/>
              <w:ind w:firstLine="482" w:firstLineChars="200"/>
              <w:rPr>
                <w:b/>
                <w:bCs/>
                <w:color w:val="auto"/>
                <w:kern w:val="0"/>
                <w:sz w:val="24"/>
                <w:highlight w:val="none"/>
                <w:lang w:bidi="ar"/>
              </w:rPr>
            </w:pPr>
            <w:r>
              <w:rPr>
                <w:rFonts w:hint="eastAsia" w:ascii="Times New Roman" w:hAnsi="Times New Roman" w:eastAsia="宋体" w:cs="Times New Roman"/>
                <w:b/>
                <w:bCs/>
                <w:color w:val="auto"/>
                <w:sz w:val="24"/>
                <w:szCs w:val="24"/>
                <w:highlight w:val="none"/>
                <w:lang w:eastAsia="zh-CN"/>
              </w:rPr>
              <w:fldChar w:fldCharType="begin"/>
            </w:r>
            <w:r>
              <w:rPr>
                <w:rFonts w:hint="eastAsia" w:ascii="Times New Roman" w:hAnsi="Times New Roman" w:eastAsia="宋体" w:cs="Times New Roman"/>
                <w:b/>
                <w:bCs/>
                <w:color w:val="auto"/>
                <w:sz w:val="24"/>
                <w:szCs w:val="24"/>
                <w:highlight w:val="none"/>
                <w:lang w:eastAsia="zh-CN"/>
              </w:rPr>
              <w:instrText xml:space="preserve"> = 4 \* GB3 \* MERGEFORMAT </w:instrText>
            </w:r>
            <w:r>
              <w:rPr>
                <w:rFonts w:hint="eastAsia" w:ascii="Times New Roman" w:hAnsi="Times New Roman" w:eastAsia="宋体" w:cs="Times New Roman"/>
                <w:b/>
                <w:bCs/>
                <w:color w:val="auto"/>
                <w:sz w:val="24"/>
                <w:szCs w:val="24"/>
                <w:highlight w:val="none"/>
                <w:lang w:eastAsia="zh-CN"/>
              </w:rPr>
              <w:fldChar w:fldCharType="separate"/>
            </w:r>
            <w:r>
              <w:rPr>
                <w:b/>
                <w:bCs/>
                <w:color w:val="auto"/>
                <w:sz w:val="24"/>
                <w:szCs w:val="24"/>
                <w:highlight w:val="none"/>
              </w:rPr>
              <w:t>④</w:t>
            </w:r>
            <w:r>
              <w:rPr>
                <w:rFonts w:hint="eastAsia" w:ascii="Times New Roman" w:hAnsi="Times New Roman" w:eastAsia="宋体" w:cs="Times New Roman"/>
                <w:b/>
                <w:bCs/>
                <w:color w:val="auto"/>
                <w:sz w:val="24"/>
                <w:szCs w:val="24"/>
                <w:highlight w:val="none"/>
                <w:lang w:eastAsia="zh-CN"/>
              </w:rPr>
              <w:fldChar w:fldCharType="end"/>
            </w:r>
            <w:r>
              <w:rPr>
                <w:rFonts w:hint="eastAsia"/>
                <w:b/>
                <w:bCs/>
                <w:color w:val="auto"/>
                <w:kern w:val="0"/>
                <w:sz w:val="24"/>
                <w:highlight w:val="none"/>
                <w:lang w:bidi="ar"/>
              </w:rPr>
              <w:t>活性炭吸附装置工作原理：</w:t>
            </w:r>
          </w:p>
          <w:p w14:paraId="61A3571D">
            <w:pPr>
              <w:widowControl/>
              <w:spacing w:line="360" w:lineRule="auto"/>
              <w:ind w:firstLine="480" w:firstLineChars="200"/>
              <w:rPr>
                <w:color w:val="auto"/>
                <w:sz w:val="24"/>
                <w:highlight w:val="none"/>
              </w:rPr>
            </w:pPr>
            <w:r>
              <w:rPr>
                <w:rFonts w:hint="eastAsia" w:cs="宋体"/>
                <w:color w:val="auto"/>
                <w:kern w:val="0"/>
                <w:sz w:val="24"/>
                <w:highlight w:val="none"/>
                <w:lang w:bidi="ar"/>
              </w:rPr>
              <w:t>活性炭吸附法是以活性炭作为吸附剂，把废气中有机物溶剂的蒸汽吸附到固相表面进行吸附浓缩，从而达到净化废气的方法。活性炭是一种具有非极性表面、疏水性、亲有机物的吸附剂。所以活性炭常常被用来吸附回收空气中的有机溶剂和恶臭物质，它可以根据需要制成不同性状和粒度，如粉末活性炭、颗粒活性炭及柱状活性炭。活性炭是由各种含碳物质（如木材、泥煤、果核、椰壳等原料）在高温下炭化后，再用水蒸气或化学药品（如氯化锌、氯化锰、氯化钙和磷酸等）进行活化处理，然后制成的孔隙十分丰富的吸附剂，其孔径平均为（</w:t>
            </w:r>
            <w:r>
              <w:rPr>
                <w:color w:val="auto"/>
                <w:kern w:val="0"/>
                <w:sz w:val="24"/>
                <w:highlight w:val="none"/>
                <w:lang w:bidi="ar"/>
              </w:rPr>
              <w:t>10</w:t>
            </w:r>
            <w:r>
              <w:rPr>
                <w:rFonts w:hint="eastAsia" w:cs="宋体"/>
                <w:color w:val="auto"/>
                <w:kern w:val="0"/>
                <w:sz w:val="24"/>
                <w:highlight w:val="none"/>
                <w:lang w:val="en-US" w:eastAsia="zh-CN" w:bidi="ar"/>
              </w:rPr>
              <w:t>~</w:t>
            </w:r>
            <w:r>
              <w:rPr>
                <w:color w:val="auto"/>
                <w:kern w:val="0"/>
                <w:sz w:val="24"/>
                <w:highlight w:val="none"/>
                <w:lang w:bidi="ar"/>
              </w:rPr>
              <w:t>40</w:t>
            </w:r>
            <w:r>
              <w:rPr>
                <w:rFonts w:hint="eastAsia" w:cs="宋体"/>
                <w:color w:val="auto"/>
                <w:kern w:val="0"/>
                <w:sz w:val="24"/>
                <w:highlight w:val="none"/>
                <w:lang w:bidi="ar"/>
              </w:rPr>
              <w:t>）</w:t>
            </w:r>
            <w:r>
              <w:rPr>
                <w:color w:val="auto"/>
                <w:kern w:val="0"/>
                <w:sz w:val="24"/>
                <w:highlight w:val="none"/>
                <w:lang w:bidi="ar"/>
              </w:rPr>
              <w:t>×10</w:t>
            </w:r>
            <w:r>
              <w:rPr>
                <w:rFonts w:hint="eastAsia"/>
                <w:color w:val="auto"/>
                <w:kern w:val="0"/>
                <w:sz w:val="24"/>
                <w:highlight w:val="none"/>
                <w:vertAlign w:val="superscript"/>
                <w:lang w:bidi="ar"/>
              </w:rPr>
              <w:t>-8</w:t>
            </w:r>
            <w:r>
              <w:rPr>
                <w:color w:val="auto"/>
                <w:kern w:val="0"/>
                <w:sz w:val="24"/>
                <w:highlight w:val="none"/>
                <w:lang w:bidi="ar"/>
              </w:rPr>
              <w:t>cm</w:t>
            </w:r>
            <w:r>
              <w:rPr>
                <w:rFonts w:hint="eastAsia" w:cs="宋体"/>
                <w:color w:val="auto"/>
                <w:kern w:val="0"/>
                <w:sz w:val="24"/>
                <w:highlight w:val="none"/>
                <w:lang w:bidi="ar"/>
              </w:rPr>
              <w:t>，比表面积一般在</w:t>
            </w:r>
            <w:r>
              <w:rPr>
                <w:color w:val="auto"/>
                <w:kern w:val="0"/>
                <w:sz w:val="24"/>
                <w:highlight w:val="none"/>
                <w:lang w:bidi="ar"/>
              </w:rPr>
              <w:t>600</w:t>
            </w:r>
            <w:r>
              <w:rPr>
                <w:rFonts w:hint="eastAsia" w:cs="宋体"/>
                <w:color w:val="auto"/>
                <w:kern w:val="0"/>
                <w:sz w:val="24"/>
                <w:highlight w:val="none"/>
                <w:lang w:val="en-US" w:eastAsia="zh-CN" w:bidi="ar"/>
              </w:rPr>
              <w:t>~</w:t>
            </w:r>
            <w:r>
              <w:rPr>
                <w:color w:val="auto"/>
                <w:kern w:val="0"/>
                <w:sz w:val="24"/>
                <w:highlight w:val="none"/>
                <w:lang w:bidi="ar"/>
              </w:rPr>
              <w:t>1500m</w:t>
            </w:r>
            <w:r>
              <w:rPr>
                <w:color w:val="auto"/>
                <w:kern w:val="0"/>
                <w:sz w:val="24"/>
                <w:highlight w:val="none"/>
                <w:vertAlign w:val="superscript"/>
                <w:lang w:bidi="ar"/>
              </w:rPr>
              <w:t>2</w:t>
            </w:r>
            <w:r>
              <w:rPr>
                <w:color w:val="auto"/>
                <w:kern w:val="0"/>
                <w:sz w:val="24"/>
                <w:highlight w:val="none"/>
                <w:lang w:bidi="ar"/>
              </w:rPr>
              <w:t>/g</w:t>
            </w:r>
            <w:r>
              <w:rPr>
                <w:rFonts w:hint="eastAsia" w:cs="宋体"/>
                <w:color w:val="auto"/>
                <w:kern w:val="0"/>
                <w:sz w:val="24"/>
                <w:highlight w:val="none"/>
                <w:lang w:bidi="ar"/>
              </w:rPr>
              <w:t>范围内，</w:t>
            </w:r>
            <w:r>
              <w:rPr>
                <w:color w:val="auto"/>
                <w:sz w:val="24"/>
                <w:highlight w:val="none"/>
              </w:rPr>
              <w:t>所采用蜂窝活性炭碘值不小于800mg/g</w:t>
            </w:r>
            <w:r>
              <w:rPr>
                <w:rFonts w:hint="eastAsia"/>
                <w:color w:val="auto"/>
                <w:sz w:val="24"/>
                <w:highlight w:val="none"/>
              </w:rPr>
              <w:t>，</w:t>
            </w:r>
            <w:r>
              <w:rPr>
                <w:rFonts w:hint="eastAsia" w:cs="宋体"/>
                <w:color w:val="auto"/>
                <w:kern w:val="0"/>
                <w:sz w:val="24"/>
                <w:highlight w:val="none"/>
                <w:lang w:bidi="ar"/>
              </w:rPr>
              <w:t>具有优良的吸附能力。本工程拟设置</w:t>
            </w:r>
            <w:r>
              <w:rPr>
                <w:rFonts w:hint="eastAsia"/>
                <w:color w:val="auto"/>
                <w:sz w:val="24"/>
                <w:highlight w:val="none"/>
                <w:lang w:bidi="ar"/>
              </w:rPr>
              <w:t>二级活性炭</w:t>
            </w:r>
            <w:r>
              <w:rPr>
                <w:rFonts w:hint="eastAsia" w:cs="宋体"/>
                <w:color w:val="auto"/>
                <w:kern w:val="0"/>
                <w:sz w:val="24"/>
                <w:highlight w:val="none"/>
                <w:lang w:bidi="ar"/>
              </w:rPr>
              <w:t>串联净化装置，废气经过两次活性炭吸附净化，可确保稳定达标。</w:t>
            </w:r>
          </w:p>
          <w:p w14:paraId="54CF5C82">
            <w:pPr>
              <w:pStyle w:val="138"/>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eastAsia"/>
                <w:bCs/>
                <w:color w:val="auto"/>
                <w:sz w:val="24"/>
                <w:highlight w:val="none"/>
                <w:lang w:eastAsia="zh-CN"/>
              </w:rPr>
            </w:pPr>
            <w:r>
              <w:rPr>
                <w:rFonts w:hint="eastAsia" w:cs="宋体"/>
                <w:color w:val="auto"/>
                <w:kern w:val="0"/>
                <w:sz w:val="24"/>
                <w:highlight w:val="none"/>
                <w:lang w:bidi="ar"/>
              </w:rPr>
              <w:t>活性炭吸附法具有以下优点：</w:t>
            </w:r>
            <w:r>
              <w:rPr>
                <w:color w:val="auto"/>
                <w:kern w:val="0"/>
                <w:sz w:val="24"/>
                <w:highlight w:val="none"/>
                <w:lang w:bidi="ar"/>
              </w:rPr>
              <w:t>A</w:t>
            </w:r>
            <w:r>
              <w:rPr>
                <w:rFonts w:hint="eastAsia" w:cs="宋体"/>
                <w:color w:val="auto"/>
                <w:kern w:val="0"/>
                <w:sz w:val="24"/>
                <w:highlight w:val="none"/>
                <w:lang w:bidi="ar"/>
              </w:rPr>
              <w:t>适合低温、低浓度、大风量或间歇作业产生的挥发性有机废气的治理，工艺成熟；</w:t>
            </w:r>
            <w:r>
              <w:rPr>
                <w:color w:val="auto"/>
                <w:kern w:val="0"/>
                <w:sz w:val="24"/>
                <w:highlight w:val="none"/>
                <w:lang w:bidi="ar"/>
              </w:rPr>
              <w:t>B</w:t>
            </w:r>
            <w:r>
              <w:rPr>
                <w:rFonts w:hint="eastAsia" w:cs="宋体"/>
                <w:color w:val="auto"/>
                <w:kern w:val="0"/>
                <w:sz w:val="24"/>
                <w:highlight w:val="none"/>
                <w:lang w:bidi="ar"/>
              </w:rPr>
              <w:t>活性炭吸附剂廉价易得，且吸附量较大；</w:t>
            </w:r>
            <w:r>
              <w:rPr>
                <w:color w:val="auto"/>
                <w:kern w:val="0"/>
                <w:sz w:val="24"/>
                <w:highlight w:val="none"/>
                <w:lang w:bidi="ar"/>
              </w:rPr>
              <w:t>C</w:t>
            </w:r>
            <w:r>
              <w:rPr>
                <w:rFonts w:hint="eastAsia" w:cs="宋体"/>
                <w:color w:val="auto"/>
                <w:kern w:val="0"/>
                <w:sz w:val="24"/>
                <w:highlight w:val="none"/>
                <w:lang w:bidi="ar"/>
              </w:rPr>
              <w:t>吸附质浓度越高，吸附量也越高；</w:t>
            </w:r>
            <w:r>
              <w:rPr>
                <w:color w:val="auto"/>
                <w:kern w:val="0"/>
                <w:sz w:val="24"/>
                <w:highlight w:val="none"/>
                <w:lang w:bidi="ar"/>
              </w:rPr>
              <w:t>D</w:t>
            </w:r>
            <w:r>
              <w:rPr>
                <w:rFonts w:hint="eastAsia" w:cs="宋体"/>
                <w:color w:val="auto"/>
                <w:kern w:val="0"/>
                <w:sz w:val="24"/>
                <w:highlight w:val="none"/>
                <w:lang w:bidi="ar"/>
              </w:rPr>
              <w:t>吸附剂内表面积越大，吸附量越高，细孔活性炭适用于吸附低浓度挥发性蒸汽；</w:t>
            </w:r>
            <w:r>
              <w:rPr>
                <w:color w:val="auto"/>
                <w:kern w:val="0"/>
                <w:sz w:val="24"/>
                <w:highlight w:val="none"/>
                <w:lang w:bidi="ar"/>
              </w:rPr>
              <w:t>E</w:t>
            </w:r>
            <w:r>
              <w:rPr>
                <w:rFonts w:hint="eastAsia" w:cs="宋体"/>
                <w:color w:val="auto"/>
                <w:kern w:val="0"/>
                <w:sz w:val="24"/>
                <w:highlight w:val="none"/>
                <w:lang w:bidi="ar"/>
              </w:rPr>
              <w:t>活性炭吸附法采用的设备一般为固定活性炭吸附床，相对催化燃烧设备而言，费用较低</w:t>
            </w:r>
            <w:r>
              <w:rPr>
                <w:bCs/>
                <w:color w:val="auto"/>
                <w:sz w:val="24"/>
                <w:highlight w:val="none"/>
              </w:rPr>
              <w:t>。有机废气通过吸附床，与活性炭接触，废气中的有机污染物被吸附在活性炭表面，从而从气流中脱离出来，达到净化效果。从活性炭吸附床排出的气流已达排放标准，空气可直接排放。且活性炭吸附技术属于《重点行业挥发性有机物综合治理方案》（环大气〔2019〕53号）VOC</w:t>
            </w:r>
            <w:r>
              <w:rPr>
                <w:rFonts w:hint="eastAsia"/>
                <w:bCs/>
                <w:color w:val="auto"/>
                <w:sz w:val="24"/>
                <w:highlight w:val="none"/>
                <w:vertAlign w:val="baseline"/>
                <w:lang w:val="en-US" w:eastAsia="zh-CN"/>
              </w:rPr>
              <w:t>s</w:t>
            </w:r>
            <w:r>
              <w:rPr>
                <w:bCs/>
                <w:color w:val="auto"/>
                <w:sz w:val="24"/>
                <w:highlight w:val="none"/>
              </w:rPr>
              <w:t>推进治理设施，符合《吸附法工业有机废气治理工程技术规范》（HJ2026-2013</w:t>
            </w:r>
            <w:r>
              <w:rPr>
                <w:rFonts w:hint="eastAsia"/>
                <w:bCs/>
                <w:color w:val="auto"/>
                <w:sz w:val="24"/>
                <w:highlight w:val="none"/>
              </w:rPr>
              <w:t>）</w:t>
            </w:r>
            <w:r>
              <w:rPr>
                <w:rFonts w:hint="eastAsia"/>
                <w:bCs/>
                <w:color w:val="auto"/>
                <w:sz w:val="24"/>
                <w:highlight w:val="none"/>
                <w:lang w:eastAsia="zh-CN"/>
              </w:rPr>
              <w:t>。</w:t>
            </w:r>
          </w:p>
          <w:p w14:paraId="675043A0">
            <w:pPr>
              <w:pStyle w:val="140"/>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szCs w:val="24"/>
                <w:highlight w:val="none"/>
                <w:lang w:eastAsia="zh-CN"/>
              </w:rPr>
              <w:fldChar w:fldCharType="begin"/>
            </w:r>
            <w:r>
              <w:rPr>
                <w:rFonts w:hint="eastAsia" w:ascii="Times New Roman" w:hAnsi="Times New Roman" w:eastAsia="宋体" w:cs="Times New Roman"/>
                <w:b/>
                <w:bCs/>
                <w:color w:val="auto"/>
                <w:sz w:val="24"/>
                <w:szCs w:val="24"/>
                <w:highlight w:val="none"/>
                <w:lang w:eastAsia="zh-CN"/>
              </w:rPr>
              <w:instrText xml:space="preserve"> = 5 \* GB3 \* MERGEFORMAT </w:instrText>
            </w:r>
            <w:r>
              <w:rPr>
                <w:rFonts w:hint="eastAsia" w:ascii="Times New Roman" w:hAnsi="Times New Roman" w:eastAsia="宋体" w:cs="Times New Roman"/>
                <w:b/>
                <w:bCs/>
                <w:color w:val="auto"/>
                <w:sz w:val="24"/>
                <w:szCs w:val="24"/>
                <w:highlight w:val="none"/>
                <w:lang w:eastAsia="zh-CN"/>
              </w:rPr>
              <w:fldChar w:fldCharType="separate"/>
            </w:r>
            <w:r>
              <w:rPr>
                <w:b/>
                <w:bCs/>
                <w:color w:val="auto"/>
                <w:sz w:val="24"/>
                <w:szCs w:val="24"/>
                <w:highlight w:val="none"/>
              </w:rPr>
              <w:t>⑤</w:t>
            </w:r>
            <w:r>
              <w:rPr>
                <w:rFonts w:hint="eastAsia" w:ascii="Times New Roman" w:hAnsi="Times New Roman" w:eastAsia="宋体" w:cs="Times New Roman"/>
                <w:b/>
                <w:bCs/>
                <w:color w:val="auto"/>
                <w:sz w:val="24"/>
                <w:szCs w:val="24"/>
                <w:highlight w:val="none"/>
                <w:lang w:eastAsia="zh-CN"/>
              </w:rPr>
              <w:fldChar w:fldCharType="end"/>
            </w:r>
            <w:r>
              <w:rPr>
                <w:rFonts w:hint="eastAsia" w:ascii="Times New Roman" w:hAnsi="Times New Roman" w:eastAsia="宋体" w:cs="Times New Roman"/>
                <w:b/>
                <w:bCs/>
                <w:color w:val="auto"/>
                <w:sz w:val="24"/>
                <w:highlight w:val="none"/>
                <w:lang w:eastAsia="zh-CN"/>
              </w:rPr>
              <w:t>无组织排放控制要求</w:t>
            </w:r>
          </w:p>
          <w:p w14:paraId="13959A5F">
            <w:pPr>
              <w:pStyle w:val="140"/>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参考</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排污许可证申请与核发技术规范</w:t>
            </w:r>
            <w:r>
              <w:rPr>
                <w:rFonts w:hint="eastAsia" w:ascii="Times New Roman" w:hAnsi="Times New Roman"/>
                <w:color w:val="auto"/>
                <w:sz w:val="24"/>
                <w:szCs w:val="24"/>
                <w:highlight w:val="none"/>
                <w:lang w:val="en-US" w:eastAsia="zh-CN"/>
              </w:rPr>
              <w:t xml:space="preserve"> </w:t>
            </w:r>
            <w:r>
              <w:rPr>
                <w:rFonts w:hint="eastAsia" w:ascii="Times New Roman" w:hAnsi="Times New Roman"/>
                <w:color w:val="auto"/>
                <w:sz w:val="24"/>
                <w:szCs w:val="24"/>
                <w:highlight w:val="none"/>
              </w:rPr>
              <w:t>家具制造工业</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HJ1027-2019</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中6.2.2.2无组织排放要求</w:t>
            </w:r>
            <w:r>
              <w:rPr>
                <w:rFonts w:hint="eastAsia"/>
                <w:color w:val="auto"/>
                <w:sz w:val="24"/>
                <w:szCs w:val="24"/>
                <w:highlight w:val="none"/>
                <w:lang w:val="en-US" w:eastAsia="zh-CN"/>
              </w:rPr>
              <w:t>、</w:t>
            </w:r>
            <w:r>
              <w:rPr>
                <w:rFonts w:hint="default" w:ascii="Times New Roman" w:hAnsi="Times New Roman" w:cs="Times New Roman"/>
                <w:color w:val="auto"/>
                <w:sz w:val="24"/>
                <w:szCs w:val="24"/>
                <w:highlight w:val="none"/>
                <w:shd w:val="clear" w:color="auto" w:fill="FFFFFF"/>
                <w:lang w:val="en-US" w:eastAsia="zh-CN"/>
              </w:rPr>
              <w:t>《挥发性有机物无组织排放控制标准》</w:t>
            </w:r>
            <w:r>
              <w:rPr>
                <w:rFonts w:hint="eastAsia"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GB 37822-2019</w:t>
            </w:r>
            <w:r>
              <w:rPr>
                <w:rFonts w:hint="eastAsia" w:ascii="Times New Roman" w:hAnsi="Times New Roman" w:cs="Times New Roman"/>
                <w:color w:val="auto"/>
                <w:sz w:val="24"/>
                <w:szCs w:val="24"/>
                <w:highlight w:val="none"/>
                <w:shd w:val="clear" w:color="auto" w:fill="FFFFFF"/>
                <w:lang w:val="en-US" w:eastAsia="zh-CN"/>
              </w:rPr>
              <w:t>）</w:t>
            </w:r>
            <w:r>
              <w:rPr>
                <w:rFonts w:hint="eastAsia" w:ascii="Times New Roman" w:hAnsi="Times New Roman" w:eastAsia="宋体" w:cs="Times New Roman"/>
                <w:color w:val="auto"/>
                <w:kern w:val="0"/>
                <w:sz w:val="24"/>
                <w:szCs w:val="20"/>
                <w:highlight w:val="none"/>
                <w:lang w:val="en-US" w:eastAsia="zh-CN" w:bidi="ar-SA"/>
              </w:rPr>
              <w:t>等相关要求</w:t>
            </w:r>
            <w:r>
              <w:rPr>
                <w:rFonts w:hint="eastAsia" w:ascii="Times New Roman" w:hAnsi="Times New Roman" w:eastAsia="宋体" w:cs="Times New Roman"/>
                <w:color w:val="auto"/>
                <w:sz w:val="24"/>
                <w:highlight w:val="none"/>
                <w:lang w:val="en-US" w:eastAsia="zh-CN"/>
              </w:rPr>
              <w:t>，对本项目废气运行管理提出以下要求：</w:t>
            </w:r>
          </w:p>
          <w:p w14:paraId="32E5C178">
            <w:pPr>
              <w:pStyle w:val="140"/>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A.VOCs物料应储存于密闭的容器、包装袋、储库、料仓中；盛装VOCs物料的容器或包装袋应放于具有防渗设施的室内或专用场地，在非取用状态时应加盖、封口，保持密闭。 </w:t>
            </w:r>
          </w:p>
          <w:p w14:paraId="0A88C61A">
            <w:pPr>
              <w:pStyle w:val="140"/>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B.VOCs质量占比大于等于10%的含VOCs原辅材料使用过程无法密闭的，应采取局部气体收集措施，废气应排放至VOCs废气收集处理系统。 </w:t>
            </w:r>
          </w:p>
          <w:p w14:paraId="7D9161F8">
            <w:pPr>
              <w:pStyle w:val="140"/>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C.液态VOCs物料应采用密闭管道输送方式或桶泵等给料方式密闭投加。无法密闭投加的，应在密闭空间内操作，或进行局部气体收集，废气应排至VOCs废气收集处理系统。 </w:t>
            </w:r>
          </w:p>
          <w:p w14:paraId="53DF3AE7">
            <w:pPr>
              <w:pStyle w:val="140"/>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D.载有VOCs物料的设备及其管道在开停工(车)、检维修和清洗时，应在退料阶段将残存物料退净，并用密闭容器盛装。 </w:t>
            </w:r>
          </w:p>
          <w:p w14:paraId="44C3336F">
            <w:pPr>
              <w:pStyle w:val="140"/>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E.VOCs物料在调配、</w:t>
            </w:r>
            <w:r>
              <w:rPr>
                <w:rFonts w:hint="eastAsia" w:ascii="Times New Roman" w:hAnsi="Times New Roman" w:cs="Times New Roman"/>
                <w:color w:val="auto"/>
                <w:sz w:val="24"/>
                <w:highlight w:val="none"/>
                <w:lang w:val="en-US" w:eastAsia="zh-CN"/>
              </w:rPr>
              <w:t>喷漆、晾干</w:t>
            </w:r>
            <w:r>
              <w:rPr>
                <w:rFonts w:hint="eastAsia" w:ascii="Times New Roman" w:hAnsi="Times New Roman" w:eastAsia="宋体" w:cs="Times New Roman"/>
                <w:color w:val="auto"/>
                <w:sz w:val="24"/>
                <w:highlight w:val="none"/>
                <w:lang w:val="en-US" w:eastAsia="zh-CN"/>
              </w:rPr>
              <w:t>等过程应采用密闭设备或在密闭空间内操作，产生的废气通过</w:t>
            </w:r>
            <w:r>
              <w:rPr>
                <w:rFonts w:hint="eastAsia" w:ascii="Times New Roman" w:hAnsi="Times New Roman" w:cs="Times New Roman"/>
                <w:color w:val="auto"/>
                <w:sz w:val="24"/>
                <w:highlight w:val="none"/>
                <w:lang w:val="en-US" w:eastAsia="zh-CN"/>
              </w:rPr>
              <w:t>集气系统</w:t>
            </w:r>
            <w:r>
              <w:rPr>
                <w:rFonts w:hint="eastAsia" w:ascii="Times New Roman" w:hAnsi="Times New Roman" w:eastAsia="宋体" w:cs="Times New Roman"/>
                <w:color w:val="auto"/>
                <w:sz w:val="24"/>
                <w:highlight w:val="none"/>
                <w:lang w:val="en-US" w:eastAsia="zh-CN"/>
              </w:rPr>
              <w:t>等收集后排至VOCs废气处理系统。无法密闭的，应采取局部气体收集措施，废气排至VOCs废气收集处理系统</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喷漆</w:t>
            </w:r>
            <w:r>
              <w:rPr>
                <w:rFonts w:hint="eastAsia" w:ascii="Times New Roman" w:hAnsi="Times New Roman" w:cs="Times New Roman"/>
                <w:color w:val="auto"/>
                <w:sz w:val="24"/>
                <w:highlight w:val="none"/>
                <w:lang w:val="en-US" w:eastAsia="zh-CN"/>
              </w:rPr>
              <w:t>晾干</w:t>
            </w:r>
            <w:r>
              <w:rPr>
                <w:rFonts w:hint="eastAsia" w:ascii="Times New Roman" w:hAnsi="Times New Roman" w:eastAsia="宋体" w:cs="Times New Roman"/>
                <w:color w:val="auto"/>
                <w:sz w:val="24"/>
                <w:highlight w:val="none"/>
                <w:lang w:val="en-US" w:eastAsia="zh-CN"/>
              </w:rPr>
              <w:t>房应设立独立密闭带收集管道的车间，应注意人员出入时随手关门，减少无组织排放</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生产工艺设备不能停止运行或不能及时停止运行的，应设置废气应急处理设施或采取其他替代措施。</w:t>
            </w:r>
          </w:p>
          <w:p w14:paraId="0851F7C8">
            <w:pPr>
              <w:pStyle w:val="140"/>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eastAsia" w:ascii="Times New Roman" w:hAnsi="Times New Roman" w:eastAsia="宋体" w:cs="Times New Roman"/>
                <w:color w:val="auto"/>
                <w:sz w:val="24"/>
                <w:szCs w:val="22"/>
                <w:highlight w:val="none"/>
                <w:u w:val="none"/>
                <w:lang w:val="en-US" w:eastAsia="zh-CN"/>
              </w:rPr>
            </w:pPr>
            <w:r>
              <w:rPr>
                <w:rFonts w:hint="eastAsia" w:ascii="Times New Roman" w:hAnsi="Times New Roman" w:eastAsia="宋体" w:cs="Times New Roman"/>
                <w:color w:val="auto"/>
                <w:sz w:val="24"/>
                <w:highlight w:val="none"/>
                <w:lang w:val="en-US" w:eastAsia="zh-CN"/>
              </w:rPr>
              <w:t>F.</w:t>
            </w:r>
            <w:r>
              <w:rPr>
                <w:rFonts w:hint="eastAsia" w:ascii="Times New Roman" w:hAnsi="Times New Roman" w:eastAsia="宋体" w:cs="Times New Roman"/>
                <w:color w:val="auto"/>
                <w:sz w:val="24"/>
                <w:szCs w:val="22"/>
                <w:highlight w:val="none"/>
                <w:u w:val="none"/>
                <w:lang w:val="en-US" w:eastAsia="zh-CN"/>
              </w:rPr>
              <w:t>工艺过程产生的含VOCs废料(渣、液)应按照规范进行暂存、转移和输送。盛装过VOCs物料的废包装容器应加盖密闭。</w:t>
            </w:r>
          </w:p>
          <w:p w14:paraId="7724DDC0">
            <w:pPr>
              <w:pStyle w:val="140"/>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G.含VOCs原辅材料在分装容器中的盛装量宜小于80%，避免受热、转运时溢出。</w:t>
            </w:r>
          </w:p>
          <w:p w14:paraId="50B6E6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综上所述，项目</w:t>
            </w:r>
            <w:r>
              <w:rPr>
                <w:rFonts w:hint="default" w:ascii="Times New Roman" w:hAnsi="Times New Roman" w:eastAsia="宋体" w:cs="Times New Roman"/>
                <w:color w:val="auto"/>
                <w:sz w:val="24"/>
                <w:highlight w:val="none"/>
                <w:lang w:val="en-US" w:eastAsia="zh-CN"/>
              </w:rPr>
              <w:t>采取</w:t>
            </w:r>
            <w:r>
              <w:rPr>
                <w:rFonts w:hint="eastAsia" w:ascii="Times New Roman" w:hAnsi="Times New Roman" w:eastAsia="宋体" w:cs="Times New Roman"/>
                <w:color w:val="auto"/>
                <w:sz w:val="24"/>
                <w:highlight w:val="none"/>
                <w:lang w:val="en-US" w:eastAsia="zh-CN"/>
              </w:rPr>
              <w:t>以上治理措施后，项目废气排放源强较低，可实现达标排放，项目周边</w:t>
            </w:r>
            <w:r>
              <w:rPr>
                <w:rFonts w:hint="eastAsia" w:cs="Times New Roman"/>
                <w:color w:val="auto"/>
                <w:sz w:val="24"/>
                <w:highlight w:val="none"/>
                <w:lang w:val="en-US" w:eastAsia="zh-CN"/>
              </w:rPr>
              <w:t>最近敏感点是西北侧433m处的</w:t>
            </w:r>
            <w:r>
              <w:rPr>
                <w:rFonts w:hint="eastAsia" w:ascii="Times New Roman" w:hAnsi="Times New Roman" w:eastAsia="宋体" w:cs="Times New Roman"/>
                <w:color w:val="auto"/>
                <w:sz w:val="24"/>
                <w:highlight w:val="none"/>
                <w:lang w:val="en-US" w:eastAsia="zh-CN"/>
              </w:rPr>
              <w:t>福建京台高速管理中心，因此项目对</w:t>
            </w:r>
            <w:r>
              <w:rPr>
                <w:rFonts w:hint="eastAsia" w:ascii="Times New Roman" w:hAnsi="Times New Roman" w:cs="Times New Roman"/>
                <w:color w:val="auto"/>
                <w:sz w:val="24"/>
                <w:highlight w:val="none"/>
                <w:lang w:val="en-US" w:eastAsia="zh-CN"/>
              </w:rPr>
              <w:t>周边</w:t>
            </w:r>
            <w:r>
              <w:rPr>
                <w:rFonts w:hint="eastAsia" w:ascii="Times New Roman" w:hAnsi="Times New Roman" w:cs="Times New Roman"/>
                <w:color w:val="auto"/>
                <w:sz w:val="24"/>
                <w:highlight w:val="none"/>
                <w:lang w:eastAsia="zh-CN"/>
              </w:rPr>
              <w:t>环境</w:t>
            </w:r>
            <w:r>
              <w:rPr>
                <w:rFonts w:hint="eastAsia" w:ascii="Times New Roman" w:hAnsi="Times New Roman" w:cs="Times New Roman"/>
                <w:color w:val="auto"/>
                <w:sz w:val="24"/>
                <w:highlight w:val="none"/>
                <w:lang w:val="en-US" w:eastAsia="zh-CN"/>
              </w:rPr>
              <w:t>保护目标影响很小，采取的措施合理可行。</w:t>
            </w:r>
          </w:p>
          <w:p w14:paraId="631B9450">
            <w:pPr>
              <w:autoSpaceDE w:val="0"/>
              <w:autoSpaceDN w:val="0"/>
              <w:adjustRightInd w:val="0"/>
              <w:snapToGrid w:val="0"/>
              <w:spacing w:line="360" w:lineRule="auto"/>
              <w:ind w:firstLine="482" w:firstLineChars="200"/>
              <w:textAlignment w:val="bottom"/>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szCs w:val="24"/>
                <w:highlight w:val="none"/>
                <w:lang w:val="en-US" w:eastAsia="zh-CN"/>
              </w:rPr>
              <w:fldChar w:fldCharType="begin"/>
            </w:r>
            <w:r>
              <w:rPr>
                <w:rFonts w:hint="eastAsia" w:ascii="Times New Roman" w:hAnsi="Times New Roman" w:eastAsia="宋体" w:cs="Times New Roman"/>
                <w:b/>
                <w:bCs/>
                <w:color w:val="auto"/>
                <w:sz w:val="24"/>
                <w:szCs w:val="24"/>
                <w:highlight w:val="none"/>
                <w:lang w:val="en-US" w:eastAsia="zh-CN"/>
              </w:rPr>
              <w:instrText xml:space="preserve"> = 6 \* GB3 \* MERGEFORMAT </w:instrText>
            </w:r>
            <w:r>
              <w:rPr>
                <w:rFonts w:hint="eastAsia" w:ascii="Times New Roman" w:hAnsi="Times New Roman" w:eastAsia="宋体" w:cs="Times New Roman"/>
                <w:b/>
                <w:bCs/>
                <w:color w:val="auto"/>
                <w:sz w:val="24"/>
                <w:szCs w:val="24"/>
                <w:highlight w:val="none"/>
                <w:lang w:val="en-US" w:eastAsia="zh-CN"/>
              </w:rPr>
              <w:fldChar w:fldCharType="separate"/>
            </w:r>
            <w:r>
              <w:rPr>
                <w:b/>
                <w:bCs/>
                <w:color w:val="auto"/>
                <w:sz w:val="24"/>
                <w:szCs w:val="24"/>
                <w:highlight w:val="none"/>
              </w:rPr>
              <w:t>⑥</w:t>
            </w:r>
            <w:r>
              <w:rPr>
                <w:rFonts w:hint="eastAsia" w:ascii="Times New Roman" w:hAnsi="Times New Roman" w:eastAsia="宋体" w:cs="Times New Roman"/>
                <w:b/>
                <w:bCs/>
                <w:color w:val="auto"/>
                <w:sz w:val="24"/>
                <w:szCs w:val="24"/>
                <w:highlight w:val="none"/>
                <w:lang w:val="en-US" w:eastAsia="zh-CN"/>
              </w:rPr>
              <w:fldChar w:fldCharType="end"/>
            </w:r>
            <w:r>
              <w:rPr>
                <w:rFonts w:hint="eastAsia" w:ascii="Times New Roman" w:hAnsi="Times New Roman" w:eastAsia="宋体" w:cs="Times New Roman"/>
                <w:b/>
                <w:bCs/>
                <w:color w:val="auto"/>
                <w:sz w:val="24"/>
                <w:highlight w:val="none"/>
                <w:lang w:val="en-US" w:eastAsia="zh-CN"/>
              </w:rPr>
              <w:t>排气筒设置合理性分析</w:t>
            </w:r>
          </w:p>
          <w:p w14:paraId="58B07027">
            <w:pPr>
              <w:autoSpaceDE w:val="0"/>
              <w:autoSpaceDN w:val="0"/>
              <w:adjustRightInd w:val="0"/>
              <w:snapToGrid w:val="0"/>
              <w:spacing w:line="360" w:lineRule="auto"/>
              <w:ind w:firstLine="480" w:firstLineChars="200"/>
              <w:textAlignment w:val="bottom"/>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pPr>
            <w:r>
              <w:rPr>
                <w:rFonts w:hint="eastAsia" w:ascii="Times New Roman" w:hAnsi="Times New Roman" w:eastAsia="宋体" w:cs="Times New Roman"/>
                <w:color w:val="auto"/>
                <w:sz w:val="24"/>
                <w:highlight w:val="none"/>
                <w:lang w:val="en-US" w:eastAsia="zh-CN"/>
              </w:rPr>
              <w:t>本项目拟设置1根排气筒</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DA001</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，位于车间屋顶北侧，项目废气排放口朝内</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当地</w:t>
            </w:r>
            <w:r>
              <w:rPr>
                <w:rFonts w:hint="default" w:ascii="Times New Roman" w:hAnsi="Times New Roman" w:eastAsia="宋体" w:cs="Times New Roman"/>
                <w:color w:val="auto"/>
                <w:sz w:val="24"/>
                <w:szCs w:val="24"/>
                <w:highlight w:val="none"/>
                <w:lang w:eastAsia="zh-CN"/>
              </w:rPr>
              <w:t>常年主导风向为</w:t>
            </w:r>
            <w:r>
              <w:rPr>
                <w:rFonts w:hint="default" w:ascii="Times New Roman" w:hAnsi="Times New Roman" w:eastAsia="宋体" w:cs="Times New Roman"/>
                <w:color w:val="auto"/>
                <w:sz w:val="24"/>
                <w:szCs w:val="24"/>
                <w:highlight w:val="none"/>
              </w:rPr>
              <w:t>东</w:t>
            </w:r>
            <w:r>
              <w:rPr>
                <w:rFonts w:hint="default" w:ascii="Times New Roman" w:hAnsi="Times New Roman" w:eastAsia="宋体" w:cs="Times New Roman"/>
                <w:color w:val="auto"/>
                <w:sz w:val="24"/>
                <w:szCs w:val="24"/>
                <w:highlight w:val="none"/>
                <w:lang w:eastAsia="zh-CN"/>
              </w:rPr>
              <w:t>南</w:t>
            </w:r>
            <w:r>
              <w:rPr>
                <w:rFonts w:hint="default" w:ascii="Times New Roman" w:hAnsi="Times New Roman" w:eastAsia="宋体" w:cs="Times New Roman"/>
                <w:color w:val="auto"/>
                <w:sz w:val="24"/>
                <w:szCs w:val="24"/>
                <w:highlight w:val="none"/>
              </w:rPr>
              <w:t>风，</w:t>
            </w:r>
            <w:r>
              <w:rPr>
                <w:rFonts w:hint="default" w:ascii="Times New Roman" w:hAnsi="Times New Roman" w:eastAsia="宋体" w:cs="Times New Roman"/>
                <w:color w:val="auto"/>
                <w:sz w:val="24"/>
                <w:highlight w:val="none"/>
                <w:lang w:val="en-US" w:eastAsia="zh-CN"/>
              </w:rPr>
              <w:t>不在年主导风向上风向</w:t>
            </w:r>
            <w:r>
              <w:rPr>
                <w:rFonts w:hint="eastAsia" w:ascii="Times New Roman" w:hAnsi="Times New Roman" w:eastAsia="宋体" w:cs="Times New Roman"/>
                <w:color w:val="auto"/>
                <w:sz w:val="24"/>
                <w:highlight w:val="none"/>
                <w:lang w:val="en-US" w:eastAsia="zh-CN"/>
              </w:rPr>
              <w:t>；根据《大气污染物综合排放标准》</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GB16297-1996</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中7.4规定：新污染源的排气筒一般不应低于15m，项目拟设置排气筒高度为</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lang w:val="en-US" w:eastAsia="zh-CN"/>
              </w:rPr>
              <w:t>，排气筒高度高出屋顶，且预留检测口；项目DA001排气筒引风机设计风量为</w:t>
            </w:r>
            <w:r>
              <w:rPr>
                <w:rFonts w:hint="eastAsia" w:cs="Times New Roman"/>
                <w:color w:val="auto"/>
                <w:sz w:val="24"/>
                <w:highlight w:val="none"/>
                <w:lang w:val="en-US" w:eastAsia="zh-CN"/>
              </w:rPr>
              <w:t>300</w:t>
            </w:r>
            <w:r>
              <w:rPr>
                <w:rFonts w:hint="eastAsia" w:ascii="Times New Roman" w:hAnsi="Times New Roman" w:eastAsia="宋体" w:cs="Times New Roman"/>
                <w:color w:val="auto"/>
                <w:sz w:val="24"/>
                <w:highlight w:val="none"/>
                <w:lang w:val="en-US" w:eastAsia="zh-CN"/>
              </w:rPr>
              <w:t>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/h，拟设置排气筒内径直径为0.</w:t>
            </w:r>
            <w:r>
              <w:rPr>
                <w:rFonts w:hint="eastAsia"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m，则排气筒风量流速为</w:t>
            </w:r>
            <w:r>
              <w:rPr>
                <w:rFonts w:hint="eastAsia" w:cs="Times New Roman"/>
                <w:color w:val="auto"/>
                <w:sz w:val="24"/>
                <w:highlight w:val="none"/>
                <w:lang w:val="en-US" w:eastAsia="zh-CN"/>
              </w:rPr>
              <w:t>16</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58</w:t>
            </w:r>
            <w:r>
              <w:rPr>
                <w:rFonts w:hint="eastAsia" w:ascii="Times New Roman" w:hAnsi="Times New Roman" w:eastAsia="宋体" w:cs="Times New Roman"/>
                <w:color w:val="auto"/>
                <w:sz w:val="24"/>
                <w:highlight w:val="none"/>
                <w:lang w:val="en-US" w:eastAsia="zh-CN"/>
              </w:rPr>
              <w:t>m/s；</w:t>
            </w:r>
            <w:r>
              <w:rPr>
                <w:rFonts w:hint="default" w:ascii="Times New Roman" w:hAnsi="Times New Roman" w:eastAsia="宋体" w:cs="Times New Roman"/>
                <w:i w:val="0"/>
                <w:iCs w:val="0"/>
                <w:caps w:val="0"/>
                <w:color w:val="auto"/>
                <w:spacing w:val="0"/>
                <w:sz w:val="24"/>
                <w:szCs w:val="24"/>
                <w:highlight w:val="none"/>
                <w:shd w:val="clear" w:color="auto" w:fill="FFFFFF"/>
              </w:rPr>
              <w:t>根据《大气污染治理工程技术导则》</w:t>
            </w:r>
            <w:r>
              <w:rPr>
                <w:rFonts w:hint="eastAsia" w:cs="Times New Roman"/>
                <w:i w:val="0"/>
                <w:iCs w:val="0"/>
                <w:caps w:val="0"/>
                <w:color w:val="auto"/>
                <w:spacing w:val="0"/>
                <w:sz w:val="24"/>
                <w:szCs w:val="24"/>
                <w:highlight w:val="none"/>
                <w:shd w:val="clear" w:color="auto"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color="auto" w:fill="FFFFFF"/>
              </w:rPr>
              <w:t>HJ 2000-2010</w:t>
            </w:r>
            <w:r>
              <w:rPr>
                <w:rFonts w:hint="eastAsia" w:cs="Times New Roman"/>
                <w:i w:val="0"/>
                <w:iCs w:val="0"/>
                <w:caps w:val="0"/>
                <w:color w:val="auto"/>
                <w:spacing w:val="0"/>
                <w:sz w:val="24"/>
                <w:szCs w:val="24"/>
                <w:highlight w:val="none"/>
                <w:shd w:val="clear" w:color="auto"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color="auto" w:fill="FFFFFF"/>
              </w:rPr>
              <w:t>中5.3.5表述：</w:t>
            </w:r>
            <w:r>
              <w:rPr>
                <w:rFonts w:hint="eastAsia" w:cs="Times New Roman"/>
                <w:i w:val="0"/>
                <w:iCs w:val="0"/>
                <w:caps w:val="0"/>
                <w:color w:val="auto"/>
                <w:spacing w:val="0"/>
                <w:sz w:val="24"/>
                <w:szCs w:val="24"/>
                <w:highlight w:val="none"/>
                <w:shd w:val="clear" w:color="auto" w:fill="FFFFFF"/>
                <w:lang w:eastAsia="zh-CN"/>
              </w:rPr>
              <w:t>“</w:t>
            </w:r>
            <w:r>
              <w:rPr>
                <w:rFonts w:hint="default" w:ascii="Times New Roman" w:hAnsi="Times New Roman" w:eastAsia="宋体" w:cs="Times New Roman"/>
                <w:i w:val="0"/>
                <w:iCs w:val="0"/>
                <w:caps w:val="0"/>
                <w:color w:val="auto"/>
                <w:spacing w:val="0"/>
                <w:sz w:val="24"/>
                <w:szCs w:val="24"/>
                <w:highlight w:val="none"/>
                <w:shd w:val="clear" w:color="auto" w:fill="FFFFFF"/>
              </w:rPr>
              <w:t>排气筒的出口直径应根据出口流速确定</w:t>
            </w:r>
            <w:r>
              <w:rPr>
                <w:rFonts w:hint="default" w:ascii="Times New Roman" w:hAnsi="Times New Roman" w:eastAsia="宋体" w:cs="Times New Roman"/>
                <w:b w:val="0"/>
                <w:bCs w:val="0"/>
                <w:i w:val="0"/>
                <w:iCs w:val="0"/>
                <w:caps w:val="0"/>
                <w:color w:val="auto"/>
                <w:spacing w:val="0"/>
                <w:sz w:val="24"/>
                <w:szCs w:val="24"/>
                <w:highlight w:val="none"/>
                <w:shd w:val="clear" w:color="auto" w:fill="FFFFFF"/>
              </w:rPr>
              <w:t>，</w:t>
            </w:r>
            <w:r>
              <w:rPr>
                <w:rStyle w:val="32"/>
                <w:rFonts w:hint="default" w:ascii="Times New Roman" w:hAnsi="Times New Roman" w:eastAsia="宋体" w:cs="Times New Roman"/>
                <w:b w:val="0"/>
                <w:bCs w:val="0"/>
                <w:i w:val="0"/>
                <w:iCs w:val="0"/>
                <w:caps w:val="0"/>
                <w:color w:val="auto"/>
                <w:spacing w:val="0"/>
                <w:sz w:val="24"/>
                <w:szCs w:val="24"/>
                <w:highlight w:val="none"/>
                <w:shd w:val="clear" w:color="auto" w:fill="FFFFFF"/>
              </w:rPr>
              <w:t>流速宜取15m/s</w:t>
            </w:r>
            <w:r>
              <w:rPr>
                <w:rFonts w:hint="default" w:ascii="Times New Roman" w:hAnsi="Times New Roman" w:eastAsia="宋体" w:cs="Times New Roman"/>
                <w:b w:val="0"/>
                <w:bCs w:val="0"/>
                <w:i w:val="0"/>
                <w:iCs w:val="0"/>
                <w:caps w:val="0"/>
                <w:color w:val="auto"/>
                <w:spacing w:val="0"/>
                <w:sz w:val="24"/>
                <w:szCs w:val="24"/>
                <w:highlight w:val="none"/>
                <w:shd w:val="clear" w:color="auto" w:fill="FFFFFF"/>
              </w:rPr>
              <w:t>左右</w:t>
            </w:r>
            <w:r>
              <w:rPr>
                <w:rFonts w:hint="eastAsia" w:ascii="Times New Roman" w:hAnsi="Times New Roman" w:eastAsia="宋体" w:cs="Times New Roman"/>
                <w:b w:val="0"/>
                <w:bCs w:val="0"/>
                <w:i w:val="0"/>
                <w:iCs w:val="0"/>
                <w:caps w:val="0"/>
                <w:color w:val="auto"/>
                <w:spacing w:val="0"/>
                <w:sz w:val="24"/>
                <w:szCs w:val="24"/>
                <w:highlight w:val="none"/>
                <w:shd w:val="clear" w:color="auto" w:fill="FFFFFF"/>
                <w:lang w:eastAsia="zh-CN"/>
              </w:rPr>
              <w:t>，当采用钢管烟囱且高度较高时或烟气量较大时，可适当提高出口流速至20~25m/s。</w:t>
            </w:r>
            <w:r>
              <w:rPr>
                <w:rFonts w:hint="eastAsia" w:cs="Times New Roman"/>
                <w:b w:val="0"/>
                <w:bCs w:val="0"/>
                <w:i w:val="0"/>
                <w:iCs w:val="0"/>
                <w:caps w:val="0"/>
                <w:color w:val="auto"/>
                <w:spacing w:val="0"/>
                <w:sz w:val="24"/>
                <w:szCs w:val="24"/>
                <w:highlight w:val="none"/>
                <w:shd w:val="clear" w:color="auto" w:fill="FFFFFF"/>
                <w:lang w:eastAsia="zh-CN"/>
              </w:rPr>
              <w:t>”，</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项目</w:t>
            </w:r>
            <w:r>
              <w:rPr>
                <w:rFonts w:hint="eastAsia" w:ascii="Times New Roman" w:hAnsi="Times New Roman" w:eastAsia="宋体" w:cs="Times New Roman"/>
                <w:b w:val="0"/>
                <w:bCs w:val="0"/>
                <w:i w:val="0"/>
                <w:iCs w:val="0"/>
                <w:caps w:val="0"/>
                <w:color w:val="auto"/>
                <w:spacing w:val="0"/>
                <w:sz w:val="24"/>
                <w:szCs w:val="24"/>
                <w:highlight w:val="none"/>
                <w:shd w:val="clear" w:color="auto" w:fill="FFFFFF"/>
                <w:lang w:eastAsia="zh-CN"/>
              </w:rPr>
              <w:t>烟气量较大</w:t>
            </w:r>
            <w:r>
              <w:rPr>
                <w:rFonts w:hint="eastAsia" w:cs="Times New Roman"/>
                <w:b w:val="0"/>
                <w:bCs w:val="0"/>
                <w:i w:val="0"/>
                <w:iCs w:val="0"/>
                <w:caps w:val="0"/>
                <w:color w:val="auto"/>
                <w:spacing w:val="0"/>
                <w:sz w:val="24"/>
                <w:szCs w:val="24"/>
                <w:highlight w:val="none"/>
                <w:shd w:val="clear" w:color="auto" w:fill="FFFFFF"/>
                <w:lang w:eastAsia="zh-CN"/>
              </w:rPr>
              <w:t>，</w:t>
            </w:r>
            <w:r>
              <w:rPr>
                <w:rFonts w:ascii="宋体" w:hAnsi="宋体" w:eastAsia="宋体" w:cs="宋体"/>
                <w:color w:val="auto"/>
                <w:sz w:val="24"/>
                <w:szCs w:val="24"/>
                <w:highlight w:val="none"/>
              </w:rPr>
              <w:t>该流速略偏高，属于合理可接受范围</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同时根据</w:t>
            </w:r>
            <w:r>
              <w:rPr>
                <w:rFonts w:hint="eastAsia" w:ascii="Times New Roman" w:hAnsi="Times New Roman" w:eastAsia="宋体" w:cs="Times New Roman"/>
                <w:color w:val="auto"/>
                <w:sz w:val="24"/>
                <w:highlight w:val="none"/>
                <w:lang w:val="en-US" w:eastAsia="zh-CN"/>
              </w:rPr>
              <w:t>《大气污染物综合排放标准》</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GB16297-1996</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bCs/>
                <w:color w:val="auto"/>
                <w:spacing w:val="0"/>
                <w:position w:val="0"/>
                <w:sz w:val="24"/>
                <w:szCs w:val="24"/>
                <w:highlight w:val="none"/>
              </w:rPr>
              <w:t>7.1其他规定要求</w:t>
            </w:r>
            <w:r>
              <w:rPr>
                <w:rFonts w:hint="eastAsia" w:cs="Times New Roman"/>
                <w:bCs/>
                <w:color w:val="auto"/>
                <w:spacing w:val="0"/>
                <w:position w:val="0"/>
                <w:sz w:val="24"/>
                <w:szCs w:val="24"/>
                <w:highlight w:val="none"/>
                <w:lang w:eastAsia="zh-CN"/>
              </w:rPr>
              <w:t>：“</w:t>
            </w:r>
            <w:r>
              <w:rPr>
                <w:rFonts w:hint="default" w:ascii="Times New Roman" w:hAnsi="Times New Roman" w:eastAsia="宋体" w:cs="Times New Roman"/>
                <w:bCs/>
                <w:color w:val="auto"/>
                <w:spacing w:val="0"/>
                <w:position w:val="0"/>
                <w:sz w:val="24"/>
                <w:szCs w:val="24"/>
                <w:highlight w:val="none"/>
              </w:rPr>
              <w:t>项目应高出周围200m半径范围的建筑5m以上，不能达到该要求的排气筒，其排放速率标准值严格50%执行</w:t>
            </w:r>
            <w:r>
              <w:rPr>
                <w:rFonts w:hint="eastAsia" w:cs="Times New Roman"/>
                <w:bCs/>
                <w:color w:val="auto"/>
                <w:spacing w:val="0"/>
                <w:position w:val="0"/>
                <w:sz w:val="24"/>
                <w:szCs w:val="24"/>
                <w:highlight w:val="none"/>
                <w:lang w:eastAsia="zh-CN"/>
              </w:rPr>
              <w:t>。”</w:t>
            </w:r>
            <w:r>
              <w:rPr>
                <w:rFonts w:hint="eastAsia" w:cs="Times New Roman"/>
                <w:bCs/>
                <w:color w:val="auto"/>
                <w:spacing w:val="0"/>
                <w:position w:val="0"/>
                <w:sz w:val="24"/>
                <w:szCs w:val="24"/>
                <w:highlight w:val="none"/>
                <w:lang w:val="en-US" w:eastAsia="zh-CN"/>
              </w:rPr>
              <w:t>，项目</w:t>
            </w:r>
            <w:r>
              <w:rPr>
                <w:rFonts w:hint="eastAsia" w:ascii="Times New Roman" w:hAnsi="Times New Roman" w:eastAsia="宋体" w:cs="Times New Roman"/>
                <w:color w:val="auto"/>
                <w:spacing w:val="0"/>
                <w:position w:val="0"/>
                <w:sz w:val="24"/>
                <w:szCs w:val="24"/>
                <w:highlight w:val="none"/>
                <w:lang w:val="en-US" w:eastAsia="zh-CN" w:bidi="ar"/>
              </w:rPr>
              <w:t>排气筒高度</w:t>
            </w:r>
            <w:r>
              <w:rPr>
                <w:rFonts w:hint="eastAsia" w:cs="Times New Roman"/>
                <w:color w:val="auto"/>
                <w:spacing w:val="0"/>
                <w:position w:val="0"/>
                <w:sz w:val="24"/>
                <w:szCs w:val="24"/>
                <w:highlight w:val="none"/>
                <w:lang w:val="en-US" w:eastAsia="zh-CN" w:bidi="ar"/>
              </w:rPr>
              <w:t>未</w:t>
            </w:r>
            <w:r>
              <w:rPr>
                <w:rFonts w:hint="eastAsia" w:ascii="Times New Roman" w:hAnsi="Times New Roman" w:eastAsia="宋体" w:cs="Times New Roman"/>
                <w:color w:val="auto"/>
                <w:spacing w:val="0"/>
                <w:position w:val="0"/>
                <w:sz w:val="24"/>
                <w:szCs w:val="24"/>
                <w:highlight w:val="none"/>
                <w:lang w:val="en-US" w:eastAsia="zh-CN" w:bidi="ar"/>
              </w:rPr>
              <w:t>高出周围200m半径范围的最高建筑物5m以上</w:t>
            </w:r>
            <w:r>
              <w:rPr>
                <w:rFonts w:hint="eastAsia" w:ascii="Times New Roman" w:hAnsi="Times New Roman" w:cs="Times New Roman"/>
                <w:color w:val="auto"/>
                <w:spacing w:val="0"/>
                <w:position w:val="0"/>
                <w:sz w:val="24"/>
                <w:szCs w:val="24"/>
                <w:highlight w:val="none"/>
                <w:lang w:val="en-US" w:eastAsia="zh-CN" w:bidi="ar"/>
              </w:rPr>
              <w:t>，排放速率应</w:t>
            </w:r>
            <w:r>
              <w:rPr>
                <w:rFonts w:hint="default" w:ascii="Times New Roman" w:hAnsi="Times New Roman" w:cs="Times New Roman"/>
                <w:color w:val="auto"/>
                <w:spacing w:val="0"/>
                <w:position w:val="0"/>
                <w:sz w:val="24"/>
                <w:szCs w:val="24"/>
                <w:highlight w:val="none"/>
                <w:lang w:val="en-US" w:eastAsia="zh-CN" w:bidi="ar"/>
              </w:rPr>
              <w:t>≤</w:t>
            </w:r>
            <w:r>
              <w:rPr>
                <w:rFonts w:hint="eastAsia" w:ascii="Times New Roman" w:hAnsi="Times New Roman" w:cs="Times New Roman"/>
                <w:color w:val="auto"/>
                <w:spacing w:val="0"/>
                <w:position w:val="0"/>
                <w:sz w:val="24"/>
                <w:szCs w:val="24"/>
                <w:highlight w:val="none"/>
                <w:lang w:val="en-US" w:eastAsia="zh-CN" w:bidi="ar"/>
              </w:rPr>
              <w:t>7.225kg/h，项目颗粒物排放速率为0.0267kg/h，符合要求</w:t>
            </w:r>
            <w:r>
              <w:rPr>
                <w:rFonts w:hint="eastAsia" w:ascii="Arial" w:hAnsi="Arial" w:cs="Arial"/>
                <w:color w:val="auto"/>
                <w:spacing w:val="0"/>
                <w:position w:val="0"/>
                <w:sz w:val="24"/>
                <w:szCs w:val="24"/>
                <w:highlight w:val="none"/>
                <w:lang w:val="en-US" w:eastAsia="zh-CN" w:bidi="ar"/>
              </w:rPr>
              <w:t>，</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由此可知，从项目排气筒拟设置的位置、管径大小及高度等方面分析，项目排气筒设置是合理的。</w:t>
            </w:r>
          </w:p>
          <w:p w14:paraId="3481FD21">
            <w:pPr>
              <w:pStyle w:val="144"/>
              <w:adjustRightInd w:val="0"/>
              <w:snapToGrid w:val="0"/>
              <w:ind w:left="0" w:leftChars="0" w:firstLine="0" w:firstLineChars="0"/>
              <w:rPr>
                <w:b/>
                <w:bCs/>
                <w:color w:val="auto"/>
                <w:highlight w:val="none"/>
              </w:rPr>
            </w:pPr>
            <w:r>
              <w:rPr>
                <w:rFonts w:hint="eastAsia" w:cs="Times New Roman"/>
                <w:b/>
                <w:bCs/>
                <w:i w:val="0"/>
                <w:iCs w:val="0"/>
                <w:caps w:val="0"/>
                <w:color w:val="auto"/>
                <w:spacing w:val="0"/>
                <w:sz w:val="24"/>
                <w:szCs w:val="24"/>
                <w:highlight w:val="none"/>
                <w:shd w:val="clear" w:color="auto" w:fill="FFFFFF"/>
                <w:lang w:val="en-US" w:eastAsia="zh-CN"/>
              </w:rPr>
              <w:t>4.1.7</w:t>
            </w:r>
            <w:r>
              <w:rPr>
                <w:rFonts w:hint="eastAsia"/>
                <w:b/>
                <w:bCs/>
                <w:color w:val="auto"/>
                <w:highlight w:val="none"/>
              </w:rPr>
              <w:t>环境防护距离分析</w:t>
            </w:r>
          </w:p>
          <w:p w14:paraId="40F9E694">
            <w:pPr>
              <w:spacing w:line="360" w:lineRule="auto"/>
              <w:ind w:firstLine="480" w:firstLineChars="200"/>
              <w:rPr>
                <w:rFonts w:hint="eastAsia" w:eastAsia="宋体"/>
                <w:color w:val="auto"/>
                <w:sz w:val="24"/>
                <w:highlight w:val="none"/>
                <w:shd w:val="clear" w:color="auto" w:fill="FFFFFF"/>
                <w:lang w:eastAsia="zh-CN"/>
              </w:rPr>
            </w:pPr>
            <w:r>
              <w:rPr>
                <w:rFonts w:hint="eastAsia"/>
                <w:bCs/>
                <w:color w:val="auto"/>
                <w:sz w:val="24"/>
                <w:highlight w:val="none"/>
              </w:rPr>
              <w:t>根据《建设项目环境影响报告表编制技术指南</w:t>
            </w:r>
            <w:r>
              <w:rPr>
                <w:rFonts w:hint="eastAsia"/>
                <w:bCs/>
                <w:color w:val="auto"/>
                <w:sz w:val="24"/>
                <w:highlight w:val="none"/>
                <w:lang w:eastAsia="zh-CN"/>
              </w:rPr>
              <w:t>（</w:t>
            </w:r>
            <w:r>
              <w:rPr>
                <w:rFonts w:hint="eastAsia"/>
                <w:bCs/>
                <w:color w:val="auto"/>
                <w:sz w:val="24"/>
                <w:highlight w:val="none"/>
              </w:rPr>
              <w:t>污染影响类</w:t>
            </w:r>
            <w:r>
              <w:rPr>
                <w:rFonts w:hint="eastAsia"/>
                <w:bCs/>
                <w:color w:val="auto"/>
                <w:sz w:val="24"/>
                <w:highlight w:val="none"/>
                <w:lang w:eastAsia="zh-CN"/>
              </w:rPr>
              <w:t>）（</w:t>
            </w:r>
            <w:r>
              <w:rPr>
                <w:rFonts w:hint="eastAsia"/>
                <w:bCs/>
                <w:color w:val="auto"/>
                <w:sz w:val="24"/>
                <w:highlight w:val="none"/>
              </w:rPr>
              <w:t>试行</w:t>
            </w:r>
            <w:r>
              <w:rPr>
                <w:rFonts w:hint="eastAsia"/>
                <w:bCs/>
                <w:color w:val="auto"/>
                <w:sz w:val="24"/>
                <w:highlight w:val="none"/>
                <w:lang w:eastAsia="zh-CN"/>
              </w:rPr>
              <w:t>）</w:t>
            </w:r>
            <w:r>
              <w:rPr>
                <w:rFonts w:hint="eastAsia"/>
                <w:bCs/>
                <w:color w:val="auto"/>
                <w:sz w:val="24"/>
                <w:highlight w:val="none"/>
              </w:rPr>
              <w:t>》</w:t>
            </w:r>
            <w:r>
              <w:rPr>
                <w:rFonts w:hint="eastAsia"/>
                <w:bCs/>
                <w:color w:val="auto"/>
                <w:sz w:val="24"/>
                <w:highlight w:val="none"/>
                <w:lang w:eastAsia="zh-CN"/>
              </w:rPr>
              <w:t>（</w:t>
            </w:r>
            <w:r>
              <w:rPr>
                <w:bCs/>
                <w:color w:val="auto"/>
                <w:sz w:val="24"/>
                <w:highlight w:val="none"/>
                <w:lang w:val="zh-CN"/>
              </w:rPr>
              <w:t>环办环评〔2020〕33号</w:t>
            </w:r>
            <w:r>
              <w:rPr>
                <w:rFonts w:hint="eastAsia"/>
                <w:bCs/>
                <w:color w:val="auto"/>
                <w:sz w:val="24"/>
                <w:highlight w:val="none"/>
                <w:lang w:eastAsia="zh-CN"/>
              </w:rPr>
              <w:t>）</w:t>
            </w:r>
            <w:r>
              <w:rPr>
                <w:rFonts w:hint="eastAsia"/>
                <w:bCs/>
                <w:color w:val="auto"/>
                <w:sz w:val="24"/>
                <w:highlight w:val="none"/>
              </w:rPr>
              <w:t>要求可知，</w:t>
            </w:r>
            <w:r>
              <w:rPr>
                <w:rFonts w:hint="eastAsia"/>
                <w:bCs/>
                <w:color w:val="auto"/>
                <w:sz w:val="24"/>
                <w:highlight w:val="none"/>
                <w:lang w:val="en-US" w:eastAsia="zh-CN"/>
              </w:rPr>
              <w:t>未对</w:t>
            </w:r>
            <w:r>
              <w:rPr>
                <w:b/>
                <w:bCs w:val="0"/>
                <w:color w:val="auto"/>
                <w:sz w:val="24"/>
                <w:highlight w:val="none"/>
              </w:rPr>
              <w:t>大气环境防护距离</w:t>
            </w:r>
            <w:r>
              <w:rPr>
                <w:rFonts w:hint="eastAsia"/>
                <w:bCs/>
                <w:color w:val="auto"/>
                <w:sz w:val="24"/>
                <w:highlight w:val="none"/>
              </w:rPr>
              <w:t>进行要求</w:t>
            </w:r>
            <w:r>
              <w:rPr>
                <w:rFonts w:hint="eastAsia"/>
                <w:bCs/>
                <w:color w:val="auto"/>
                <w:sz w:val="24"/>
                <w:highlight w:val="none"/>
                <w:lang w:eastAsia="zh-CN"/>
              </w:rPr>
              <w:t>。</w:t>
            </w:r>
            <w:r>
              <w:rPr>
                <w:rFonts w:hint="eastAsia"/>
                <w:b w:val="0"/>
                <w:bCs w:val="0"/>
                <w:color w:val="auto"/>
                <w:sz w:val="24"/>
                <w:szCs w:val="22"/>
                <w:highlight w:val="none"/>
                <w:lang w:val="en-US" w:eastAsia="zh-CN"/>
              </w:rPr>
              <w:t>结合</w:t>
            </w:r>
            <w:r>
              <w:rPr>
                <w:b w:val="0"/>
                <w:bCs w:val="0"/>
                <w:color w:val="auto"/>
                <w:sz w:val="24"/>
                <w:szCs w:val="22"/>
                <w:highlight w:val="none"/>
              </w:rPr>
              <w:t>环境影响评价网</w:t>
            </w:r>
            <w:r>
              <w:rPr>
                <w:rFonts w:hint="eastAsia"/>
                <w:b w:val="0"/>
                <w:bCs w:val="0"/>
                <w:color w:val="auto"/>
                <w:sz w:val="24"/>
                <w:szCs w:val="22"/>
                <w:highlight w:val="none"/>
                <w:lang w:eastAsia="zh-CN"/>
              </w:rPr>
              <w:t>（</w:t>
            </w:r>
            <w:r>
              <w:rPr>
                <w:b w:val="0"/>
                <w:bCs w:val="0"/>
                <w:color w:val="auto"/>
                <w:sz w:val="24"/>
                <w:szCs w:val="22"/>
                <w:highlight w:val="none"/>
                <w:lang w:val="zh-CN"/>
              </w:rPr>
              <w:t>生态环境部环境工程评估中心</w:t>
            </w:r>
            <w:r>
              <w:rPr>
                <w:rFonts w:hint="eastAsia"/>
                <w:b w:val="0"/>
                <w:bCs w:val="0"/>
                <w:color w:val="auto"/>
                <w:sz w:val="24"/>
                <w:szCs w:val="22"/>
                <w:highlight w:val="none"/>
                <w:lang w:eastAsia="zh-CN"/>
              </w:rPr>
              <w:t>）</w:t>
            </w:r>
            <w:r>
              <w:rPr>
                <w:b w:val="0"/>
                <w:bCs w:val="0"/>
                <w:color w:val="auto"/>
                <w:sz w:val="24"/>
                <w:szCs w:val="22"/>
                <w:highlight w:val="none"/>
              </w:rPr>
              <w:t>关于</w:t>
            </w:r>
            <w:r>
              <w:rPr>
                <w:b w:val="0"/>
                <w:bCs w:val="0"/>
                <w:color w:val="auto"/>
                <w:sz w:val="24"/>
                <w:szCs w:val="22"/>
                <w:highlight w:val="none"/>
                <w:lang w:val="zh-CN"/>
              </w:rPr>
              <w:t>《建设项目环境影响报告表》内容、格式及编制技术指南常见问题解答：</w:t>
            </w:r>
            <w:r>
              <w:rPr>
                <w:rFonts w:hint="eastAsia" w:ascii="Arial" w:hAnsi="Arial" w:eastAsia="宋体" w:cs="Arial"/>
                <w:i w:val="0"/>
                <w:iCs w:val="0"/>
                <w:caps w:val="0"/>
                <w:color w:val="auto"/>
                <w:spacing w:val="0"/>
                <w:sz w:val="24"/>
                <w:szCs w:val="24"/>
                <w:highlight w:val="none"/>
                <w:shd w:val="clear" w:color="auto" w:fill="FFFFFF"/>
                <w:lang w:eastAsia="zh-CN"/>
              </w:rPr>
              <w:t>“</w:t>
            </w:r>
            <w:r>
              <w:rPr>
                <w:color w:val="auto"/>
                <w:sz w:val="24"/>
                <w:highlight w:val="none"/>
                <w:shd w:val="clear" w:color="auto" w:fill="FFFFFF"/>
              </w:rPr>
              <w:t>《建设项目环境影响评价技术导则 总纲》</w:t>
            </w:r>
            <w:r>
              <w:rPr>
                <w:rFonts w:hint="eastAsia"/>
                <w:color w:val="auto"/>
                <w:sz w:val="24"/>
                <w:highlight w:val="none"/>
                <w:shd w:val="clear" w:color="auto" w:fill="FFFFFF"/>
                <w:lang w:eastAsia="zh-CN"/>
              </w:rPr>
              <w:t>（</w:t>
            </w:r>
            <w:r>
              <w:rPr>
                <w:color w:val="auto"/>
                <w:sz w:val="24"/>
                <w:highlight w:val="none"/>
                <w:shd w:val="clear" w:color="auto" w:fill="FFFFFF"/>
              </w:rPr>
              <w:t>HJ2.1-2016</w:t>
            </w:r>
            <w:r>
              <w:rPr>
                <w:rFonts w:hint="eastAsia"/>
                <w:color w:val="auto"/>
                <w:sz w:val="24"/>
                <w:highlight w:val="none"/>
                <w:shd w:val="clear" w:color="auto" w:fill="FFFFFF"/>
                <w:lang w:eastAsia="zh-CN"/>
              </w:rPr>
              <w:t>）</w:t>
            </w:r>
            <w:r>
              <w:rPr>
                <w:color w:val="auto"/>
                <w:sz w:val="24"/>
                <w:highlight w:val="none"/>
                <w:shd w:val="clear" w:color="auto" w:fill="FFFFFF"/>
              </w:rPr>
              <w:t>未对</w:t>
            </w:r>
            <w:r>
              <w:rPr>
                <w:b w:val="0"/>
                <w:bCs w:val="0"/>
                <w:color w:val="auto"/>
                <w:sz w:val="24"/>
                <w:highlight w:val="none"/>
                <w:shd w:val="clear" w:color="auto" w:fill="FFFFFF"/>
              </w:rPr>
              <w:t>卫生防护距离</w:t>
            </w:r>
            <w:r>
              <w:rPr>
                <w:color w:val="auto"/>
                <w:sz w:val="24"/>
                <w:highlight w:val="none"/>
                <w:shd w:val="clear" w:color="auto" w:fill="FFFFFF"/>
              </w:rPr>
              <w:t>提出评价要求，建设项目环境影响报告表编制技术指南</w:t>
            </w:r>
            <w:r>
              <w:rPr>
                <w:rFonts w:hint="eastAsia"/>
                <w:color w:val="auto"/>
                <w:sz w:val="24"/>
                <w:highlight w:val="none"/>
                <w:shd w:val="clear" w:color="auto" w:fill="FFFFFF"/>
                <w:lang w:eastAsia="zh-CN"/>
              </w:rPr>
              <w:t>（</w:t>
            </w:r>
            <w:r>
              <w:rPr>
                <w:color w:val="auto"/>
                <w:sz w:val="24"/>
                <w:highlight w:val="none"/>
                <w:shd w:val="clear" w:color="auto" w:fill="FFFFFF"/>
              </w:rPr>
              <w:t>以下简称技术指南</w:t>
            </w:r>
            <w:r>
              <w:rPr>
                <w:rFonts w:hint="eastAsia"/>
                <w:color w:val="auto"/>
                <w:sz w:val="24"/>
                <w:highlight w:val="none"/>
                <w:shd w:val="clear" w:color="auto" w:fill="FFFFFF"/>
                <w:lang w:eastAsia="zh-CN"/>
              </w:rPr>
              <w:t>）</w:t>
            </w:r>
            <w:r>
              <w:rPr>
                <w:color w:val="auto"/>
                <w:sz w:val="24"/>
                <w:highlight w:val="none"/>
                <w:shd w:val="clear" w:color="auto" w:fill="FFFFFF"/>
              </w:rPr>
              <w:t>不</w:t>
            </w:r>
            <w:r>
              <w:rPr>
                <w:rFonts w:hint="eastAsia"/>
                <w:color w:val="auto"/>
                <w:sz w:val="24"/>
                <w:highlight w:val="none"/>
                <w:shd w:val="clear" w:color="auto" w:fill="FFFFFF"/>
                <w:lang w:eastAsia="zh-CN"/>
              </w:rPr>
              <w:t>作</w:t>
            </w:r>
            <w:r>
              <w:rPr>
                <w:color w:val="auto"/>
                <w:sz w:val="24"/>
                <w:highlight w:val="none"/>
                <w:shd w:val="clear" w:color="auto" w:fill="FFFFFF"/>
              </w:rPr>
              <w:t>要求。对于判定为需要开展大气专项评价的建设项目，根据《环境影响评价技术导则 大气环境》</w:t>
            </w:r>
            <w:r>
              <w:rPr>
                <w:rFonts w:hint="eastAsia"/>
                <w:color w:val="auto"/>
                <w:sz w:val="24"/>
                <w:highlight w:val="none"/>
                <w:shd w:val="clear" w:color="auto" w:fill="FFFFFF"/>
                <w:lang w:eastAsia="zh-CN"/>
              </w:rPr>
              <w:t>（</w:t>
            </w:r>
            <w:r>
              <w:rPr>
                <w:color w:val="auto"/>
                <w:sz w:val="24"/>
                <w:highlight w:val="none"/>
                <w:shd w:val="clear" w:color="auto" w:fill="FFFFFF"/>
              </w:rPr>
              <w:t>HJ2.2-2018</w:t>
            </w:r>
            <w:r>
              <w:rPr>
                <w:rFonts w:hint="eastAsia"/>
                <w:color w:val="auto"/>
                <w:sz w:val="24"/>
                <w:highlight w:val="none"/>
                <w:shd w:val="clear" w:color="auto" w:fill="FFFFFF"/>
                <w:lang w:eastAsia="zh-CN"/>
              </w:rPr>
              <w:t>）</w:t>
            </w:r>
            <w:r>
              <w:rPr>
                <w:color w:val="auto"/>
                <w:sz w:val="24"/>
                <w:highlight w:val="none"/>
                <w:shd w:val="clear" w:color="auto" w:fill="FFFFFF"/>
              </w:rPr>
              <w:t>需要计算</w:t>
            </w:r>
            <w:r>
              <w:rPr>
                <w:b/>
                <w:bCs/>
                <w:color w:val="auto"/>
                <w:sz w:val="24"/>
                <w:highlight w:val="none"/>
                <w:shd w:val="clear" w:color="auto" w:fill="FFFFFF"/>
              </w:rPr>
              <w:t>大气环境防护距离的，应按要求计算</w:t>
            </w:r>
            <w:r>
              <w:rPr>
                <w:color w:val="auto"/>
                <w:sz w:val="24"/>
                <w:highlight w:val="none"/>
                <w:shd w:val="clear" w:color="auto" w:fill="FFFFFF"/>
              </w:rPr>
              <w:t>。</w:t>
            </w:r>
            <w:r>
              <w:rPr>
                <w:rFonts w:hint="eastAsia" w:ascii="Arial" w:hAnsi="Arial" w:eastAsia="Arial" w:cs="Arial"/>
                <w:i w:val="0"/>
                <w:iCs w:val="0"/>
                <w:caps w:val="0"/>
                <w:color w:val="auto"/>
                <w:spacing w:val="0"/>
                <w:sz w:val="24"/>
                <w:szCs w:val="24"/>
                <w:highlight w:val="none"/>
                <w:shd w:val="clear" w:color="auto" w:fill="FFFFFF"/>
              </w:rPr>
              <w:t>判定为不需要设置大气专项的项目，不再要求开展等级判定和模型预测，按照技术指南要求明确环境影响和污染防治措施即可</w:t>
            </w:r>
            <w:r>
              <w:rPr>
                <w:rFonts w:hint="eastAsia" w:ascii="Arial" w:hAnsi="Arial" w:eastAsia="宋体" w:cs="Arial"/>
                <w:i w:val="0"/>
                <w:iCs w:val="0"/>
                <w:caps w:val="0"/>
                <w:color w:val="auto"/>
                <w:spacing w:val="0"/>
                <w:sz w:val="24"/>
                <w:szCs w:val="24"/>
                <w:highlight w:val="none"/>
                <w:shd w:val="clear" w:color="auto" w:fill="FFFFFF"/>
                <w:lang w:eastAsia="zh-CN"/>
              </w:rPr>
              <w:t>”。</w:t>
            </w:r>
          </w:p>
          <w:p w14:paraId="7585799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ottom"/>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pPr>
            <w:r>
              <w:rPr>
                <w:b w:val="0"/>
                <w:bCs w:val="0"/>
                <w:color w:val="auto"/>
                <w:sz w:val="24"/>
                <w:highlight w:val="none"/>
                <w:shd w:val="clear" w:color="auto" w:fill="FFFFFF"/>
              </w:rPr>
              <w:t>本项目不涉及大气专项评价，</w:t>
            </w:r>
            <w:r>
              <w:rPr>
                <w:rFonts w:hint="eastAsia"/>
                <w:b w:val="0"/>
                <w:bCs w:val="0"/>
                <w:color w:val="auto"/>
                <w:sz w:val="24"/>
                <w:highlight w:val="none"/>
                <w:shd w:val="clear" w:color="auto" w:fill="FFFFFF"/>
                <w:lang w:val="en-US" w:eastAsia="zh-CN"/>
              </w:rPr>
              <w:t>本评价不进行</w:t>
            </w:r>
            <w:r>
              <w:rPr>
                <w:rFonts w:hint="eastAsia" w:ascii="Arial" w:hAnsi="Arial" w:eastAsia="Arial" w:cs="Arial"/>
                <w:b w:val="0"/>
                <w:bCs w:val="0"/>
                <w:i w:val="0"/>
                <w:iCs w:val="0"/>
                <w:caps w:val="0"/>
                <w:color w:val="auto"/>
                <w:spacing w:val="0"/>
                <w:sz w:val="24"/>
                <w:szCs w:val="24"/>
                <w:highlight w:val="none"/>
                <w:shd w:val="clear" w:color="auto" w:fill="FFFFFF"/>
              </w:rPr>
              <w:t>开展等级判定和模型预测</w:t>
            </w:r>
            <w:r>
              <w:rPr>
                <w:rFonts w:hint="eastAsia" w:ascii="Arial" w:hAnsi="Arial" w:eastAsia="宋体" w:cs="Arial"/>
                <w:b w:val="0"/>
                <w:bCs w:val="0"/>
                <w:i w:val="0"/>
                <w:iCs w:val="0"/>
                <w:caps w:val="0"/>
                <w:color w:val="auto"/>
                <w:spacing w:val="0"/>
                <w:sz w:val="24"/>
                <w:szCs w:val="24"/>
                <w:highlight w:val="none"/>
                <w:shd w:val="clear" w:color="auto" w:fill="FFFFFF"/>
                <w:lang w:eastAsia="zh-CN"/>
              </w:rPr>
              <w:t>，</w:t>
            </w:r>
            <w:r>
              <w:rPr>
                <w:rFonts w:hint="eastAsia" w:ascii="Arial" w:hAnsi="Arial" w:eastAsia="宋体" w:cs="Arial"/>
                <w:b w:val="0"/>
                <w:bCs w:val="0"/>
                <w:i w:val="0"/>
                <w:iCs w:val="0"/>
                <w:caps w:val="0"/>
                <w:color w:val="auto"/>
                <w:spacing w:val="0"/>
                <w:sz w:val="24"/>
                <w:szCs w:val="24"/>
                <w:highlight w:val="none"/>
                <w:shd w:val="clear" w:color="auto" w:fill="FFFFFF"/>
                <w:lang w:val="en-US" w:eastAsia="zh-CN"/>
              </w:rPr>
              <w:t>因此，</w:t>
            </w:r>
            <w:r>
              <w:rPr>
                <w:rFonts w:hint="eastAsia"/>
                <w:b w:val="0"/>
                <w:bCs w:val="0"/>
                <w:color w:val="auto"/>
                <w:sz w:val="24"/>
                <w:highlight w:val="none"/>
                <w:shd w:val="clear" w:color="auto" w:fill="FFFFFF"/>
                <w:lang w:val="en-US" w:eastAsia="zh-CN"/>
              </w:rPr>
              <w:t>本项目</w:t>
            </w:r>
            <w:r>
              <w:rPr>
                <w:rFonts w:hint="eastAsia" w:ascii="Arial" w:hAnsi="Arial" w:eastAsia="宋体" w:cs="Arial"/>
                <w:b w:val="0"/>
                <w:bCs w:val="0"/>
                <w:i w:val="0"/>
                <w:iCs w:val="0"/>
                <w:caps w:val="0"/>
                <w:color w:val="auto"/>
                <w:spacing w:val="0"/>
                <w:sz w:val="24"/>
                <w:szCs w:val="24"/>
                <w:highlight w:val="none"/>
                <w:shd w:val="clear" w:color="auto" w:fill="FFFFFF"/>
                <w:lang w:val="en-US" w:eastAsia="zh-CN"/>
              </w:rPr>
              <w:t>不计算</w:t>
            </w:r>
            <w:r>
              <w:rPr>
                <w:b w:val="0"/>
                <w:bCs w:val="0"/>
                <w:color w:val="auto"/>
                <w:sz w:val="24"/>
                <w:highlight w:val="none"/>
                <w:shd w:val="clear" w:color="auto" w:fill="FFFFFF"/>
              </w:rPr>
              <w:t>大气环境防护距离</w:t>
            </w:r>
            <w:r>
              <w:rPr>
                <w:rFonts w:hint="eastAsia"/>
                <w:b w:val="0"/>
                <w:bCs w:val="0"/>
                <w:color w:val="auto"/>
                <w:sz w:val="24"/>
                <w:highlight w:val="none"/>
                <w:shd w:val="clear" w:color="auto" w:fill="FFFFFF"/>
                <w:lang w:eastAsia="zh-CN"/>
              </w:rPr>
              <w:t>。</w:t>
            </w:r>
            <w:r>
              <w:rPr>
                <w:rFonts w:hint="eastAsia" w:ascii="Times New Roman" w:hAnsi="Times New Roman" w:eastAsia="宋体" w:cs="Times New Roman"/>
                <w:b w:val="0"/>
                <w:bCs w:val="0"/>
                <w:color w:val="auto"/>
                <w:sz w:val="24"/>
                <w:highlight w:val="none"/>
                <w:shd w:val="clear" w:color="auto" w:fill="FFFFFF"/>
                <w:lang w:val="en-US" w:eastAsia="zh-CN"/>
              </w:rPr>
              <w:t>在企业落实有效的废气收集、处理措施的前提下，项目排放的废气对周边环境保护目标的影响很小，因此，</w:t>
            </w:r>
            <w:r>
              <w:rPr>
                <w:rFonts w:hint="eastAsia" w:ascii="Times New Roman" w:hAnsi="Times New Roman" w:eastAsia="宋体" w:cs="Times New Roman"/>
                <w:b/>
                <w:bCs/>
                <w:color w:val="auto"/>
                <w:sz w:val="24"/>
                <w:highlight w:val="none"/>
                <w:shd w:val="clear" w:color="auto" w:fill="FFFFFF"/>
                <w:lang w:val="en-US" w:eastAsia="zh-CN"/>
              </w:rPr>
              <w:t>本项目不设置大气环境防护距离</w:t>
            </w:r>
            <w:r>
              <w:rPr>
                <w:rFonts w:hint="eastAsia" w:ascii="Times New Roman" w:hAnsi="Times New Roman" w:eastAsia="宋体" w:cs="Times New Roman"/>
                <w:b w:val="0"/>
                <w:bCs w:val="0"/>
                <w:color w:val="auto"/>
                <w:sz w:val="24"/>
                <w:highlight w:val="none"/>
                <w:shd w:val="clear" w:color="auto" w:fill="FFFFFF"/>
                <w:lang w:val="en-US" w:eastAsia="zh-CN"/>
              </w:rPr>
              <w:t>。</w:t>
            </w:r>
          </w:p>
          <w:p w14:paraId="48143394">
            <w:pPr>
              <w:pStyle w:val="63"/>
              <w:keepNext w:val="0"/>
              <w:keepLines w:val="0"/>
              <w:pageBreakBefore w:val="0"/>
              <w:kinsoku/>
              <w:wordWrap/>
              <w:overflowPunct/>
              <w:topLinePunct w:val="0"/>
              <w:autoSpaceDE/>
              <w:autoSpaceDN/>
              <w:bidi w:val="0"/>
              <w:spacing w:line="356" w:lineRule="auto"/>
              <w:ind w:left="0" w:leftChars="0" w:firstLine="0" w:firstLineChars="0"/>
              <w:textAlignment w:val="auto"/>
              <w:rPr>
                <w:rFonts w:ascii="Times New Roman" w:hAnsi="Times New Roman" w:eastAsia="宋体" w:cs="Times New Roman"/>
                <w:b/>
                <w:bCs/>
                <w:color w:val="auto"/>
                <w:spacing w:val="0"/>
                <w:position w:val="0"/>
                <w:highlight w:val="none"/>
              </w:rPr>
            </w:pPr>
            <w:r>
              <w:rPr>
                <w:rFonts w:hint="eastAsia" w:ascii="Times New Roman" w:hAnsi="Times New Roman" w:eastAsia="宋体" w:cs="Times New Roman"/>
                <w:b/>
                <w:bCs/>
                <w:color w:val="auto"/>
                <w:spacing w:val="0"/>
                <w:position w:val="0"/>
                <w:highlight w:val="none"/>
                <w:lang w:val="en-US" w:eastAsia="zh-CN"/>
              </w:rPr>
              <w:t>4.1.</w:t>
            </w:r>
            <w:r>
              <w:rPr>
                <w:rFonts w:hint="eastAsia" w:cs="Times New Roman"/>
                <w:b/>
                <w:bCs/>
                <w:color w:val="auto"/>
                <w:spacing w:val="0"/>
                <w:position w:val="0"/>
                <w:highlight w:val="none"/>
                <w:lang w:val="en-US" w:eastAsia="zh-CN"/>
              </w:rPr>
              <w:t>8</w:t>
            </w:r>
            <w:r>
              <w:rPr>
                <w:rFonts w:hint="eastAsia" w:ascii="Times New Roman" w:hAnsi="Times New Roman" w:eastAsia="宋体" w:cs="Times New Roman"/>
                <w:b/>
                <w:bCs/>
                <w:color w:val="auto"/>
                <w:spacing w:val="0"/>
                <w:position w:val="0"/>
                <w:highlight w:val="none"/>
              </w:rPr>
              <w:t>废气污染物监测要求</w:t>
            </w:r>
          </w:p>
          <w:p w14:paraId="4B0719C6">
            <w:pPr>
              <w:pStyle w:val="63"/>
              <w:keepNext w:val="0"/>
              <w:keepLines w:val="0"/>
              <w:pageBreakBefore w:val="0"/>
              <w:kinsoku/>
              <w:wordWrap/>
              <w:overflowPunct/>
              <w:topLinePunct w:val="0"/>
              <w:autoSpaceDE/>
              <w:autoSpaceDN/>
              <w:bidi w:val="0"/>
              <w:spacing w:line="356" w:lineRule="auto"/>
              <w:ind w:firstLine="480"/>
              <w:textAlignment w:val="auto"/>
              <w:rPr>
                <w:rFonts w:ascii="Times New Roman" w:hAnsi="Times New Roman" w:eastAsia="宋体" w:cs="Times New Roman"/>
                <w:color w:val="auto"/>
                <w:spacing w:val="0"/>
                <w:position w:val="0"/>
                <w:highlight w:val="none"/>
              </w:rPr>
            </w:pPr>
            <w:r>
              <w:rPr>
                <w:rFonts w:hint="eastAsia" w:ascii="Times New Roman" w:hAnsi="Times New Roman" w:eastAsia="宋体" w:cs="Times New Roman"/>
                <w:color w:val="auto"/>
                <w:spacing w:val="0"/>
                <w:position w:val="0"/>
                <w:highlight w:val="none"/>
              </w:rPr>
              <w:t>对照中华人民共和国生态环境部令第11号《固定污染源排污许可分类管理名录（2019年版）》可知，本项目属于登记管理类，无自行监测管理要求。根据《排污单位自行监测技术指南 总则》（HJ 819-2017）及《排污单位自行监测技术指南 涂装》（HJ 1086-2020）</w:t>
            </w:r>
            <w:r>
              <w:rPr>
                <w:rFonts w:hint="eastAsia" w:ascii="Times New Roman" w:hAnsi="Times New Roman" w:eastAsia="宋体" w:cs="宋体"/>
                <w:color w:val="auto"/>
                <w:kern w:val="0"/>
                <w:sz w:val="24"/>
                <w:szCs w:val="24"/>
                <w:highlight w:val="none"/>
                <w:lang w:val="en-US" w:eastAsia="zh-CN" w:bidi="ar"/>
              </w:rPr>
              <w:t>、</w:t>
            </w:r>
            <w:r>
              <w:rPr>
                <w:rFonts w:hint="eastAsia" w:ascii="Times New Roman" w:hAnsi="Times New Roman" w:eastAsia="宋体" w:cs="Times New Roman"/>
                <w:b w:val="0"/>
                <w:bCs w:val="0"/>
                <w:color w:val="auto"/>
                <w:sz w:val="24"/>
                <w:szCs w:val="24"/>
                <w:highlight w:val="none"/>
                <w:shd w:val="clear" w:color="auto" w:fill="auto"/>
                <w:lang w:eastAsia="zh-CN"/>
              </w:rPr>
              <w:t>《排污许可证申请与核发技术规范 家具制造工业》（HJ 1027-2019）</w:t>
            </w:r>
            <w:r>
              <w:rPr>
                <w:rFonts w:hint="eastAsia" w:ascii="Times New Roman" w:hAnsi="Times New Roman" w:eastAsia="宋体" w:cs="Times New Roman"/>
                <w:color w:val="auto"/>
                <w:spacing w:val="0"/>
                <w:position w:val="0"/>
                <w:highlight w:val="none"/>
                <w:lang w:eastAsia="zh-CN"/>
              </w:rPr>
              <w:t>，</w:t>
            </w:r>
            <w:r>
              <w:rPr>
                <w:rFonts w:hint="eastAsia" w:ascii="Times New Roman" w:hAnsi="Times New Roman" w:eastAsia="宋体" w:cs="Times New Roman"/>
                <w:color w:val="auto"/>
                <w:spacing w:val="0"/>
                <w:position w:val="0"/>
                <w:highlight w:val="none"/>
              </w:rPr>
              <w:t>项目废气监测点位、监测因子、监测频次等要求见表4</w:t>
            </w:r>
            <w:r>
              <w:rPr>
                <w:rFonts w:hint="eastAsia" w:ascii="Times New Roman" w:hAnsi="Times New Roman" w:eastAsia="宋体" w:cs="Times New Roman"/>
                <w:color w:val="auto"/>
                <w:spacing w:val="0"/>
                <w:position w:val="0"/>
                <w:highlight w:val="none"/>
                <w:lang w:val="en-US" w:eastAsia="zh-CN"/>
              </w:rPr>
              <w:t>.1</w:t>
            </w:r>
            <w:r>
              <w:rPr>
                <w:rFonts w:hint="eastAsia" w:cs="Times New Roman"/>
                <w:color w:val="auto"/>
                <w:spacing w:val="0"/>
                <w:position w:val="0"/>
                <w:highlight w:val="none"/>
                <w:lang w:val="en-US" w:eastAsia="zh-CN"/>
              </w:rPr>
              <w:t>.1</w:t>
            </w:r>
            <w:r>
              <w:rPr>
                <w:rFonts w:hint="eastAsia" w:ascii="Times New Roman" w:hAnsi="Times New Roman" w:eastAsia="宋体" w:cs="Times New Roman"/>
                <w:color w:val="auto"/>
                <w:spacing w:val="0"/>
                <w:position w:val="0"/>
                <w:highlight w:val="none"/>
                <w:lang w:val="en-US" w:eastAsia="zh-CN"/>
              </w:rPr>
              <w:t>-</w:t>
            </w:r>
            <w:r>
              <w:rPr>
                <w:rFonts w:hint="eastAsia" w:cs="Times New Roman"/>
                <w:color w:val="auto"/>
                <w:spacing w:val="0"/>
                <w:position w:val="0"/>
                <w:highlight w:val="none"/>
                <w:lang w:val="en-US" w:eastAsia="zh-CN"/>
              </w:rPr>
              <w:t>8</w:t>
            </w:r>
            <w:r>
              <w:rPr>
                <w:rFonts w:hint="eastAsia" w:ascii="Times New Roman" w:hAnsi="Times New Roman" w:eastAsia="宋体" w:cs="Times New Roman"/>
                <w:color w:val="auto"/>
                <w:spacing w:val="0"/>
                <w:position w:val="0"/>
                <w:highlight w:val="none"/>
              </w:rPr>
              <w:t>。</w:t>
            </w:r>
          </w:p>
          <w:p w14:paraId="00A2D7C6">
            <w:pPr>
              <w:spacing w:line="240" w:lineRule="auto"/>
              <w:ind w:firstLine="0" w:firstLineChars="0"/>
              <w:jc w:val="center"/>
              <w:rPr>
                <w:b/>
                <w:bCs/>
                <w:color w:val="auto"/>
                <w:sz w:val="24"/>
                <w:szCs w:val="24"/>
                <w:highlight w:val="none"/>
              </w:rPr>
            </w:pPr>
            <w:r>
              <w:rPr>
                <w:rFonts w:hint="eastAsia" w:ascii="Times New Roman" w:hAnsi="Times New Roman" w:eastAsia="宋体" w:cs="Times New Roman"/>
                <w:b/>
                <w:color w:val="auto"/>
                <w:spacing w:val="0"/>
                <w:position w:val="0"/>
                <w:sz w:val="24"/>
                <w:szCs w:val="24"/>
                <w:highlight w:val="none"/>
              </w:rPr>
              <w:t>表</w:t>
            </w:r>
            <w:r>
              <w:rPr>
                <w:rFonts w:ascii="Times New Roman" w:hAnsi="Times New Roman" w:eastAsia="宋体" w:cs="Times New Roman"/>
                <w:b/>
                <w:color w:val="auto"/>
                <w:spacing w:val="0"/>
                <w:position w:val="0"/>
                <w:sz w:val="24"/>
                <w:szCs w:val="24"/>
                <w:highlight w:val="none"/>
              </w:rPr>
              <w:t>4</w:t>
            </w:r>
            <w:r>
              <w:rPr>
                <w:rFonts w:hint="eastAsia" w:ascii="Times New Roman" w:hAnsi="Times New Roman" w:eastAsia="宋体" w:cs="Times New Roman"/>
                <w:b/>
                <w:color w:val="auto"/>
                <w:spacing w:val="0"/>
                <w:position w:val="0"/>
                <w:sz w:val="24"/>
                <w:szCs w:val="24"/>
                <w:highlight w:val="none"/>
                <w:lang w:val="en-US" w:eastAsia="zh-CN"/>
              </w:rPr>
              <w:t>.1</w:t>
            </w:r>
            <w:r>
              <w:rPr>
                <w:rFonts w:hint="eastAsia" w:cs="Times New Roman"/>
                <w:b/>
                <w:color w:val="auto"/>
                <w:spacing w:val="0"/>
                <w:position w:val="0"/>
                <w:sz w:val="24"/>
                <w:szCs w:val="24"/>
                <w:highlight w:val="none"/>
                <w:lang w:val="en-US" w:eastAsia="zh-CN"/>
              </w:rPr>
              <w:t>.1</w:t>
            </w:r>
            <w:r>
              <w:rPr>
                <w:rFonts w:hint="eastAsia" w:ascii="Times New Roman" w:hAnsi="Times New Roman" w:eastAsia="宋体" w:cs="Times New Roman"/>
                <w:b/>
                <w:color w:val="auto"/>
                <w:spacing w:val="0"/>
                <w:position w:val="0"/>
                <w:sz w:val="24"/>
                <w:szCs w:val="24"/>
                <w:highlight w:val="none"/>
                <w:lang w:val="en-US" w:eastAsia="zh-CN"/>
              </w:rPr>
              <w:t>-</w:t>
            </w:r>
            <w:r>
              <w:rPr>
                <w:rFonts w:hint="eastAsia" w:cs="Times New Roman"/>
                <w:b/>
                <w:color w:val="auto"/>
                <w:spacing w:val="0"/>
                <w:position w:val="0"/>
                <w:sz w:val="24"/>
                <w:szCs w:val="24"/>
                <w:highlight w:val="none"/>
                <w:lang w:val="en-US" w:eastAsia="zh-CN"/>
              </w:rPr>
              <w:t>8</w:t>
            </w:r>
            <w:r>
              <w:rPr>
                <w:rFonts w:hint="eastAsia" w:ascii="Times New Roman" w:hAnsi="Times New Roman" w:eastAsia="宋体" w:cs="Times New Roman"/>
                <w:b/>
                <w:color w:val="auto"/>
                <w:spacing w:val="0"/>
                <w:position w:val="0"/>
                <w:sz w:val="24"/>
                <w:szCs w:val="24"/>
                <w:highlight w:val="none"/>
              </w:rPr>
              <w:t xml:space="preserve"> 废气</w:t>
            </w:r>
            <w:r>
              <w:rPr>
                <w:b/>
                <w:bCs/>
                <w:color w:val="auto"/>
                <w:sz w:val="24"/>
                <w:szCs w:val="24"/>
                <w:highlight w:val="none"/>
              </w:rPr>
              <w:t>监测计划一览表</w:t>
            </w:r>
          </w:p>
          <w:tbl>
            <w:tblPr>
              <w:tblStyle w:val="29"/>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7"/>
              <w:gridCol w:w="609"/>
              <w:gridCol w:w="1101"/>
              <w:gridCol w:w="1643"/>
              <w:gridCol w:w="914"/>
              <w:gridCol w:w="3668"/>
            </w:tblGrid>
            <w:tr w14:paraId="5EDBE1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77" w:type="dxa"/>
                  <w:tcBorders>
                    <w:tl2br w:val="nil"/>
                    <w:tr2bl w:val="nil"/>
                  </w:tcBorders>
                  <w:noWrap w:val="0"/>
                  <w:vAlign w:val="center"/>
                </w:tcPr>
                <w:p w14:paraId="452A985F">
                  <w:pPr>
                    <w:topLinePunct/>
                    <w:spacing w:line="300" w:lineRule="exact"/>
                    <w:ind w:firstLine="0" w:firstLineChars="0"/>
                    <w:jc w:val="center"/>
                    <w:rPr>
                      <w:b/>
                      <w:bCs/>
                      <w:color w:val="auto"/>
                      <w:sz w:val="21"/>
                      <w:szCs w:val="21"/>
                      <w:highlight w:val="none"/>
                    </w:rPr>
                  </w:pPr>
                  <w:r>
                    <w:rPr>
                      <w:b/>
                      <w:bCs/>
                      <w:color w:val="auto"/>
                      <w:sz w:val="21"/>
                      <w:szCs w:val="21"/>
                      <w:highlight w:val="none"/>
                    </w:rPr>
                    <w:t>污染源名称</w:t>
                  </w:r>
                </w:p>
              </w:tc>
              <w:tc>
                <w:tcPr>
                  <w:tcW w:w="1710" w:type="dxa"/>
                  <w:gridSpan w:val="2"/>
                  <w:tcBorders>
                    <w:tl2br w:val="nil"/>
                    <w:tr2bl w:val="nil"/>
                  </w:tcBorders>
                  <w:noWrap w:val="0"/>
                  <w:vAlign w:val="center"/>
                </w:tcPr>
                <w:p w14:paraId="577DE048">
                  <w:pPr>
                    <w:topLinePunct/>
                    <w:spacing w:line="300" w:lineRule="exact"/>
                    <w:ind w:firstLine="0" w:firstLineChars="0"/>
                    <w:jc w:val="center"/>
                    <w:rPr>
                      <w:b/>
                      <w:bCs/>
                      <w:color w:val="auto"/>
                      <w:sz w:val="21"/>
                      <w:szCs w:val="21"/>
                      <w:highlight w:val="none"/>
                    </w:rPr>
                  </w:pPr>
                  <w:r>
                    <w:rPr>
                      <w:b/>
                      <w:bCs/>
                      <w:color w:val="auto"/>
                      <w:sz w:val="21"/>
                      <w:szCs w:val="21"/>
                      <w:highlight w:val="none"/>
                    </w:rPr>
                    <w:t>监测位置</w:t>
                  </w:r>
                </w:p>
              </w:tc>
              <w:tc>
                <w:tcPr>
                  <w:tcW w:w="1643" w:type="dxa"/>
                  <w:tcBorders>
                    <w:tl2br w:val="nil"/>
                    <w:tr2bl w:val="nil"/>
                  </w:tcBorders>
                  <w:noWrap w:val="0"/>
                  <w:vAlign w:val="center"/>
                </w:tcPr>
                <w:p w14:paraId="79B146FC">
                  <w:pPr>
                    <w:topLinePunct/>
                    <w:spacing w:line="300" w:lineRule="exact"/>
                    <w:ind w:firstLine="0" w:firstLineChars="0"/>
                    <w:jc w:val="center"/>
                    <w:rPr>
                      <w:b/>
                      <w:bCs/>
                      <w:color w:val="auto"/>
                      <w:sz w:val="21"/>
                      <w:szCs w:val="21"/>
                      <w:highlight w:val="none"/>
                    </w:rPr>
                  </w:pPr>
                  <w:r>
                    <w:rPr>
                      <w:b/>
                      <w:bCs/>
                      <w:color w:val="auto"/>
                      <w:sz w:val="21"/>
                      <w:szCs w:val="21"/>
                      <w:highlight w:val="none"/>
                    </w:rPr>
                    <w:t>监测指标</w:t>
                  </w:r>
                </w:p>
              </w:tc>
              <w:tc>
                <w:tcPr>
                  <w:tcW w:w="914" w:type="dxa"/>
                  <w:tcBorders>
                    <w:tl2br w:val="nil"/>
                    <w:tr2bl w:val="nil"/>
                  </w:tcBorders>
                  <w:noWrap w:val="0"/>
                  <w:vAlign w:val="center"/>
                </w:tcPr>
                <w:p w14:paraId="0AB85FD8">
                  <w:pPr>
                    <w:topLinePunct/>
                    <w:spacing w:line="300" w:lineRule="exact"/>
                    <w:ind w:firstLine="0" w:firstLineChars="0"/>
                    <w:jc w:val="center"/>
                    <w:rPr>
                      <w:b/>
                      <w:bCs/>
                      <w:color w:val="auto"/>
                      <w:sz w:val="21"/>
                      <w:szCs w:val="21"/>
                      <w:highlight w:val="none"/>
                    </w:rPr>
                  </w:pPr>
                  <w:r>
                    <w:rPr>
                      <w:b/>
                      <w:bCs/>
                      <w:color w:val="auto"/>
                      <w:sz w:val="21"/>
                      <w:szCs w:val="21"/>
                      <w:highlight w:val="none"/>
                    </w:rPr>
                    <w:t>监测</w:t>
                  </w:r>
                </w:p>
                <w:p w14:paraId="7D876CFD">
                  <w:pPr>
                    <w:topLinePunct/>
                    <w:spacing w:line="300" w:lineRule="exact"/>
                    <w:ind w:firstLine="0" w:firstLineChars="0"/>
                    <w:jc w:val="center"/>
                    <w:rPr>
                      <w:b/>
                      <w:bCs/>
                      <w:color w:val="auto"/>
                      <w:sz w:val="21"/>
                      <w:szCs w:val="21"/>
                      <w:highlight w:val="none"/>
                    </w:rPr>
                  </w:pPr>
                  <w:r>
                    <w:rPr>
                      <w:b/>
                      <w:bCs/>
                      <w:color w:val="auto"/>
                      <w:sz w:val="21"/>
                      <w:szCs w:val="21"/>
                      <w:highlight w:val="none"/>
                    </w:rPr>
                    <w:t>频次</w:t>
                  </w:r>
                </w:p>
              </w:tc>
              <w:tc>
                <w:tcPr>
                  <w:tcW w:w="3668" w:type="dxa"/>
                  <w:tcBorders>
                    <w:tl2br w:val="nil"/>
                    <w:tr2bl w:val="nil"/>
                  </w:tcBorders>
                  <w:noWrap w:val="0"/>
                  <w:vAlign w:val="center"/>
                </w:tcPr>
                <w:p w14:paraId="3678F953">
                  <w:pPr>
                    <w:topLinePunct/>
                    <w:spacing w:line="300" w:lineRule="exact"/>
                    <w:ind w:firstLine="0" w:firstLineChars="0"/>
                    <w:jc w:val="center"/>
                    <w:rPr>
                      <w:b/>
                      <w:bCs/>
                      <w:color w:val="auto"/>
                      <w:sz w:val="21"/>
                      <w:szCs w:val="21"/>
                      <w:highlight w:val="none"/>
                    </w:rPr>
                  </w:pPr>
                  <w:r>
                    <w:rPr>
                      <w:b/>
                      <w:bCs/>
                      <w:color w:val="auto"/>
                      <w:sz w:val="21"/>
                      <w:szCs w:val="21"/>
                      <w:highlight w:val="none"/>
                    </w:rPr>
                    <w:t>执行标准</w:t>
                  </w:r>
                </w:p>
              </w:tc>
            </w:tr>
            <w:tr w14:paraId="4F16E6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dxa"/>
                  <w:vMerge w:val="restart"/>
                  <w:tcBorders>
                    <w:tl2br w:val="nil"/>
                    <w:tr2bl w:val="nil"/>
                  </w:tcBorders>
                  <w:noWrap w:val="0"/>
                  <w:vAlign w:val="center"/>
                </w:tcPr>
                <w:p w14:paraId="0DB64F58">
                  <w:pPr>
                    <w:topLinePunct/>
                    <w:spacing w:line="300" w:lineRule="exact"/>
                    <w:ind w:firstLine="0" w:firstLineChars="0"/>
                    <w:jc w:val="center"/>
                    <w:rPr>
                      <w:color w:val="auto"/>
                      <w:sz w:val="21"/>
                      <w:szCs w:val="21"/>
                      <w:highlight w:val="none"/>
                    </w:rPr>
                  </w:pPr>
                  <w:r>
                    <w:rPr>
                      <w:color w:val="auto"/>
                      <w:sz w:val="21"/>
                      <w:szCs w:val="21"/>
                      <w:highlight w:val="none"/>
                    </w:rPr>
                    <w:t>有组织</w:t>
                  </w:r>
                </w:p>
              </w:tc>
              <w:tc>
                <w:tcPr>
                  <w:tcW w:w="1710" w:type="dxa"/>
                  <w:gridSpan w:val="2"/>
                  <w:vMerge w:val="restart"/>
                  <w:tcBorders>
                    <w:tl2br w:val="nil"/>
                    <w:tr2bl w:val="nil"/>
                  </w:tcBorders>
                  <w:noWrap w:val="0"/>
                  <w:vAlign w:val="center"/>
                </w:tcPr>
                <w:p w14:paraId="061E5B0C">
                  <w:pPr>
                    <w:spacing w:line="300" w:lineRule="exact"/>
                    <w:ind w:firstLine="0" w:firstLineChars="0"/>
                    <w:jc w:val="center"/>
                    <w:rPr>
                      <w:color w:val="auto"/>
                      <w:sz w:val="21"/>
                      <w:szCs w:val="21"/>
                      <w:highlight w:val="none"/>
                    </w:rPr>
                  </w:pPr>
                  <w:r>
                    <w:rPr>
                      <w:rFonts w:hint="eastAsia"/>
                      <w:color w:val="auto"/>
                      <w:sz w:val="21"/>
                      <w:szCs w:val="21"/>
                      <w:highlight w:val="none"/>
                    </w:rPr>
                    <w:t>调漆、</w:t>
                  </w:r>
                  <w:r>
                    <w:rPr>
                      <w:color w:val="auto"/>
                      <w:sz w:val="21"/>
                      <w:szCs w:val="21"/>
                      <w:highlight w:val="none"/>
                    </w:rPr>
                    <w:t>喷漆</w:t>
                  </w:r>
                  <w:r>
                    <w:rPr>
                      <w:snapToGrid w:val="0"/>
                      <w:color w:val="auto"/>
                      <w:kern w:val="0"/>
                      <w:sz w:val="21"/>
                      <w:szCs w:val="21"/>
                      <w:highlight w:val="none"/>
                    </w:rPr>
                    <w:t>及晾干</w:t>
                  </w:r>
                  <w:r>
                    <w:rPr>
                      <w:color w:val="auto"/>
                      <w:sz w:val="21"/>
                      <w:szCs w:val="21"/>
                      <w:highlight w:val="none"/>
                    </w:rPr>
                    <w:t>废气DA00</w:t>
                  </w:r>
                  <w:r>
                    <w:rPr>
                      <w:rFonts w:hint="eastAsia"/>
                      <w:color w:val="auto"/>
                      <w:sz w:val="21"/>
                      <w:szCs w:val="21"/>
                      <w:highlight w:val="none"/>
                      <w:lang w:val="en-US" w:eastAsia="zh-CN"/>
                    </w:rPr>
                    <w:t>1</w:t>
                  </w:r>
                  <w:r>
                    <w:rPr>
                      <w:color w:val="auto"/>
                      <w:sz w:val="21"/>
                      <w:szCs w:val="21"/>
                      <w:highlight w:val="none"/>
                    </w:rPr>
                    <w:t>出口</w:t>
                  </w:r>
                </w:p>
              </w:tc>
              <w:tc>
                <w:tcPr>
                  <w:tcW w:w="1643" w:type="dxa"/>
                  <w:tcBorders>
                    <w:tl2br w:val="nil"/>
                    <w:tr2bl w:val="nil"/>
                  </w:tcBorders>
                  <w:noWrap w:val="0"/>
                  <w:vAlign w:val="center"/>
                </w:tcPr>
                <w:p w14:paraId="41FFDCA6">
                  <w:pPr>
                    <w:topLinePunct/>
                    <w:spacing w:line="300" w:lineRule="exact"/>
                    <w:ind w:firstLine="0" w:firstLineChars="0"/>
                    <w:jc w:val="center"/>
                    <w:rPr>
                      <w:color w:val="auto"/>
                      <w:sz w:val="21"/>
                      <w:szCs w:val="21"/>
                      <w:highlight w:val="none"/>
                    </w:rPr>
                  </w:pPr>
                  <w:r>
                    <w:rPr>
                      <w:color w:val="auto"/>
                      <w:sz w:val="21"/>
                      <w:szCs w:val="21"/>
                      <w:highlight w:val="none"/>
                    </w:rPr>
                    <w:t>非甲烷总烃、</w:t>
                  </w:r>
                  <w:r>
                    <w:rPr>
                      <w:rFonts w:hint="eastAsia"/>
                      <w:color w:val="auto"/>
                      <w:sz w:val="21"/>
                      <w:szCs w:val="21"/>
                      <w:highlight w:val="none"/>
                      <w:lang w:val="en-US" w:eastAsia="zh-CN"/>
                    </w:rPr>
                    <w:t>二甲苯</w:t>
                  </w:r>
                  <w:r>
                    <w:rPr>
                      <w:color w:val="auto"/>
                      <w:sz w:val="21"/>
                      <w:szCs w:val="21"/>
                      <w:highlight w:val="none"/>
                    </w:rPr>
                    <w:t>、</w:t>
                  </w:r>
                  <w:r>
                    <w:rPr>
                      <w:rFonts w:hint="eastAsia"/>
                      <w:color w:val="auto"/>
                      <w:sz w:val="21"/>
                      <w:szCs w:val="21"/>
                      <w:highlight w:val="none"/>
                      <w:lang w:val="en-US" w:eastAsia="zh-CN"/>
                    </w:rPr>
                    <w:t>苯系物、</w:t>
                  </w:r>
                  <w:r>
                    <w:rPr>
                      <w:rFonts w:hint="eastAsia"/>
                      <w:color w:val="auto"/>
                      <w:sz w:val="21"/>
                      <w:szCs w:val="21"/>
                      <w:highlight w:val="none"/>
                    </w:rPr>
                    <w:t>乙酸乙酯与乙酸丁酯合计</w:t>
                  </w:r>
                </w:p>
              </w:tc>
              <w:tc>
                <w:tcPr>
                  <w:tcW w:w="914" w:type="dxa"/>
                  <w:vMerge w:val="restart"/>
                  <w:tcBorders>
                    <w:tl2br w:val="nil"/>
                    <w:tr2bl w:val="nil"/>
                  </w:tcBorders>
                  <w:noWrap w:val="0"/>
                  <w:vAlign w:val="center"/>
                </w:tcPr>
                <w:p w14:paraId="02EF1F0C">
                  <w:pPr>
                    <w:topLinePunct/>
                    <w:spacing w:line="300" w:lineRule="exact"/>
                    <w:ind w:firstLine="0" w:firstLineChars="0"/>
                    <w:jc w:val="center"/>
                    <w:rPr>
                      <w:color w:val="auto"/>
                      <w:sz w:val="21"/>
                      <w:szCs w:val="21"/>
                      <w:highlight w:val="none"/>
                    </w:rPr>
                  </w:pPr>
                  <w:r>
                    <w:rPr>
                      <w:color w:val="auto"/>
                      <w:sz w:val="21"/>
                      <w:szCs w:val="21"/>
                      <w:highlight w:val="none"/>
                    </w:rPr>
                    <w:t>1次/年</w:t>
                  </w:r>
                </w:p>
              </w:tc>
              <w:tc>
                <w:tcPr>
                  <w:tcW w:w="3668" w:type="dxa"/>
                  <w:tcBorders>
                    <w:tl2br w:val="nil"/>
                    <w:tr2bl w:val="nil"/>
                  </w:tcBorders>
                  <w:noWrap w:val="0"/>
                  <w:vAlign w:val="center"/>
                </w:tcPr>
                <w:p w14:paraId="18B259FA">
                  <w:pPr>
                    <w:adjustRightInd w:val="0"/>
                    <w:snapToGrid w:val="0"/>
                    <w:spacing w:line="300" w:lineRule="exact"/>
                    <w:ind w:firstLine="0" w:firstLineChars="0"/>
                    <w:jc w:val="center"/>
                    <w:rPr>
                      <w:color w:val="auto"/>
                      <w:sz w:val="21"/>
                      <w:szCs w:val="21"/>
                      <w:highlight w:val="none"/>
                    </w:rPr>
                  </w:pPr>
                  <w:r>
                    <w:rPr>
                      <w:color w:val="auto"/>
                      <w:sz w:val="21"/>
                      <w:szCs w:val="21"/>
                      <w:highlight w:val="none"/>
                    </w:rPr>
                    <w:t>《工业涂装工序挥发性有机物</w:t>
                  </w:r>
                </w:p>
                <w:p w14:paraId="799AA5EE">
                  <w:pPr>
                    <w:adjustRightInd w:val="0"/>
                    <w:snapToGrid w:val="0"/>
                    <w:spacing w:line="300" w:lineRule="exact"/>
                    <w:ind w:firstLine="0" w:firstLineChars="0"/>
                    <w:jc w:val="center"/>
                    <w:rPr>
                      <w:color w:val="auto"/>
                      <w:kern w:val="0"/>
                      <w:sz w:val="21"/>
                      <w:szCs w:val="21"/>
                      <w:highlight w:val="none"/>
                      <w:lang w:bidi="ar"/>
                    </w:rPr>
                  </w:pPr>
                  <w:r>
                    <w:rPr>
                      <w:color w:val="auto"/>
                      <w:sz w:val="21"/>
                      <w:szCs w:val="21"/>
                      <w:highlight w:val="none"/>
                    </w:rPr>
                    <w:t>排放标准》（DB35/1783-2018）表1涉涂装工序的其它行业</w:t>
                  </w:r>
                  <w:r>
                    <w:rPr>
                      <w:rFonts w:hint="eastAsia"/>
                      <w:color w:val="auto"/>
                      <w:sz w:val="21"/>
                      <w:szCs w:val="21"/>
                      <w:highlight w:val="none"/>
                    </w:rPr>
                    <w:t>限值</w:t>
                  </w:r>
                </w:p>
              </w:tc>
            </w:tr>
            <w:tr w14:paraId="67153C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dxa"/>
                  <w:vMerge w:val="continue"/>
                  <w:tcBorders>
                    <w:tl2br w:val="nil"/>
                    <w:tr2bl w:val="nil"/>
                  </w:tcBorders>
                  <w:noWrap w:val="0"/>
                  <w:vAlign w:val="center"/>
                </w:tcPr>
                <w:p w14:paraId="7AFE279E">
                  <w:pPr>
                    <w:topLinePunct/>
                    <w:spacing w:line="300" w:lineRule="exact"/>
                    <w:ind w:firstLine="0" w:firstLineChars="0"/>
                    <w:jc w:val="center"/>
                    <w:rPr>
                      <w:color w:val="auto"/>
                      <w:sz w:val="21"/>
                      <w:szCs w:val="21"/>
                      <w:highlight w:val="none"/>
                    </w:rPr>
                  </w:pPr>
                </w:p>
              </w:tc>
              <w:tc>
                <w:tcPr>
                  <w:tcW w:w="1710" w:type="dxa"/>
                  <w:gridSpan w:val="2"/>
                  <w:vMerge w:val="continue"/>
                  <w:tcBorders>
                    <w:tl2br w:val="nil"/>
                    <w:tr2bl w:val="nil"/>
                  </w:tcBorders>
                  <w:noWrap w:val="0"/>
                  <w:vAlign w:val="center"/>
                </w:tcPr>
                <w:p w14:paraId="4415D94A">
                  <w:pPr>
                    <w:spacing w:line="300" w:lineRule="exact"/>
                    <w:ind w:firstLine="0" w:firstLineChars="0"/>
                    <w:jc w:val="center"/>
                    <w:rPr>
                      <w:color w:val="auto"/>
                      <w:sz w:val="21"/>
                      <w:szCs w:val="21"/>
                      <w:highlight w:val="none"/>
                    </w:rPr>
                  </w:pPr>
                </w:p>
              </w:tc>
              <w:tc>
                <w:tcPr>
                  <w:tcW w:w="1643" w:type="dxa"/>
                  <w:tcBorders>
                    <w:tl2br w:val="nil"/>
                    <w:tr2bl w:val="nil"/>
                  </w:tcBorders>
                  <w:noWrap w:val="0"/>
                  <w:vAlign w:val="center"/>
                </w:tcPr>
                <w:p w14:paraId="7C19E225">
                  <w:pPr>
                    <w:topLinePunct/>
                    <w:spacing w:line="300" w:lineRule="exact"/>
                    <w:ind w:firstLine="0" w:firstLineChars="0"/>
                    <w:jc w:val="center"/>
                    <w:rPr>
                      <w:color w:val="auto"/>
                      <w:sz w:val="21"/>
                      <w:szCs w:val="21"/>
                      <w:highlight w:val="none"/>
                    </w:rPr>
                  </w:pPr>
                  <w:r>
                    <w:rPr>
                      <w:color w:val="auto"/>
                      <w:sz w:val="21"/>
                      <w:szCs w:val="21"/>
                      <w:highlight w:val="none"/>
                    </w:rPr>
                    <w:t>颗粒物</w:t>
                  </w:r>
                </w:p>
              </w:tc>
              <w:tc>
                <w:tcPr>
                  <w:tcW w:w="914" w:type="dxa"/>
                  <w:vMerge w:val="continue"/>
                  <w:tcBorders>
                    <w:tl2br w:val="nil"/>
                    <w:tr2bl w:val="nil"/>
                  </w:tcBorders>
                  <w:noWrap w:val="0"/>
                  <w:vAlign w:val="center"/>
                </w:tcPr>
                <w:p w14:paraId="53CCEC96">
                  <w:pPr>
                    <w:topLinePunct/>
                    <w:spacing w:line="300" w:lineRule="exact"/>
                    <w:ind w:firstLine="0" w:firstLineChars="0"/>
                    <w:jc w:val="center"/>
                    <w:rPr>
                      <w:color w:val="auto"/>
                      <w:sz w:val="21"/>
                      <w:szCs w:val="21"/>
                      <w:highlight w:val="none"/>
                    </w:rPr>
                  </w:pPr>
                </w:p>
              </w:tc>
              <w:tc>
                <w:tcPr>
                  <w:tcW w:w="3668" w:type="dxa"/>
                  <w:tcBorders>
                    <w:tl2br w:val="nil"/>
                    <w:tr2bl w:val="nil"/>
                  </w:tcBorders>
                  <w:noWrap w:val="0"/>
                  <w:vAlign w:val="center"/>
                </w:tcPr>
                <w:p w14:paraId="66989E90">
                  <w:pPr>
                    <w:adjustRightInd w:val="0"/>
                    <w:snapToGrid w:val="0"/>
                    <w:spacing w:line="300" w:lineRule="exact"/>
                    <w:ind w:firstLine="0" w:firstLineChars="0"/>
                    <w:jc w:val="center"/>
                    <w:rPr>
                      <w:color w:val="auto"/>
                      <w:sz w:val="21"/>
                      <w:szCs w:val="21"/>
                      <w:highlight w:val="none"/>
                    </w:rPr>
                  </w:pPr>
                  <w:r>
                    <w:rPr>
                      <w:color w:val="auto"/>
                      <w:sz w:val="21"/>
                      <w:szCs w:val="21"/>
                      <w:highlight w:val="none"/>
                    </w:rPr>
                    <w:t>《大气污染物综合排放标准》（GB16297-1996）表2</w:t>
                  </w:r>
                  <w:r>
                    <w:rPr>
                      <w:rFonts w:hint="eastAsia"/>
                      <w:color w:val="auto"/>
                      <w:sz w:val="21"/>
                      <w:szCs w:val="21"/>
                      <w:highlight w:val="none"/>
                    </w:rPr>
                    <w:t>二级</w:t>
                  </w:r>
                  <w:r>
                    <w:rPr>
                      <w:color w:val="auto"/>
                      <w:sz w:val="21"/>
                      <w:szCs w:val="21"/>
                      <w:highlight w:val="none"/>
                    </w:rPr>
                    <w:t>标准限值</w:t>
                  </w:r>
                </w:p>
              </w:tc>
            </w:tr>
            <w:tr w14:paraId="2A2B07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dxa"/>
                  <w:vMerge w:val="restart"/>
                  <w:tcBorders>
                    <w:tl2br w:val="nil"/>
                    <w:tr2bl w:val="nil"/>
                  </w:tcBorders>
                  <w:noWrap w:val="0"/>
                  <w:vAlign w:val="center"/>
                </w:tcPr>
                <w:p w14:paraId="5DD4D923">
                  <w:pPr>
                    <w:topLinePunct/>
                    <w:spacing w:line="300" w:lineRule="exact"/>
                    <w:ind w:firstLine="0" w:firstLineChars="0"/>
                    <w:jc w:val="center"/>
                    <w:rPr>
                      <w:color w:val="auto"/>
                      <w:sz w:val="21"/>
                      <w:szCs w:val="21"/>
                      <w:highlight w:val="none"/>
                    </w:rPr>
                  </w:pPr>
                  <w:r>
                    <w:rPr>
                      <w:color w:val="auto"/>
                      <w:sz w:val="21"/>
                      <w:szCs w:val="21"/>
                      <w:highlight w:val="none"/>
                    </w:rPr>
                    <w:t>无组织</w:t>
                  </w:r>
                </w:p>
              </w:tc>
              <w:tc>
                <w:tcPr>
                  <w:tcW w:w="1710" w:type="dxa"/>
                  <w:gridSpan w:val="2"/>
                  <w:vMerge w:val="restart"/>
                  <w:tcBorders>
                    <w:tl2br w:val="nil"/>
                    <w:tr2bl w:val="nil"/>
                  </w:tcBorders>
                  <w:noWrap w:val="0"/>
                  <w:vAlign w:val="center"/>
                </w:tcPr>
                <w:p w14:paraId="522AB493">
                  <w:pPr>
                    <w:spacing w:line="300" w:lineRule="exact"/>
                    <w:ind w:firstLine="0" w:firstLineChars="0"/>
                    <w:jc w:val="center"/>
                    <w:rPr>
                      <w:color w:val="auto"/>
                      <w:sz w:val="21"/>
                      <w:szCs w:val="21"/>
                      <w:highlight w:val="none"/>
                    </w:rPr>
                  </w:pPr>
                  <w:r>
                    <w:rPr>
                      <w:color w:val="auto"/>
                      <w:sz w:val="21"/>
                      <w:szCs w:val="21"/>
                      <w:highlight w:val="none"/>
                    </w:rPr>
                    <w:t>厂界无组织</w:t>
                  </w:r>
                </w:p>
              </w:tc>
              <w:tc>
                <w:tcPr>
                  <w:tcW w:w="1643" w:type="dxa"/>
                  <w:tcBorders>
                    <w:tl2br w:val="nil"/>
                    <w:tr2bl w:val="nil"/>
                  </w:tcBorders>
                  <w:noWrap w:val="0"/>
                  <w:vAlign w:val="center"/>
                </w:tcPr>
                <w:p w14:paraId="4E30B40F">
                  <w:pPr>
                    <w:topLinePunct/>
                    <w:spacing w:line="300" w:lineRule="exact"/>
                    <w:ind w:firstLine="0" w:firstLineChars="0"/>
                    <w:jc w:val="center"/>
                    <w:rPr>
                      <w:color w:val="auto"/>
                      <w:sz w:val="21"/>
                      <w:szCs w:val="21"/>
                      <w:highlight w:val="none"/>
                    </w:rPr>
                  </w:pPr>
                  <w:r>
                    <w:rPr>
                      <w:color w:val="auto"/>
                      <w:sz w:val="21"/>
                      <w:szCs w:val="21"/>
                      <w:highlight w:val="none"/>
                    </w:rPr>
                    <w:t>非甲烷总烃</w:t>
                  </w:r>
                  <w:r>
                    <w:rPr>
                      <w:rFonts w:hint="eastAsia"/>
                      <w:color w:val="auto"/>
                      <w:sz w:val="21"/>
                      <w:szCs w:val="21"/>
                      <w:highlight w:val="none"/>
                      <w:lang w:eastAsia="zh-CN"/>
                    </w:rPr>
                    <w:t>、</w:t>
                  </w:r>
                  <w:r>
                    <w:rPr>
                      <w:rFonts w:hint="eastAsia"/>
                      <w:color w:val="auto"/>
                      <w:sz w:val="21"/>
                      <w:szCs w:val="21"/>
                      <w:highlight w:val="none"/>
                      <w:lang w:val="en-US" w:eastAsia="zh-CN"/>
                    </w:rPr>
                    <w:t>二甲苯</w:t>
                  </w:r>
                  <w:r>
                    <w:rPr>
                      <w:color w:val="auto"/>
                      <w:sz w:val="21"/>
                      <w:szCs w:val="21"/>
                      <w:highlight w:val="none"/>
                    </w:rPr>
                    <w:t>、</w:t>
                  </w:r>
                  <w:r>
                    <w:rPr>
                      <w:rFonts w:hint="eastAsia"/>
                      <w:color w:val="auto"/>
                      <w:sz w:val="21"/>
                      <w:szCs w:val="21"/>
                      <w:highlight w:val="none"/>
                      <w:lang w:val="en-US" w:eastAsia="zh-CN"/>
                    </w:rPr>
                    <w:t>苯系物、</w:t>
                  </w:r>
                  <w:r>
                    <w:rPr>
                      <w:rFonts w:hint="eastAsia"/>
                      <w:color w:val="auto"/>
                      <w:sz w:val="21"/>
                      <w:szCs w:val="21"/>
                      <w:highlight w:val="none"/>
                    </w:rPr>
                    <w:t>乙酸乙酯</w:t>
                  </w:r>
                </w:p>
              </w:tc>
              <w:tc>
                <w:tcPr>
                  <w:tcW w:w="914" w:type="dxa"/>
                  <w:vMerge w:val="restart"/>
                  <w:tcBorders>
                    <w:tl2br w:val="nil"/>
                    <w:tr2bl w:val="nil"/>
                  </w:tcBorders>
                  <w:noWrap w:val="0"/>
                  <w:vAlign w:val="center"/>
                </w:tcPr>
                <w:p w14:paraId="61274E68">
                  <w:pPr>
                    <w:topLinePunct/>
                    <w:spacing w:line="300" w:lineRule="exact"/>
                    <w:ind w:firstLine="0" w:firstLineChars="0"/>
                    <w:jc w:val="center"/>
                    <w:rPr>
                      <w:color w:val="auto"/>
                      <w:sz w:val="21"/>
                      <w:szCs w:val="21"/>
                      <w:highlight w:val="none"/>
                    </w:rPr>
                  </w:pPr>
                  <w:r>
                    <w:rPr>
                      <w:color w:val="auto"/>
                      <w:sz w:val="21"/>
                      <w:szCs w:val="21"/>
                      <w:highlight w:val="none"/>
                    </w:rPr>
                    <w:t>1次/</w:t>
                  </w:r>
                  <w:r>
                    <w:rPr>
                      <w:rFonts w:hint="eastAsia"/>
                      <w:color w:val="auto"/>
                      <w:sz w:val="21"/>
                      <w:szCs w:val="21"/>
                      <w:highlight w:val="none"/>
                      <w:lang w:val="en-US" w:eastAsia="zh-CN"/>
                    </w:rPr>
                    <w:t>半</w:t>
                  </w:r>
                  <w:r>
                    <w:rPr>
                      <w:color w:val="auto"/>
                      <w:sz w:val="21"/>
                      <w:szCs w:val="21"/>
                      <w:highlight w:val="none"/>
                    </w:rPr>
                    <w:t>年</w:t>
                  </w:r>
                </w:p>
              </w:tc>
              <w:tc>
                <w:tcPr>
                  <w:tcW w:w="3668" w:type="dxa"/>
                  <w:tcBorders>
                    <w:tl2br w:val="nil"/>
                    <w:tr2bl w:val="nil"/>
                  </w:tcBorders>
                  <w:noWrap w:val="0"/>
                  <w:vAlign w:val="center"/>
                </w:tcPr>
                <w:p w14:paraId="308A20D7">
                  <w:pPr>
                    <w:widowControl/>
                    <w:spacing w:line="300" w:lineRule="exact"/>
                    <w:ind w:firstLine="0" w:firstLineChars="0"/>
                    <w:jc w:val="center"/>
                    <w:rPr>
                      <w:color w:val="auto"/>
                      <w:sz w:val="21"/>
                      <w:szCs w:val="21"/>
                      <w:highlight w:val="none"/>
                    </w:rPr>
                  </w:pPr>
                  <w:r>
                    <w:rPr>
                      <w:color w:val="auto"/>
                      <w:sz w:val="21"/>
                      <w:szCs w:val="21"/>
                      <w:highlight w:val="none"/>
                    </w:rPr>
                    <w:t>《工业涂装工序挥发性有机物排放标准》（DB35/1783-2018）</w:t>
                  </w:r>
                  <w:r>
                    <w:rPr>
                      <w:rFonts w:hint="eastAsia"/>
                      <w:color w:val="auto"/>
                      <w:sz w:val="21"/>
                      <w:szCs w:val="21"/>
                      <w:highlight w:val="none"/>
                    </w:rPr>
                    <w:t>表4标准限值</w:t>
                  </w:r>
                </w:p>
              </w:tc>
            </w:tr>
            <w:tr w14:paraId="2FE2AA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dxa"/>
                  <w:vMerge w:val="continue"/>
                  <w:tcBorders>
                    <w:tl2br w:val="nil"/>
                    <w:tr2bl w:val="nil"/>
                  </w:tcBorders>
                  <w:noWrap w:val="0"/>
                  <w:vAlign w:val="center"/>
                </w:tcPr>
                <w:p w14:paraId="06AAC8F0">
                  <w:pPr>
                    <w:topLinePunct/>
                    <w:spacing w:line="300" w:lineRule="exact"/>
                    <w:ind w:firstLine="0" w:firstLineChars="0"/>
                    <w:jc w:val="center"/>
                    <w:rPr>
                      <w:color w:val="auto"/>
                      <w:sz w:val="21"/>
                      <w:szCs w:val="21"/>
                      <w:highlight w:val="none"/>
                    </w:rPr>
                  </w:pPr>
                </w:p>
              </w:tc>
              <w:tc>
                <w:tcPr>
                  <w:tcW w:w="1710" w:type="dxa"/>
                  <w:gridSpan w:val="2"/>
                  <w:vMerge w:val="continue"/>
                  <w:tcBorders>
                    <w:tl2br w:val="nil"/>
                    <w:tr2bl w:val="nil"/>
                  </w:tcBorders>
                  <w:noWrap w:val="0"/>
                  <w:vAlign w:val="center"/>
                </w:tcPr>
                <w:p w14:paraId="6B8C3268">
                  <w:pPr>
                    <w:spacing w:line="300" w:lineRule="exact"/>
                    <w:ind w:firstLine="0" w:firstLineChars="0"/>
                    <w:jc w:val="center"/>
                    <w:rPr>
                      <w:color w:val="auto"/>
                      <w:sz w:val="21"/>
                      <w:szCs w:val="21"/>
                      <w:highlight w:val="none"/>
                    </w:rPr>
                  </w:pPr>
                </w:p>
              </w:tc>
              <w:tc>
                <w:tcPr>
                  <w:tcW w:w="1643" w:type="dxa"/>
                  <w:tcBorders>
                    <w:tl2br w:val="nil"/>
                    <w:tr2bl w:val="nil"/>
                  </w:tcBorders>
                  <w:noWrap w:val="0"/>
                  <w:vAlign w:val="center"/>
                </w:tcPr>
                <w:p w14:paraId="754A293B">
                  <w:pPr>
                    <w:topLinePunct/>
                    <w:spacing w:line="300" w:lineRule="exact"/>
                    <w:ind w:firstLine="0" w:firstLineChars="0"/>
                    <w:jc w:val="center"/>
                    <w:rPr>
                      <w:color w:val="auto"/>
                      <w:sz w:val="21"/>
                      <w:szCs w:val="21"/>
                      <w:highlight w:val="none"/>
                    </w:rPr>
                  </w:pPr>
                  <w:r>
                    <w:rPr>
                      <w:color w:val="auto"/>
                      <w:sz w:val="21"/>
                      <w:szCs w:val="21"/>
                      <w:highlight w:val="none"/>
                    </w:rPr>
                    <w:t>颗粒物</w:t>
                  </w:r>
                </w:p>
              </w:tc>
              <w:tc>
                <w:tcPr>
                  <w:tcW w:w="914" w:type="dxa"/>
                  <w:vMerge w:val="continue"/>
                  <w:tcBorders>
                    <w:tl2br w:val="nil"/>
                    <w:tr2bl w:val="nil"/>
                  </w:tcBorders>
                  <w:noWrap w:val="0"/>
                  <w:vAlign w:val="center"/>
                </w:tcPr>
                <w:p w14:paraId="04CB4BC1">
                  <w:pPr>
                    <w:topLinePunct/>
                    <w:spacing w:line="300" w:lineRule="exact"/>
                    <w:ind w:firstLine="0" w:firstLineChars="0"/>
                    <w:jc w:val="center"/>
                    <w:rPr>
                      <w:color w:val="auto"/>
                      <w:sz w:val="21"/>
                      <w:szCs w:val="21"/>
                      <w:highlight w:val="none"/>
                    </w:rPr>
                  </w:pPr>
                </w:p>
              </w:tc>
              <w:tc>
                <w:tcPr>
                  <w:tcW w:w="3668" w:type="dxa"/>
                  <w:tcBorders>
                    <w:tl2br w:val="nil"/>
                    <w:tr2bl w:val="nil"/>
                  </w:tcBorders>
                  <w:noWrap w:val="0"/>
                  <w:vAlign w:val="center"/>
                </w:tcPr>
                <w:p w14:paraId="39547ED9">
                  <w:pPr>
                    <w:widowControl/>
                    <w:spacing w:line="300" w:lineRule="exact"/>
                    <w:ind w:firstLine="0" w:firstLineChars="0"/>
                    <w:jc w:val="center"/>
                    <w:rPr>
                      <w:color w:val="auto"/>
                      <w:sz w:val="21"/>
                      <w:szCs w:val="21"/>
                      <w:highlight w:val="none"/>
                    </w:rPr>
                  </w:pPr>
                  <w:r>
                    <w:rPr>
                      <w:color w:val="auto"/>
                      <w:sz w:val="21"/>
                      <w:szCs w:val="21"/>
                      <w:highlight w:val="none"/>
                    </w:rPr>
                    <w:t>《大气污染物综合排放标准》（GB16297-1996）</w:t>
                  </w:r>
                </w:p>
                <w:p w14:paraId="4E588563">
                  <w:pPr>
                    <w:widowControl/>
                    <w:spacing w:line="300" w:lineRule="exact"/>
                    <w:ind w:firstLine="0" w:firstLineChars="0"/>
                    <w:jc w:val="center"/>
                    <w:rPr>
                      <w:color w:val="auto"/>
                      <w:sz w:val="21"/>
                      <w:szCs w:val="21"/>
                      <w:highlight w:val="none"/>
                    </w:rPr>
                  </w:pPr>
                  <w:r>
                    <w:rPr>
                      <w:rFonts w:hint="eastAsia"/>
                      <w:color w:val="auto"/>
                      <w:sz w:val="21"/>
                      <w:szCs w:val="21"/>
                      <w:highlight w:val="none"/>
                    </w:rPr>
                    <w:t>表2无组织排放监控浓度限值</w:t>
                  </w:r>
                </w:p>
              </w:tc>
            </w:tr>
            <w:tr w14:paraId="0A23B6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dxa"/>
                  <w:vMerge w:val="continue"/>
                  <w:tcBorders>
                    <w:tl2br w:val="nil"/>
                    <w:tr2bl w:val="nil"/>
                  </w:tcBorders>
                  <w:noWrap w:val="0"/>
                  <w:vAlign w:val="center"/>
                </w:tcPr>
                <w:p w14:paraId="457858AB">
                  <w:pPr>
                    <w:topLinePunct/>
                    <w:spacing w:line="300" w:lineRule="exact"/>
                    <w:ind w:firstLine="0" w:firstLineChars="0"/>
                    <w:jc w:val="center"/>
                    <w:rPr>
                      <w:color w:val="auto"/>
                      <w:sz w:val="21"/>
                      <w:szCs w:val="21"/>
                      <w:highlight w:val="none"/>
                    </w:rPr>
                  </w:pPr>
                </w:p>
              </w:tc>
              <w:tc>
                <w:tcPr>
                  <w:tcW w:w="609" w:type="dxa"/>
                  <w:vMerge w:val="restart"/>
                  <w:tcBorders>
                    <w:tl2br w:val="nil"/>
                    <w:tr2bl w:val="nil"/>
                  </w:tcBorders>
                  <w:noWrap w:val="0"/>
                  <w:vAlign w:val="center"/>
                </w:tcPr>
                <w:p w14:paraId="027BEAE1">
                  <w:pPr>
                    <w:spacing w:line="300" w:lineRule="exact"/>
                    <w:ind w:firstLine="0" w:firstLineChars="0"/>
                    <w:jc w:val="center"/>
                    <w:rPr>
                      <w:color w:val="auto"/>
                      <w:sz w:val="21"/>
                      <w:szCs w:val="21"/>
                      <w:highlight w:val="none"/>
                    </w:rPr>
                  </w:pPr>
                  <w:r>
                    <w:rPr>
                      <w:rFonts w:hint="eastAsia"/>
                      <w:color w:val="auto"/>
                      <w:sz w:val="21"/>
                      <w:szCs w:val="21"/>
                      <w:highlight w:val="none"/>
                    </w:rPr>
                    <w:t>厂区内监控点</w:t>
                  </w:r>
                </w:p>
              </w:tc>
              <w:tc>
                <w:tcPr>
                  <w:tcW w:w="1101" w:type="dxa"/>
                  <w:tcBorders>
                    <w:tl2br w:val="nil"/>
                    <w:tr2bl w:val="nil"/>
                  </w:tcBorders>
                  <w:noWrap w:val="0"/>
                  <w:vAlign w:val="center"/>
                </w:tcPr>
                <w:p w14:paraId="60331524">
                  <w:pPr>
                    <w:spacing w:line="300" w:lineRule="exact"/>
                    <w:ind w:firstLine="0" w:firstLineChars="0"/>
                    <w:jc w:val="center"/>
                    <w:rPr>
                      <w:rFonts w:hint="eastAsia"/>
                      <w:color w:val="auto"/>
                      <w:sz w:val="21"/>
                      <w:szCs w:val="21"/>
                      <w:highlight w:val="none"/>
                    </w:rPr>
                  </w:pPr>
                  <w:r>
                    <w:rPr>
                      <w:rFonts w:hint="eastAsia"/>
                      <w:color w:val="auto"/>
                      <w:sz w:val="21"/>
                      <w:szCs w:val="21"/>
                      <w:highlight w:val="none"/>
                    </w:rPr>
                    <w:t>1小时平均浓度值</w:t>
                  </w:r>
                </w:p>
              </w:tc>
              <w:tc>
                <w:tcPr>
                  <w:tcW w:w="1643" w:type="dxa"/>
                  <w:vMerge w:val="restart"/>
                  <w:tcBorders>
                    <w:tl2br w:val="nil"/>
                    <w:tr2bl w:val="nil"/>
                  </w:tcBorders>
                  <w:noWrap w:val="0"/>
                  <w:vAlign w:val="center"/>
                </w:tcPr>
                <w:p w14:paraId="6D03A8CF">
                  <w:pPr>
                    <w:topLinePunct/>
                    <w:spacing w:line="300" w:lineRule="exact"/>
                    <w:ind w:firstLine="0" w:firstLineChars="0"/>
                    <w:jc w:val="center"/>
                    <w:rPr>
                      <w:color w:val="auto"/>
                      <w:sz w:val="21"/>
                      <w:szCs w:val="21"/>
                      <w:highlight w:val="none"/>
                    </w:rPr>
                  </w:pPr>
                  <w:r>
                    <w:rPr>
                      <w:color w:val="auto"/>
                      <w:sz w:val="21"/>
                      <w:szCs w:val="21"/>
                      <w:highlight w:val="none"/>
                    </w:rPr>
                    <w:t>非甲烷总烃</w:t>
                  </w:r>
                </w:p>
              </w:tc>
              <w:tc>
                <w:tcPr>
                  <w:tcW w:w="914" w:type="dxa"/>
                  <w:vMerge w:val="restart"/>
                  <w:tcBorders>
                    <w:tl2br w:val="nil"/>
                    <w:tr2bl w:val="nil"/>
                  </w:tcBorders>
                  <w:noWrap w:val="0"/>
                  <w:vAlign w:val="center"/>
                </w:tcPr>
                <w:p w14:paraId="51D1DE3D">
                  <w:pPr>
                    <w:widowControl/>
                    <w:spacing w:line="300" w:lineRule="exact"/>
                    <w:ind w:firstLine="0" w:firstLineChars="0"/>
                    <w:jc w:val="center"/>
                    <w:rPr>
                      <w:color w:val="auto"/>
                      <w:sz w:val="21"/>
                      <w:szCs w:val="21"/>
                      <w:highlight w:val="none"/>
                    </w:rPr>
                  </w:pPr>
                  <w:r>
                    <w:rPr>
                      <w:color w:val="auto"/>
                      <w:sz w:val="21"/>
                      <w:szCs w:val="21"/>
                      <w:highlight w:val="none"/>
                    </w:rPr>
                    <w:t>1次/年</w:t>
                  </w:r>
                </w:p>
              </w:tc>
              <w:tc>
                <w:tcPr>
                  <w:tcW w:w="3668" w:type="dxa"/>
                  <w:tcBorders>
                    <w:tl2br w:val="nil"/>
                    <w:tr2bl w:val="nil"/>
                  </w:tcBorders>
                  <w:noWrap w:val="0"/>
                  <w:vAlign w:val="center"/>
                </w:tcPr>
                <w:p w14:paraId="06E42971">
                  <w:pPr>
                    <w:widowControl/>
                    <w:spacing w:line="300" w:lineRule="exact"/>
                    <w:ind w:firstLine="0" w:firstLineChars="0"/>
                    <w:jc w:val="center"/>
                    <w:rPr>
                      <w:color w:val="auto"/>
                      <w:sz w:val="21"/>
                      <w:szCs w:val="21"/>
                      <w:highlight w:val="none"/>
                    </w:rPr>
                  </w:pPr>
                  <w:r>
                    <w:rPr>
                      <w:color w:val="auto"/>
                      <w:sz w:val="21"/>
                      <w:szCs w:val="21"/>
                      <w:highlight w:val="none"/>
                    </w:rPr>
                    <w:t>《工业涂装工序挥发性有机物排放标准》（DB35/1783-2018）</w:t>
                  </w:r>
                  <w:r>
                    <w:rPr>
                      <w:rFonts w:hint="eastAsia"/>
                      <w:color w:val="auto"/>
                      <w:sz w:val="21"/>
                      <w:szCs w:val="21"/>
                      <w:highlight w:val="none"/>
                    </w:rPr>
                    <w:t>表3标准限值</w:t>
                  </w:r>
                </w:p>
              </w:tc>
            </w:tr>
            <w:tr w14:paraId="67D1AD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dxa"/>
                  <w:vMerge w:val="continue"/>
                  <w:tcBorders>
                    <w:tl2br w:val="nil"/>
                    <w:tr2bl w:val="nil"/>
                  </w:tcBorders>
                  <w:noWrap w:val="0"/>
                  <w:vAlign w:val="center"/>
                </w:tcPr>
                <w:p w14:paraId="1DE4B72E">
                  <w:pPr>
                    <w:spacing w:line="300" w:lineRule="exact"/>
                    <w:ind w:firstLine="0" w:firstLineChars="0"/>
                    <w:jc w:val="center"/>
                    <w:rPr>
                      <w:color w:val="auto"/>
                      <w:sz w:val="21"/>
                      <w:szCs w:val="21"/>
                      <w:highlight w:val="none"/>
                    </w:rPr>
                  </w:pPr>
                </w:p>
              </w:tc>
              <w:tc>
                <w:tcPr>
                  <w:tcW w:w="609" w:type="dxa"/>
                  <w:vMerge w:val="continue"/>
                  <w:tcBorders>
                    <w:tl2br w:val="nil"/>
                    <w:tr2bl w:val="nil"/>
                  </w:tcBorders>
                  <w:noWrap w:val="0"/>
                  <w:vAlign w:val="center"/>
                </w:tcPr>
                <w:p w14:paraId="090C4828">
                  <w:pPr>
                    <w:spacing w:line="300" w:lineRule="exact"/>
                    <w:ind w:firstLine="0" w:firstLineChars="0"/>
                    <w:jc w:val="center"/>
                    <w:rPr>
                      <w:rFonts w:hint="eastAsia"/>
                      <w:color w:val="auto"/>
                      <w:sz w:val="21"/>
                      <w:szCs w:val="21"/>
                      <w:highlight w:val="none"/>
                    </w:rPr>
                  </w:pPr>
                </w:p>
              </w:tc>
              <w:tc>
                <w:tcPr>
                  <w:tcW w:w="1101" w:type="dxa"/>
                  <w:tcBorders>
                    <w:tl2br w:val="nil"/>
                    <w:tr2bl w:val="nil"/>
                  </w:tcBorders>
                  <w:noWrap w:val="0"/>
                  <w:vAlign w:val="center"/>
                </w:tcPr>
                <w:p w14:paraId="7B1AC39E">
                  <w:pPr>
                    <w:spacing w:line="300" w:lineRule="exact"/>
                    <w:ind w:firstLine="0" w:firstLineChars="0"/>
                    <w:jc w:val="center"/>
                    <w:rPr>
                      <w:rFonts w:hint="eastAsia"/>
                      <w:color w:val="auto"/>
                      <w:sz w:val="21"/>
                      <w:szCs w:val="21"/>
                      <w:highlight w:val="none"/>
                    </w:rPr>
                  </w:pPr>
                  <w:r>
                    <w:rPr>
                      <w:color w:val="auto"/>
                      <w:sz w:val="21"/>
                      <w:szCs w:val="21"/>
                      <w:highlight w:val="none"/>
                    </w:rPr>
                    <w:t>监控点任意一次浓度值</w:t>
                  </w:r>
                </w:p>
              </w:tc>
              <w:tc>
                <w:tcPr>
                  <w:tcW w:w="1643" w:type="dxa"/>
                  <w:vMerge w:val="continue"/>
                  <w:tcBorders>
                    <w:tl2br w:val="nil"/>
                    <w:tr2bl w:val="nil"/>
                  </w:tcBorders>
                  <w:noWrap w:val="0"/>
                  <w:vAlign w:val="center"/>
                </w:tcPr>
                <w:p w14:paraId="313F208E">
                  <w:pPr>
                    <w:spacing w:line="300" w:lineRule="exact"/>
                    <w:ind w:firstLine="0" w:firstLineChars="0"/>
                    <w:jc w:val="center"/>
                    <w:rPr>
                      <w:rFonts w:hint="eastAsia"/>
                      <w:color w:val="auto"/>
                      <w:sz w:val="21"/>
                      <w:szCs w:val="21"/>
                      <w:highlight w:val="none"/>
                    </w:rPr>
                  </w:pPr>
                </w:p>
              </w:tc>
              <w:tc>
                <w:tcPr>
                  <w:tcW w:w="914" w:type="dxa"/>
                  <w:vMerge w:val="continue"/>
                  <w:tcBorders>
                    <w:tl2br w:val="nil"/>
                    <w:tr2bl w:val="nil"/>
                  </w:tcBorders>
                  <w:noWrap w:val="0"/>
                  <w:vAlign w:val="center"/>
                </w:tcPr>
                <w:p w14:paraId="10C260BC">
                  <w:pPr>
                    <w:spacing w:line="300" w:lineRule="exact"/>
                    <w:ind w:firstLine="0" w:firstLineChars="0"/>
                    <w:jc w:val="center"/>
                    <w:rPr>
                      <w:rFonts w:hint="eastAsia"/>
                      <w:color w:val="auto"/>
                      <w:sz w:val="21"/>
                      <w:szCs w:val="21"/>
                      <w:highlight w:val="none"/>
                    </w:rPr>
                  </w:pPr>
                </w:p>
              </w:tc>
              <w:tc>
                <w:tcPr>
                  <w:tcW w:w="3668" w:type="dxa"/>
                  <w:tcBorders>
                    <w:tl2br w:val="nil"/>
                    <w:tr2bl w:val="nil"/>
                  </w:tcBorders>
                  <w:noWrap w:val="0"/>
                  <w:vAlign w:val="center"/>
                </w:tcPr>
                <w:p w14:paraId="4DF61138">
                  <w:pPr>
                    <w:spacing w:line="300" w:lineRule="exact"/>
                    <w:ind w:firstLine="0" w:firstLineChars="0"/>
                    <w:jc w:val="center"/>
                    <w:rPr>
                      <w:rFonts w:hint="eastAsia"/>
                      <w:color w:val="auto"/>
                      <w:sz w:val="21"/>
                      <w:szCs w:val="21"/>
                      <w:highlight w:val="none"/>
                    </w:rPr>
                  </w:pPr>
                  <w:r>
                    <w:rPr>
                      <w:color w:val="auto"/>
                      <w:sz w:val="21"/>
                      <w:szCs w:val="21"/>
                      <w:highlight w:val="none"/>
                    </w:rPr>
                    <w:t>《挥发性有机物无组织排放控制标准（GB37822-2019）表A.1厂区内VOCs无组织排放限值</w:t>
                  </w:r>
                  <w:r>
                    <w:rPr>
                      <w:rFonts w:hint="eastAsia"/>
                      <w:color w:val="auto"/>
                      <w:sz w:val="21"/>
                      <w:szCs w:val="21"/>
                      <w:highlight w:val="none"/>
                    </w:rPr>
                    <w:t>标准</w:t>
                  </w:r>
                </w:p>
              </w:tc>
            </w:tr>
            <w:tr w14:paraId="0DB010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2" w:type="dxa"/>
                  <w:gridSpan w:val="6"/>
                  <w:tcBorders>
                    <w:tl2br w:val="nil"/>
                    <w:tr2bl w:val="nil"/>
                  </w:tcBorders>
                  <w:noWrap w:val="0"/>
                  <w:vAlign w:val="center"/>
                </w:tcPr>
                <w:p w14:paraId="6726FE83">
                  <w:pPr>
                    <w:spacing w:line="300" w:lineRule="exact"/>
                    <w:ind w:firstLine="0" w:firstLineChars="0"/>
                    <w:rPr>
                      <w:color w:val="auto"/>
                      <w:sz w:val="21"/>
                      <w:szCs w:val="21"/>
                      <w:highlight w:val="none"/>
                    </w:rPr>
                  </w:pPr>
                  <w:r>
                    <w:rPr>
                      <w:rFonts w:hint="eastAsia"/>
                      <w:color w:val="auto"/>
                      <w:sz w:val="18"/>
                      <w:szCs w:val="18"/>
                      <w:highlight w:val="none"/>
                    </w:rPr>
                    <w:t>实施机构：委托有资质单位监测。</w:t>
                  </w:r>
                </w:p>
              </w:tc>
            </w:tr>
          </w:tbl>
          <w:p w14:paraId="0CDB1742">
            <w:pPr>
              <w:pStyle w:val="120"/>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textAlignment w:val="auto"/>
              <w:rPr>
                <w:rFonts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b/>
                <w:bCs/>
                <w:color w:val="auto"/>
                <w:spacing w:val="0"/>
                <w:position w:val="0"/>
                <w:sz w:val="24"/>
                <w:szCs w:val="24"/>
                <w:highlight w:val="none"/>
              </w:rPr>
              <w:t>4.1.</w:t>
            </w:r>
            <w:r>
              <w:rPr>
                <w:rFonts w:hint="eastAsia" w:eastAsia="宋体" w:cs="Times New Roman"/>
                <w:b/>
                <w:bCs/>
                <w:color w:val="auto"/>
                <w:spacing w:val="0"/>
                <w:position w:val="0"/>
                <w:sz w:val="24"/>
                <w:szCs w:val="24"/>
                <w:highlight w:val="none"/>
                <w:lang w:val="en-US" w:eastAsia="zh-CN"/>
              </w:rPr>
              <w:t>9</w:t>
            </w:r>
            <w:r>
              <w:rPr>
                <w:rFonts w:hint="eastAsia" w:ascii="Times New Roman" w:hAnsi="Times New Roman" w:eastAsia="宋体" w:cs="Times New Roman"/>
                <w:b/>
                <w:bCs/>
                <w:color w:val="auto"/>
                <w:spacing w:val="0"/>
                <w:position w:val="0"/>
                <w:sz w:val="24"/>
                <w:szCs w:val="24"/>
                <w:highlight w:val="none"/>
              </w:rPr>
              <w:t>废气环境影响分析结论</w:t>
            </w:r>
          </w:p>
          <w:p w14:paraId="2C0F709B">
            <w:pPr>
              <w:pStyle w:val="120"/>
              <w:keepNext w:val="0"/>
              <w:keepLines w:val="0"/>
              <w:pageBreakBefore w:val="0"/>
              <w:widowControl w:val="0"/>
              <w:kinsoku/>
              <w:wordWrap/>
              <w:overflowPunct/>
              <w:topLinePunct w:val="0"/>
              <w:autoSpaceDE/>
              <w:autoSpaceDN/>
              <w:bidi w:val="0"/>
              <w:adjustRightInd/>
              <w:snapToGrid/>
              <w:spacing w:line="356" w:lineRule="auto"/>
              <w:ind w:firstLine="504"/>
              <w:jc w:val="both"/>
              <w:textAlignment w:val="auto"/>
              <w:rPr>
                <w:rFonts w:hint="default"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kern w:val="0"/>
                <w:position w:val="0"/>
                <w:sz w:val="24"/>
                <w:szCs w:val="24"/>
                <w:highlight w:val="none"/>
                <w:lang w:bidi="ar"/>
              </w:rPr>
              <w:t>根据</w:t>
            </w:r>
            <w:r>
              <w:rPr>
                <w:rFonts w:hint="eastAsia" w:ascii="Times New Roman" w:hAnsi="Times New Roman" w:eastAsia="宋体" w:cs="Times New Roman"/>
                <w:color w:val="auto"/>
                <w:sz w:val="24"/>
                <w:highlight w:val="none"/>
              </w:rPr>
              <w:t>《2024年福州市环境状况公报》</w:t>
            </w:r>
            <w:r>
              <w:rPr>
                <w:rFonts w:hint="eastAsia" w:eastAsia="宋体" w:cs="Times New Roman"/>
                <w:color w:val="auto"/>
                <w:sz w:val="24"/>
                <w:highlight w:val="none"/>
                <w:lang w:eastAsia="zh-CN"/>
              </w:rPr>
              <w:t>（</w:t>
            </w:r>
            <w:r>
              <w:rPr>
                <w:rFonts w:hint="eastAsia" w:ascii="Times New Roman" w:hAnsi="Times New Roman" w:eastAsia="宋体" w:cs="Times New Roman"/>
                <w:color w:val="auto"/>
                <w:sz w:val="24"/>
                <w:highlight w:val="none"/>
              </w:rPr>
              <w:t>福州市生态环境局，2025年6月3日</w:t>
            </w:r>
            <w:r>
              <w:rPr>
                <w:rFonts w:hint="eastAsia" w:eastAsia="宋体" w:cs="Times New Roman"/>
                <w:color w:val="auto"/>
                <w:sz w:val="24"/>
                <w:highlight w:val="none"/>
                <w:lang w:eastAsia="zh-CN"/>
              </w:rPr>
              <w:t>）</w:t>
            </w:r>
            <w:r>
              <w:rPr>
                <w:rFonts w:hint="default" w:ascii="Times New Roman" w:hAnsi="Times New Roman" w:eastAsia="宋体" w:cs="Times New Roman"/>
                <w:color w:val="auto"/>
                <w:spacing w:val="0"/>
                <w:kern w:val="0"/>
                <w:position w:val="0"/>
                <w:sz w:val="24"/>
                <w:szCs w:val="24"/>
                <w:highlight w:val="none"/>
                <w:lang w:bidi="ar"/>
              </w:rPr>
              <w:t>，项目所在地区大气环境质量符合《环境空气质量标准》</w:t>
            </w:r>
            <w:r>
              <w:rPr>
                <w:rFonts w:hint="eastAsia" w:ascii="Times New Roman" w:hAnsi="Times New Roman" w:eastAsia="宋体" w:cs="Times New Roman"/>
                <w:color w:val="auto"/>
                <w:kern w:val="0"/>
                <w:sz w:val="24"/>
                <w:highlight w:val="none"/>
                <w:lang w:bidi="ar"/>
              </w:rPr>
              <w:t>（GB 3095-2012）及其修改单（《环境空气质量标准》（GB 3095-2026））</w:t>
            </w:r>
            <w:r>
              <w:rPr>
                <w:rFonts w:hint="default" w:ascii="Times New Roman" w:hAnsi="Times New Roman" w:eastAsia="宋体" w:cs="Times New Roman"/>
                <w:color w:val="auto"/>
                <w:spacing w:val="0"/>
                <w:kern w:val="0"/>
                <w:position w:val="0"/>
                <w:sz w:val="24"/>
                <w:szCs w:val="24"/>
                <w:highlight w:val="none"/>
                <w:lang w:bidi="ar"/>
              </w:rPr>
              <w:t>要求。项目所在区域环境质量较好，尚有一定的环境容量。</w:t>
            </w:r>
          </w:p>
          <w:p w14:paraId="4811E296">
            <w:pPr>
              <w:pStyle w:val="120"/>
              <w:keepNext w:val="0"/>
              <w:keepLines w:val="0"/>
              <w:pageBreakBefore w:val="0"/>
              <w:widowControl w:val="0"/>
              <w:kinsoku/>
              <w:wordWrap/>
              <w:overflowPunct/>
              <w:topLinePunct w:val="0"/>
              <w:bidi w:val="0"/>
              <w:spacing w:line="356" w:lineRule="auto"/>
              <w:ind w:firstLine="504"/>
              <w:jc w:val="both"/>
              <w:textAlignment w:val="auto"/>
              <w:rPr>
                <w:rFonts w:hint="default" w:ascii="Times New Roman" w:hAnsi="Times New Roman" w:eastAsia="宋体" w:cs="Times New Roman"/>
                <w:color w:val="auto"/>
                <w:spacing w:val="0"/>
                <w:kern w:val="0"/>
                <w:position w:val="0"/>
                <w:sz w:val="24"/>
                <w:szCs w:val="24"/>
                <w:highlight w:val="none"/>
                <w:lang w:bidi="ar"/>
              </w:rPr>
            </w:pPr>
            <w:r>
              <w:rPr>
                <w:rFonts w:hint="eastAsia" w:ascii="Times New Roman" w:hAnsi="Times New Roman" w:eastAsia="宋体" w:cs="Times New Roman"/>
                <w:color w:val="auto"/>
                <w:spacing w:val="0"/>
                <w:kern w:val="0"/>
                <w:position w:val="0"/>
                <w:sz w:val="24"/>
                <w:szCs w:val="24"/>
                <w:highlight w:val="none"/>
                <w:lang w:val="en-US" w:eastAsia="zh-CN" w:bidi="ar"/>
              </w:rPr>
              <w:t>项目调漆、喷漆、晾干废气经水帘柜处理后与组装废气一并经1套“</w:t>
            </w:r>
            <w:r>
              <w:rPr>
                <w:rFonts w:hint="eastAsia" w:eastAsia="宋体" w:cs="Times New Roman"/>
                <w:color w:val="auto"/>
                <w:spacing w:val="0"/>
                <w:kern w:val="0"/>
                <w:position w:val="0"/>
                <w:sz w:val="24"/>
                <w:szCs w:val="24"/>
                <w:highlight w:val="none"/>
                <w:lang w:val="en-US" w:eastAsia="zh-CN" w:bidi="ar"/>
              </w:rPr>
              <w:t>气旋塔+过滤棉+二级活性炭吸附装置</w:t>
            </w:r>
            <w:r>
              <w:rPr>
                <w:rFonts w:hint="eastAsia" w:ascii="Times New Roman" w:hAnsi="Times New Roman" w:eastAsia="宋体" w:cs="Times New Roman"/>
                <w:color w:val="auto"/>
                <w:spacing w:val="0"/>
                <w:kern w:val="0"/>
                <w:position w:val="0"/>
                <w:sz w:val="24"/>
                <w:szCs w:val="24"/>
                <w:highlight w:val="none"/>
                <w:lang w:val="en-US" w:eastAsia="zh-CN" w:bidi="ar"/>
              </w:rPr>
              <w:t>”处理后通过1根</w:t>
            </w:r>
            <w:r>
              <w:rPr>
                <w:rFonts w:hint="eastAsia" w:eastAsia="宋体" w:cs="Times New Roman"/>
                <w:color w:val="auto"/>
                <w:spacing w:val="0"/>
                <w:kern w:val="0"/>
                <w:position w:val="0"/>
                <w:sz w:val="24"/>
                <w:szCs w:val="24"/>
                <w:highlight w:val="none"/>
                <w:lang w:val="en-US" w:eastAsia="zh-CN" w:bidi="ar"/>
              </w:rPr>
              <w:t>2</w:t>
            </w:r>
            <w:r>
              <w:rPr>
                <w:rFonts w:hint="eastAsia" w:ascii="Times New Roman" w:hAnsi="Times New Roman" w:eastAsia="宋体" w:cs="Times New Roman"/>
                <w:color w:val="auto"/>
                <w:spacing w:val="0"/>
                <w:kern w:val="0"/>
                <w:position w:val="0"/>
                <w:sz w:val="24"/>
                <w:szCs w:val="24"/>
                <w:highlight w:val="none"/>
                <w:lang w:val="en-US" w:eastAsia="zh-CN" w:bidi="ar"/>
              </w:rPr>
              <w:t>5m排气筒（DA001）排放</w:t>
            </w:r>
            <w:r>
              <w:rPr>
                <w:rFonts w:hint="default" w:ascii="Times New Roman" w:hAnsi="Times New Roman" w:eastAsia="宋体" w:cs="Times New Roman"/>
                <w:color w:val="auto"/>
                <w:spacing w:val="0"/>
                <w:kern w:val="0"/>
                <w:position w:val="0"/>
                <w:sz w:val="24"/>
                <w:szCs w:val="24"/>
                <w:highlight w:val="none"/>
                <w:lang w:bidi="ar"/>
              </w:rPr>
              <w:t>。</w:t>
            </w:r>
          </w:p>
          <w:p w14:paraId="36554EA4">
            <w:pPr>
              <w:keepNext w:val="0"/>
              <w:keepLines w:val="0"/>
              <w:pageBreakBefore w:val="0"/>
              <w:widowControl w:val="0"/>
              <w:kinsoku/>
              <w:wordWrap/>
              <w:overflowPunct/>
              <w:topLinePunct w:val="0"/>
              <w:autoSpaceDE w:val="0"/>
              <w:autoSpaceDN w:val="0"/>
              <w:bidi w:val="0"/>
              <w:adjustRightInd w:val="0"/>
              <w:snapToGrid w:val="0"/>
              <w:spacing w:line="356" w:lineRule="auto"/>
              <w:ind w:firstLine="480" w:firstLineChars="200"/>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项目500m范围内</w:t>
            </w:r>
            <w:r>
              <w:rPr>
                <w:rFonts w:hint="default" w:ascii="Times New Roman" w:hAnsi="Times New Roman" w:eastAsia="宋体" w:cs="Times New Roman"/>
                <w:color w:val="auto"/>
                <w:spacing w:val="0"/>
                <w:position w:val="0"/>
                <w:sz w:val="24"/>
                <w:szCs w:val="24"/>
                <w:highlight w:val="none"/>
                <w:lang w:eastAsia="zh-CN"/>
              </w:rPr>
              <w:t>距离最近的敏感点为</w:t>
            </w:r>
            <w:r>
              <w:rPr>
                <w:rFonts w:hint="default" w:ascii="Times New Roman" w:hAnsi="Times New Roman" w:eastAsia="宋体" w:cs="Times New Roman"/>
                <w:color w:val="auto"/>
                <w:spacing w:val="0"/>
                <w:position w:val="0"/>
                <w:sz w:val="24"/>
                <w:szCs w:val="24"/>
                <w:highlight w:val="none"/>
                <w:lang w:val="en-US" w:eastAsia="zh-CN"/>
              </w:rPr>
              <w:t>西北侧</w:t>
            </w:r>
            <w:r>
              <w:rPr>
                <w:rFonts w:hint="eastAsia" w:cs="Times New Roman"/>
                <w:color w:val="auto"/>
                <w:spacing w:val="0"/>
                <w:position w:val="0"/>
                <w:sz w:val="24"/>
                <w:szCs w:val="24"/>
                <w:highlight w:val="none"/>
                <w:lang w:val="en-US" w:eastAsia="zh-CN"/>
              </w:rPr>
              <w:t>433</w:t>
            </w:r>
            <w:r>
              <w:rPr>
                <w:rFonts w:hint="default" w:ascii="Times New Roman" w:hAnsi="Times New Roman" w:eastAsia="宋体" w:cs="Times New Roman"/>
                <w:color w:val="auto"/>
                <w:spacing w:val="0"/>
                <w:position w:val="0"/>
                <w:sz w:val="24"/>
                <w:szCs w:val="24"/>
                <w:highlight w:val="none"/>
                <w:lang w:val="en-US" w:eastAsia="zh-CN"/>
              </w:rPr>
              <w:t>m处的</w:t>
            </w:r>
            <w:r>
              <w:rPr>
                <w:rFonts w:hint="eastAsia" w:cs="Times New Roman"/>
                <w:color w:val="auto"/>
                <w:spacing w:val="0"/>
                <w:position w:val="0"/>
                <w:sz w:val="24"/>
                <w:szCs w:val="24"/>
                <w:highlight w:val="none"/>
                <w:lang w:val="en-US" w:eastAsia="zh-CN"/>
              </w:rPr>
              <w:t>福建京台高速管理中心</w:t>
            </w:r>
            <w:r>
              <w:rPr>
                <w:rFonts w:hint="default" w:ascii="Times New Roman" w:hAnsi="Times New Roman" w:eastAsia="宋体" w:cs="Times New Roman"/>
                <w:color w:val="auto"/>
                <w:spacing w:val="0"/>
                <w:position w:val="0"/>
                <w:sz w:val="24"/>
                <w:szCs w:val="24"/>
                <w:highlight w:val="none"/>
              </w:rPr>
              <w:t>，且项目生产废气经治理设施处理后均可达标排放，对周边大气环境影响小。要求建设单位应加强管理，避免事故排放及非正常工况排放</w:t>
            </w:r>
            <w:r>
              <w:rPr>
                <w:rFonts w:hint="default" w:ascii="Times New Roman" w:hAnsi="Times New Roman" w:eastAsia="宋体" w:cs="Times New Roman"/>
                <w:color w:val="auto"/>
                <w:spacing w:val="0"/>
                <w:position w:val="0"/>
                <w:sz w:val="24"/>
                <w:highlight w:val="none"/>
              </w:rPr>
              <w:t>。</w:t>
            </w:r>
          </w:p>
          <w:p w14:paraId="4C19448C">
            <w:pPr>
              <w:pStyle w:val="17"/>
              <w:keepNext w:val="0"/>
              <w:keepLines w:val="0"/>
              <w:pageBreakBefore w:val="0"/>
              <w:kinsoku/>
              <w:wordWrap/>
              <w:overflowPunct/>
              <w:topLinePunct w:val="0"/>
              <w:bidi w:val="0"/>
              <w:spacing w:line="356" w:lineRule="auto"/>
              <w:textAlignment w:val="auto"/>
              <w:rPr>
                <w:rFonts w:ascii="Times New Roman" w:hAnsi="Times New Roman" w:eastAsia="宋体" w:cs="Times New Roman"/>
                <w:b/>
                <w:bCs/>
                <w:color w:val="auto"/>
                <w:spacing w:val="0"/>
                <w:position w:val="0"/>
                <w:sz w:val="24"/>
                <w:szCs w:val="24"/>
                <w:highlight w:val="none"/>
              </w:rPr>
            </w:pPr>
            <w:bookmarkStart w:id="50" w:name="OLE_LINK71"/>
            <w:r>
              <w:rPr>
                <w:rFonts w:ascii="Times New Roman" w:hAnsi="Times New Roman" w:eastAsia="宋体" w:cs="Times New Roman"/>
                <w:b/>
                <w:bCs/>
                <w:color w:val="auto"/>
                <w:spacing w:val="0"/>
                <w:position w:val="0"/>
                <w:sz w:val="24"/>
                <w:szCs w:val="24"/>
                <w:highlight w:val="none"/>
              </w:rPr>
              <w:t>4.</w:t>
            </w:r>
            <w:r>
              <w:rPr>
                <w:rFonts w:hint="eastAsia" w:ascii="Times New Roman" w:hAnsi="Times New Roman" w:eastAsia="宋体" w:cs="Times New Roman"/>
                <w:b/>
                <w:bCs/>
                <w:color w:val="auto"/>
                <w:spacing w:val="0"/>
                <w:position w:val="0"/>
                <w:sz w:val="24"/>
                <w:szCs w:val="24"/>
                <w:highlight w:val="none"/>
              </w:rPr>
              <w:t>2</w:t>
            </w:r>
            <w:r>
              <w:rPr>
                <w:rFonts w:ascii="Times New Roman" w:hAnsi="Times New Roman" w:eastAsia="宋体" w:cs="Times New Roman"/>
                <w:b/>
                <w:bCs/>
                <w:color w:val="auto"/>
                <w:spacing w:val="0"/>
                <w:position w:val="0"/>
                <w:sz w:val="24"/>
                <w:szCs w:val="24"/>
                <w:highlight w:val="none"/>
              </w:rPr>
              <w:t>水环境影响</w:t>
            </w:r>
            <w:r>
              <w:rPr>
                <w:rFonts w:hint="eastAsia" w:ascii="Times New Roman" w:hAnsi="Times New Roman" w:eastAsia="宋体" w:cs="Times New Roman"/>
                <w:b/>
                <w:bCs/>
                <w:color w:val="auto"/>
                <w:spacing w:val="0"/>
                <w:position w:val="0"/>
                <w:sz w:val="24"/>
                <w:szCs w:val="24"/>
                <w:highlight w:val="none"/>
              </w:rPr>
              <w:t>及</w:t>
            </w:r>
            <w:r>
              <w:rPr>
                <w:rFonts w:ascii="Times New Roman" w:hAnsi="Times New Roman" w:eastAsia="宋体" w:cs="Times New Roman"/>
                <w:b/>
                <w:bCs/>
                <w:color w:val="auto"/>
                <w:spacing w:val="0"/>
                <w:position w:val="0"/>
                <w:sz w:val="24"/>
                <w:szCs w:val="24"/>
                <w:highlight w:val="none"/>
              </w:rPr>
              <w:t>保护措施</w:t>
            </w:r>
          </w:p>
          <w:bookmarkEnd w:id="50"/>
          <w:p w14:paraId="177A1BC3">
            <w:pPr>
              <w:pStyle w:val="17"/>
              <w:keepNext w:val="0"/>
              <w:keepLines w:val="0"/>
              <w:pageBreakBefore w:val="0"/>
              <w:kinsoku/>
              <w:wordWrap/>
              <w:overflowPunct/>
              <w:topLinePunct w:val="0"/>
              <w:bidi w:val="0"/>
              <w:spacing w:line="356" w:lineRule="auto"/>
              <w:textAlignment w:val="auto"/>
              <w:rPr>
                <w:rFonts w:ascii="Times New Roman" w:hAnsi="Times New Roman" w:eastAsia="宋体" w:cs="Times New Roman"/>
                <w:b/>
                <w:bCs/>
                <w:color w:val="auto"/>
                <w:spacing w:val="0"/>
                <w:position w:val="0"/>
                <w:sz w:val="24"/>
                <w:szCs w:val="24"/>
                <w:highlight w:val="none"/>
              </w:rPr>
            </w:pPr>
            <w:r>
              <w:rPr>
                <w:rFonts w:ascii="Times New Roman" w:hAnsi="Times New Roman" w:eastAsia="宋体" w:cs="Times New Roman"/>
                <w:b/>
                <w:bCs/>
                <w:color w:val="auto"/>
                <w:spacing w:val="0"/>
                <w:position w:val="0"/>
                <w:sz w:val="24"/>
                <w:szCs w:val="24"/>
                <w:highlight w:val="none"/>
              </w:rPr>
              <w:t>4.</w:t>
            </w:r>
            <w:r>
              <w:rPr>
                <w:rFonts w:hint="eastAsia" w:ascii="Times New Roman" w:hAnsi="Times New Roman" w:eastAsia="宋体" w:cs="Times New Roman"/>
                <w:b/>
                <w:bCs/>
                <w:color w:val="auto"/>
                <w:spacing w:val="0"/>
                <w:position w:val="0"/>
                <w:sz w:val="24"/>
                <w:szCs w:val="24"/>
                <w:highlight w:val="none"/>
              </w:rPr>
              <w:t>2</w:t>
            </w:r>
            <w:r>
              <w:rPr>
                <w:rFonts w:ascii="Times New Roman" w:hAnsi="Times New Roman" w:eastAsia="宋体" w:cs="Times New Roman"/>
                <w:b/>
                <w:bCs/>
                <w:color w:val="auto"/>
                <w:spacing w:val="0"/>
                <w:position w:val="0"/>
                <w:sz w:val="24"/>
                <w:szCs w:val="24"/>
                <w:highlight w:val="none"/>
              </w:rPr>
              <w:t>.1废水污染源强分析</w:t>
            </w:r>
          </w:p>
          <w:p w14:paraId="72739947">
            <w:pPr>
              <w:pStyle w:val="13"/>
              <w:keepNext w:val="0"/>
              <w:keepLines w:val="0"/>
              <w:pageBreakBefore w:val="0"/>
              <w:kinsoku/>
              <w:wordWrap/>
              <w:overflowPunct/>
              <w:topLinePunct w:val="0"/>
              <w:bidi w:val="0"/>
              <w:snapToGrid w:val="0"/>
              <w:spacing w:before="0" w:after="0" w:line="360" w:lineRule="auto"/>
              <w:ind w:right="0" w:firstLine="480" w:firstLineChars="200"/>
              <w:textAlignment w:val="auto"/>
              <w:rPr>
                <w:rFonts w:hint="eastAsia" w:cs="Times New Roman"/>
                <w:color w:val="auto"/>
                <w:sz w:val="24"/>
                <w:szCs w:val="24"/>
                <w:highlight w:val="none"/>
                <w:shd w:val="clear" w:color="auto" w:fill="auto"/>
                <w:lang w:val="en-US" w:eastAsia="zh-CN"/>
              </w:rPr>
            </w:pPr>
            <w:r>
              <w:rPr>
                <w:rFonts w:hint="eastAsia"/>
                <w:color w:val="auto"/>
                <w:sz w:val="24"/>
                <w:szCs w:val="24"/>
                <w:highlight w:val="none"/>
              </w:rPr>
              <w:t>项目</w:t>
            </w:r>
            <w:r>
              <w:rPr>
                <w:rFonts w:hint="eastAsia"/>
                <w:color w:val="auto"/>
                <w:sz w:val="24"/>
                <w:szCs w:val="24"/>
                <w:highlight w:val="none"/>
                <w:lang w:eastAsia="zh-CN"/>
              </w:rPr>
              <w:t>水帘气旋废水</w:t>
            </w:r>
            <w:r>
              <w:rPr>
                <w:rFonts w:hint="eastAsia" w:ascii="Times New Roman" w:hAnsi="Times New Roman" w:eastAsia="宋体" w:cs="Times New Roman"/>
                <w:color w:val="auto"/>
                <w:kern w:val="0"/>
                <w:sz w:val="24"/>
                <w:szCs w:val="24"/>
                <w:highlight w:val="none"/>
              </w:rPr>
              <w:t>经“调节池+絮凝沉淀+压滤+清水池”处理</w:t>
            </w:r>
            <w:r>
              <w:rPr>
                <w:rFonts w:hint="eastAsia" w:cs="Times New Roman"/>
                <w:b w:val="0"/>
                <w:bCs/>
                <w:color w:val="auto"/>
                <w:spacing w:val="0"/>
                <w:position w:val="0"/>
                <w:sz w:val="24"/>
                <w:szCs w:val="24"/>
                <w:highlight w:val="none"/>
                <w:lang w:val="en-US" w:eastAsia="zh-CN"/>
              </w:rPr>
              <w:t>（一月处理一次）</w:t>
            </w:r>
            <w:r>
              <w:rPr>
                <w:rFonts w:hint="eastAsia" w:ascii="Times New Roman" w:hAnsi="Times New Roman" w:eastAsia="宋体" w:cs="Times New Roman"/>
                <w:color w:val="auto"/>
                <w:kern w:val="0"/>
                <w:sz w:val="24"/>
                <w:szCs w:val="24"/>
                <w:highlight w:val="none"/>
              </w:rPr>
              <w:t>后回用于水帘气旋，一年更换一次作为危废，定期委托有资质单位进行处理</w:t>
            </w:r>
            <w:r>
              <w:rPr>
                <w:rFonts w:hint="eastAsia" w:ascii="Times New Roman" w:hAnsi="Times New Roman" w:eastAsia="宋体" w:cs="Times New Roman"/>
                <w:color w:val="auto"/>
                <w:kern w:val="0"/>
                <w:sz w:val="24"/>
                <w:szCs w:val="24"/>
                <w:highlight w:val="none"/>
                <w:lang w:val="en-US" w:eastAsia="zh-CN" w:bidi="ar"/>
              </w:rPr>
              <w:t>，不排放</w:t>
            </w:r>
            <w:r>
              <w:rPr>
                <w:rFonts w:hint="eastAsia" w:cs="Times New Roman"/>
                <w:color w:val="auto"/>
                <w:sz w:val="24"/>
                <w:szCs w:val="24"/>
                <w:highlight w:val="none"/>
                <w:shd w:val="clear" w:color="auto" w:fill="auto"/>
                <w:lang w:val="en-US" w:eastAsia="zh-CN"/>
              </w:rPr>
              <w:t>；</w:t>
            </w:r>
            <w:r>
              <w:rPr>
                <w:rFonts w:hint="eastAsia" w:cs="Times New Roman"/>
                <w:b w:val="0"/>
                <w:bCs/>
                <w:color w:val="auto"/>
                <w:spacing w:val="0"/>
                <w:position w:val="0"/>
                <w:sz w:val="24"/>
                <w:szCs w:val="24"/>
                <w:highlight w:val="none"/>
                <w:lang w:val="en-US" w:eastAsia="zh-CN"/>
              </w:rPr>
              <w:t>喷枪清洗废液作为危险废物委托有资质单位处置。</w:t>
            </w:r>
          </w:p>
          <w:p w14:paraId="2FD24E12">
            <w:pPr>
              <w:pStyle w:val="13"/>
              <w:keepNext w:val="0"/>
              <w:keepLines w:val="0"/>
              <w:pageBreakBefore w:val="0"/>
              <w:kinsoku/>
              <w:wordWrap/>
              <w:overflowPunct/>
              <w:topLinePunct w:val="0"/>
              <w:bidi w:val="0"/>
              <w:snapToGrid w:val="0"/>
              <w:spacing w:before="0" w:after="0" w:line="360" w:lineRule="auto"/>
              <w:ind w:right="0" w:firstLine="480" w:firstLineChars="200"/>
              <w:textAlignment w:val="auto"/>
              <w:rPr>
                <w:rFonts w:hint="eastAsia"/>
                <w:color w:val="auto"/>
                <w:sz w:val="24"/>
                <w:szCs w:val="24"/>
                <w:highlight w:val="none"/>
              </w:rPr>
            </w:pPr>
            <w:r>
              <w:rPr>
                <w:rFonts w:hint="eastAsia"/>
                <w:color w:val="auto"/>
                <w:sz w:val="24"/>
                <w:szCs w:val="24"/>
                <w:highlight w:val="none"/>
              </w:rPr>
              <w:t>本项目</w:t>
            </w:r>
            <w:r>
              <w:rPr>
                <w:rFonts w:hint="eastAsia"/>
                <w:color w:val="auto"/>
                <w:sz w:val="24"/>
                <w:szCs w:val="24"/>
                <w:highlight w:val="none"/>
                <w:lang w:eastAsia="zh-CN"/>
              </w:rPr>
              <w:t>水帘气旋废水</w:t>
            </w:r>
            <w:r>
              <w:rPr>
                <w:rFonts w:hint="eastAsia"/>
                <w:color w:val="auto"/>
                <w:sz w:val="24"/>
                <w:szCs w:val="24"/>
                <w:highlight w:val="none"/>
              </w:rPr>
              <w:t>水质情况类比《</w:t>
            </w:r>
            <w:r>
              <w:rPr>
                <w:color w:val="auto"/>
                <w:sz w:val="24"/>
                <w:szCs w:val="24"/>
                <w:highlight w:val="none"/>
              </w:rPr>
              <w:t>福州创源编织品有限公司年产木制工艺品12万件、铁制工艺品2万件、竹制工艺品3万件生产线建设项目</w:t>
            </w:r>
            <w:r>
              <w:rPr>
                <w:rFonts w:hint="eastAsia"/>
                <w:color w:val="auto"/>
                <w:sz w:val="24"/>
                <w:szCs w:val="24"/>
                <w:highlight w:val="none"/>
              </w:rPr>
              <w:t>竣工环保验收检测报告》（2020年1月）（详见附件1</w:t>
            </w:r>
            <w:r>
              <w:rPr>
                <w:rFonts w:hint="eastAsia"/>
                <w:color w:val="auto"/>
                <w:sz w:val="24"/>
                <w:szCs w:val="24"/>
                <w:highlight w:val="none"/>
                <w:lang w:val="en-US" w:eastAsia="zh-CN"/>
              </w:rPr>
              <w:t>5</w:t>
            </w:r>
            <w:r>
              <w:rPr>
                <w:rFonts w:hint="eastAsia"/>
                <w:color w:val="auto"/>
                <w:sz w:val="24"/>
                <w:szCs w:val="24"/>
                <w:highlight w:val="none"/>
              </w:rPr>
              <w:t>），该项目生产废水主要为</w:t>
            </w:r>
            <w:r>
              <w:rPr>
                <w:rFonts w:hint="eastAsia"/>
                <w:color w:val="auto"/>
                <w:sz w:val="24"/>
                <w:szCs w:val="24"/>
                <w:highlight w:val="none"/>
                <w:lang w:eastAsia="zh-CN"/>
              </w:rPr>
              <w:t>水帘气旋废水</w:t>
            </w:r>
            <w:r>
              <w:rPr>
                <w:rFonts w:hint="eastAsia"/>
                <w:color w:val="auto"/>
                <w:sz w:val="24"/>
                <w:szCs w:val="24"/>
                <w:highlight w:val="none"/>
              </w:rPr>
              <w:t>，具有一定的类比可行性，</w:t>
            </w:r>
            <w:r>
              <w:rPr>
                <w:rFonts w:hint="eastAsia"/>
                <w:color w:val="auto"/>
                <w:sz w:val="24"/>
                <w:szCs w:val="24"/>
                <w:highlight w:val="none"/>
                <w:lang w:eastAsia="zh-CN"/>
              </w:rPr>
              <w:t>水帘气旋废水</w:t>
            </w:r>
            <w:r>
              <w:rPr>
                <w:rFonts w:hint="eastAsia"/>
                <w:color w:val="auto"/>
                <w:sz w:val="24"/>
                <w:szCs w:val="24"/>
                <w:highlight w:val="none"/>
              </w:rPr>
              <w:t>处理前SS：229</w:t>
            </w:r>
            <w:r>
              <w:rPr>
                <w:rFonts w:hint="eastAsia"/>
                <w:color w:val="auto"/>
                <w:sz w:val="24"/>
                <w:szCs w:val="24"/>
                <w:highlight w:val="none"/>
                <w:lang w:eastAsia="zh-CN"/>
              </w:rPr>
              <w:t>～</w:t>
            </w:r>
            <w:r>
              <w:rPr>
                <w:rFonts w:hint="eastAsia"/>
                <w:color w:val="auto"/>
                <w:sz w:val="24"/>
                <w:szCs w:val="24"/>
                <w:highlight w:val="none"/>
              </w:rPr>
              <w:t>323</w:t>
            </w:r>
            <w:r>
              <w:rPr>
                <w:bCs/>
                <w:color w:val="auto"/>
                <w:sz w:val="24"/>
                <w:szCs w:val="24"/>
                <w:highlight w:val="none"/>
              </w:rPr>
              <w:t>mg/L</w:t>
            </w:r>
            <w:r>
              <w:rPr>
                <w:rFonts w:hint="eastAsia"/>
                <w:bCs/>
                <w:color w:val="auto"/>
                <w:sz w:val="24"/>
                <w:szCs w:val="24"/>
                <w:highlight w:val="none"/>
              </w:rPr>
              <w:t>、</w:t>
            </w:r>
            <w:r>
              <w:rPr>
                <w:rFonts w:hint="eastAsia"/>
                <w:bCs/>
                <w:color w:val="auto"/>
                <w:sz w:val="24"/>
                <w:szCs w:val="24"/>
                <w:highlight w:val="none"/>
                <w:lang w:val="en-US" w:eastAsia="zh-CN"/>
              </w:rPr>
              <w:t>BOD</w:t>
            </w:r>
            <w:r>
              <w:rPr>
                <w:rFonts w:hint="eastAsia"/>
                <w:bCs/>
                <w:color w:val="auto"/>
                <w:sz w:val="24"/>
                <w:szCs w:val="24"/>
                <w:highlight w:val="none"/>
                <w:vertAlign w:val="subscript"/>
                <w:lang w:val="en-US" w:eastAsia="zh-CN"/>
              </w:rPr>
              <w:t>5</w:t>
            </w:r>
            <w:r>
              <w:rPr>
                <w:rFonts w:hint="eastAsia"/>
                <w:color w:val="auto"/>
                <w:sz w:val="24"/>
                <w:szCs w:val="24"/>
                <w:highlight w:val="none"/>
                <w:lang w:eastAsia="zh-CN"/>
              </w:rPr>
              <w:t>：</w:t>
            </w:r>
            <w:r>
              <w:rPr>
                <w:rFonts w:hint="eastAsia"/>
                <w:color w:val="auto"/>
                <w:sz w:val="24"/>
                <w:szCs w:val="24"/>
                <w:highlight w:val="none"/>
                <w:lang w:val="en-US" w:eastAsia="zh-CN"/>
              </w:rPr>
              <w:t>114~154</w:t>
            </w:r>
            <w:r>
              <w:rPr>
                <w:rFonts w:hint="eastAsia"/>
                <w:bCs/>
                <w:color w:val="auto"/>
                <w:sz w:val="24"/>
                <w:szCs w:val="24"/>
                <w:highlight w:val="none"/>
                <w:lang w:val="en-US" w:eastAsia="zh-CN"/>
              </w:rPr>
              <w:t>mg/L</w:t>
            </w:r>
            <w:r>
              <w:rPr>
                <w:rFonts w:hint="eastAsia"/>
                <w:color w:val="auto"/>
                <w:sz w:val="24"/>
                <w:szCs w:val="24"/>
                <w:highlight w:val="none"/>
                <w:lang w:val="en-US" w:eastAsia="zh-CN"/>
              </w:rPr>
              <w:t>、</w:t>
            </w:r>
            <w:r>
              <w:rPr>
                <w:rFonts w:hint="eastAsia"/>
                <w:color w:val="auto"/>
                <w:sz w:val="24"/>
                <w:szCs w:val="24"/>
                <w:highlight w:val="none"/>
              </w:rPr>
              <w:t>COD</w:t>
            </w:r>
            <w:r>
              <w:rPr>
                <w:rFonts w:hint="eastAsia"/>
                <w:color w:val="auto"/>
                <w:sz w:val="24"/>
                <w:szCs w:val="24"/>
                <w:highlight w:val="none"/>
                <w:vertAlign w:val="subscript"/>
              </w:rPr>
              <w:t>Cr</w:t>
            </w:r>
            <w:r>
              <w:rPr>
                <w:rFonts w:hint="eastAsia"/>
                <w:color w:val="auto"/>
                <w:sz w:val="24"/>
                <w:szCs w:val="24"/>
                <w:highlight w:val="none"/>
              </w:rPr>
              <w:t>：</w:t>
            </w:r>
            <w:r>
              <w:rPr>
                <w:rFonts w:hint="eastAsia"/>
                <w:bCs/>
                <w:color w:val="auto"/>
                <w:sz w:val="24"/>
                <w:szCs w:val="24"/>
                <w:highlight w:val="none"/>
              </w:rPr>
              <w:t>553</w:t>
            </w:r>
            <w:r>
              <w:rPr>
                <w:rFonts w:hint="eastAsia"/>
                <w:bCs/>
                <w:color w:val="auto"/>
                <w:sz w:val="24"/>
                <w:szCs w:val="24"/>
                <w:highlight w:val="none"/>
                <w:lang w:eastAsia="zh-CN"/>
              </w:rPr>
              <w:t>～</w:t>
            </w:r>
            <w:r>
              <w:rPr>
                <w:rFonts w:hint="eastAsia"/>
                <w:bCs/>
                <w:color w:val="auto"/>
                <w:sz w:val="24"/>
                <w:szCs w:val="24"/>
                <w:highlight w:val="none"/>
              </w:rPr>
              <w:t>639</w:t>
            </w:r>
            <w:r>
              <w:rPr>
                <w:bCs/>
                <w:color w:val="auto"/>
                <w:sz w:val="24"/>
                <w:szCs w:val="24"/>
                <w:highlight w:val="none"/>
              </w:rPr>
              <w:t>mg/L</w:t>
            </w:r>
            <w:r>
              <w:rPr>
                <w:rFonts w:hint="eastAsia"/>
                <w:bCs/>
                <w:color w:val="auto"/>
                <w:sz w:val="24"/>
                <w:szCs w:val="24"/>
                <w:highlight w:val="none"/>
                <w:lang w:eastAsia="zh-CN"/>
              </w:rPr>
              <w:t>、</w:t>
            </w:r>
            <w:r>
              <w:rPr>
                <w:rFonts w:hint="eastAsia"/>
                <w:bCs/>
                <w:color w:val="auto"/>
                <w:sz w:val="24"/>
                <w:szCs w:val="24"/>
                <w:highlight w:val="none"/>
                <w:lang w:val="en-US" w:eastAsia="zh-CN"/>
              </w:rPr>
              <w:t>石油类：5.32~5.62mg/L、色度：16倍，</w:t>
            </w:r>
            <w:r>
              <w:rPr>
                <w:rFonts w:hint="eastAsia"/>
                <w:bCs/>
                <w:color w:val="auto"/>
                <w:sz w:val="24"/>
                <w:szCs w:val="24"/>
                <w:highlight w:val="none"/>
              </w:rPr>
              <w:t>经</w:t>
            </w:r>
            <w:r>
              <w:rPr>
                <w:rFonts w:hint="eastAsia"/>
                <w:color w:val="auto"/>
                <w:sz w:val="24"/>
                <w:szCs w:val="24"/>
                <w:highlight w:val="none"/>
              </w:rPr>
              <w:t>“调节池+絮凝沉淀+压滤+清水池”后，SS：73</w:t>
            </w:r>
            <w:r>
              <w:rPr>
                <w:rFonts w:hint="eastAsia"/>
                <w:color w:val="auto"/>
                <w:sz w:val="24"/>
                <w:szCs w:val="24"/>
                <w:highlight w:val="none"/>
                <w:lang w:eastAsia="zh-CN"/>
              </w:rPr>
              <w:t>～</w:t>
            </w:r>
            <w:r>
              <w:rPr>
                <w:rFonts w:hint="eastAsia"/>
                <w:color w:val="auto"/>
                <w:sz w:val="24"/>
                <w:szCs w:val="24"/>
                <w:highlight w:val="none"/>
              </w:rPr>
              <w:t>94</w:t>
            </w:r>
            <w:r>
              <w:rPr>
                <w:bCs/>
                <w:color w:val="auto"/>
                <w:sz w:val="24"/>
                <w:szCs w:val="24"/>
                <w:highlight w:val="none"/>
              </w:rPr>
              <w:t>mg/L</w:t>
            </w:r>
            <w:r>
              <w:rPr>
                <w:rFonts w:hint="eastAsia"/>
                <w:bCs/>
                <w:color w:val="auto"/>
                <w:sz w:val="24"/>
                <w:szCs w:val="24"/>
                <w:highlight w:val="none"/>
              </w:rPr>
              <w:t>、</w:t>
            </w:r>
            <w:r>
              <w:rPr>
                <w:rFonts w:hint="eastAsia"/>
                <w:bCs/>
                <w:color w:val="auto"/>
                <w:sz w:val="24"/>
                <w:szCs w:val="24"/>
                <w:highlight w:val="none"/>
                <w:lang w:val="en-US" w:eastAsia="zh-CN"/>
              </w:rPr>
              <w:t>BOD</w:t>
            </w:r>
            <w:r>
              <w:rPr>
                <w:rFonts w:hint="eastAsia"/>
                <w:bCs/>
                <w:color w:val="auto"/>
                <w:sz w:val="24"/>
                <w:szCs w:val="24"/>
                <w:highlight w:val="none"/>
                <w:vertAlign w:val="subscript"/>
                <w:lang w:val="en-US" w:eastAsia="zh-CN"/>
              </w:rPr>
              <w:t>5</w:t>
            </w:r>
            <w:r>
              <w:rPr>
                <w:rFonts w:hint="eastAsia"/>
                <w:color w:val="auto"/>
                <w:sz w:val="24"/>
                <w:szCs w:val="24"/>
                <w:highlight w:val="none"/>
                <w:lang w:eastAsia="zh-CN"/>
              </w:rPr>
              <w:t>：</w:t>
            </w:r>
            <w:r>
              <w:rPr>
                <w:rFonts w:hint="eastAsia"/>
                <w:color w:val="auto"/>
                <w:sz w:val="24"/>
                <w:szCs w:val="24"/>
                <w:highlight w:val="none"/>
                <w:lang w:val="en-US" w:eastAsia="zh-CN"/>
              </w:rPr>
              <w:t>55.4~68.8</w:t>
            </w:r>
            <w:r>
              <w:rPr>
                <w:rFonts w:hint="eastAsia"/>
                <w:bCs/>
                <w:color w:val="auto"/>
                <w:sz w:val="24"/>
                <w:szCs w:val="24"/>
                <w:highlight w:val="none"/>
                <w:lang w:val="en-US" w:eastAsia="zh-CN"/>
              </w:rPr>
              <w:t>mg/L</w:t>
            </w:r>
            <w:r>
              <w:rPr>
                <w:rFonts w:hint="eastAsia"/>
                <w:color w:val="auto"/>
                <w:sz w:val="24"/>
                <w:szCs w:val="24"/>
                <w:highlight w:val="none"/>
                <w:lang w:val="en-US" w:eastAsia="zh-CN"/>
              </w:rPr>
              <w:t>、</w:t>
            </w:r>
            <w:r>
              <w:rPr>
                <w:rFonts w:hint="eastAsia"/>
                <w:color w:val="auto"/>
                <w:sz w:val="24"/>
                <w:szCs w:val="24"/>
                <w:highlight w:val="none"/>
              </w:rPr>
              <w:t>COD</w:t>
            </w:r>
            <w:r>
              <w:rPr>
                <w:rFonts w:hint="eastAsia"/>
                <w:color w:val="auto"/>
                <w:sz w:val="24"/>
                <w:szCs w:val="24"/>
                <w:highlight w:val="none"/>
                <w:vertAlign w:val="subscript"/>
              </w:rPr>
              <w:t>Cr</w:t>
            </w:r>
            <w:r>
              <w:rPr>
                <w:rFonts w:hint="eastAsia"/>
                <w:color w:val="auto"/>
                <w:sz w:val="24"/>
                <w:szCs w:val="24"/>
                <w:highlight w:val="none"/>
              </w:rPr>
              <w:t>：</w:t>
            </w:r>
            <w:r>
              <w:rPr>
                <w:rFonts w:hint="eastAsia"/>
                <w:bCs/>
                <w:color w:val="auto"/>
                <w:sz w:val="24"/>
                <w:szCs w:val="24"/>
                <w:highlight w:val="none"/>
              </w:rPr>
              <w:t>241</w:t>
            </w:r>
            <w:r>
              <w:rPr>
                <w:rFonts w:hint="eastAsia"/>
                <w:bCs/>
                <w:color w:val="auto"/>
                <w:sz w:val="24"/>
                <w:szCs w:val="24"/>
                <w:highlight w:val="none"/>
                <w:lang w:eastAsia="zh-CN"/>
              </w:rPr>
              <w:t>～</w:t>
            </w:r>
            <w:r>
              <w:rPr>
                <w:rFonts w:hint="eastAsia"/>
                <w:bCs/>
                <w:color w:val="auto"/>
                <w:sz w:val="24"/>
                <w:szCs w:val="24"/>
                <w:highlight w:val="none"/>
              </w:rPr>
              <w:t>286</w:t>
            </w:r>
            <w:r>
              <w:rPr>
                <w:bCs/>
                <w:color w:val="auto"/>
                <w:sz w:val="24"/>
                <w:szCs w:val="24"/>
                <w:highlight w:val="none"/>
              </w:rPr>
              <w:t>mg/L</w:t>
            </w:r>
            <w:r>
              <w:rPr>
                <w:rFonts w:hint="eastAsia"/>
                <w:bCs/>
                <w:color w:val="auto"/>
                <w:sz w:val="24"/>
                <w:szCs w:val="24"/>
                <w:highlight w:val="none"/>
                <w:lang w:eastAsia="zh-CN"/>
              </w:rPr>
              <w:t>、</w:t>
            </w:r>
            <w:r>
              <w:rPr>
                <w:rFonts w:hint="eastAsia"/>
                <w:bCs/>
                <w:color w:val="auto"/>
                <w:sz w:val="24"/>
                <w:szCs w:val="24"/>
                <w:highlight w:val="none"/>
                <w:lang w:val="en-US" w:eastAsia="zh-CN"/>
              </w:rPr>
              <w:t>石油类：2.18~2.31mg/L、色度：4倍</w:t>
            </w:r>
            <w:r>
              <w:rPr>
                <w:rFonts w:hint="eastAsia"/>
                <w:color w:val="auto"/>
                <w:sz w:val="24"/>
                <w:szCs w:val="24"/>
                <w:highlight w:val="none"/>
              </w:rPr>
              <w:t>，因此，项目废水经处理后浓度值较小可进行循环使用，</w:t>
            </w:r>
            <w:r>
              <w:rPr>
                <w:rFonts w:hint="eastAsia"/>
                <w:color w:val="auto"/>
                <w:sz w:val="24"/>
                <w:szCs w:val="24"/>
                <w:highlight w:val="none"/>
                <w:lang w:val="en-US" w:eastAsia="zh-CN"/>
              </w:rPr>
              <w:t>一年更换一次</w:t>
            </w:r>
            <w:r>
              <w:rPr>
                <w:rFonts w:hint="eastAsia"/>
                <w:color w:val="auto"/>
                <w:sz w:val="24"/>
                <w:szCs w:val="24"/>
                <w:highlight w:val="none"/>
                <w:lang w:eastAsia="zh-CN"/>
              </w:rPr>
              <w:t>水帘气旋废水</w:t>
            </w:r>
            <w:r>
              <w:rPr>
                <w:rFonts w:hint="eastAsia"/>
                <w:color w:val="auto"/>
                <w:sz w:val="24"/>
                <w:szCs w:val="24"/>
                <w:highlight w:val="none"/>
              </w:rPr>
              <w:t xml:space="preserve">，作为危废处置，更换的废水委托有资质的单位进行处置。    </w:t>
            </w:r>
          </w:p>
          <w:p w14:paraId="6C569E2B">
            <w:pPr>
              <w:pStyle w:val="13"/>
              <w:keepNext w:val="0"/>
              <w:keepLines w:val="0"/>
              <w:pageBreakBefore w:val="0"/>
              <w:kinsoku/>
              <w:wordWrap/>
              <w:overflowPunct/>
              <w:topLinePunct w:val="0"/>
              <w:bidi w:val="0"/>
              <w:snapToGrid w:val="0"/>
              <w:spacing w:before="0" w:after="0" w:line="360" w:lineRule="auto"/>
              <w:ind w:right="0" w:firstLine="480" w:firstLineChars="200"/>
              <w:textAlignment w:val="auto"/>
              <w:rPr>
                <w:rFonts w:hint="eastAsia"/>
                <w:color w:val="auto"/>
                <w:sz w:val="24"/>
                <w:szCs w:val="24"/>
                <w:highlight w:val="none"/>
              </w:rPr>
            </w:pPr>
            <w:r>
              <w:rPr>
                <w:color w:val="auto"/>
                <w:sz w:val="24"/>
                <w:szCs w:val="24"/>
                <w:highlight w:val="none"/>
              </w:rPr>
              <w:t>福州创源编织品有限公司</w:t>
            </w:r>
            <w:r>
              <w:rPr>
                <w:rFonts w:hint="eastAsia"/>
                <w:color w:val="auto"/>
                <w:sz w:val="24"/>
                <w:szCs w:val="24"/>
                <w:highlight w:val="none"/>
              </w:rPr>
              <w:t>的水帘喷淋废</w:t>
            </w:r>
            <w:r>
              <w:rPr>
                <w:rFonts w:hint="eastAsia"/>
                <w:color w:val="auto"/>
                <w:sz w:val="24"/>
                <w:szCs w:val="24"/>
                <w:highlight w:val="none"/>
                <w:lang w:eastAsia="zh-CN"/>
              </w:rPr>
              <w:t>液</w:t>
            </w:r>
            <w:r>
              <w:rPr>
                <w:rFonts w:hint="eastAsia"/>
                <w:color w:val="auto"/>
                <w:sz w:val="24"/>
                <w:szCs w:val="24"/>
                <w:highlight w:val="none"/>
              </w:rPr>
              <w:t>产生</w:t>
            </w:r>
            <w:r>
              <w:rPr>
                <w:color w:val="auto"/>
                <w:sz w:val="24"/>
                <w:szCs w:val="24"/>
                <w:highlight w:val="none"/>
              </w:rPr>
              <w:t>情况与本项目的可比性分析情况见表4</w:t>
            </w:r>
            <w:r>
              <w:rPr>
                <w:rFonts w:hint="eastAsia"/>
                <w:color w:val="auto"/>
                <w:sz w:val="24"/>
                <w:szCs w:val="24"/>
                <w:highlight w:val="none"/>
              </w:rPr>
              <w:t>.</w:t>
            </w:r>
            <w:r>
              <w:rPr>
                <w:rFonts w:hint="eastAsia"/>
                <w:color w:val="auto"/>
                <w:sz w:val="24"/>
                <w:szCs w:val="24"/>
                <w:highlight w:val="none"/>
                <w:lang w:val="en-US" w:eastAsia="zh-CN"/>
              </w:rPr>
              <w:t>2</w:t>
            </w:r>
            <w:r>
              <w:rPr>
                <w:rFonts w:hint="eastAsia"/>
                <w:color w:val="auto"/>
                <w:sz w:val="24"/>
                <w:szCs w:val="24"/>
                <w:highlight w:val="none"/>
              </w:rPr>
              <w:t>-1</w:t>
            </w:r>
            <w:r>
              <w:rPr>
                <w:color w:val="auto"/>
                <w:sz w:val="24"/>
                <w:szCs w:val="24"/>
                <w:highlight w:val="none"/>
              </w:rPr>
              <w:t>。</w:t>
            </w:r>
          </w:p>
          <w:p w14:paraId="647B2E37">
            <w:pPr>
              <w:spacing w:line="240" w:lineRule="auto"/>
              <w:ind w:firstLine="482"/>
              <w:jc w:val="center"/>
              <w:rPr>
                <w:rFonts w:hint="eastAsia"/>
                <w:b/>
                <w:bCs/>
                <w:color w:val="auto"/>
                <w:sz w:val="24"/>
                <w:szCs w:val="24"/>
                <w:highlight w:val="none"/>
              </w:rPr>
            </w:pPr>
            <w:r>
              <w:rPr>
                <w:b/>
                <w:bCs/>
                <w:color w:val="auto"/>
                <w:sz w:val="24"/>
                <w:szCs w:val="24"/>
                <w:highlight w:val="none"/>
              </w:rPr>
              <w:t>表4</w:t>
            </w:r>
            <w:r>
              <w:rPr>
                <w:rFonts w:hint="eastAsia"/>
                <w:b/>
                <w:bCs/>
                <w:color w:val="auto"/>
                <w:sz w:val="24"/>
                <w:szCs w:val="24"/>
                <w:highlight w:val="none"/>
              </w:rPr>
              <w:t>.</w:t>
            </w:r>
            <w:r>
              <w:rPr>
                <w:rFonts w:hint="eastAsia"/>
                <w:b/>
                <w:bCs/>
                <w:color w:val="auto"/>
                <w:sz w:val="24"/>
                <w:szCs w:val="24"/>
                <w:highlight w:val="none"/>
                <w:lang w:val="en-US" w:eastAsia="zh-CN"/>
              </w:rPr>
              <w:t>2</w:t>
            </w:r>
            <w:r>
              <w:rPr>
                <w:rFonts w:hint="eastAsia"/>
                <w:b/>
                <w:bCs/>
                <w:color w:val="auto"/>
                <w:sz w:val="24"/>
                <w:szCs w:val="24"/>
                <w:highlight w:val="none"/>
              </w:rPr>
              <w:t>-1</w:t>
            </w:r>
            <w:r>
              <w:rPr>
                <w:b/>
                <w:bCs/>
                <w:color w:val="auto"/>
                <w:sz w:val="24"/>
                <w:szCs w:val="24"/>
                <w:highlight w:val="none"/>
              </w:rPr>
              <w:t xml:space="preserve"> </w:t>
            </w:r>
            <w:r>
              <w:rPr>
                <w:rFonts w:hint="eastAsia"/>
                <w:b/>
                <w:bCs/>
                <w:color w:val="auto"/>
                <w:sz w:val="24"/>
                <w:szCs w:val="24"/>
                <w:highlight w:val="none"/>
              </w:rPr>
              <w:t>生产废水产生情况</w:t>
            </w:r>
            <w:r>
              <w:rPr>
                <w:b/>
                <w:bCs/>
                <w:color w:val="auto"/>
                <w:sz w:val="24"/>
                <w:szCs w:val="24"/>
                <w:highlight w:val="none"/>
              </w:rPr>
              <w:t>类比的可比性分析</w:t>
            </w:r>
          </w:p>
          <w:tbl>
            <w:tblPr>
              <w:tblStyle w:val="29"/>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143"/>
              <w:gridCol w:w="3420"/>
              <w:gridCol w:w="3290"/>
              <w:gridCol w:w="964"/>
            </w:tblGrid>
            <w:tr w14:paraId="438722E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105" w:type="dxa"/>
                  <w:tcBorders>
                    <w:top w:val="single" w:color="000000" w:sz="4" w:space="0"/>
                    <w:bottom w:val="single" w:color="000000" w:sz="4" w:space="0"/>
                    <w:right w:val="single" w:color="000000" w:sz="4" w:space="0"/>
                  </w:tcBorders>
                  <w:noWrap w:val="0"/>
                  <w:vAlign w:val="center"/>
                </w:tcPr>
                <w:p w14:paraId="427014D3">
                  <w:pPr>
                    <w:adjustRightInd w:val="0"/>
                    <w:snapToGrid w:val="0"/>
                    <w:spacing w:line="240" w:lineRule="auto"/>
                    <w:ind w:firstLine="0" w:firstLineChars="0"/>
                    <w:jc w:val="center"/>
                    <w:rPr>
                      <w:b/>
                      <w:color w:val="auto"/>
                      <w:sz w:val="21"/>
                      <w:szCs w:val="21"/>
                      <w:highlight w:val="none"/>
                    </w:rPr>
                  </w:pPr>
                  <w:r>
                    <w:rPr>
                      <w:rFonts w:hint="eastAsia"/>
                      <w:b/>
                      <w:color w:val="auto"/>
                      <w:sz w:val="21"/>
                      <w:szCs w:val="21"/>
                      <w:highlight w:val="none"/>
                    </w:rPr>
                    <w:t>类别</w:t>
                  </w:r>
                </w:p>
              </w:tc>
              <w:tc>
                <w:tcPr>
                  <w:tcW w:w="3308" w:type="dxa"/>
                  <w:tcBorders>
                    <w:top w:val="single" w:color="000000" w:sz="4" w:space="0"/>
                    <w:left w:val="single" w:color="000000" w:sz="4" w:space="0"/>
                    <w:bottom w:val="single" w:color="000000" w:sz="4" w:space="0"/>
                    <w:right w:val="single" w:color="000000" w:sz="4" w:space="0"/>
                  </w:tcBorders>
                  <w:noWrap w:val="0"/>
                  <w:vAlign w:val="center"/>
                </w:tcPr>
                <w:p w14:paraId="010E3F1F">
                  <w:pPr>
                    <w:adjustRightInd w:val="0"/>
                    <w:snapToGrid w:val="0"/>
                    <w:spacing w:line="240" w:lineRule="auto"/>
                    <w:ind w:firstLine="0" w:firstLineChars="0"/>
                    <w:jc w:val="center"/>
                    <w:rPr>
                      <w:b/>
                      <w:color w:val="auto"/>
                      <w:sz w:val="21"/>
                      <w:szCs w:val="21"/>
                      <w:highlight w:val="none"/>
                    </w:rPr>
                  </w:pPr>
                  <w:r>
                    <w:rPr>
                      <w:rFonts w:hint="eastAsia"/>
                      <w:b/>
                      <w:color w:val="auto"/>
                      <w:sz w:val="21"/>
                      <w:szCs w:val="21"/>
                      <w:highlight w:val="none"/>
                    </w:rPr>
                    <w:t>公司1</w:t>
                  </w:r>
                </w:p>
              </w:tc>
              <w:tc>
                <w:tcPr>
                  <w:tcW w:w="3183" w:type="dxa"/>
                  <w:tcBorders>
                    <w:top w:val="single" w:color="000000" w:sz="4" w:space="0"/>
                    <w:left w:val="single" w:color="000000" w:sz="4" w:space="0"/>
                    <w:bottom w:val="single" w:color="000000" w:sz="4" w:space="0"/>
                    <w:right w:val="single" w:color="000000" w:sz="4" w:space="0"/>
                  </w:tcBorders>
                  <w:noWrap w:val="0"/>
                  <w:vAlign w:val="center"/>
                </w:tcPr>
                <w:p w14:paraId="340D826F">
                  <w:pPr>
                    <w:adjustRightInd w:val="0"/>
                    <w:snapToGrid w:val="0"/>
                    <w:spacing w:line="240" w:lineRule="auto"/>
                    <w:ind w:firstLine="0" w:firstLineChars="0"/>
                    <w:jc w:val="center"/>
                    <w:rPr>
                      <w:b/>
                      <w:color w:val="auto"/>
                      <w:sz w:val="21"/>
                      <w:szCs w:val="21"/>
                      <w:highlight w:val="none"/>
                    </w:rPr>
                  </w:pPr>
                  <w:r>
                    <w:rPr>
                      <w:rFonts w:hint="eastAsia"/>
                      <w:b/>
                      <w:color w:val="auto"/>
                      <w:sz w:val="21"/>
                      <w:szCs w:val="21"/>
                      <w:highlight w:val="none"/>
                    </w:rPr>
                    <w:t>公司2（类比公司）</w:t>
                  </w:r>
                </w:p>
              </w:tc>
              <w:tc>
                <w:tcPr>
                  <w:tcW w:w="933" w:type="dxa"/>
                  <w:tcBorders>
                    <w:top w:val="single" w:color="000000" w:sz="4" w:space="0"/>
                    <w:left w:val="single" w:color="000000" w:sz="4" w:space="0"/>
                    <w:bottom w:val="single" w:color="000000" w:sz="4" w:space="0"/>
                  </w:tcBorders>
                  <w:noWrap w:val="0"/>
                  <w:vAlign w:val="center"/>
                </w:tcPr>
                <w:p w14:paraId="4A648182">
                  <w:pPr>
                    <w:adjustRightInd w:val="0"/>
                    <w:snapToGrid w:val="0"/>
                    <w:spacing w:line="240" w:lineRule="auto"/>
                    <w:ind w:firstLine="0" w:firstLineChars="0"/>
                    <w:jc w:val="center"/>
                    <w:rPr>
                      <w:rFonts w:hint="eastAsia"/>
                      <w:b/>
                      <w:color w:val="auto"/>
                      <w:sz w:val="21"/>
                      <w:szCs w:val="21"/>
                      <w:highlight w:val="none"/>
                    </w:rPr>
                  </w:pPr>
                  <w:r>
                    <w:rPr>
                      <w:rFonts w:hint="eastAsia"/>
                      <w:b/>
                      <w:color w:val="auto"/>
                      <w:sz w:val="21"/>
                      <w:szCs w:val="21"/>
                      <w:highlight w:val="none"/>
                    </w:rPr>
                    <w:t>备注</w:t>
                  </w:r>
                </w:p>
              </w:tc>
            </w:tr>
            <w:tr w14:paraId="41BBD45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105" w:type="dxa"/>
                  <w:tcBorders>
                    <w:top w:val="single" w:color="000000" w:sz="4" w:space="0"/>
                    <w:bottom w:val="single" w:color="000000" w:sz="4" w:space="0"/>
                    <w:right w:val="single" w:color="000000" w:sz="4" w:space="0"/>
                  </w:tcBorders>
                  <w:noWrap w:val="0"/>
                  <w:vAlign w:val="center"/>
                </w:tcPr>
                <w:p w14:paraId="3BB0BA8F">
                  <w:pPr>
                    <w:adjustRightInd w:val="0"/>
                    <w:snapToGrid w:val="0"/>
                    <w:spacing w:line="240" w:lineRule="auto"/>
                    <w:ind w:firstLine="0" w:firstLineChars="0"/>
                    <w:jc w:val="center"/>
                    <w:rPr>
                      <w:bCs/>
                      <w:color w:val="auto"/>
                      <w:sz w:val="21"/>
                      <w:szCs w:val="21"/>
                      <w:highlight w:val="none"/>
                    </w:rPr>
                  </w:pPr>
                </w:p>
              </w:tc>
              <w:tc>
                <w:tcPr>
                  <w:tcW w:w="3308" w:type="dxa"/>
                  <w:tcBorders>
                    <w:top w:val="single" w:color="000000" w:sz="4" w:space="0"/>
                    <w:left w:val="single" w:color="000000" w:sz="4" w:space="0"/>
                    <w:bottom w:val="single" w:color="000000" w:sz="4" w:space="0"/>
                    <w:right w:val="single" w:color="000000" w:sz="4" w:space="0"/>
                  </w:tcBorders>
                  <w:noWrap w:val="0"/>
                  <w:vAlign w:val="center"/>
                </w:tcPr>
                <w:p w14:paraId="16CAE9A0">
                  <w:pPr>
                    <w:adjustRightInd w:val="0"/>
                    <w:snapToGrid w:val="0"/>
                    <w:spacing w:line="240" w:lineRule="auto"/>
                    <w:ind w:firstLine="0" w:firstLineChars="0"/>
                    <w:jc w:val="center"/>
                    <w:rPr>
                      <w:bCs/>
                      <w:color w:val="auto"/>
                      <w:sz w:val="21"/>
                      <w:szCs w:val="21"/>
                      <w:highlight w:val="none"/>
                    </w:rPr>
                  </w:pPr>
                </w:p>
              </w:tc>
              <w:tc>
                <w:tcPr>
                  <w:tcW w:w="3183" w:type="dxa"/>
                  <w:tcBorders>
                    <w:top w:val="single" w:color="000000" w:sz="4" w:space="0"/>
                    <w:left w:val="single" w:color="000000" w:sz="4" w:space="0"/>
                    <w:bottom w:val="single" w:color="000000" w:sz="4" w:space="0"/>
                    <w:right w:val="single" w:color="000000" w:sz="4" w:space="0"/>
                  </w:tcBorders>
                  <w:noWrap w:val="0"/>
                  <w:vAlign w:val="center"/>
                </w:tcPr>
                <w:p w14:paraId="02387AE7">
                  <w:pPr>
                    <w:adjustRightInd w:val="0"/>
                    <w:snapToGrid w:val="0"/>
                    <w:spacing w:line="240" w:lineRule="auto"/>
                    <w:ind w:firstLine="0" w:firstLineChars="0"/>
                    <w:jc w:val="center"/>
                    <w:rPr>
                      <w:bCs/>
                      <w:color w:val="auto"/>
                      <w:sz w:val="21"/>
                      <w:szCs w:val="21"/>
                      <w:highlight w:val="none"/>
                    </w:rPr>
                  </w:pPr>
                </w:p>
              </w:tc>
              <w:tc>
                <w:tcPr>
                  <w:tcW w:w="933" w:type="dxa"/>
                  <w:tcBorders>
                    <w:top w:val="single" w:color="000000" w:sz="4" w:space="0"/>
                    <w:left w:val="single" w:color="000000" w:sz="4" w:space="0"/>
                    <w:bottom w:val="single" w:color="000000" w:sz="4" w:space="0"/>
                  </w:tcBorders>
                  <w:noWrap w:val="0"/>
                  <w:vAlign w:val="center"/>
                </w:tcPr>
                <w:p w14:paraId="0896092C">
                  <w:pPr>
                    <w:adjustRightInd w:val="0"/>
                    <w:snapToGrid w:val="0"/>
                    <w:spacing w:line="240" w:lineRule="auto"/>
                    <w:ind w:firstLine="0" w:firstLineChars="0"/>
                    <w:jc w:val="center"/>
                    <w:rPr>
                      <w:bCs/>
                      <w:color w:val="auto"/>
                      <w:sz w:val="21"/>
                      <w:szCs w:val="21"/>
                      <w:highlight w:val="none"/>
                    </w:rPr>
                  </w:pPr>
                </w:p>
              </w:tc>
            </w:tr>
            <w:tr w14:paraId="30DB3A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105" w:type="dxa"/>
                  <w:tcBorders>
                    <w:top w:val="single" w:color="000000" w:sz="4" w:space="0"/>
                    <w:bottom w:val="single" w:color="000000" w:sz="4" w:space="0"/>
                    <w:right w:val="single" w:color="000000" w:sz="4" w:space="0"/>
                  </w:tcBorders>
                  <w:noWrap w:val="0"/>
                  <w:vAlign w:val="center"/>
                </w:tcPr>
                <w:p w14:paraId="24CA22B5">
                  <w:pPr>
                    <w:adjustRightInd w:val="0"/>
                    <w:snapToGrid w:val="0"/>
                    <w:spacing w:line="240" w:lineRule="auto"/>
                    <w:ind w:firstLine="0" w:firstLineChars="0"/>
                    <w:jc w:val="center"/>
                    <w:rPr>
                      <w:bCs/>
                      <w:color w:val="auto"/>
                      <w:sz w:val="21"/>
                      <w:szCs w:val="21"/>
                      <w:highlight w:val="none"/>
                    </w:rPr>
                  </w:pPr>
                </w:p>
              </w:tc>
              <w:tc>
                <w:tcPr>
                  <w:tcW w:w="3308" w:type="dxa"/>
                  <w:tcBorders>
                    <w:top w:val="single" w:color="000000" w:sz="4" w:space="0"/>
                    <w:left w:val="single" w:color="000000" w:sz="4" w:space="0"/>
                    <w:bottom w:val="single" w:color="000000" w:sz="4" w:space="0"/>
                    <w:right w:val="single" w:color="000000" w:sz="4" w:space="0"/>
                  </w:tcBorders>
                  <w:noWrap w:val="0"/>
                  <w:vAlign w:val="center"/>
                </w:tcPr>
                <w:p w14:paraId="15768DDE">
                  <w:pPr>
                    <w:adjustRightInd w:val="0"/>
                    <w:snapToGrid w:val="0"/>
                    <w:spacing w:line="240" w:lineRule="auto"/>
                    <w:ind w:firstLine="0" w:firstLineChars="0"/>
                    <w:jc w:val="center"/>
                    <w:rPr>
                      <w:bCs/>
                      <w:color w:val="auto"/>
                      <w:sz w:val="21"/>
                      <w:szCs w:val="21"/>
                      <w:highlight w:val="none"/>
                    </w:rPr>
                  </w:pPr>
                </w:p>
              </w:tc>
              <w:tc>
                <w:tcPr>
                  <w:tcW w:w="3183" w:type="dxa"/>
                  <w:tcBorders>
                    <w:top w:val="single" w:color="000000" w:sz="4" w:space="0"/>
                    <w:left w:val="single" w:color="000000" w:sz="4" w:space="0"/>
                    <w:bottom w:val="single" w:color="000000" w:sz="4" w:space="0"/>
                    <w:right w:val="single" w:color="000000" w:sz="4" w:space="0"/>
                  </w:tcBorders>
                  <w:noWrap w:val="0"/>
                  <w:vAlign w:val="center"/>
                </w:tcPr>
                <w:p w14:paraId="38812138">
                  <w:pPr>
                    <w:adjustRightInd w:val="0"/>
                    <w:snapToGrid w:val="0"/>
                    <w:spacing w:line="240" w:lineRule="auto"/>
                    <w:ind w:firstLine="0" w:firstLineChars="0"/>
                    <w:jc w:val="center"/>
                    <w:rPr>
                      <w:bCs/>
                      <w:color w:val="auto"/>
                      <w:sz w:val="21"/>
                      <w:szCs w:val="21"/>
                      <w:highlight w:val="none"/>
                    </w:rPr>
                  </w:pPr>
                </w:p>
              </w:tc>
              <w:tc>
                <w:tcPr>
                  <w:tcW w:w="933" w:type="dxa"/>
                  <w:tcBorders>
                    <w:top w:val="single" w:color="000000" w:sz="4" w:space="0"/>
                    <w:left w:val="single" w:color="000000" w:sz="4" w:space="0"/>
                    <w:bottom w:val="single" w:color="000000" w:sz="4" w:space="0"/>
                  </w:tcBorders>
                  <w:noWrap w:val="0"/>
                  <w:vAlign w:val="center"/>
                </w:tcPr>
                <w:p w14:paraId="67104155">
                  <w:pPr>
                    <w:adjustRightInd w:val="0"/>
                    <w:snapToGrid w:val="0"/>
                    <w:spacing w:line="240" w:lineRule="auto"/>
                    <w:ind w:firstLine="0" w:firstLineChars="0"/>
                    <w:jc w:val="center"/>
                    <w:rPr>
                      <w:rFonts w:hint="eastAsia"/>
                      <w:color w:val="auto"/>
                      <w:spacing w:val="-3"/>
                      <w:sz w:val="21"/>
                      <w:szCs w:val="21"/>
                      <w:highlight w:val="none"/>
                    </w:rPr>
                  </w:pPr>
                </w:p>
              </w:tc>
            </w:tr>
            <w:tr w14:paraId="1AB173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105" w:type="dxa"/>
                  <w:tcBorders>
                    <w:top w:val="single" w:color="000000" w:sz="4" w:space="0"/>
                    <w:bottom w:val="single" w:color="000000" w:sz="4" w:space="0"/>
                    <w:right w:val="single" w:color="000000" w:sz="4" w:space="0"/>
                  </w:tcBorders>
                  <w:noWrap w:val="0"/>
                  <w:vAlign w:val="center"/>
                </w:tcPr>
                <w:p w14:paraId="136E1F68">
                  <w:pPr>
                    <w:adjustRightInd w:val="0"/>
                    <w:snapToGrid w:val="0"/>
                    <w:spacing w:line="240" w:lineRule="auto"/>
                    <w:ind w:firstLine="0" w:firstLineChars="0"/>
                    <w:jc w:val="center"/>
                    <w:rPr>
                      <w:bCs/>
                      <w:color w:val="auto"/>
                      <w:sz w:val="21"/>
                      <w:szCs w:val="21"/>
                      <w:highlight w:val="none"/>
                    </w:rPr>
                  </w:pPr>
                </w:p>
              </w:tc>
              <w:tc>
                <w:tcPr>
                  <w:tcW w:w="3308" w:type="dxa"/>
                  <w:tcBorders>
                    <w:top w:val="single" w:color="000000" w:sz="4" w:space="0"/>
                    <w:left w:val="single" w:color="000000" w:sz="4" w:space="0"/>
                    <w:bottom w:val="single" w:color="000000" w:sz="4" w:space="0"/>
                    <w:right w:val="single" w:color="000000" w:sz="4" w:space="0"/>
                  </w:tcBorders>
                  <w:noWrap w:val="0"/>
                  <w:vAlign w:val="center"/>
                </w:tcPr>
                <w:p w14:paraId="4EFB7C5F">
                  <w:pPr>
                    <w:adjustRightInd w:val="0"/>
                    <w:snapToGrid w:val="0"/>
                    <w:spacing w:line="240" w:lineRule="auto"/>
                    <w:ind w:firstLine="0" w:firstLineChars="0"/>
                    <w:jc w:val="center"/>
                    <w:rPr>
                      <w:color w:val="auto"/>
                      <w:spacing w:val="-3"/>
                      <w:sz w:val="21"/>
                      <w:szCs w:val="21"/>
                      <w:highlight w:val="none"/>
                    </w:rPr>
                  </w:pPr>
                </w:p>
              </w:tc>
              <w:tc>
                <w:tcPr>
                  <w:tcW w:w="3183" w:type="dxa"/>
                  <w:tcBorders>
                    <w:top w:val="single" w:color="000000" w:sz="4" w:space="0"/>
                    <w:left w:val="single" w:color="000000" w:sz="4" w:space="0"/>
                    <w:bottom w:val="single" w:color="000000" w:sz="4" w:space="0"/>
                    <w:right w:val="single" w:color="000000" w:sz="4" w:space="0"/>
                  </w:tcBorders>
                  <w:noWrap w:val="0"/>
                  <w:vAlign w:val="center"/>
                </w:tcPr>
                <w:p w14:paraId="4E562D69">
                  <w:pPr>
                    <w:adjustRightInd w:val="0"/>
                    <w:snapToGrid w:val="0"/>
                    <w:spacing w:line="240" w:lineRule="auto"/>
                    <w:ind w:firstLine="0" w:firstLineChars="0"/>
                    <w:jc w:val="center"/>
                    <w:rPr>
                      <w:rFonts w:hint="eastAsia"/>
                      <w:color w:val="auto"/>
                      <w:spacing w:val="-3"/>
                      <w:sz w:val="21"/>
                      <w:szCs w:val="21"/>
                      <w:highlight w:val="none"/>
                    </w:rPr>
                  </w:pPr>
                </w:p>
              </w:tc>
              <w:tc>
                <w:tcPr>
                  <w:tcW w:w="933" w:type="dxa"/>
                  <w:tcBorders>
                    <w:top w:val="single" w:color="000000" w:sz="4" w:space="0"/>
                    <w:left w:val="single" w:color="000000" w:sz="4" w:space="0"/>
                    <w:bottom w:val="single" w:color="000000" w:sz="4" w:space="0"/>
                  </w:tcBorders>
                  <w:noWrap w:val="0"/>
                  <w:vAlign w:val="center"/>
                </w:tcPr>
                <w:p w14:paraId="4E9F47A6">
                  <w:pPr>
                    <w:adjustRightInd w:val="0"/>
                    <w:snapToGrid w:val="0"/>
                    <w:spacing w:line="240" w:lineRule="auto"/>
                    <w:ind w:firstLine="0" w:firstLineChars="0"/>
                    <w:jc w:val="center"/>
                    <w:rPr>
                      <w:color w:val="auto"/>
                      <w:spacing w:val="-3"/>
                      <w:sz w:val="21"/>
                      <w:szCs w:val="21"/>
                      <w:highlight w:val="none"/>
                    </w:rPr>
                  </w:pPr>
                </w:p>
              </w:tc>
            </w:tr>
            <w:tr w14:paraId="2038789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105" w:type="dxa"/>
                  <w:tcBorders>
                    <w:top w:val="single" w:color="000000" w:sz="4" w:space="0"/>
                    <w:bottom w:val="single" w:color="000000" w:sz="4" w:space="0"/>
                    <w:right w:val="single" w:color="000000" w:sz="4" w:space="0"/>
                  </w:tcBorders>
                  <w:noWrap w:val="0"/>
                  <w:vAlign w:val="center"/>
                </w:tcPr>
                <w:p w14:paraId="2318CE14">
                  <w:pPr>
                    <w:adjustRightInd w:val="0"/>
                    <w:snapToGrid w:val="0"/>
                    <w:spacing w:line="240" w:lineRule="auto"/>
                    <w:ind w:firstLine="0" w:firstLineChars="0"/>
                    <w:jc w:val="center"/>
                    <w:rPr>
                      <w:rFonts w:hint="eastAsia"/>
                      <w:bCs/>
                      <w:color w:val="auto"/>
                      <w:sz w:val="21"/>
                      <w:szCs w:val="21"/>
                      <w:highlight w:val="none"/>
                    </w:rPr>
                  </w:pPr>
                </w:p>
              </w:tc>
              <w:tc>
                <w:tcPr>
                  <w:tcW w:w="3308" w:type="dxa"/>
                  <w:tcBorders>
                    <w:top w:val="single" w:color="000000" w:sz="4" w:space="0"/>
                    <w:left w:val="single" w:color="000000" w:sz="4" w:space="0"/>
                    <w:bottom w:val="single" w:color="000000" w:sz="4" w:space="0"/>
                    <w:right w:val="single" w:color="000000" w:sz="4" w:space="0"/>
                  </w:tcBorders>
                  <w:noWrap w:val="0"/>
                  <w:vAlign w:val="center"/>
                </w:tcPr>
                <w:p w14:paraId="4DF59417">
                  <w:pPr>
                    <w:adjustRightInd w:val="0"/>
                    <w:snapToGrid w:val="0"/>
                    <w:spacing w:line="240" w:lineRule="auto"/>
                    <w:ind w:firstLine="0" w:firstLineChars="0"/>
                    <w:jc w:val="center"/>
                    <w:rPr>
                      <w:rFonts w:hint="default" w:eastAsia="宋体"/>
                      <w:color w:val="auto"/>
                      <w:highlight w:val="none"/>
                      <w:lang w:val="en-US" w:eastAsia="zh-CN"/>
                    </w:rPr>
                  </w:pPr>
                </w:p>
              </w:tc>
              <w:tc>
                <w:tcPr>
                  <w:tcW w:w="3183" w:type="dxa"/>
                  <w:tcBorders>
                    <w:top w:val="single" w:color="000000" w:sz="4" w:space="0"/>
                    <w:left w:val="single" w:color="000000" w:sz="4" w:space="0"/>
                    <w:bottom w:val="single" w:color="000000" w:sz="4" w:space="0"/>
                    <w:right w:val="single" w:color="000000" w:sz="4" w:space="0"/>
                  </w:tcBorders>
                  <w:noWrap w:val="0"/>
                  <w:vAlign w:val="center"/>
                </w:tcPr>
                <w:p w14:paraId="026B5C70">
                  <w:pPr>
                    <w:adjustRightInd w:val="0"/>
                    <w:snapToGrid w:val="0"/>
                    <w:spacing w:line="240" w:lineRule="auto"/>
                    <w:ind w:firstLine="0" w:firstLineChars="0"/>
                    <w:jc w:val="center"/>
                    <w:rPr>
                      <w:rFonts w:hint="eastAsia"/>
                      <w:color w:val="auto"/>
                      <w:sz w:val="21"/>
                      <w:szCs w:val="21"/>
                      <w:highlight w:val="none"/>
                    </w:rPr>
                  </w:pPr>
                </w:p>
              </w:tc>
              <w:tc>
                <w:tcPr>
                  <w:tcW w:w="933" w:type="dxa"/>
                  <w:tcBorders>
                    <w:top w:val="single" w:color="000000" w:sz="4" w:space="0"/>
                    <w:left w:val="single" w:color="000000" w:sz="4" w:space="0"/>
                    <w:bottom w:val="single" w:color="000000" w:sz="4" w:space="0"/>
                  </w:tcBorders>
                  <w:noWrap w:val="0"/>
                  <w:vAlign w:val="center"/>
                </w:tcPr>
                <w:p w14:paraId="24B37BE7">
                  <w:pPr>
                    <w:adjustRightInd w:val="0"/>
                    <w:snapToGrid w:val="0"/>
                    <w:spacing w:line="240" w:lineRule="auto"/>
                    <w:ind w:firstLine="0" w:firstLineChars="0"/>
                    <w:jc w:val="center"/>
                    <w:rPr>
                      <w:color w:val="auto"/>
                      <w:sz w:val="21"/>
                      <w:szCs w:val="21"/>
                      <w:highlight w:val="none"/>
                    </w:rPr>
                  </w:pPr>
                </w:p>
              </w:tc>
            </w:tr>
            <w:tr w14:paraId="0357F77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105" w:type="dxa"/>
                  <w:tcBorders>
                    <w:top w:val="single" w:color="000000" w:sz="4" w:space="0"/>
                    <w:bottom w:val="single" w:color="000000" w:sz="4" w:space="0"/>
                    <w:right w:val="single" w:color="000000" w:sz="4" w:space="0"/>
                  </w:tcBorders>
                  <w:noWrap w:val="0"/>
                  <w:vAlign w:val="center"/>
                </w:tcPr>
                <w:p w14:paraId="237E12C8">
                  <w:pPr>
                    <w:adjustRightInd w:val="0"/>
                    <w:snapToGrid w:val="0"/>
                    <w:spacing w:line="240" w:lineRule="auto"/>
                    <w:ind w:firstLine="0" w:firstLineChars="0"/>
                    <w:jc w:val="center"/>
                    <w:rPr>
                      <w:rFonts w:hint="eastAsia"/>
                      <w:bCs/>
                      <w:color w:val="auto"/>
                      <w:sz w:val="21"/>
                      <w:szCs w:val="21"/>
                      <w:highlight w:val="none"/>
                    </w:rPr>
                  </w:pPr>
                </w:p>
              </w:tc>
              <w:tc>
                <w:tcPr>
                  <w:tcW w:w="3308" w:type="dxa"/>
                  <w:tcBorders>
                    <w:top w:val="single" w:color="000000" w:sz="4" w:space="0"/>
                    <w:left w:val="single" w:color="000000" w:sz="4" w:space="0"/>
                    <w:bottom w:val="single" w:color="000000" w:sz="4" w:space="0"/>
                    <w:right w:val="single" w:color="000000" w:sz="4" w:space="0"/>
                  </w:tcBorders>
                  <w:noWrap w:val="0"/>
                  <w:vAlign w:val="center"/>
                </w:tcPr>
                <w:p w14:paraId="61E66C8A">
                  <w:pPr>
                    <w:adjustRightInd w:val="0"/>
                    <w:snapToGrid w:val="0"/>
                    <w:spacing w:line="240" w:lineRule="auto"/>
                    <w:ind w:firstLine="0" w:firstLineChars="0"/>
                    <w:jc w:val="center"/>
                    <w:rPr>
                      <w:rFonts w:hint="eastAsia"/>
                      <w:color w:val="auto"/>
                      <w:sz w:val="21"/>
                      <w:szCs w:val="21"/>
                      <w:highlight w:val="none"/>
                    </w:rPr>
                  </w:pPr>
                </w:p>
              </w:tc>
              <w:tc>
                <w:tcPr>
                  <w:tcW w:w="3183" w:type="dxa"/>
                  <w:tcBorders>
                    <w:top w:val="single" w:color="000000" w:sz="4" w:space="0"/>
                    <w:left w:val="single" w:color="000000" w:sz="4" w:space="0"/>
                    <w:bottom w:val="single" w:color="000000" w:sz="4" w:space="0"/>
                    <w:right w:val="single" w:color="000000" w:sz="4" w:space="0"/>
                  </w:tcBorders>
                  <w:noWrap w:val="0"/>
                  <w:vAlign w:val="center"/>
                </w:tcPr>
                <w:p w14:paraId="34730F0D">
                  <w:pPr>
                    <w:adjustRightInd w:val="0"/>
                    <w:snapToGrid w:val="0"/>
                    <w:spacing w:line="240" w:lineRule="auto"/>
                    <w:ind w:firstLine="0" w:firstLineChars="0"/>
                    <w:jc w:val="center"/>
                    <w:rPr>
                      <w:rFonts w:hint="eastAsia"/>
                      <w:color w:val="auto"/>
                      <w:sz w:val="21"/>
                      <w:szCs w:val="21"/>
                      <w:highlight w:val="none"/>
                    </w:rPr>
                  </w:pPr>
                </w:p>
              </w:tc>
              <w:tc>
                <w:tcPr>
                  <w:tcW w:w="933" w:type="dxa"/>
                  <w:tcBorders>
                    <w:top w:val="single" w:color="000000" w:sz="4" w:space="0"/>
                    <w:left w:val="single" w:color="000000" w:sz="4" w:space="0"/>
                    <w:bottom w:val="single" w:color="000000" w:sz="4" w:space="0"/>
                  </w:tcBorders>
                  <w:noWrap w:val="0"/>
                  <w:vAlign w:val="center"/>
                </w:tcPr>
                <w:p w14:paraId="6A7E08EA">
                  <w:pPr>
                    <w:adjustRightInd w:val="0"/>
                    <w:snapToGrid w:val="0"/>
                    <w:spacing w:line="240" w:lineRule="auto"/>
                    <w:ind w:firstLine="0" w:firstLineChars="0"/>
                    <w:jc w:val="center"/>
                    <w:rPr>
                      <w:rFonts w:hint="eastAsia"/>
                      <w:color w:val="auto"/>
                      <w:spacing w:val="-3"/>
                      <w:sz w:val="21"/>
                      <w:szCs w:val="21"/>
                      <w:highlight w:val="none"/>
                    </w:rPr>
                  </w:pPr>
                </w:p>
              </w:tc>
            </w:tr>
            <w:tr w14:paraId="432179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105" w:type="dxa"/>
                  <w:tcBorders>
                    <w:top w:val="single" w:color="000000" w:sz="4" w:space="0"/>
                    <w:bottom w:val="single" w:color="000000" w:sz="4" w:space="0"/>
                    <w:right w:val="single" w:color="000000" w:sz="4" w:space="0"/>
                  </w:tcBorders>
                  <w:noWrap w:val="0"/>
                  <w:vAlign w:val="center"/>
                </w:tcPr>
                <w:p w14:paraId="57D424D2">
                  <w:pPr>
                    <w:adjustRightInd w:val="0"/>
                    <w:snapToGrid w:val="0"/>
                    <w:spacing w:line="240" w:lineRule="auto"/>
                    <w:ind w:firstLine="0" w:firstLineChars="0"/>
                    <w:jc w:val="center"/>
                    <w:rPr>
                      <w:rFonts w:hint="eastAsia"/>
                      <w:bCs/>
                      <w:color w:val="auto"/>
                      <w:sz w:val="21"/>
                      <w:szCs w:val="21"/>
                      <w:highlight w:val="none"/>
                    </w:rPr>
                  </w:pPr>
                </w:p>
              </w:tc>
              <w:tc>
                <w:tcPr>
                  <w:tcW w:w="3308" w:type="dxa"/>
                  <w:tcBorders>
                    <w:top w:val="single" w:color="000000" w:sz="4" w:space="0"/>
                    <w:left w:val="single" w:color="000000" w:sz="4" w:space="0"/>
                    <w:bottom w:val="single" w:color="000000" w:sz="4" w:space="0"/>
                    <w:right w:val="single" w:color="000000" w:sz="4" w:space="0"/>
                  </w:tcBorders>
                  <w:noWrap w:val="0"/>
                  <w:vAlign w:val="center"/>
                </w:tcPr>
                <w:p w14:paraId="120273CF">
                  <w:pPr>
                    <w:adjustRightInd w:val="0"/>
                    <w:snapToGrid w:val="0"/>
                    <w:spacing w:line="240" w:lineRule="auto"/>
                    <w:ind w:firstLine="0" w:firstLineChars="0"/>
                    <w:jc w:val="center"/>
                    <w:rPr>
                      <w:rFonts w:hint="eastAsia"/>
                      <w:color w:val="auto"/>
                      <w:sz w:val="21"/>
                      <w:szCs w:val="21"/>
                      <w:highlight w:val="none"/>
                    </w:rPr>
                  </w:pPr>
                </w:p>
              </w:tc>
              <w:tc>
                <w:tcPr>
                  <w:tcW w:w="3183" w:type="dxa"/>
                  <w:tcBorders>
                    <w:top w:val="single" w:color="000000" w:sz="4" w:space="0"/>
                    <w:left w:val="single" w:color="000000" w:sz="4" w:space="0"/>
                    <w:bottom w:val="single" w:color="000000" w:sz="4" w:space="0"/>
                    <w:right w:val="single" w:color="000000" w:sz="4" w:space="0"/>
                  </w:tcBorders>
                  <w:noWrap w:val="0"/>
                  <w:vAlign w:val="center"/>
                </w:tcPr>
                <w:p w14:paraId="1B2103B4">
                  <w:pPr>
                    <w:adjustRightInd w:val="0"/>
                    <w:snapToGrid w:val="0"/>
                    <w:spacing w:line="240" w:lineRule="auto"/>
                    <w:ind w:firstLine="0" w:firstLineChars="0"/>
                    <w:jc w:val="center"/>
                    <w:rPr>
                      <w:color w:val="auto"/>
                      <w:sz w:val="21"/>
                      <w:szCs w:val="21"/>
                      <w:highlight w:val="none"/>
                    </w:rPr>
                  </w:pPr>
                </w:p>
              </w:tc>
              <w:tc>
                <w:tcPr>
                  <w:tcW w:w="933" w:type="dxa"/>
                  <w:tcBorders>
                    <w:top w:val="single" w:color="000000" w:sz="4" w:space="0"/>
                    <w:left w:val="single" w:color="000000" w:sz="4" w:space="0"/>
                    <w:bottom w:val="single" w:color="000000" w:sz="4" w:space="0"/>
                  </w:tcBorders>
                  <w:noWrap w:val="0"/>
                  <w:vAlign w:val="center"/>
                </w:tcPr>
                <w:p w14:paraId="043D43B0">
                  <w:pPr>
                    <w:adjustRightInd w:val="0"/>
                    <w:snapToGrid w:val="0"/>
                    <w:spacing w:line="240" w:lineRule="auto"/>
                    <w:ind w:firstLine="0" w:firstLineChars="0"/>
                    <w:jc w:val="center"/>
                    <w:rPr>
                      <w:rFonts w:hint="eastAsia"/>
                      <w:color w:val="auto"/>
                      <w:spacing w:val="-3"/>
                      <w:sz w:val="21"/>
                      <w:szCs w:val="21"/>
                      <w:highlight w:val="none"/>
                    </w:rPr>
                  </w:pPr>
                </w:p>
              </w:tc>
            </w:tr>
            <w:tr w14:paraId="609FA86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105" w:type="dxa"/>
                  <w:tcBorders>
                    <w:top w:val="single" w:color="000000" w:sz="4" w:space="0"/>
                    <w:bottom w:val="single" w:color="000000" w:sz="4" w:space="0"/>
                    <w:right w:val="single" w:color="000000" w:sz="4" w:space="0"/>
                  </w:tcBorders>
                  <w:noWrap w:val="0"/>
                  <w:vAlign w:val="center"/>
                </w:tcPr>
                <w:p w14:paraId="252362FA">
                  <w:pPr>
                    <w:adjustRightInd w:val="0"/>
                    <w:snapToGrid w:val="0"/>
                    <w:spacing w:line="240" w:lineRule="auto"/>
                    <w:ind w:firstLine="0" w:firstLineChars="0"/>
                    <w:jc w:val="center"/>
                    <w:rPr>
                      <w:bCs/>
                      <w:color w:val="auto"/>
                      <w:sz w:val="21"/>
                      <w:szCs w:val="21"/>
                      <w:highlight w:val="none"/>
                    </w:rPr>
                  </w:pPr>
                </w:p>
              </w:tc>
              <w:tc>
                <w:tcPr>
                  <w:tcW w:w="3308" w:type="dxa"/>
                  <w:tcBorders>
                    <w:top w:val="single" w:color="000000" w:sz="4" w:space="0"/>
                    <w:left w:val="single" w:color="000000" w:sz="4" w:space="0"/>
                    <w:bottom w:val="single" w:color="000000" w:sz="4" w:space="0"/>
                    <w:right w:val="single" w:color="000000" w:sz="4" w:space="0"/>
                  </w:tcBorders>
                  <w:noWrap w:val="0"/>
                  <w:vAlign w:val="center"/>
                </w:tcPr>
                <w:p w14:paraId="49C71800">
                  <w:pPr>
                    <w:adjustRightInd w:val="0"/>
                    <w:snapToGrid w:val="0"/>
                    <w:spacing w:line="240" w:lineRule="auto"/>
                    <w:ind w:firstLine="0" w:firstLineChars="0"/>
                    <w:jc w:val="center"/>
                    <w:rPr>
                      <w:color w:val="auto"/>
                      <w:sz w:val="21"/>
                      <w:szCs w:val="21"/>
                      <w:highlight w:val="none"/>
                    </w:rPr>
                  </w:pPr>
                </w:p>
              </w:tc>
              <w:tc>
                <w:tcPr>
                  <w:tcW w:w="3183" w:type="dxa"/>
                  <w:tcBorders>
                    <w:top w:val="single" w:color="000000" w:sz="4" w:space="0"/>
                    <w:left w:val="single" w:color="000000" w:sz="4" w:space="0"/>
                    <w:bottom w:val="single" w:color="000000" w:sz="4" w:space="0"/>
                    <w:right w:val="single" w:color="000000" w:sz="4" w:space="0"/>
                  </w:tcBorders>
                  <w:noWrap w:val="0"/>
                  <w:vAlign w:val="center"/>
                </w:tcPr>
                <w:p w14:paraId="50BFA09C">
                  <w:pPr>
                    <w:adjustRightInd w:val="0"/>
                    <w:snapToGrid w:val="0"/>
                    <w:spacing w:line="240" w:lineRule="auto"/>
                    <w:ind w:firstLine="0" w:firstLineChars="0"/>
                    <w:jc w:val="center"/>
                    <w:rPr>
                      <w:rFonts w:hint="default"/>
                      <w:color w:val="auto"/>
                      <w:sz w:val="21"/>
                      <w:szCs w:val="21"/>
                      <w:highlight w:val="none"/>
                      <w:lang w:val="en-US" w:eastAsia="zh-CN"/>
                    </w:rPr>
                  </w:pPr>
                </w:p>
              </w:tc>
              <w:tc>
                <w:tcPr>
                  <w:tcW w:w="933" w:type="dxa"/>
                  <w:tcBorders>
                    <w:top w:val="single" w:color="000000" w:sz="4" w:space="0"/>
                    <w:left w:val="single" w:color="000000" w:sz="4" w:space="0"/>
                    <w:bottom w:val="single" w:color="000000" w:sz="4" w:space="0"/>
                  </w:tcBorders>
                  <w:noWrap w:val="0"/>
                  <w:vAlign w:val="center"/>
                </w:tcPr>
                <w:p w14:paraId="78A0754D">
                  <w:pPr>
                    <w:adjustRightInd w:val="0"/>
                    <w:snapToGrid w:val="0"/>
                    <w:spacing w:line="240" w:lineRule="auto"/>
                    <w:ind w:firstLine="0" w:firstLineChars="0"/>
                    <w:jc w:val="center"/>
                    <w:rPr>
                      <w:rFonts w:hint="eastAsia"/>
                      <w:color w:val="auto"/>
                      <w:sz w:val="21"/>
                      <w:szCs w:val="21"/>
                      <w:highlight w:val="none"/>
                    </w:rPr>
                  </w:pPr>
                </w:p>
              </w:tc>
            </w:tr>
            <w:tr w14:paraId="52452F4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105" w:type="dxa"/>
                  <w:tcBorders>
                    <w:top w:val="single" w:color="000000" w:sz="4" w:space="0"/>
                    <w:bottom w:val="single" w:color="000000" w:sz="4" w:space="0"/>
                    <w:right w:val="single" w:color="000000" w:sz="4" w:space="0"/>
                  </w:tcBorders>
                  <w:noWrap w:val="0"/>
                  <w:vAlign w:val="center"/>
                </w:tcPr>
                <w:p w14:paraId="2B66ED3E">
                  <w:pPr>
                    <w:adjustRightInd w:val="0"/>
                    <w:snapToGrid w:val="0"/>
                    <w:spacing w:line="240" w:lineRule="auto"/>
                    <w:ind w:firstLine="0" w:firstLineChars="0"/>
                    <w:jc w:val="center"/>
                    <w:rPr>
                      <w:rFonts w:hint="eastAsia"/>
                      <w:bCs/>
                      <w:color w:val="auto"/>
                      <w:sz w:val="21"/>
                      <w:szCs w:val="21"/>
                      <w:highlight w:val="none"/>
                    </w:rPr>
                  </w:pPr>
                </w:p>
              </w:tc>
              <w:tc>
                <w:tcPr>
                  <w:tcW w:w="3308" w:type="dxa"/>
                  <w:tcBorders>
                    <w:top w:val="single" w:color="000000" w:sz="4" w:space="0"/>
                    <w:left w:val="single" w:color="000000" w:sz="4" w:space="0"/>
                    <w:bottom w:val="single" w:color="000000" w:sz="4" w:space="0"/>
                    <w:right w:val="single" w:color="000000" w:sz="4" w:space="0"/>
                  </w:tcBorders>
                  <w:noWrap w:val="0"/>
                  <w:vAlign w:val="center"/>
                </w:tcPr>
                <w:p w14:paraId="145D1F0A">
                  <w:pPr>
                    <w:adjustRightInd w:val="0"/>
                    <w:snapToGrid w:val="0"/>
                    <w:spacing w:line="240" w:lineRule="auto"/>
                    <w:ind w:firstLine="0" w:firstLineChars="0"/>
                    <w:jc w:val="center"/>
                    <w:rPr>
                      <w:color w:val="auto"/>
                      <w:sz w:val="21"/>
                      <w:szCs w:val="21"/>
                      <w:highlight w:val="none"/>
                    </w:rPr>
                  </w:pPr>
                </w:p>
              </w:tc>
              <w:tc>
                <w:tcPr>
                  <w:tcW w:w="3183" w:type="dxa"/>
                  <w:tcBorders>
                    <w:top w:val="single" w:color="000000" w:sz="4" w:space="0"/>
                    <w:left w:val="single" w:color="000000" w:sz="4" w:space="0"/>
                    <w:bottom w:val="single" w:color="000000" w:sz="4" w:space="0"/>
                    <w:right w:val="single" w:color="000000" w:sz="4" w:space="0"/>
                  </w:tcBorders>
                  <w:noWrap w:val="0"/>
                  <w:vAlign w:val="center"/>
                </w:tcPr>
                <w:p w14:paraId="1D904D64">
                  <w:pPr>
                    <w:adjustRightInd w:val="0"/>
                    <w:snapToGrid w:val="0"/>
                    <w:spacing w:line="240" w:lineRule="auto"/>
                    <w:ind w:firstLine="0" w:firstLineChars="0"/>
                    <w:jc w:val="center"/>
                    <w:rPr>
                      <w:color w:val="auto"/>
                      <w:sz w:val="21"/>
                      <w:szCs w:val="21"/>
                      <w:highlight w:val="none"/>
                    </w:rPr>
                  </w:pPr>
                </w:p>
              </w:tc>
              <w:tc>
                <w:tcPr>
                  <w:tcW w:w="933" w:type="dxa"/>
                  <w:tcBorders>
                    <w:top w:val="single" w:color="000000" w:sz="4" w:space="0"/>
                    <w:left w:val="single" w:color="000000" w:sz="4" w:space="0"/>
                    <w:bottom w:val="single" w:color="000000" w:sz="4" w:space="0"/>
                  </w:tcBorders>
                  <w:noWrap w:val="0"/>
                  <w:vAlign w:val="center"/>
                </w:tcPr>
                <w:p w14:paraId="1C68ED1F">
                  <w:pPr>
                    <w:adjustRightInd w:val="0"/>
                    <w:snapToGrid w:val="0"/>
                    <w:spacing w:line="240" w:lineRule="auto"/>
                    <w:ind w:firstLine="0" w:firstLineChars="0"/>
                    <w:jc w:val="center"/>
                    <w:rPr>
                      <w:rFonts w:hint="eastAsia"/>
                      <w:color w:val="auto"/>
                      <w:spacing w:val="-3"/>
                      <w:sz w:val="21"/>
                      <w:szCs w:val="21"/>
                      <w:highlight w:val="none"/>
                    </w:rPr>
                  </w:pPr>
                </w:p>
              </w:tc>
            </w:tr>
          </w:tbl>
          <w:p w14:paraId="156A6732">
            <w:pPr>
              <w:widowControl/>
              <w:spacing w:before="156" w:beforeLines="50" w:line="240" w:lineRule="auto"/>
              <w:ind w:firstLine="0" w:firstLineChars="0"/>
              <w:jc w:val="center"/>
              <w:rPr>
                <w:b/>
                <w:bCs/>
                <w:color w:val="auto"/>
                <w:sz w:val="24"/>
                <w:szCs w:val="24"/>
                <w:highlight w:val="none"/>
              </w:rPr>
            </w:pPr>
            <w:r>
              <w:rPr>
                <w:b/>
                <w:bCs/>
                <w:color w:val="auto"/>
                <w:sz w:val="24"/>
                <w:szCs w:val="24"/>
                <w:highlight w:val="none"/>
              </w:rPr>
              <w:t>表4</w:t>
            </w:r>
            <w:r>
              <w:rPr>
                <w:rFonts w:hint="eastAsia"/>
                <w:b/>
                <w:bCs/>
                <w:color w:val="auto"/>
                <w:sz w:val="24"/>
                <w:szCs w:val="24"/>
                <w:highlight w:val="none"/>
              </w:rPr>
              <w:t>.</w:t>
            </w:r>
            <w:r>
              <w:rPr>
                <w:rFonts w:hint="eastAsia"/>
                <w:b/>
                <w:bCs/>
                <w:color w:val="auto"/>
                <w:sz w:val="24"/>
                <w:szCs w:val="24"/>
                <w:highlight w:val="none"/>
                <w:lang w:val="en-US" w:eastAsia="zh-CN"/>
              </w:rPr>
              <w:t>2</w:t>
            </w:r>
            <w:r>
              <w:rPr>
                <w:rFonts w:hint="eastAsia"/>
                <w:b/>
                <w:bCs/>
                <w:color w:val="auto"/>
                <w:sz w:val="24"/>
                <w:szCs w:val="24"/>
                <w:highlight w:val="none"/>
              </w:rPr>
              <w:t>-</w:t>
            </w:r>
            <w:r>
              <w:rPr>
                <w:rFonts w:hint="eastAsia"/>
                <w:b/>
                <w:bCs/>
                <w:color w:val="auto"/>
                <w:sz w:val="24"/>
                <w:szCs w:val="24"/>
                <w:highlight w:val="none"/>
                <w:lang w:val="en-US" w:eastAsia="zh-CN"/>
              </w:rPr>
              <w:t>2</w:t>
            </w:r>
            <w:r>
              <w:rPr>
                <w:b/>
                <w:bCs/>
                <w:color w:val="auto"/>
                <w:sz w:val="24"/>
                <w:szCs w:val="24"/>
                <w:highlight w:val="none"/>
              </w:rPr>
              <w:t xml:space="preserve"> 项目</w:t>
            </w:r>
            <w:r>
              <w:rPr>
                <w:rFonts w:hint="eastAsia"/>
                <w:b/>
                <w:bCs/>
                <w:color w:val="auto"/>
                <w:sz w:val="24"/>
                <w:szCs w:val="24"/>
                <w:highlight w:val="none"/>
                <w:lang w:val="en-US" w:eastAsia="zh-CN"/>
              </w:rPr>
              <w:t>生产</w:t>
            </w:r>
            <w:r>
              <w:rPr>
                <w:b/>
                <w:bCs/>
                <w:color w:val="auto"/>
                <w:sz w:val="24"/>
                <w:szCs w:val="24"/>
                <w:highlight w:val="none"/>
              </w:rPr>
              <w:t>废水类别、污染物及污染治理设施信息</w:t>
            </w:r>
            <w:r>
              <w:rPr>
                <w:rFonts w:hint="eastAsia"/>
                <w:b/>
                <w:bCs/>
                <w:color w:val="auto"/>
                <w:sz w:val="24"/>
                <w:szCs w:val="24"/>
                <w:highlight w:val="none"/>
              </w:rPr>
              <w:t>一览</w:t>
            </w:r>
            <w:r>
              <w:rPr>
                <w:b/>
                <w:bCs/>
                <w:color w:val="auto"/>
                <w:sz w:val="24"/>
                <w:szCs w:val="24"/>
                <w:highlight w:val="none"/>
              </w:rPr>
              <w:t>表</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218"/>
              <w:gridCol w:w="1424"/>
              <w:gridCol w:w="884"/>
              <w:gridCol w:w="870"/>
              <w:gridCol w:w="1184"/>
              <w:gridCol w:w="913"/>
              <w:gridCol w:w="913"/>
              <w:gridCol w:w="692"/>
            </w:tblGrid>
            <w:tr w14:paraId="4FB55D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restart"/>
                  <w:tcBorders>
                    <w:tl2br w:val="nil"/>
                    <w:tr2bl w:val="nil"/>
                  </w:tcBorders>
                  <w:noWrap w:val="0"/>
                  <w:vAlign w:val="center"/>
                </w:tcPr>
                <w:p w14:paraId="67984F3F">
                  <w:pPr>
                    <w:spacing w:line="240" w:lineRule="auto"/>
                    <w:ind w:firstLine="0" w:firstLineChars="0"/>
                    <w:jc w:val="center"/>
                    <w:rPr>
                      <w:b/>
                      <w:bCs/>
                      <w:color w:val="auto"/>
                      <w:sz w:val="21"/>
                      <w:szCs w:val="21"/>
                      <w:highlight w:val="none"/>
                    </w:rPr>
                  </w:pPr>
                  <w:r>
                    <w:rPr>
                      <w:b/>
                      <w:bCs/>
                      <w:color w:val="auto"/>
                      <w:sz w:val="21"/>
                      <w:szCs w:val="21"/>
                      <w:highlight w:val="none"/>
                    </w:rPr>
                    <w:t>废水类别</w:t>
                  </w:r>
                </w:p>
              </w:tc>
              <w:tc>
                <w:tcPr>
                  <w:tcW w:w="691" w:type="pct"/>
                  <w:vMerge w:val="restart"/>
                  <w:tcBorders>
                    <w:tl2br w:val="nil"/>
                    <w:tr2bl w:val="nil"/>
                  </w:tcBorders>
                  <w:noWrap w:val="0"/>
                  <w:vAlign w:val="center"/>
                </w:tcPr>
                <w:p w14:paraId="61D621F6">
                  <w:pPr>
                    <w:spacing w:line="240" w:lineRule="auto"/>
                    <w:ind w:firstLine="0" w:firstLineChars="0"/>
                    <w:jc w:val="center"/>
                    <w:rPr>
                      <w:b/>
                      <w:bCs/>
                      <w:color w:val="auto"/>
                      <w:sz w:val="21"/>
                      <w:szCs w:val="21"/>
                      <w:highlight w:val="none"/>
                    </w:rPr>
                  </w:pPr>
                  <w:r>
                    <w:rPr>
                      <w:b/>
                      <w:bCs/>
                      <w:color w:val="auto"/>
                      <w:sz w:val="21"/>
                      <w:szCs w:val="21"/>
                      <w:highlight w:val="none"/>
                    </w:rPr>
                    <w:t>污染物</w:t>
                  </w:r>
                </w:p>
                <w:p w14:paraId="7D185AF2">
                  <w:pPr>
                    <w:spacing w:line="240" w:lineRule="auto"/>
                    <w:ind w:firstLine="0" w:firstLineChars="0"/>
                    <w:jc w:val="center"/>
                    <w:rPr>
                      <w:b/>
                      <w:bCs/>
                      <w:color w:val="auto"/>
                      <w:sz w:val="21"/>
                      <w:szCs w:val="21"/>
                      <w:highlight w:val="none"/>
                    </w:rPr>
                  </w:pPr>
                  <w:r>
                    <w:rPr>
                      <w:b/>
                      <w:bCs/>
                      <w:color w:val="auto"/>
                      <w:sz w:val="21"/>
                      <w:szCs w:val="21"/>
                      <w:highlight w:val="none"/>
                    </w:rPr>
                    <w:t>种类</w:t>
                  </w:r>
                </w:p>
              </w:tc>
              <w:tc>
                <w:tcPr>
                  <w:tcW w:w="807" w:type="pct"/>
                  <w:vMerge w:val="restart"/>
                  <w:tcBorders>
                    <w:tl2br w:val="nil"/>
                    <w:tr2bl w:val="nil"/>
                  </w:tcBorders>
                  <w:noWrap w:val="0"/>
                  <w:vAlign w:val="center"/>
                </w:tcPr>
                <w:p w14:paraId="39730235">
                  <w:pPr>
                    <w:spacing w:line="240" w:lineRule="auto"/>
                    <w:ind w:firstLine="0" w:firstLineChars="0"/>
                    <w:jc w:val="center"/>
                    <w:rPr>
                      <w:b/>
                      <w:bCs/>
                      <w:color w:val="auto"/>
                      <w:sz w:val="21"/>
                      <w:szCs w:val="21"/>
                      <w:highlight w:val="none"/>
                    </w:rPr>
                  </w:pPr>
                  <w:r>
                    <w:rPr>
                      <w:b/>
                      <w:bCs/>
                      <w:color w:val="auto"/>
                      <w:sz w:val="21"/>
                      <w:szCs w:val="21"/>
                      <w:highlight w:val="none"/>
                    </w:rPr>
                    <w:t>排放去向</w:t>
                  </w:r>
                </w:p>
              </w:tc>
              <w:tc>
                <w:tcPr>
                  <w:tcW w:w="501" w:type="pct"/>
                  <w:vMerge w:val="restart"/>
                  <w:tcBorders>
                    <w:tl2br w:val="nil"/>
                    <w:tr2bl w:val="nil"/>
                  </w:tcBorders>
                  <w:noWrap w:val="0"/>
                  <w:vAlign w:val="center"/>
                </w:tcPr>
                <w:p w14:paraId="676D2782">
                  <w:pPr>
                    <w:spacing w:line="240" w:lineRule="auto"/>
                    <w:ind w:firstLine="0" w:firstLineChars="0"/>
                    <w:jc w:val="center"/>
                    <w:rPr>
                      <w:b/>
                      <w:bCs/>
                      <w:color w:val="auto"/>
                      <w:sz w:val="21"/>
                      <w:szCs w:val="21"/>
                      <w:highlight w:val="none"/>
                    </w:rPr>
                  </w:pPr>
                  <w:r>
                    <w:rPr>
                      <w:b/>
                      <w:bCs/>
                      <w:color w:val="auto"/>
                      <w:sz w:val="21"/>
                      <w:szCs w:val="21"/>
                      <w:highlight w:val="none"/>
                    </w:rPr>
                    <w:t>排放</w:t>
                  </w:r>
                </w:p>
                <w:p w14:paraId="09F1960E">
                  <w:pPr>
                    <w:spacing w:line="240" w:lineRule="auto"/>
                    <w:ind w:firstLine="0" w:firstLineChars="0"/>
                    <w:jc w:val="center"/>
                    <w:rPr>
                      <w:b/>
                      <w:bCs/>
                      <w:color w:val="auto"/>
                      <w:sz w:val="21"/>
                      <w:szCs w:val="21"/>
                      <w:highlight w:val="none"/>
                    </w:rPr>
                  </w:pPr>
                  <w:r>
                    <w:rPr>
                      <w:b/>
                      <w:bCs/>
                      <w:color w:val="auto"/>
                      <w:sz w:val="21"/>
                      <w:szCs w:val="21"/>
                      <w:highlight w:val="none"/>
                    </w:rPr>
                    <w:t>方式</w:t>
                  </w:r>
                </w:p>
              </w:tc>
              <w:tc>
                <w:tcPr>
                  <w:tcW w:w="494" w:type="pct"/>
                  <w:vMerge w:val="restart"/>
                  <w:tcBorders>
                    <w:tl2br w:val="nil"/>
                    <w:tr2bl w:val="nil"/>
                  </w:tcBorders>
                  <w:noWrap w:val="0"/>
                  <w:vAlign w:val="center"/>
                </w:tcPr>
                <w:p w14:paraId="5BFC9625">
                  <w:pPr>
                    <w:spacing w:line="240" w:lineRule="auto"/>
                    <w:ind w:firstLine="0" w:firstLineChars="0"/>
                    <w:jc w:val="center"/>
                    <w:rPr>
                      <w:b/>
                      <w:bCs/>
                      <w:color w:val="auto"/>
                      <w:sz w:val="21"/>
                      <w:szCs w:val="21"/>
                      <w:highlight w:val="none"/>
                    </w:rPr>
                  </w:pPr>
                  <w:r>
                    <w:rPr>
                      <w:b/>
                      <w:bCs/>
                      <w:color w:val="auto"/>
                      <w:sz w:val="21"/>
                      <w:szCs w:val="21"/>
                      <w:highlight w:val="none"/>
                    </w:rPr>
                    <w:t>排放</w:t>
                  </w:r>
                </w:p>
                <w:p w14:paraId="7F87387E">
                  <w:pPr>
                    <w:spacing w:line="240" w:lineRule="auto"/>
                    <w:ind w:firstLine="0" w:firstLineChars="0"/>
                    <w:jc w:val="center"/>
                    <w:rPr>
                      <w:b/>
                      <w:bCs/>
                      <w:color w:val="auto"/>
                      <w:sz w:val="21"/>
                      <w:szCs w:val="21"/>
                      <w:highlight w:val="none"/>
                    </w:rPr>
                  </w:pPr>
                  <w:r>
                    <w:rPr>
                      <w:b/>
                      <w:bCs/>
                      <w:color w:val="auto"/>
                      <w:sz w:val="21"/>
                      <w:szCs w:val="21"/>
                      <w:highlight w:val="none"/>
                    </w:rPr>
                    <w:t>规律</w:t>
                  </w:r>
                </w:p>
              </w:tc>
              <w:tc>
                <w:tcPr>
                  <w:tcW w:w="1707" w:type="pct"/>
                  <w:gridSpan w:val="3"/>
                  <w:tcBorders>
                    <w:tl2br w:val="nil"/>
                    <w:tr2bl w:val="nil"/>
                  </w:tcBorders>
                  <w:noWrap w:val="0"/>
                  <w:vAlign w:val="center"/>
                </w:tcPr>
                <w:p w14:paraId="7DF302AB">
                  <w:pPr>
                    <w:spacing w:line="240" w:lineRule="auto"/>
                    <w:ind w:firstLine="0" w:firstLineChars="0"/>
                    <w:jc w:val="center"/>
                    <w:rPr>
                      <w:b/>
                      <w:bCs/>
                      <w:color w:val="auto"/>
                      <w:sz w:val="21"/>
                      <w:szCs w:val="21"/>
                      <w:highlight w:val="none"/>
                    </w:rPr>
                  </w:pPr>
                  <w:r>
                    <w:rPr>
                      <w:b/>
                      <w:bCs/>
                      <w:color w:val="auto"/>
                      <w:sz w:val="21"/>
                      <w:szCs w:val="21"/>
                      <w:highlight w:val="none"/>
                    </w:rPr>
                    <w:t>污水治理设施</w:t>
                  </w:r>
                </w:p>
              </w:tc>
              <w:tc>
                <w:tcPr>
                  <w:tcW w:w="392" w:type="pct"/>
                  <w:vMerge w:val="restart"/>
                  <w:tcBorders>
                    <w:tl2br w:val="nil"/>
                    <w:tr2bl w:val="nil"/>
                  </w:tcBorders>
                  <w:noWrap w:val="0"/>
                  <w:vAlign w:val="center"/>
                </w:tcPr>
                <w:p w14:paraId="6AAD5203">
                  <w:pPr>
                    <w:spacing w:line="240" w:lineRule="auto"/>
                    <w:ind w:firstLine="0" w:firstLineChars="0"/>
                    <w:jc w:val="center"/>
                    <w:rPr>
                      <w:b/>
                      <w:bCs/>
                      <w:color w:val="auto"/>
                      <w:sz w:val="21"/>
                      <w:szCs w:val="21"/>
                      <w:highlight w:val="none"/>
                    </w:rPr>
                  </w:pPr>
                  <w:r>
                    <w:rPr>
                      <w:b/>
                      <w:bCs/>
                      <w:color w:val="auto"/>
                      <w:sz w:val="21"/>
                      <w:szCs w:val="21"/>
                      <w:highlight w:val="none"/>
                    </w:rPr>
                    <w:t>是否为可行技术</w:t>
                  </w:r>
                </w:p>
              </w:tc>
            </w:tr>
            <w:tr w14:paraId="5EEAA3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tcBorders>
                    <w:tl2br w:val="nil"/>
                    <w:tr2bl w:val="nil"/>
                  </w:tcBorders>
                  <w:noWrap w:val="0"/>
                  <w:vAlign w:val="center"/>
                </w:tcPr>
                <w:p w14:paraId="4B003303">
                  <w:pPr>
                    <w:spacing w:line="240" w:lineRule="auto"/>
                    <w:ind w:firstLine="0" w:firstLineChars="0"/>
                    <w:jc w:val="center"/>
                    <w:rPr>
                      <w:b/>
                      <w:bCs/>
                      <w:color w:val="auto"/>
                      <w:sz w:val="21"/>
                      <w:szCs w:val="21"/>
                      <w:highlight w:val="none"/>
                    </w:rPr>
                  </w:pPr>
                </w:p>
              </w:tc>
              <w:tc>
                <w:tcPr>
                  <w:tcW w:w="691" w:type="pct"/>
                  <w:vMerge w:val="continue"/>
                  <w:tcBorders>
                    <w:tl2br w:val="nil"/>
                    <w:tr2bl w:val="nil"/>
                  </w:tcBorders>
                  <w:noWrap w:val="0"/>
                  <w:vAlign w:val="center"/>
                </w:tcPr>
                <w:p w14:paraId="5456FF50">
                  <w:pPr>
                    <w:spacing w:line="240" w:lineRule="auto"/>
                    <w:ind w:firstLine="0" w:firstLineChars="0"/>
                    <w:jc w:val="center"/>
                    <w:rPr>
                      <w:b/>
                      <w:bCs/>
                      <w:color w:val="auto"/>
                      <w:sz w:val="21"/>
                      <w:szCs w:val="21"/>
                      <w:highlight w:val="none"/>
                    </w:rPr>
                  </w:pPr>
                </w:p>
              </w:tc>
              <w:tc>
                <w:tcPr>
                  <w:tcW w:w="807" w:type="pct"/>
                  <w:vMerge w:val="continue"/>
                  <w:tcBorders>
                    <w:tl2br w:val="nil"/>
                    <w:tr2bl w:val="nil"/>
                  </w:tcBorders>
                  <w:noWrap w:val="0"/>
                  <w:vAlign w:val="center"/>
                </w:tcPr>
                <w:p w14:paraId="5CB5A84B">
                  <w:pPr>
                    <w:spacing w:line="240" w:lineRule="auto"/>
                    <w:ind w:firstLine="0" w:firstLineChars="0"/>
                    <w:jc w:val="center"/>
                    <w:rPr>
                      <w:b/>
                      <w:bCs/>
                      <w:color w:val="auto"/>
                      <w:sz w:val="21"/>
                      <w:szCs w:val="21"/>
                      <w:highlight w:val="none"/>
                    </w:rPr>
                  </w:pPr>
                </w:p>
              </w:tc>
              <w:tc>
                <w:tcPr>
                  <w:tcW w:w="501" w:type="pct"/>
                  <w:vMerge w:val="continue"/>
                  <w:tcBorders>
                    <w:tl2br w:val="nil"/>
                    <w:tr2bl w:val="nil"/>
                  </w:tcBorders>
                  <w:noWrap w:val="0"/>
                  <w:vAlign w:val="center"/>
                </w:tcPr>
                <w:p w14:paraId="5AF5B4E5">
                  <w:pPr>
                    <w:spacing w:line="240" w:lineRule="auto"/>
                    <w:ind w:firstLine="0" w:firstLineChars="0"/>
                    <w:jc w:val="center"/>
                    <w:rPr>
                      <w:b/>
                      <w:bCs/>
                      <w:color w:val="auto"/>
                      <w:sz w:val="21"/>
                      <w:szCs w:val="21"/>
                      <w:highlight w:val="none"/>
                    </w:rPr>
                  </w:pPr>
                </w:p>
              </w:tc>
              <w:tc>
                <w:tcPr>
                  <w:tcW w:w="494" w:type="pct"/>
                  <w:vMerge w:val="continue"/>
                  <w:tcBorders>
                    <w:tl2br w:val="nil"/>
                    <w:tr2bl w:val="nil"/>
                  </w:tcBorders>
                  <w:noWrap w:val="0"/>
                  <w:vAlign w:val="center"/>
                </w:tcPr>
                <w:p w14:paraId="2F22A657">
                  <w:pPr>
                    <w:spacing w:line="240" w:lineRule="auto"/>
                    <w:ind w:firstLine="0" w:firstLineChars="0"/>
                    <w:jc w:val="center"/>
                    <w:rPr>
                      <w:b/>
                      <w:bCs/>
                      <w:color w:val="auto"/>
                      <w:sz w:val="21"/>
                      <w:szCs w:val="21"/>
                      <w:highlight w:val="none"/>
                    </w:rPr>
                  </w:pPr>
                </w:p>
              </w:tc>
              <w:tc>
                <w:tcPr>
                  <w:tcW w:w="671" w:type="pct"/>
                  <w:tcBorders>
                    <w:tl2br w:val="nil"/>
                    <w:tr2bl w:val="nil"/>
                  </w:tcBorders>
                  <w:noWrap w:val="0"/>
                  <w:vAlign w:val="center"/>
                </w:tcPr>
                <w:p w14:paraId="7B4FE276">
                  <w:pPr>
                    <w:spacing w:line="240" w:lineRule="auto"/>
                    <w:ind w:firstLine="0" w:firstLineChars="0"/>
                    <w:jc w:val="center"/>
                    <w:rPr>
                      <w:b/>
                      <w:bCs/>
                      <w:color w:val="auto"/>
                      <w:sz w:val="21"/>
                      <w:szCs w:val="21"/>
                      <w:highlight w:val="none"/>
                    </w:rPr>
                  </w:pPr>
                  <w:r>
                    <w:rPr>
                      <w:b/>
                      <w:bCs/>
                      <w:color w:val="auto"/>
                      <w:sz w:val="21"/>
                      <w:szCs w:val="21"/>
                      <w:highlight w:val="none"/>
                    </w:rPr>
                    <w:t>污染治理设施名称</w:t>
                  </w:r>
                </w:p>
              </w:tc>
              <w:tc>
                <w:tcPr>
                  <w:tcW w:w="517" w:type="pct"/>
                  <w:tcBorders>
                    <w:tl2br w:val="nil"/>
                    <w:tr2bl w:val="nil"/>
                  </w:tcBorders>
                  <w:noWrap w:val="0"/>
                  <w:vAlign w:val="center"/>
                </w:tcPr>
                <w:p w14:paraId="71305FB9">
                  <w:pPr>
                    <w:spacing w:line="240" w:lineRule="auto"/>
                    <w:ind w:firstLine="0" w:firstLineChars="0"/>
                    <w:jc w:val="center"/>
                    <w:rPr>
                      <w:b/>
                      <w:bCs/>
                      <w:color w:val="auto"/>
                      <w:sz w:val="21"/>
                      <w:szCs w:val="21"/>
                      <w:highlight w:val="none"/>
                    </w:rPr>
                  </w:pPr>
                  <w:r>
                    <w:rPr>
                      <w:b/>
                      <w:bCs/>
                      <w:color w:val="auto"/>
                      <w:sz w:val="21"/>
                      <w:szCs w:val="21"/>
                      <w:highlight w:val="none"/>
                    </w:rPr>
                    <w:t>处理能力m³/</w:t>
                  </w:r>
                  <w:r>
                    <w:rPr>
                      <w:rFonts w:hint="eastAsia"/>
                      <w:b/>
                      <w:bCs/>
                      <w:color w:val="auto"/>
                      <w:sz w:val="21"/>
                      <w:szCs w:val="21"/>
                      <w:highlight w:val="none"/>
                    </w:rPr>
                    <w:t>d</w:t>
                  </w:r>
                </w:p>
              </w:tc>
              <w:tc>
                <w:tcPr>
                  <w:tcW w:w="517" w:type="pct"/>
                  <w:tcBorders>
                    <w:tl2br w:val="nil"/>
                    <w:tr2bl w:val="nil"/>
                  </w:tcBorders>
                  <w:noWrap w:val="0"/>
                  <w:vAlign w:val="center"/>
                </w:tcPr>
                <w:p w14:paraId="2CD767EF">
                  <w:pPr>
                    <w:spacing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治理效率（%）</w:t>
                  </w:r>
                </w:p>
              </w:tc>
              <w:tc>
                <w:tcPr>
                  <w:tcW w:w="392" w:type="pct"/>
                  <w:vMerge w:val="continue"/>
                  <w:tcBorders>
                    <w:tl2br w:val="nil"/>
                    <w:tr2bl w:val="nil"/>
                  </w:tcBorders>
                  <w:noWrap w:val="0"/>
                  <w:vAlign w:val="center"/>
                </w:tcPr>
                <w:p w14:paraId="72512A2C">
                  <w:pPr>
                    <w:spacing w:line="240" w:lineRule="auto"/>
                    <w:ind w:firstLine="0" w:firstLineChars="0"/>
                    <w:jc w:val="center"/>
                    <w:rPr>
                      <w:color w:val="auto"/>
                      <w:sz w:val="21"/>
                      <w:szCs w:val="21"/>
                      <w:highlight w:val="none"/>
                    </w:rPr>
                  </w:pPr>
                </w:p>
              </w:tc>
            </w:tr>
            <w:tr w14:paraId="34AF7B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restart"/>
                  <w:tcBorders>
                    <w:tl2br w:val="nil"/>
                    <w:tr2bl w:val="nil"/>
                  </w:tcBorders>
                  <w:noWrap w:val="0"/>
                  <w:vAlign w:val="center"/>
                </w:tcPr>
                <w:p w14:paraId="440CA64D">
                  <w:pPr>
                    <w:spacing w:line="240" w:lineRule="auto"/>
                    <w:ind w:firstLine="0" w:firstLineChars="0"/>
                    <w:jc w:val="center"/>
                    <w:rPr>
                      <w:rFonts w:hint="eastAsia" w:eastAsia="宋体"/>
                      <w:color w:val="auto"/>
                      <w:sz w:val="21"/>
                      <w:szCs w:val="21"/>
                      <w:highlight w:val="none"/>
                      <w:lang w:eastAsia="zh-CN"/>
                    </w:rPr>
                  </w:pPr>
                  <w:r>
                    <w:rPr>
                      <w:rFonts w:hint="eastAsia"/>
                      <w:bCs/>
                      <w:color w:val="auto"/>
                      <w:sz w:val="21"/>
                      <w:szCs w:val="21"/>
                      <w:highlight w:val="none"/>
                      <w:lang w:eastAsia="zh-CN"/>
                    </w:rPr>
                    <w:t>水帘气旋废水</w:t>
                  </w:r>
                </w:p>
                <w:p w14:paraId="2B75A8CD">
                  <w:pPr>
                    <w:spacing w:line="240" w:lineRule="auto"/>
                    <w:ind w:firstLine="0" w:firstLineChars="0"/>
                    <w:jc w:val="center"/>
                    <w:rPr>
                      <w:color w:val="auto"/>
                      <w:sz w:val="21"/>
                      <w:szCs w:val="21"/>
                      <w:highlight w:val="none"/>
                    </w:rPr>
                  </w:pPr>
                </w:p>
              </w:tc>
              <w:tc>
                <w:tcPr>
                  <w:tcW w:w="691" w:type="pct"/>
                  <w:tcBorders>
                    <w:tl2br w:val="nil"/>
                    <w:tr2bl w:val="nil"/>
                  </w:tcBorders>
                  <w:noWrap w:val="0"/>
                  <w:vAlign w:val="center"/>
                </w:tcPr>
                <w:p w14:paraId="6BA2CCF1">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SS</w:t>
                  </w:r>
                </w:p>
              </w:tc>
              <w:tc>
                <w:tcPr>
                  <w:tcW w:w="807" w:type="pct"/>
                  <w:vMerge w:val="restart"/>
                  <w:tcBorders>
                    <w:tl2br w:val="nil"/>
                    <w:tr2bl w:val="nil"/>
                  </w:tcBorders>
                  <w:noWrap w:val="0"/>
                  <w:vAlign w:val="center"/>
                </w:tcPr>
                <w:p w14:paraId="6B0851F3">
                  <w:pPr>
                    <w:spacing w:line="240" w:lineRule="auto"/>
                    <w:ind w:firstLine="0" w:firstLineChars="0"/>
                    <w:jc w:val="center"/>
                    <w:rPr>
                      <w:color w:val="auto"/>
                      <w:sz w:val="21"/>
                      <w:szCs w:val="21"/>
                      <w:highlight w:val="none"/>
                    </w:rPr>
                  </w:pPr>
                  <w:r>
                    <w:rPr>
                      <w:rFonts w:hint="eastAsia"/>
                      <w:color w:val="auto"/>
                      <w:sz w:val="21"/>
                      <w:szCs w:val="21"/>
                      <w:highlight w:val="none"/>
                    </w:rPr>
                    <w:t>采用“调节池+絮凝沉淀+压滤+清水池”处理设施处理后回用为水帘气旋</w:t>
                  </w:r>
                </w:p>
              </w:tc>
              <w:tc>
                <w:tcPr>
                  <w:tcW w:w="501" w:type="pct"/>
                  <w:vMerge w:val="restart"/>
                  <w:tcBorders>
                    <w:tl2br w:val="nil"/>
                    <w:tr2bl w:val="nil"/>
                  </w:tcBorders>
                  <w:noWrap w:val="0"/>
                  <w:vAlign w:val="center"/>
                </w:tcPr>
                <w:p w14:paraId="3FBC2D1D">
                  <w:pPr>
                    <w:spacing w:line="240" w:lineRule="auto"/>
                    <w:ind w:firstLine="0" w:firstLineChars="0"/>
                    <w:jc w:val="center"/>
                    <w:rPr>
                      <w:color w:val="auto"/>
                      <w:sz w:val="21"/>
                      <w:szCs w:val="21"/>
                      <w:highlight w:val="none"/>
                    </w:rPr>
                  </w:pPr>
                  <w:r>
                    <w:rPr>
                      <w:rFonts w:hint="eastAsia"/>
                      <w:color w:val="auto"/>
                      <w:sz w:val="21"/>
                      <w:szCs w:val="21"/>
                      <w:highlight w:val="none"/>
                    </w:rPr>
                    <w:t>回用/定期委托有资质公司处置</w:t>
                  </w:r>
                </w:p>
              </w:tc>
              <w:tc>
                <w:tcPr>
                  <w:tcW w:w="494" w:type="pct"/>
                  <w:vMerge w:val="restart"/>
                  <w:tcBorders>
                    <w:tl2br w:val="nil"/>
                    <w:tr2bl w:val="nil"/>
                  </w:tcBorders>
                  <w:noWrap w:val="0"/>
                  <w:vAlign w:val="center"/>
                </w:tcPr>
                <w:p w14:paraId="0F4AAB1D">
                  <w:pPr>
                    <w:spacing w:line="240" w:lineRule="auto"/>
                    <w:ind w:firstLine="0" w:firstLineChars="0"/>
                    <w:jc w:val="center"/>
                    <w:rPr>
                      <w:rFonts w:hint="eastAsia"/>
                      <w:color w:val="auto"/>
                      <w:sz w:val="21"/>
                      <w:szCs w:val="21"/>
                      <w:highlight w:val="none"/>
                    </w:rPr>
                  </w:pPr>
                  <w:r>
                    <w:rPr>
                      <w:rFonts w:hint="eastAsia"/>
                      <w:bCs/>
                      <w:color w:val="auto"/>
                      <w:kern w:val="0"/>
                      <w:sz w:val="21"/>
                      <w:szCs w:val="21"/>
                      <w:highlight w:val="none"/>
                    </w:rPr>
                    <w:t>不外排</w:t>
                  </w:r>
                </w:p>
              </w:tc>
              <w:tc>
                <w:tcPr>
                  <w:tcW w:w="671" w:type="pct"/>
                  <w:vMerge w:val="restart"/>
                  <w:tcBorders>
                    <w:tl2br w:val="nil"/>
                    <w:tr2bl w:val="nil"/>
                  </w:tcBorders>
                  <w:noWrap w:val="0"/>
                  <w:vAlign w:val="center"/>
                </w:tcPr>
                <w:p w14:paraId="06C5CFD9">
                  <w:pPr>
                    <w:spacing w:line="240" w:lineRule="auto"/>
                    <w:ind w:firstLine="0" w:firstLineChars="0"/>
                    <w:jc w:val="center"/>
                    <w:rPr>
                      <w:color w:val="auto"/>
                      <w:sz w:val="21"/>
                      <w:szCs w:val="21"/>
                      <w:highlight w:val="none"/>
                    </w:rPr>
                  </w:pPr>
                  <w:r>
                    <w:rPr>
                      <w:rFonts w:hint="eastAsia"/>
                      <w:color w:val="auto"/>
                      <w:sz w:val="21"/>
                      <w:szCs w:val="21"/>
                      <w:highlight w:val="none"/>
                    </w:rPr>
                    <w:t>采用“调节池+絮凝沉淀+压滤+清水池”处理设施</w:t>
                  </w:r>
                </w:p>
              </w:tc>
              <w:tc>
                <w:tcPr>
                  <w:tcW w:w="517" w:type="pct"/>
                  <w:vMerge w:val="restart"/>
                  <w:tcBorders>
                    <w:tl2br w:val="nil"/>
                    <w:tr2bl w:val="nil"/>
                  </w:tcBorders>
                  <w:noWrap w:val="0"/>
                  <w:vAlign w:val="center"/>
                </w:tcPr>
                <w:p w14:paraId="783E2415">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517" w:type="pct"/>
                  <w:tcBorders>
                    <w:tl2br w:val="nil"/>
                    <w:tr2bl w:val="nil"/>
                  </w:tcBorders>
                  <w:noWrap w:val="0"/>
                  <w:vAlign w:val="center"/>
                </w:tcPr>
                <w:p w14:paraId="4E30F1F9">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68~70</w:t>
                  </w:r>
                </w:p>
              </w:tc>
              <w:tc>
                <w:tcPr>
                  <w:tcW w:w="392" w:type="pct"/>
                  <w:vMerge w:val="restart"/>
                  <w:tcBorders>
                    <w:tl2br w:val="nil"/>
                    <w:tr2bl w:val="nil"/>
                  </w:tcBorders>
                  <w:noWrap w:val="0"/>
                  <w:vAlign w:val="center"/>
                </w:tcPr>
                <w:p w14:paraId="51FA908A">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是</w:t>
                  </w:r>
                </w:p>
              </w:tc>
            </w:tr>
            <w:tr w14:paraId="10410B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tcBorders>
                    <w:tl2br w:val="nil"/>
                    <w:tr2bl w:val="nil"/>
                  </w:tcBorders>
                  <w:noWrap w:val="0"/>
                  <w:vAlign w:val="center"/>
                </w:tcPr>
                <w:p w14:paraId="0FE077D5">
                  <w:pPr>
                    <w:spacing w:line="240" w:lineRule="auto"/>
                    <w:ind w:firstLine="0" w:firstLineChars="0"/>
                    <w:jc w:val="center"/>
                    <w:rPr>
                      <w:color w:val="auto"/>
                      <w:sz w:val="21"/>
                      <w:szCs w:val="21"/>
                      <w:highlight w:val="none"/>
                    </w:rPr>
                  </w:pPr>
                </w:p>
              </w:tc>
              <w:tc>
                <w:tcPr>
                  <w:tcW w:w="691" w:type="pct"/>
                  <w:tcBorders>
                    <w:tl2br w:val="nil"/>
                    <w:tr2bl w:val="nil"/>
                  </w:tcBorders>
                  <w:noWrap w:val="0"/>
                  <w:vAlign w:val="center"/>
                </w:tcPr>
                <w:p w14:paraId="42686831">
                  <w:pPr>
                    <w:spacing w:line="240" w:lineRule="exact"/>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BOD</w:t>
                  </w:r>
                  <w:r>
                    <w:rPr>
                      <w:rFonts w:hint="eastAsia"/>
                      <w:color w:val="auto"/>
                      <w:sz w:val="21"/>
                      <w:szCs w:val="21"/>
                      <w:highlight w:val="none"/>
                      <w:vertAlign w:val="subscript"/>
                      <w:lang w:val="en-US" w:eastAsia="zh-CN"/>
                    </w:rPr>
                    <w:t>5</w:t>
                  </w:r>
                </w:p>
              </w:tc>
              <w:tc>
                <w:tcPr>
                  <w:tcW w:w="807" w:type="pct"/>
                  <w:vMerge w:val="continue"/>
                  <w:tcBorders>
                    <w:tl2br w:val="nil"/>
                    <w:tr2bl w:val="nil"/>
                  </w:tcBorders>
                  <w:noWrap w:val="0"/>
                  <w:vAlign w:val="center"/>
                </w:tcPr>
                <w:p w14:paraId="5037F95C">
                  <w:pPr>
                    <w:spacing w:line="240" w:lineRule="auto"/>
                    <w:ind w:firstLine="0" w:firstLineChars="0"/>
                    <w:jc w:val="center"/>
                    <w:rPr>
                      <w:rFonts w:hint="eastAsia"/>
                      <w:color w:val="auto"/>
                      <w:sz w:val="21"/>
                      <w:szCs w:val="21"/>
                      <w:highlight w:val="none"/>
                    </w:rPr>
                  </w:pPr>
                </w:p>
              </w:tc>
              <w:tc>
                <w:tcPr>
                  <w:tcW w:w="501" w:type="pct"/>
                  <w:vMerge w:val="continue"/>
                  <w:tcBorders>
                    <w:tl2br w:val="nil"/>
                    <w:tr2bl w:val="nil"/>
                  </w:tcBorders>
                  <w:noWrap w:val="0"/>
                  <w:vAlign w:val="center"/>
                </w:tcPr>
                <w:p w14:paraId="285A85E3">
                  <w:pPr>
                    <w:spacing w:line="240" w:lineRule="auto"/>
                    <w:ind w:firstLine="0" w:firstLineChars="0"/>
                    <w:jc w:val="center"/>
                    <w:rPr>
                      <w:rFonts w:hint="eastAsia"/>
                      <w:color w:val="auto"/>
                      <w:sz w:val="21"/>
                      <w:szCs w:val="21"/>
                      <w:highlight w:val="none"/>
                    </w:rPr>
                  </w:pPr>
                </w:p>
              </w:tc>
              <w:tc>
                <w:tcPr>
                  <w:tcW w:w="494" w:type="pct"/>
                  <w:vMerge w:val="continue"/>
                  <w:tcBorders>
                    <w:tl2br w:val="nil"/>
                    <w:tr2bl w:val="nil"/>
                  </w:tcBorders>
                  <w:noWrap w:val="0"/>
                  <w:vAlign w:val="center"/>
                </w:tcPr>
                <w:p w14:paraId="62CE0E14">
                  <w:pPr>
                    <w:spacing w:line="240" w:lineRule="auto"/>
                    <w:ind w:firstLine="0" w:firstLineChars="0"/>
                    <w:jc w:val="center"/>
                    <w:rPr>
                      <w:rFonts w:hint="eastAsia"/>
                      <w:bCs/>
                      <w:color w:val="auto"/>
                      <w:kern w:val="0"/>
                      <w:sz w:val="21"/>
                      <w:szCs w:val="21"/>
                      <w:highlight w:val="none"/>
                    </w:rPr>
                  </w:pPr>
                </w:p>
              </w:tc>
              <w:tc>
                <w:tcPr>
                  <w:tcW w:w="671" w:type="pct"/>
                  <w:vMerge w:val="continue"/>
                  <w:tcBorders>
                    <w:tl2br w:val="nil"/>
                    <w:tr2bl w:val="nil"/>
                  </w:tcBorders>
                  <w:noWrap w:val="0"/>
                  <w:vAlign w:val="center"/>
                </w:tcPr>
                <w:p w14:paraId="18BDD0E0">
                  <w:pPr>
                    <w:spacing w:line="240" w:lineRule="auto"/>
                    <w:ind w:firstLine="0" w:firstLineChars="0"/>
                    <w:jc w:val="center"/>
                    <w:rPr>
                      <w:rFonts w:hint="eastAsia"/>
                      <w:color w:val="auto"/>
                      <w:sz w:val="21"/>
                      <w:szCs w:val="21"/>
                      <w:highlight w:val="none"/>
                    </w:rPr>
                  </w:pPr>
                </w:p>
              </w:tc>
              <w:tc>
                <w:tcPr>
                  <w:tcW w:w="517" w:type="pct"/>
                  <w:vMerge w:val="continue"/>
                  <w:tcBorders>
                    <w:tl2br w:val="nil"/>
                    <w:tr2bl w:val="nil"/>
                  </w:tcBorders>
                  <w:noWrap w:val="0"/>
                  <w:vAlign w:val="center"/>
                </w:tcPr>
                <w:p w14:paraId="7D5D7D4E">
                  <w:pPr>
                    <w:spacing w:line="240" w:lineRule="auto"/>
                    <w:ind w:firstLine="0" w:firstLineChars="0"/>
                    <w:jc w:val="center"/>
                    <w:rPr>
                      <w:rFonts w:hint="eastAsia"/>
                      <w:color w:val="auto"/>
                      <w:sz w:val="21"/>
                      <w:szCs w:val="21"/>
                      <w:highlight w:val="none"/>
                      <w:lang w:val="en-US" w:eastAsia="zh-CN"/>
                    </w:rPr>
                  </w:pPr>
                </w:p>
              </w:tc>
              <w:tc>
                <w:tcPr>
                  <w:tcW w:w="517" w:type="pct"/>
                  <w:tcBorders>
                    <w:tl2br w:val="nil"/>
                    <w:tr2bl w:val="nil"/>
                  </w:tcBorders>
                  <w:noWrap w:val="0"/>
                  <w:vAlign w:val="center"/>
                </w:tcPr>
                <w:p w14:paraId="4C9A993B">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51~56</w:t>
                  </w:r>
                </w:p>
              </w:tc>
              <w:tc>
                <w:tcPr>
                  <w:tcW w:w="392" w:type="pct"/>
                  <w:vMerge w:val="continue"/>
                  <w:tcBorders>
                    <w:tl2br w:val="nil"/>
                    <w:tr2bl w:val="nil"/>
                  </w:tcBorders>
                  <w:noWrap w:val="0"/>
                  <w:vAlign w:val="center"/>
                </w:tcPr>
                <w:p w14:paraId="5D0FA3F1">
                  <w:pPr>
                    <w:spacing w:line="240" w:lineRule="auto"/>
                    <w:ind w:firstLine="0" w:firstLineChars="0"/>
                    <w:jc w:val="center"/>
                    <w:rPr>
                      <w:rFonts w:hint="eastAsia"/>
                      <w:color w:val="auto"/>
                      <w:sz w:val="21"/>
                      <w:szCs w:val="21"/>
                      <w:highlight w:val="none"/>
                    </w:rPr>
                  </w:pPr>
                </w:p>
              </w:tc>
            </w:tr>
            <w:tr w14:paraId="24FD27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405" w:type="pct"/>
                  <w:vMerge w:val="continue"/>
                  <w:tcBorders>
                    <w:tl2br w:val="nil"/>
                    <w:tr2bl w:val="nil"/>
                  </w:tcBorders>
                  <w:noWrap w:val="0"/>
                  <w:vAlign w:val="center"/>
                </w:tcPr>
                <w:p w14:paraId="5C231AF9">
                  <w:pPr>
                    <w:spacing w:line="240" w:lineRule="auto"/>
                    <w:ind w:firstLine="0" w:firstLineChars="0"/>
                    <w:jc w:val="center"/>
                    <w:rPr>
                      <w:color w:val="auto"/>
                      <w:sz w:val="21"/>
                      <w:szCs w:val="21"/>
                      <w:highlight w:val="none"/>
                    </w:rPr>
                  </w:pPr>
                </w:p>
              </w:tc>
              <w:tc>
                <w:tcPr>
                  <w:tcW w:w="691" w:type="pct"/>
                  <w:tcBorders>
                    <w:tl2br w:val="nil"/>
                    <w:tr2bl w:val="nil"/>
                  </w:tcBorders>
                  <w:noWrap w:val="0"/>
                  <w:vAlign w:val="center"/>
                </w:tcPr>
                <w:p w14:paraId="3B64088E">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COD</w:t>
                  </w:r>
                  <w:r>
                    <w:rPr>
                      <w:rFonts w:hint="eastAsia"/>
                      <w:color w:val="auto"/>
                      <w:sz w:val="21"/>
                      <w:szCs w:val="21"/>
                      <w:highlight w:val="none"/>
                      <w:vertAlign w:val="subscript"/>
                    </w:rPr>
                    <w:t>Cr</w:t>
                  </w:r>
                </w:p>
              </w:tc>
              <w:tc>
                <w:tcPr>
                  <w:tcW w:w="807" w:type="pct"/>
                  <w:vMerge w:val="continue"/>
                  <w:tcBorders>
                    <w:tl2br w:val="nil"/>
                    <w:tr2bl w:val="nil"/>
                  </w:tcBorders>
                  <w:noWrap w:val="0"/>
                  <w:vAlign w:val="center"/>
                </w:tcPr>
                <w:p w14:paraId="3720E048">
                  <w:pPr>
                    <w:spacing w:line="240" w:lineRule="auto"/>
                    <w:ind w:firstLine="0" w:firstLineChars="0"/>
                    <w:jc w:val="center"/>
                    <w:rPr>
                      <w:color w:val="auto"/>
                      <w:sz w:val="21"/>
                      <w:szCs w:val="21"/>
                      <w:highlight w:val="none"/>
                    </w:rPr>
                  </w:pPr>
                </w:p>
              </w:tc>
              <w:tc>
                <w:tcPr>
                  <w:tcW w:w="501" w:type="pct"/>
                  <w:vMerge w:val="continue"/>
                  <w:tcBorders>
                    <w:tl2br w:val="nil"/>
                    <w:tr2bl w:val="nil"/>
                  </w:tcBorders>
                  <w:noWrap w:val="0"/>
                  <w:vAlign w:val="center"/>
                </w:tcPr>
                <w:p w14:paraId="2CFD8756">
                  <w:pPr>
                    <w:spacing w:line="240" w:lineRule="auto"/>
                    <w:ind w:firstLine="0" w:firstLineChars="0"/>
                    <w:jc w:val="center"/>
                    <w:rPr>
                      <w:color w:val="auto"/>
                      <w:sz w:val="21"/>
                      <w:szCs w:val="21"/>
                      <w:highlight w:val="none"/>
                    </w:rPr>
                  </w:pPr>
                </w:p>
              </w:tc>
              <w:tc>
                <w:tcPr>
                  <w:tcW w:w="494" w:type="pct"/>
                  <w:vMerge w:val="continue"/>
                  <w:tcBorders>
                    <w:tl2br w:val="nil"/>
                    <w:tr2bl w:val="nil"/>
                  </w:tcBorders>
                  <w:noWrap w:val="0"/>
                  <w:vAlign w:val="center"/>
                </w:tcPr>
                <w:p w14:paraId="12538DE9">
                  <w:pPr>
                    <w:spacing w:line="240" w:lineRule="auto"/>
                    <w:ind w:firstLine="0" w:firstLineChars="0"/>
                    <w:jc w:val="center"/>
                    <w:rPr>
                      <w:rFonts w:hint="eastAsia"/>
                      <w:color w:val="auto"/>
                      <w:sz w:val="21"/>
                      <w:szCs w:val="21"/>
                      <w:highlight w:val="none"/>
                    </w:rPr>
                  </w:pPr>
                </w:p>
              </w:tc>
              <w:tc>
                <w:tcPr>
                  <w:tcW w:w="671" w:type="pct"/>
                  <w:vMerge w:val="continue"/>
                  <w:tcBorders>
                    <w:tl2br w:val="nil"/>
                    <w:tr2bl w:val="nil"/>
                  </w:tcBorders>
                  <w:noWrap w:val="0"/>
                  <w:vAlign w:val="center"/>
                </w:tcPr>
                <w:p w14:paraId="2C668EE5">
                  <w:pPr>
                    <w:spacing w:line="240" w:lineRule="auto"/>
                    <w:ind w:firstLine="0" w:firstLineChars="0"/>
                    <w:jc w:val="center"/>
                    <w:rPr>
                      <w:color w:val="auto"/>
                      <w:sz w:val="21"/>
                      <w:szCs w:val="21"/>
                      <w:highlight w:val="none"/>
                    </w:rPr>
                  </w:pPr>
                </w:p>
              </w:tc>
              <w:tc>
                <w:tcPr>
                  <w:tcW w:w="517" w:type="pct"/>
                  <w:vMerge w:val="continue"/>
                  <w:tcBorders>
                    <w:tl2br w:val="nil"/>
                    <w:tr2bl w:val="nil"/>
                  </w:tcBorders>
                  <w:noWrap w:val="0"/>
                  <w:vAlign w:val="center"/>
                </w:tcPr>
                <w:p w14:paraId="1F80C7FD">
                  <w:pPr>
                    <w:spacing w:line="240" w:lineRule="auto"/>
                    <w:ind w:firstLine="0" w:firstLineChars="0"/>
                    <w:jc w:val="center"/>
                    <w:rPr>
                      <w:rFonts w:hint="eastAsia"/>
                      <w:color w:val="auto"/>
                      <w:sz w:val="21"/>
                      <w:szCs w:val="21"/>
                      <w:highlight w:val="none"/>
                    </w:rPr>
                  </w:pPr>
                </w:p>
              </w:tc>
              <w:tc>
                <w:tcPr>
                  <w:tcW w:w="517" w:type="pct"/>
                  <w:tcBorders>
                    <w:tl2br w:val="nil"/>
                    <w:tr2bl w:val="nil"/>
                  </w:tcBorders>
                  <w:noWrap w:val="0"/>
                  <w:vAlign w:val="center"/>
                </w:tcPr>
                <w:p w14:paraId="638843E4">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55~56</w:t>
                  </w:r>
                </w:p>
              </w:tc>
              <w:tc>
                <w:tcPr>
                  <w:tcW w:w="392" w:type="pct"/>
                  <w:vMerge w:val="continue"/>
                  <w:tcBorders>
                    <w:tl2br w:val="nil"/>
                    <w:tr2bl w:val="nil"/>
                  </w:tcBorders>
                  <w:noWrap w:val="0"/>
                  <w:vAlign w:val="center"/>
                </w:tcPr>
                <w:p w14:paraId="19CDBE12">
                  <w:pPr>
                    <w:spacing w:line="240" w:lineRule="auto"/>
                    <w:ind w:firstLine="0" w:firstLineChars="0"/>
                    <w:jc w:val="center"/>
                    <w:rPr>
                      <w:rFonts w:hint="eastAsia"/>
                      <w:color w:val="auto"/>
                      <w:sz w:val="21"/>
                      <w:szCs w:val="21"/>
                      <w:highlight w:val="none"/>
                    </w:rPr>
                  </w:pPr>
                </w:p>
              </w:tc>
            </w:tr>
            <w:tr w14:paraId="7B5214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tcBorders>
                    <w:tl2br w:val="nil"/>
                    <w:tr2bl w:val="nil"/>
                  </w:tcBorders>
                  <w:noWrap w:val="0"/>
                  <w:vAlign w:val="center"/>
                </w:tcPr>
                <w:p w14:paraId="4F61E60D">
                  <w:pPr>
                    <w:spacing w:line="240" w:lineRule="auto"/>
                    <w:ind w:firstLine="0" w:firstLineChars="0"/>
                    <w:jc w:val="center"/>
                    <w:rPr>
                      <w:color w:val="auto"/>
                      <w:sz w:val="21"/>
                      <w:szCs w:val="21"/>
                      <w:highlight w:val="none"/>
                    </w:rPr>
                  </w:pPr>
                </w:p>
              </w:tc>
              <w:tc>
                <w:tcPr>
                  <w:tcW w:w="691" w:type="pct"/>
                  <w:tcBorders>
                    <w:tl2br w:val="nil"/>
                    <w:tr2bl w:val="nil"/>
                  </w:tcBorders>
                  <w:noWrap w:val="0"/>
                  <w:vAlign w:val="center"/>
                </w:tcPr>
                <w:p w14:paraId="5B7CB0EE">
                  <w:pPr>
                    <w:spacing w:line="240" w:lineRule="exact"/>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石油类</w:t>
                  </w:r>
                </w:p>
              </w:tc>
              <w:tc>
                <w:tcPr>
                  <w:tcW w:w="807" w:type="pct"/>
                  <w:vMerge w:val="continue"/>
                  <w:tcBorders>
                    <w:tl2br w:val="nil"/>
                    <w:tr2bl w:val="nil"/>
                  </w:tcBorders>
                  <w:noWrap w:val="0"/>
                  <w:vAlign w:val="center"/>
                </w:tcPr>
                <w:p w14:paraId="40B4A11D">
                  <w:pPr>
                    <w:spacing w:line="240" w:lineRule="auto"/>
                    <w:ind w:firstLine="0" w:firstLineChars="0"/>
                    <w:jc w:val="center"/>
                    <w:rPr>
                      <w:color w:val="auto"/>
                      <w:sz w:val="21"/>
                      <w:szCs w:val="21"/>
                      <w:highlight w:val="none"/>
                    </w:rPr>
                  </w:pPr>
                </w:p>
              </w:tc>
              <w:tc>
                <w:tcPr>
                  <w:tcW w:w="501" w:type="pct"/>
                  <w:vMerge w:val="continue"/>
                  <w:tcBorders>
                    <w:tl2br w:val="nil"/>
                    <w:tr2bl w:val="nil"/>
                  </w:tcBorders>
                  <w:noWrap w:val="0"/>
                  <w:vAlign w:val="center"/>
                </w:tcPr>
                <w:p w14:paraId="6D56276E">
                  <w:pPr>
                    <w:spacing w:line="240" w:lineRule="auto"/>
                    <w:ind w:firstLine="0" w:firstLineChars="0"/>
                    <w:jc w:val="center"/>
                    <w:rPr>
                      <w:color w:val="auto"/>
                      <w:sz w:val="21"/>
                      <w:szCs w:val="21"/>
                      <w:highlight w:val="none"/>
                    </w:rPr>
                  </w:pPr>
                </w:p>
              </w:tc>
              <w:tc>
                <w:tcPr>
                  <w:tcW w:w="494" w:type="pct"/>
                  <w:vMerge w:val="continue"/>
                  <w:tcBorders>
                    <w:tl2br w:val="nil"/>
                    <w:tr2bl w:val="nil"/>
                  </w:tcBorders>
                  <w:noWrap w:val="0"/>
                  <w:vAlign w:val="center"/>
                </w:tcPr>
                <w:p w14:paraId="7D406D80">
                  <w:pPr>
                    <w:spacing w:line="240" w:lineRule="auto"/>
                    <w:ind w:firstLine="0" w:firstLineChars="0"/>
                    <w:jc w:val="center"/>
                    <w:rPr>
                      <w:rFonts w:hint="eastAsia"/>
                      <w:color w:val="auto"/>
                      <w:sz w:val="21"/>
                      <w:szCs w:val="21"/>
                      <w:highlight w:val="none"/>
                    </w:rPr>
                  </w:pPr>
                </w:p>
              </w:tc>
              <w:tc>
                <w:tcPr>
                  <w:tcW w:w="671" w:type="pct"/>
                  <w:vMerge w:val="continue"/>
                  <w:tcBorders>
                    <w:tl2br w:val="nil"/>
                    <w:tr2bl w:val="nil"/>
                  </w:tcBorders>
                  <w:noWrap w:val="0"/>
                  <w:vAlign w:val="center"/>
                </w:tcPr>
                <w:p w14:paraId="6591F5BA">
                  <w:pPr>
                    <w:spacing w:line="240" w:lineRule="auto"/>
                    <w:ind w:firstLine="0" w:firstLineChars="0"/>
                    <w:jc w:val="center"/>
                    <w:rPr>
                      <w:color w:val="auto"/>
                      <w:sz w:val="21"/>
                      <w:szCs w:val="21"/>
                      <w:highlight w:val="none"/>
                    </w:rPr>
                  </w:pPr>
                </w:p>
              </w:tc>
              <w:tc>
                <w:tcPr>
                  <w:tcW w:w="517" w:type="pct"/>
                  <w:vMerge w:val="continue"/>
                  <w:tcBorders>
                    <w:tl2br w:val="nil"/>
                    <w:tr2bl w:val="nil"/>
                  </w:tcBorders>
                  <w:noWrap w:val="0"/>
                  <w:vAlign w:val="center"/>
                </w:tcPr>
                <w:p w14:paraId="5D2AD503">
                  <w:pPr>
                    <w:spacing w:line="240" w:lineRule="auto"/>
                    <w:ind w:firstLine="0" w:firstLineChars="0"/>
                    <w:jc w:val="center"/>
                    <w:rPr>
                      <w:rFonts w:hint="eastAsia"/>
                      <w:color w:val="auto"/>
                      <w:sz w:val="21"/>
                      <w:szCs w:val="21"/>
                      <w:highlight w:val="none"/>
                    </w:rPr>
                  </w:pPr>
                </w:p>
              </w:tc>
              <w:tc>
                <w:tcPr>
                  <w:tcW w:w="517" w:type="pct"/>
                  <w:tcBorders>
                    <w:tl2br w:val="nil"/>
                    <w:tr2bl w:val="nil"/>
                  </w:tcBorders>
                  <w:noWrap w:val="0"/>
                  <w:vAlign w:val="center"/>
                </w:tcPr>
                <w:p w14:paraId="53480CCA">
                  <w:pPr>
                    <w:spacing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59~60</w:t>
                  </w:r>
                </w:p>
              </w:tc>
              <w:tc>
                <w:tcPr>
                  <w:tcW w:w="392" w:type="pct"/>
                  <w:vMerge w:val="continue"/>
                  <w:tcBorders>
                    <w:tl2br w:val="nil"/>
                    <w:tr2bl w:val="nil"/>
                  </w:tcBorders>
                  <w:noWrap w:val="0"/>
                  <w:vAlign w:val="center"/>
                </w:tcPr>
                <w:p w14:paraId="104DFFF4">
                  <w:pPr>
                    <w:spacing w:line="240" w:lineRule="auto"/>
                    <w:ind w:firstLine="0" w:firstLineChars="0"/>
                    <w:jc w:val="center"/>
                    <w:rPr>
                      <w:rFonts w:hint="eastAsia"/>
                      <w:color w:val="auto"/>
                      <w:sz w:val="21"/>
                      <w:szCs w:val="21"/>
                      <w:highlight w:val="none"/>
                    </w:rPr>
                  </w:pPr>
                </w:p>
              </w:tc>
            </w:tr>
            <w:tr w14:paraId="00BCD8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405" w:type="pct"/>
                  <w:vMerge w:val="continue"/>
                  <w:tcBorders>
                    <w:tl2br w:val="nil"/>
                    <w:tr2bl w:val="nil"/>
                  </w:tcBorders>
                  <w:noWrap w:val="0"/>
                  <w:vAlign w:val="center"/>
                </w:tcPr>
                <w:p w14:paraId="24C3B155">
                  <w:pPr>
                    <w:spacing w:line="240" w:lineRule="auto"/>
                    <w:ind w:firstLine="0" w:firstLineChars="0"/>
                    <w:jc w:val="center"/>
                    <w:rPr>
                      <w:color w:val="auto"/>
                      <w:sz w:val="21"/>
                      <w:szCs w:val="21"/>
                      <w:highlight w:val="none"/>
                    </w:rPr>
                  </w:pPr>
                </w:p>
              </w:tc>
              <w:tc>
                <w:tcPr>
                  <w:tcW w:w="691" w:type="pct"/>
                  <w:tcBorders>
                    <w:tl2br w:val="nil"/>
                    <w:tr2bl w:val="nil"/>
                  </w:tcBorders>
                  <w:noWrap w:val="0"/>
                  <w:vAlign w:val="center"/>
                </w:tcPr>
                <w:p w14:paraId="3CFEA0E4">
                  <w:pPr>
                    <w:spacing w:line="240" w:lineRule="exact"/>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色度</w:t>
                  </w:r>
                </w:p>
              </w:tc>
              <w:tc>
                <w:tcPr>
                  <w:tcW w:w="807" w:type="pct"/>
                  <w:vMerge w:val="continue"/>
                  <w:tcBorders>
                    <w:tl2br w:val="nil"/>
                    <w:tr2bl w:val="nil"/>
                  </w:tcBorders>
                  <w:noWrap w:val="0"/>
                  <w:vAlign w:val="center"/>
                </w:tcPr>
                <w:p w14:paraId="4095E4D0">
                  <w:pPr>
                    <w:spacing w:line="240" w:lineRule="auto"/>
                    <w:ind w:firstLine="0" w:firstLineChars="0"/>
                    <w:jc w:val="center"/>
                    <w:rPr>
                      <w:color w:val="auto"/>
                      <w:sz w:val="21"/>
                      <w:szCs w:val="21"/>
                      <w:highlight w:val="none"/>
                    </w:rPr>
                  </w:pPr>
                </w:p>
              </w:tc>
              <w:tc>
                <w:tcPr>
                  <w:tcW w:w="501" w:type="pct"/>
                  <w:vMerge w:val="continue"/>
                  <w:tcBorders>
                    <w:tl2br w:val="nil"/>
                    <w:tr2bl w:val="nil"/>
                  </w:tcBorders>
                  <w:noWrap w:val="0"/>
                  <w:vAlign w:val="center"/>
                </w:tcPr>
                <w:p w14:paraId="46C7F780">
                  <w:pPr>
                    <w:spacing w:line="240" w:lineRule="auto"/>
                    <w:ind w:firstLine="0" w:firstLineChars="0"/>
                    <w:jc w:val="center"/>
                    <w:rPr>
                      <w:color w:val="auto"/>
                      <w:sz w:val="21"/>
                      <w:szCs w:val="21"/>
                      <w:highlight w:val="none"/>
                    </w:rPr>
                  </w:pPr>
                </w:p>
              </w:tc>
              <w:tc>
                <w:tcPr>
                  <w:tcW w:w="494" w:type="pct"/>
                  <w:vMerge w:val="continue"/>
                  <w:tcBorders>
                    <w:tl2br w:val="nil"/>
                    <w:tr2bl w:val="nil"/>
                  </w:tcBorders>
                  <w:noWrap w:val="0"/>
                  <w:vAlign w:val="center"/>
                </w:tcPr>
                <w:p w14:paraId="6D964A9E">
                  <w:pPr>
                    <w:spacing w:line="240" w:lineRule="auto"/>
                    <w:ind w:firstLine="0" w:firstLineChars="0"/>
                    <w:jc w:val="center"/>
                    <w:rPr>
                      <w:rFonts w:hint="eastAsia"/>
                      <w:color w:val="auto"/>
                      <w:sz w:val="21"/>
                      <w:szCs w:val="21"/>
                      <w:highlight w:val="none"/>
                    </w:rPr>
                  </w:pPr>
                </w:p>
              </w:tc>
              <w:tc>
                <w:tcPr>
                  <w:tcW w:w="671" w:type="pct"/>
                  <w:vMerge w:val="continue"/>
                  <w:tcBorders>
                    <w:tl2br w:val="nil"/>
                    <w:tr2bl w:val="nil"/>
                  </w:tcBorders>
                  <w:noWrap w:val="0"/>
                  <w:vAlign w:val="center"/>
                </w:tcPr>
                <w:p w14:paraId="798A3765">
                  <w:pPr>
                    <w:spacing w:line="240" w:lineRule="auto"/>
                    <w:ind w:firstLine="0" w:firstLineChars="0"/>
                    <w:jc w:val="center"/>
                    <w:rPr>
                      <w:color w:val="auto"/>
                      <w:sz w:val="21"/>
                      <w:szCs w:val="21"/>
                      <w:highlight w:val="none"/>
                    </w:rPr>
                  </w:pPr>
                </w:p>
              </w:tc>
              <w:tc>
                <w:tcPr>
                  <w:tcW w:w="517" w:type="pct"/>
                  <w:vMerge w:val="continue"/>
                  <w:tcBorders>
                    <w:tl2br w:val="nil"/>
                    <w:tr2bl w:val="nil"/>
                  </w:tcBorders>
                  <w:noWrap w:val="0"/>
                  <w:vAlign w:val="center"/>
                </w:tcPr>
                <w:p w14:paraId="0BF7B208">
                  <w:pPr>
                    <w:spacing w:line="240" w:lineRule="auto"/>
                    <w:ind w:firstLine="0" w:firstLineChars="0"/>
                    <w:jc w:val="center"/>
                    <w:rPr>
                      <w:rFonts w:hint="eastAsia"/>
                      <w:color w:val="auto"/>
                      <w:sz w:val="21"/>
                      <w:szCs w:val="21"/>
                      <w:highlight w:val="none"/>
                    </w:rPr>
                  </w:pPr>
                </w:p>
              </w:tc>
              <w:tc>
                <w:tcPr>
                  <w:tcW w:w="517" w:type="pct"/>
                  <w:tcBorders>
                    <w:tl2br w:val="nil"/>
                    <w:tr2bl w:val="nil"/>
                  </w:tcBorders>
                  <w:noWrap w:val="0"/>
                  <w:vAlign w:val="center"/>
                </w:tcPr>
                <w:p w14:paraId="429285ED">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392" w:type="pct"/>
                  <w:vMerge w:val="continue"/>
                  <w:tcBorders>
                    <w:tl2br w:val="nil"/>
                    <w:tr2bl w:val="nil"/>
                  </w:tcBorders>
                  <w:noWrap w:val="0"/>
                  <w:vAlign w:val="center"/>
                </w:tcPr>
                <w:p w14:paraId="4C2C17F4">
                  <w:pPr>
                    <w:spacing w:line="240" w:lineRule="auto"/>
                    <w:ind w:firstLine="0" w:firstLineChars="0"/>
                    <w:jc w:val="center"/>
                    <w:rPr>
                      <w:rFonts w:hint="eastAsia"/>
                      <w:color w:val="auto"/>
                      <w:sz w:val="21"/>
                      <w:szCs w:val="21"/>
                      <w:highlight w:val="none"/>
                    </w:rPr>
                  </w:pPr>
                </w:p>
              </w:tc>
            </w:tr>
          </w:tbl>
          <w:p w14:paraId="59177690">
            <w:pPr>
              <w:keepNext w:val="0"/>
              <w:keepLines w:val="0"/>
              <w:pageBreakBefore w:val="0"/>
              <w:widowControl w:val="0"/>
              <w:kinsoku/>
              <w:wordWrap/>
              <w:overflowPunct/>
              <w:topLinePunct w:val="0"/>
              <w:autoSpaceDE/>
              <w:autoSpaceDN/>
              <w:bidi w:val="0"/>
              <w:adjustRightInd/>
              <w:snapToGrid/>
              <w:spacing w:before="157" w:beforeLines="50" w:line="356" w:lineRule="auto"/>
              <w:ind w:firstLine="482"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b/>
                <w:bCs/>
                <w:color w:val="auto"/>
                <w:kern w:val="2"/>
                <w:sz w:val="24"/>
                <w:szCs w:val="32"/>
                <w:highlight w:val="none"/>
                <w:lang w:val="en-US" w:eastAsia="zh-CN" w:bidi="ar-SA"/>
              </w:rPr>
              <w:t>（</w:t>
            </w:r>
            <w:r>
              <w:rPr>
                <w:rFonts w:hint="eastAsia" w:ascii="Times New Roman" w:hAnsi="Times New Roman" w:eastAsia="宋体" w:cs="Times New Roman"/>
                <w:b/>
                <w:bCs/>
                <w:color w:val="auto"/>
                <w:kern w:val="2"/>
                <w:sz w:val="24"/>
                <w:szCs w:val="24"/>
                <w:highlight w:val="none"/>
                <w:lang w:val="en-US" w:eastAsia="zh-CN" w:bidi="ar-SA"/>
              </w:rPr>
              <w:t>2）</w:t>
            </w:r>
            <w:r>
              <w:rPr>
                <w:rFonts w:hint="eastAsia"/>
                <w:b/>
                <w:bCs/>
                <w:color w:val="auto"/>
                <w:sz w:val="24"/>
                <w:szCs w:val="24"/>
                <w:highlight w:val="none"/>
              </w:rPr>
              <w:t>生活污水</w:t>
            </w:r>
          </w:p>
          <w:p w14:paraId="373256DF">
            <w:pPr>
              <w:pStyle w:val="63"/>
              <w:keepNext w:val="0"/>
              <w:keepLines w:val="0"/>
              <w:pageBreakBefore w:val="0"/>
              <w:kinsoku/>
              <w:wordWrap/>
              <w:overflowPunct/>
              <w:topLinePunct w:val="0"/>
              <w:autoSpaceDE/>
              <w:autoSpaceDN/>
              <w:bidi w:val="0"/>
              <w:adjustRightInd/>
              <w:spacing w:line="356" w:lineRule="auto"/>
              <w:ind w:firstLine="480"/>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cs="Times New Roman"/>
                <w:color w:val="auto"/>
                <w:kern w:val="0"/>
                <w:sz w:val="24"/>
                <w:highlight w:val="none"/>
                <w:lang w:val="en-US" w:eastAsia="zh-CN" w:bidi="ar"/>
              </w:rPr>
              <w:t>项目</w:t>
            </w:r>
            <w:r>
              <w:rPr>
                <w:rFonts w:ascii="Times New Roman" w:hAnsi="Times New Roman" w:eastAsia="宋体" w:cs="Times New Roman"/>
                <w:color w:val="auto"/>
                <w:kern w:val="0"/>
                <w:sz w:val="24"/>
                <w:highlight w:val="none"/>
                <w:lang w:bidi="ar"/>
              </w:rPr>
              <w:t>外排废水</w:t>
            </w:r>
            <w:r>
              <w:rPr>
                <w:rFonts w:hint="eastAsia" w:ascii="Times New Roman" w:hAnsi="Times New Roman" w:eastAsia="宋体" w:cs="Times New Roman"/>
                <w:color w:val="auto"/>
                <w:kern w:val="0"/>
                <w:sz w:val="24"/>
                <w:highlight w:val="none"/>
                <w:lang w:bidi="ar"/>
              </w:rPr>
              <w:t>主要</w:t>
            </w:r>
            <w:r>
              <w:rPr>
                <w:rFonts w:ascii="Times New Roman" w:hAnsi="Times New Roman" w:eastAsia="宋体" w:cs="Times New Roman"/>
                <w:color w:val="auto"/>
                <w:kern w:val="0"/>
                <w:sz w:val="24"/>
                <w:highlight w:val="none"/>
                <w:lang w:bidi="ar"/>
              </w:rPr>
              <w:t>为</w:t>
            </w:r>
            <w:r>
              <w:rPr>
                <w:rFonts w:hint="eastAsia" w:ascii="Times New Roman" w:hAnsi="Times New Roman" w:eastAsia="宋体" w:cs="Times New Roman"/>
                <w:color w:val="auto"/>
                <w:kern w:val="0"/>
                <w:sz w:val="24"/>
                <w:highlight w:val="none"/>
                <w:lang w:bidi="ar"/>
              </w:rPr>
              <w:t>职工</w:t>
            </w:r>
            <w:r>
              <w:rPr>
                <w:rFonts w:ascii="Times New Roman" w:hAnsi="Times New Roman" w:eastAsia="宋体" w:cs="Times New Roman"/>
                <w:color w:val="auto"/>
                <w:kern w:val="0"/>
                <w:sz w:val="24"/>
                <w:highlight w:val="none"/>
                <w:lang w:bidi="ar"/>
              </w:rPr>
              <w:t>生活污水</w:t>
            </w:r>
            <w:r>
              <w:rPr>
                <w:rFonts w:hint="eastAsia" w:ascii="Times New Roman" w:hAnsi="Times New Roman" w:eastAsia="宋体" w:cs="Times New Roman"/>
                <w:b w:val="0"/>
                <w:bCs w:val="0"/>
                <w:color w:val="auto"/>
                <w:spacing w:val="0"/>
                <w:kern w:val="2"/>
                <w:sz w:val="24"/>
                <w:szCs w:val="24"/>
                <w:highlight w:val="none"/>
                <w:lang w:val="en-US" w:eastAsia="zh-CN" w:bidi="ar-SA"/>
              </w:rPr>
              <w:t>。</w:t>
            </w:r>
            <w:r>
              <w:rPr>
                <w:rFonts w:hint="eastAsia"/>
                <w:color w:val="auto"/>
                <w:sz w:val="24"/>
                <w:szCs w:val="24"/>
                <w:highlight w:val="none"/>
              </w:rPr>
              <w:t>项目生活污水总排放量为</w:t>
            </w:r>
            <w:r>
              <w:rPr>
                <w:rFonts w:hint="eastAsia" w:cs="Times New Roman"/>
                <w:color w:val="auto"/>
                <w:kern w:val="0"/>
                <w:sz w:val="24"/>
                <w:highlight w:val="none"/>
                <w:lang w:val="en-US" w:eastAsia="zh-CN" w:bidi="ar"/>
              </w:rPr>
              <w:t>0.6</w:t>
            </w:r>
            <w:r>
              <w:rPr>
                <w:rFonts w:ascii="Times New Roman" w:hAnsi="Times New Roman" w:eastAsia="宋体" w:cs="Times New Roman"/>
                <w:color w:val="auto"/>
                <w:kern w:val="0"/>
                <w:sz w:val="24"/>
                <w:highlight w:val="none"/>
                <w:lang w:bidi="ar"/>
              </w:rPr>
              <w:t>t/d</w:t>
            </w:r>
            <w:r>
              <w:rPr>
                <w:rFonts w:hint="eastAsia" w:ascii="Times New Roman" w:hAnsi="Times New Roman" w:eastAsia="宋体" w:cs="Times New Roman"/>
                <w:color w:val="auto"/>
                <w:kern w:val="0"/>
                <w:sz w:val="24"/>
                <w:highlight w:val="none"/>
                <w:lang w:eastAsia="zh-CN" w:bidi="ar"/>
              </w:rPr>
              <w:t>（</w:t>
            </w:r>
            <w:r>
              <w:rPr>
                <w:rFonts w:hint="eastAsia" w:cs="Times New Roman"/>
                <w:color w:val="auto"/>
                <w:kern w:val="0"/>
                <w:sz w:val="24"/>
                <w:highlight w:val="none"/>
                <w:lang w:val="en-US" w:eastAsia="zh-CN" w:bidi="ar"/>
              </w:rPr>
              <w:t>18</w:t>
            </w:r>
            <w:r>
              <w:rPr>
                <w:rFonts w:hint="eastAsia" w:ascii="Times New Roman" w:hAnsi="Times New Roman" w:eastAsia="宋体" w:cs="Times New Roman"/>
                <w:color w:val="auto"/>
                <w:kern w:val="0"/>
                <w:sz w:val="24"/>
                <w:highlight w:val="none"/>
                <w:lang w:val="en-US" w:eastAsia="zh-CN" w:bidi="ar"/>
              </w:rPr>
              <w:t>0</w:t>
            </w:r>
            <w:r>
              <w:rPr>
                <w:rFonts w:ascii="Times New Roman" w:hAnsi="Times New Roman" w:eastAsia="宋体" w:cs="Times New Roman"/>
                <w:color w:val="auto"/>
                <w:kern w:val="0"/>
                <w:sz w:val="24"/>
                <w:highlight w:val="none"/>
                <w:lang w:bidi="ar"/>
              </w:rPr>
              <w:t>t/a</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snapToGrid w:val="0"/>
                <w:color w:val="auto"/>
                <w:spacing w:val="0"/>
                <w:sz w:val="24"/>
                <w:szCs w:val="24"/>
                <w:highlight w:val="none"/>
                <w:lang w:val="en-US" w:eastAsia="zh-CN"/>
              </w:rPr>
              <w:t>，</w:t>
            </w:r>
            <w:r>
              <w:rPr>
                <w:rFonts w:hint="eastAsia" w:ascii="Times New Roman" w:hAnsi="Times New Roman" w:eastAsia="宋体" w:cs="Times New Roman"/>
                <w:color w:val="auto"/>
                <w:kern w:val="0"/>
                <w:sz w:val="24"/>
                <w:highlight w:val="none"/>
                <w:lang w:bidi="ar"/>
              </w:rPr>
              <w:t xml:space="preserve">职工生活污水水质简单，污染物负荷量小，主要污染物为 </w:t>
            </w:r>
            <w:r>
              <w:rPr>
                <w:rFonts w:hint="eastAsia" w:ascii="Times New Roman" w:hAnsi="Times New Roman" w:eastAsia="宋体" w:cs="Times New Roman"/>
                <w:color w:val="auto"/>
                <w:sz w:val="24"/>
                <w:highlight w:val="none"/>
              </w:rPr>
              <w:t>COD</w:t>
            </w:r>
            <w:r>
              <w:rPr>
                <w:rFonts w:hint="eastAsia" w:ascii="Times New Roman" w:hAnsi="Times New Roman" w:eastAsia="宋体" w:cs="Times New Roman"/>
                <w:color w:val="auto"/>
                <w:sz w:val="24"/>
                <w:highlight w:val="none"/>
                <w:vertAlign w:val="subscript"/>
              </w:rPr>
              <w:t>Cr</w:t>
            </w:r>
            <w:r>
              <w:rPr>
                <w:rFonts w:hint="eastAsia" w:ascii="Times New Roman" w:hAnsi="Times New Roman" w:eastAsia="宋体" w:cs="Times New Roman"/>
                <w:color w:val="auto"/>
                <w:kern w:val="0"/>
                <w:sz w:val="24"/>
                <w:highlight w:val="none"/>
                <w:lang w:bidi="ar"/>
              </w:rPr>
              <w:t>、</w:t>
            </w:r>
            <w:r>
              <w:rPr>
                <w:rFonts w:ascii="Times New Roman" w:hAnsi="Times New Roman" w:eastAsia="宋体" w:cs="Times New Roman"/>
                <w:color w:val="auto"/>
                <w:kern w:val="0"/>
                <w:sz w:val="24"/>
                <w:highlight w:val="none"/>
                <w:lang w:bidi="ar"/>
              </w:rPr>
              <w:t>BOD</w:t>
            </w:r>
            <w:r>
              <w:rPr>
                <w:rFonts w:ascii="Times New Roman" w:hAnsi="Times New Roman" w:eastAsia="宋体" w:cs="Times New Roman"/>
                <w:color w:val="auto"/>
                <w:kern w:val="0"/>
                <w:sz w:val="24"/>
                <w:highlight w:val="none"/>
                <w:vertAlign w:val="subscript"/>
                <w:lang w:bidi="ar"/>
              </w:rPr>
              <w:t>5</w:t>
            </w:r>
            <w:r>
              <w:rPr>
                <w:rFonts w:hint="eastAsia" w:ascii="Times New Roman" w:hAnsi="Times New Roman" w:eastAsia="宋体" w:cs="Times New Roman"/>
                <w:color w:val="auto"/>
                <w:kern w:val="0"/>
                <w:sz w:val="24"/>
                <w:highlight w:val="none"/>
                <w:lang w:bidi="ar"/>
              </w:rPr>
              <w:t>、氨氮、</w:t>
            </w:r>
            <w:r>
              <w:rPr>
                <w:rFonts w:ascii="Times New Roman" w:hAnsi="Times New Roman" w:eastAsia="宋体" w:cs="Times New Roman"/>
                <w:color w:val="auto"/>
                <w:kern w:val="0"/>
                <w:sz w:val="24"/>
                <w:highlight w:val="none"/>
                <w:lang w:bidi="ar"/>
              </w:rPr>
              <w:t>SS</w:t>
            </w:r>
            <w:r>
              <w:rPr>
                <w:rFonts w:hint="eastAsia" w:ascii="Times New Roman" w:hAnsi="Times New Roman" w:eastAsia="宋体" w:cs="Times New Roman"/>
                <w:color w:val="auto"/>
                <w:kern w:val="0"/>
                <w:sz w:val="24"/>
                <w:highlight w:val="none"/>
                <w:lang w:bidi="ar"/>
              </w:rPr>
              <w:t>、总氮</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总磷</w:t>
            </w:r>
            <w:r>
              <w:rPr>
                <w:rFonts w:hint="eastAsia" w:ascii="Times New Roman" w:hAnsi="Times New Roman" w:eastAsia="宋体" w:cs="Times New Roman"/>
                <w:color w:val="auto"/>
                <w:kern w:val="0"/>
                <w:sz w:val="24"/>
                <w:highlight w:val="none"/>
                <w:lang w:bidi="ar"/>
              </w:rPr>
              <w:t>等。根据《排放源统计调查产排污核算方法和系数手册》（生态环境部公告</w:t>
            </w:r>
            <w:r>
              <w:rPr>
                <w:rFonts w:ascii="Times New Roman" w:hAnsi="Times New Roman" w:eastAsia="宋体" w:cs="Times New Roman"/>
                <w:color w:val="auto"/>
                <w:kern w:val="0"/>
                <w:sz w:val="24"/>
                <w:highlight w:val="none"/>
                <w:lang w:bidi="ar"/>
              </w:rPr>
              <w:t>2021</w:t>
            </w:r>
            <w:r>
              <w:rPr>
                <w:rFonts w:hint="eastAsia" w:ascii="Times New Roman" w:hAnsi="Times New Roman" w:eastAsia="宋体" w:cs="Times New Roman"/>
                <w:color w:val="auto"/>
                <w:kern w:val="0"/>
                <w:sz w:val="24"/>
                <w:highlight w:val="none"/>
                <w:lang w:bidi="ar"/>
              </w:rPr>
              <w:t>年第</w:t>
            </w:r>
            <w:r>
              <w:rPr>
                <w:rFonts w:ascii="Times New Roman" w:hAnsi="Times New Roman" w:eastAsia="宋体" w:cs="Times New Roman"/>
                <w:color w:val="auto"/>
                <w:kern w:val="0"/>
                <w:sz w:val="24"/>
                <w:highlight w:val="none"/>
                <w:lang w:bidi="ar"/>
              </w:rPr>
              <w:t>24</w:t>
            </w:r>
            <w:r>
              <w:rPr>
                <w:rFonts w:hint="eastAsia" w:ascii="Times New Roman" w:hAnsi="Times New Roman" w:eastAsia="宋体" w:cs="Times New Roman"/>
                <w:color w:val="auto"/>
                <w:kern w:val="0"/>
                <w:sz w:val="24"/>
                <w:highlight w:val="none"/>
                <w:lang w:bidi="ar"/>
              </w:rPr>
              <w:t>号）的生活源产排污核算系数手册中四区产污系数：折污系数为</w:t>
            </w:r>
            <w:r>
              <w:rPr>
                <w:rFonts w:ascii="Times New Roman" w:hAnsi="Times New Roman" w:eastAsia="宋体" w:cs="Times New Roman"/>
                <w:color w:val="auto"/>
                <w:kern w:val="0"/>
                <w:sz w:val="24"/>
                <w:highlight w:val="none"/>
                <w:lang w:bidi="ar"/>
              </w:rPr>
              <w:t>0.85</w:t>
            </w:r>
            <w:r>
              <w:rPr>
                <w:rFonts w:hint="eastAsia"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sz w:val="24"/>
                <w:highlight w:val="none"/>
              </w:rPr>
              <w:t>COD</w:t>
            </w:r>
            <w:r>
              <w:rPr>
                <w:rFonts w:hint="eastAsia" w:ascii="Times New Roman" w:hAnsi="Times New Roman" w:eastAsia="宋体" w:cs="Times New Roman"/>
                <w:color w:val="auto"/>
                <w:sz w:val="24"/>
                <w:highlight w:val="none"/>
                <w:vertAlign w:val="subscript"/>
              </w:rPr>
              <w:t>Cr</w:t>
            </w:r>
            <w:r>
              <w:rPr>
                <w:rFonts w:hint="eastAsia" w:ascii="Times New Roman" w:hAnsi="Times New Roman" w:eastAsia="宋体" w:cs="Times New Roman"/>
                <w:color w:val="auto"/>
                <w:kern w:val="0"/>
                <w:sz w:val="24"/>
                <w:highlight w:val="none"/>
                <w:lang w:bidi="ar"/>
              </w:rPr>
              <w:t>：</w:t>
            </w:r>
            <w:r>
              <w:rPr>
                <w:rFonts w:ascii="Times New Roman" w:hAnsi="Times New Roman" w:eastAsia="宋体" w:cs="Times New Roman"/>
                <w:color w:val="auto"/>
                <w:kern w:val="0"/>
                <w:sz w:val="24"/>
                <w:highlight w:val="none"/>
                <w:lang w:bidi="ar"/>
              </w:rPr>
              <w:t>340mg/L</w:t>
            </w:r>
            <w:r>
              <w:rPr>
                <w:rFonts w:hint="eastAsia"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spacing w:val="0"/>
                <w:kern w:val="0"/>
                <w:position w:val="0"/>
                <w:sz w:val="24"/>
                <w:szCs w:val="24"/>
                <w:highlight w:val="none"/>
                <w:shd w:val="clear" w:color="auto" w:fill="auto"/>
                <w:lang w:val="en-US" w:eastAsia="zh-CN" w:bidi="ar"/>
              </w:rPr>
              <w:t>总磷：4.27</w:t>
            </w:r>
            <w:r>
              <w:rPr>
                <w:rFonts w:hint="default" w:ascii="Times New Roman" w:hAnsi="Times New Roman" w:eastAsia="宋体" w:cs="Times New Roman"/>
                <w:color w:val="auto"/>
                <w:spacing w:val="0"/>
                <w:kern w:val="0"/>
                <w:position w:val="0"/>
                <w:sz w:val="24"/>
                <w:szCs w:val="24"/>
                <w:highlight w:val="none"/>
                <w:shd w:val="clear" w:color="auto" w:fill="auto"/>
                <w:lang w:val="en-US" w:eastAsia="zh-CN" w:bidi="ar"/>
              </w:rPr>
              <w:t>mg/L</w:t>
            </w:r>
            <w:r>
              <w:rPr>
                <w:rFonts w:hint="eastAsia" w:ascii="Times New Roman" w:hAnsi="Times New Roman" w:eastAsia="宋体" w:cs="Times New Roman"/>
                <w:color w:val="auto"/>
                <w:spacing w:val="0"/>
                <w:kern w:val="0"/>
                <w:position w:val="0"/>
                <w:sz w:val="24"/>
                <w:szCs w:val="24"/>
                <w:highlight w:val="none"/>
                <w:shd w:val="clear" w:color="auto" w:fill="auto"/>
                <w:lang w:val="en-US" w:eastAsia="zh-CN" w:bidi="ar"/>
              </w:rPr>
              <w:t>、总氮：44.8mg/L</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因二污普无</w:t>
            </w:r>
            <w:r>
              <w:rPr>
                <w:rFonts w:ascii="Times New Roman" w:hAnsi="Times New Roman" w:eastAsia="宋体" w:cs="Times New Roman"/>
                <w:color w:val="auto"/>
                <w:kern w:val="0"/>
                <w:sz w:val="24"/>
                <w:highlight w:val="none"/>
                <w:lang w:bidi="ar"/>
              </w:rPr>
              <w:t>BOD</w:t>
            </w:r>
            <w:r>
              <w:rPr>
                <w:rFonts w:ascii="Times New Roman" w:hAnsi="Times New Roman" w:eastAsia="宋体" w:cs="Times New Roman"/>
                <w:color w:val="auto"/>
                <w:kern w:val="0"/>
                <w:sz w:val="24"/>
                <w:highlight w:val="none"/>
                <w:vertAlign w:val="subscript"/>
                <w:lang w:bidi="ar"/>
              </w:rPr>
              <w:t>5</w:t>
            </w:r>
            <w:r>
              <w:rPr>
                <w:rFonts w:hint="eastAsia" w:ascii="Times New Roman" w:hAnsi="Times New Roman" w:eastAsia="宋体" w:cs="Times New Roman"/>
                <w:color w:val="auto"/>
                <w:kern w:val="0"/>
                <w:sz w:val="24"/>
                <w:highlight w:val="none"/>
                <w:lang w:bidi="ar"/>
              </w:rPr>
              <w:t>和</w:t>
            </w:r>
            <w:r>
              <w:rPr>
                <w:rFonts w:ascii="Times New Roman" w:hAnsi="Times New Roman" w:eastAsia="宋体" w:cs="Times New Roman"/>
                <w:color w:val="auto"/>
                <w:kern w:val="0"/>
                <w:sz w:val="24"/>
                <w:highlight w:val="none"/>
                <w:lang w:bidi="ar"/>
              </w:rPr>
              <w:t>SS</w:t>
            </w:r>
            <w:r>
              <w:rPr>
                <w:rFonts w:hint="eastAsia" w:ascii="Times New Roman" w:hAnsi="Times New Roman" w:eastAsia="宋体" w:cs="Times New Roman"/>
                <w:color w:val="auto"/>
                <w:kern w:val="0"/>
                <w:sz w:val="24"/>
                <w:highlight w:val="none"/>
                <w:lang w:bidi="ar"/>
              </w:rPr>
              <w:t>的产污系数，因此，</w:t>
            </w:r>
            <w:r>
              <w:rPr>
                <w:rFonts w:ascii="Times New Roman" w:hAnsi="Times New Roman" w:eastAsia="宋体" w:cs="Times New Roman"/>
                <w:color w:val="auto"/>
                <w:kern w:val="0"/>
                <w:sz w:val="24"/>
                <w:highlight w:val="none"/>
                <w:lang w:bidi="ar"/>
              </w:rPr>
              <w:t>BOD</w:t>
            </w:r>
            <w:r>
              <w:rPr>
                <w:rFonts w:ascii="Times New Roman" w:hAnsi="Times New Roman" w:eastAsia="宋体" w:cs="Times New Roman"/>
                <w:color w:val="auto"/>
                <w:kern w:val="0"/>
                <w:sz w:val="24"/>
                <w:highlight w:val="none"/>
                <w:vertAlign w:val="subscript"/>
                <w:lang w:bidi="ar"/>
              </w:rPr>
              <w:t>5</w:t>
            </w:r>
            <w:r>
              <w:rPr>
                <w:rFonts w:hint="eastAsia" w:ascii="Times New Roman" w:hAnsi="Times New Roman" w:eastAsia="宋体" w:cs="Times New Roman"/>
                <w:color w:val="auto"/>
                <w:kern w:val="0"/>
                <w:sz w:val="24"/>
                <w:highlight w:val="none"/>
                <w:lang w:bidi="ar"/>
              </w:rPr>
              <w:t>产污系数参照《第一次全国污染源普查城镇生活源产排污系数手册》中泉州（二区</w:t>
            </w:r>
            <w:r>
              <w:rPr>
                <w:rFonts w:ascii="Times New Roman" w:hAnsi="Times New Roman" w:eastAsia="宋体" w:cs="Times New Roman"/>
                <w:color w:val="auto"/>
                <w:kern w:val="0"/>
                <w:sz w:val="24"/>
                <w:highlight w:val="none"/>
                <w:lang w:bidi="ar"/>
              </w:rPr>
              <w:t>2</w:t>
            </w:r>
            <w:r>
              <w:rPr>
                <w:rFonts w:hint="eastAsia" w:ascii="Times New Roman" w:hAnsi="Times New Roman" w:eastAsia="宋体" w:cs="Times New Roman"/>
                <w:color w:val="auto"/>
                <w:kern w:val="0"/>
                <w:sz w:val="24"/>
                <w:highlight w:val="none"/>
                <w:lang w:bidi="ar"/>
              </w:rPr>
              <w:t>类城市）的产污系数，</w:t>
            </w:r>
            <w:r>
              <w:rPr>
                <w:rFonts w:ascii="Times New Roman" w:hAnsi="Times New Roman" w:eastAsia="宋体" w:cs="Times New Roman"/>
                <w:color w:val="auto"/>
                <w:kern w:val="0"/>
                <w:sz w:val="24"/>
                <w:highlight w:val="none"/>
                <w:lang w:bidi="ar"/>
              </w:rPr>
              <w:t>BOD</w:t>
            </w:r>
            <w:r>
              <w:rPr>
                <w:rFonts w:ascii="Times New Roman" w:hAnsi="Times New Roman" w:eastAsia="宋体" w:cs="Times New Roman"/>
                <w:color w:val="auto"/>
                <w:kern w:val="0"/>
                <w:sz w:val="24"/>
                <w:highlight w:val="none"/>
                <w:vertAlign w:val="subscript"/>
                <w:lang w:bidi="ar"/>
              </w:rPr>
              <w:t>5</w:t>
            </w:r>
            <w:r>
              <w:rPr>
                <w:rFonts w:hint="eastAsia" w:ascii="Times New Roman" w:hAnsi="Times New Roman" w:eastAsia="宋体" w:cs="Times New Roman"/>
                <w:color w:val="auto"/>
                <w:kern w:val="0"/>
                <w:sz w:val="24"/>
                <w:highlight w:val="none"/>
                <w:lang w:bidi="ar"/>
              </w:rPr>
              <w:t>：</w:t>
            </w:r>
            <w:r>
              <w:rPr>
                <w:rFonts w:ascii="Times New Roman" w:hAnsi="Times New Roman" w:eastAsia="宋体" w:cs="Times New Roman"/>
                <w:color w:val="auto"/>
                <w:kern w:val="0"/>
                <w:sz w:val="24"/>
                <w:highlight w:val="none"/>
                <w:lang w:bidi="ar"/>
              </w:rPr>
              <w:t>177mg/L</w:t>
            </w:r>
            <w:r>
              <w:rPr>
                <w:rFonts w:hint="eastAsia" w:ascii="Times New Roman" w:hAnsi="Times New Roman" w:eastAsia="宋体" w:cs="Times New Roman"/>
                <w:color w:val="auto"/>
                <w:kern w:val="0"/>
                <w:sz w:val="24"/>
                <w:highlight w:val="none"/>
                <w:lang w:bidi="ar"/>
              </w:rPr>
              <w:t>；</w:t>
            </w:r>
            <w:r>
              <w:rPr>
                <w:rFonts w:ascii="Times New Roman" w:hAnsi="Times New Roman" w:eastAsia="宋体" w:cs="Times New Roman"/>
                <w:color w:val="auto"/>
                <w:kern w:val="0"/>
                <w:sz w:val="24"/>
                <w:highlight w:val="none"/>
                <w:lang w:bidi="ar"/>
              </w:rPr>
              <w:t>SS</w:t>
            </w:r>
            <w:r>
              <w:rPr>
                <w:rFonts w:hint="eastAsia" w:ascii="Times New Roman" w:hAnsi="Times New Roman" w:eastAsia="宋体" w:cs="Times New Roman"/>
                <w:color w:val="auto"/>
                <w:kern w:val="0"/>
                <w:sz w:val="24"/>
                <w:highlight w:val="none"/>
                <w:lang w:bidi="ar"/>
              </w:rPr>
              <w:t>产污系数参照《建筑中水设计标准》</w:t>
            </w:r>
            <w:r>
              <w:rPr>
                <w:rFonts w:hint="eastAsia"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GB 50336-2018</w:t>
            </w:r>
            <w:r>
              <w:rPr>
                <w:rFonts w:hint="eastAsia"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规定的数据，</w:t>
            </w:r>
            <w:r>
              <w:rPr>
                <w:rFonts w:ascii="Times New Roman" w:hAnsi="Times New Roman" w:eastAsia="宋体" w:cs="Times New Roman"/>
                <w:color w:val="auto"/>
                <w:kern w:val="0"/>
                <w:sz w:val="24"/>
                <w:highlight w:val="none"/>
                <w:lang w:bidi="ar"/>
              </w:rPr>
              <w:t>SS</w:t>
            </w:r>
            <w:r>
              <w:rPr>
                <w:rFonts w:hint="eastAsia" w:ascii="Times New Roman" w:hAnsi="Times New Roman" w:eastAsia="宋体" w:cs="Times New Roman"/>
                <w:color w:val="auto"/>
                <w:kern w:val="0"/>
                <w:sz w:val="24"/>
                <w:highlight w:val="none"/>
                <w:lang w:bidi="ar"/>
              </w:rPr>
              <w:t>：</w:t>
            </w:r>
            <w:r>
              <w:rPr>
                <w:rFonts w:ascii="Times New Roman" w:hAnsi="Times New Roman" w:eastAsia="宋体" w:cs="Times New Roman"/>
                <w:color w:val="auto"/>
                <w:kern w:val="0"/>
                <w:sz w:val="24"/>
                <w:highlight w:val="none"/>
                <w:lang w:bidi="ar"/>
              </w:rPr>
              <w:t>260mg/L</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val="en-US" w:eastAsia="zh-CN" w:bidi="ar"/>
              </w:rPr>
              <w:t>氨氮</w:t>
            </w:r>
            <w:r>
              <w:rPr>
                <w:rFonts w:hint="default" w:ascii="Times New Roman" w:hAnsi="Times New Roman" w:eastAsia="宋体" w:cs="Times New Roman"/>
                <w:color w:val="auto"/>
                <w:sz w:val="24"/>
                <w:highlight w:val="none"/>
              </w:rPr>
              <w:t>参照2019年4月生态环境部华南环境科学研究所发布的《第二次全国污染源普查城镇生活污染源产排污系数手册》</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第一分册城镇生活源水污染物产污校核系数表6-4四区城镇生活源水污染物产污校核系数</w:t>
            </w: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中的数据：</w:t>
            </w: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w:t>
            </w:r>
            <w:r>
              <w:rPr>
                <w:rFonts w:hint="default" w:ascii="Times New Roman" w:hAnsi="Times New Roman" w:eastAsia="宋体" w:cs="Times New Roman"/>
                <w:color w:val="auto"/>
                <w:sz w:val="24"/>
                <w:szCs w:val="24"/>
                <w:highlight w:val="none"/>
                <w:lang w:val="en-US" w:eastAsia="zh-CN"/>
              </w:rPr>
              <w:t>26.2</w:t>
            </w:r>
            <w:r>
              <w:rPr>
                <w:rFonts w:hint="default" w:ascii="Times New Roman" w:hAnsi="Times New Roman" w:eastAsia="宋体" w:cs="Times New Roman"/>
                <w:color w:val="auto"/>
                <w:sz w:val="24"/>
                <w:szCs w:val="24"/>
                <w:highlight w:val="none"/>
              </w:rPr>
              <w:t>mg/L</w:t>
            </w:r>
            <w:r>
              <w:rPr>
                <w:rFonts w:hint="eastAsia" w:ascii="Times New Roman" w:hAnsi="Times New Roman" w:eastAsia="宋体" w:cs="Times New Roman"/>
                <w:color w:val="auto"/>
                <w:kern w:val="0"/>
                <w:sz w:val="24"/>
                <w:highlight w:val="none"/>
                <w:lang w:bidi="ar"/>
              </w:rPr>
              <w:t>。</w:t>
            </w:r>
          </w:p>
          <w:p w14:paraId="2A884F27">
            <w:pPr>
              <w:keepNext w:val="0"/>
              <w:keepLines w:val="0"/>
              <w:pageBreakBefore w:val="0"/>
              <w:kinsoku/>
              <w:wordWrap/>
              <w:overflowPunct/>
              <w:topLinePunct w:val="0"/>
              <w:bidi w:val="0"/>
              <w:spacing w:line="356" w:lineRule="auto"/>
              <w:ind w:firstLine="480" w:firstLineChars="200"/>
              <w:textAlignment w:val="auto"/>
              <w:rPr>
                <w:rFonts w:ascii="Times New Roman" w:hAnsi="Times New Roman" w:eastAsia="宋体" w:cs="Times New Roman"/>
                <w:color w:val="auto"/>
                <w:spacing w:val="0"/>
                <w:position w:val="0"/>
                <w:sz w:val="24"/>
                <w:highlight w:val="none"/>
              </w:rPr>
            </w:pPr>
            <w:r>
              <w:rPr>
                <w:rFonts w:hint="eastAsia" w:ascii="Times New Roman" w:hAnsi="Times New Roman" w:eastAsia="宋体" w:cs="Times New Roman"/>
                <w:color w:val="auto"/>
                <w:kern w:val="0"/>
                <w:sz w:val="24"/>
                <w:highlight w:val="none"/>
                <w:lang w:bidi="ar"/>
              </w:rPr>
              <w:t>参照《第二次全国污染源普查生活污染源产排污系数手册》，</w:t>
            </w:r>
            <w:r>
              <w:rPr>
                <w:rFonts w:hint="eastAsia" w:ascii="Times New Roman" w:hAnsi="Times New Roman" w:eastAsia="宋体" w:cs="Times New Roman"/>
                <w:color w:val="auto"/>
                <w:kern w:val="0"/>
                <w:sz w:val="24"/>
                <w:highlight w:val="none"/>
                <w:lang w:val="en-US" w:eastAsia="zh-CN" w:bidi="ar"/>
              </w:rPr>
              <w:t>福建</w:t>
            </w:r>
            <w:r>
              <w:rPr>
                <w:rFonts w:hint="eastAsia" w:ascii="Times New Roman" w:hAnsi="Times New Roman" w:eastAsia="宋体" w:cs="Times New Roman"/>
                <w:color w:val="auto"/>
                <w:kern w:val="0"/>
                <w:sz w:val="24"/>
                <w:highlight w:val="none"/>
                <w:lang w:bidi="ar"/>
              </w:rPr>
              <w:t>属</w:t>
            </w:r>
            <w:r>
              <w:rPr>
                <w:rFonts w:hint="eastAsia" w:ascii="Times New Roman" w:hAnsi="Times New Roman" w:eastAsia="宋体" w:cs="Times New Roman"/>
                <w:color w:val="auto"/>
                <w:kern w:val="0"/>
                <w:sz w:val="24"/>
                <w:highlight w:val="none"/>
                <w:lang w:val="en-US" w:eastAsia="zh-CN" w:bidi="ar"/>
              </w:rPr>
              <w:t>四</w:t>
            </w:r>
            <w:r>
              <w:rPr>
                <w:rFonts w:hint="eastAsia" w:ascii="Times New Roman" w:hAnsi="Times New Roman" w:eastAsia="宋体" w:cs="Times New Roman"/>
                <w:color w:val="auto"/>
                <w:kern w:val="0"/>
                <w:sz w:val="24"/>
                <w:highlight w:val="none"/>
                <w:lang w:bidi="ar"/>
              </w:rPr>
              <w:t>区，经化粪池处理后主要污染物COD</w:t>
            </w:r>
            <w:r>
              <w:rPr>
                <w:rFonts w:hint="eastAsia" w:cs="Times New Roman"/>
                <w:color w:val="auto"/>
                <w:kern w:val="0"/>
                <w:sz w:val="24"/>
                <w:highlight w:val="none"/>
                <w:lang w:val="en-US" w:eastAsia="zh-CN" w:bidi="ar"/>
              </w:rPr>
              <w:t>cr</w:t>
            </w:r>
            <w:r>
              <w:rPr>
                <w:rFonts w:hint="eastAsia" w:ascii="Times New Roman" w:hAnsi="Times New Roman" w:eastAsia="宋体" w:cs="Times New Roman"/>
                <w:color w:val="auto"/>
                <w:kern w:val="0"/>
                <w:sz w:val="24"/>
                <w:highlight w:val="none"/>
                <w:lang w:bidi="ar"/>
              </w:rPr>
              <w:t>、BOD</w:t>
            </w:r>
            <w:r>
              <w:rPr>
                <w:rFonts w:hint="eastAsia" w:ascii="Times New Roman" w:hAnsi="Times New Roman" w:eastAsia="宋体" w:cs="Times New Roman"/>
                <w:color w:val="auto"/>
                <w:kern w:val="0"/>
                <w:sz w:val="24"/>
                <w:highlight w:val="none"/>
                <w:vertAlign w:val="subscript"/>
                <w:lang w:bidi="ar"/>
              </w:rPr>
              <w:t>5</w:t>
            </w:r>
            <w:r>
              <w:rPr>
                <w:rFonts w:hint="eastAsia" w:ascii="Times New Roman" w:hAnsi="Times New Roman" w:eastAsia="宋体" w:cs="Times New Roman"/>
                <w:color w:val="auto"/>
                <w:kern w:val="0"/>
                <w:sz w:val="24"/>
                <w:highlight w:val="none"/>
                <w:lang w:bidi="ar"/>
              </w:rPr>
              <w:t>、SS</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氨氮</w:t>
            </w:r>
            <w:r>
              <w:rPr>
                <w:rFonts w:hint="eastAsia" w:ascii="Times New Roman" w:hAnsi="Times New Roman" w:eastAsia="宋体" w:cs="Times New Roman"/>
                <w:color w:val="auto"/>
                <w:kern w:val="0"/>
                <w:sz w:val="24"/>
                <w:highlight w:val="none"/>
                <w:lang w:bidi="ar"/>
              </w:rPr>
              <w:t>的去除效率分别为60%</w:t>
            </w:r>
            <w:r>
              <w:rPr>
                <w:rFonts w:hint="eastAsia"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60%</w:t>
            </w:r>
            <w:r>
              <w:rPr>
                <w:rFonts w:hint="eastAsia"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80%</w:t>
            </w:r>
            <w:r>
              <w:rPr>
                <w:rFonts w:hint="eastAsia"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3%</w:t>
            </w:r>
            <w:r>
              <w:rPr>
                <w:rFonts w:hint="eastAsia" w:cs="Times New Roman"/>
                <w:color w:val="auto"/>
                <w:kern w:val="0"/>
                <w:sz w:val="24"/>
                <w:highlight w:val="none"/>
                <w:lang w:eastAsia="zh-CN" w:bidi="ar"/>
              </w:rPr>
              <w:t>，</w:t>
            </w:r>
            <w:r>
              <w:rPr>
                <w:rFonts w:hint="eastAsia" w:ascii="Times New Roman" w:hAnsi="Times New Roman" w:eastAsia="宋体" w:cs="Times New Roman"/>
                <w:b w:val="0"/>
                <w:bCs w:val="0"/>
                <w:color w:val="auto"/>
                <w:sz w:val="24"/>
                <w:szCs w:val="24"/>
                <w:highlight w:val="none"/>
                <w:shd w:val="clear" w:color="auto" w:fill="auto"/>
                <w:lang w:val="en-US" w:eastAsia="zh-CN"/>
              </w:rPr>
              <w:t>总磷参考《三格式化粪池出水水质特征及对周边土壤环境的影响》(蒯伟，李厚禹等，农业环境科学学报；2021.40(5)：1051-1061)中，三格式化粪池对总磷平均去除率为26.64%，总氮的去除率参考2009年2月兰州交通大学学报第28卷 第1期《化粪池污水处理能力研究及其评价》，去除率为64.3%</w:t>
            </w:r>
            <w:r>
              <w:rPr>
                <w:rFonts w:hint="eastAsia" w:ascii="Times New Roman" w:hAnsi="Times New Roman" w:eastAsia="宋体" w:cs="Times New Roman"/>
                <w:color w:val="auto"/>
                <w:kern w:val="0"/>
                <w:sz w:val="24"/>
                <w:highlight w:val="none"/>
                <w:lang w:bidi="ar"/>
              </w:rPr>
              <w:t>。类比同类型项目。</w:t>
            </w:r>
            <w:r>
              <w:rPr>
                <w:rFonts w:hint="eastAsia" w:ascii="Times New Roman" w:hAnsi="Times New Roman" w:eastAsia="宋体" w:cs="Times New Roman"/>
                <w:color w:val="auto"/>
                <w:kern w:val="0"/>
                <w:sz w:val="24"/>
                <w:highlight w:val="none"/>
                <w:lang w:eastAsia="zh-CN" w:bidi="ar"/>
              </w:rPr>
              <w:t>因此，项目生活污水排水水质CODcr、BOD</w:t>
            </w:r>
            <w:r>
              <w:rPr>
                <w:rFonts w:hint="eastAsia" w:ascii="Times New Roman" w:hAnsi="Times New Roman" w:eastAsia="宋体" w:cs="Times New Roman"/>
                <w:color w:val="auto"/>
                <w:kern w:val="0"/>
                <w:sz w:val="24"/>
                <w:highlight w:val="none"/>
                <w:vertAlign w:val="subscript"/>
                <w:lang w:eastAsia="zh-CN" w:bidi="ar"/>
              </w:rPr>
              <w:t>5</w:t>
            </w:r>
            <w:r>
              <w:rPr>
                <w:rFonts w:hint="eastAsia" w:ascii="Times New Roman" w:hAnsi="Times New Roman" w:eastAsia="宋体" w:cs="Times New Roman"/>
                <w:color w:val="auto"/>
                <w:kern w:val="0"/>
                <w:sz w:val="24"/>
                <w:highlight w:val="none"/>
                <w:lang w:eastAsia="zh-CN" w:bidi="ar"/>
              </w:rPr>
              <w:t>、SS、氨氮依次为</w:t>
            </w:r>
            <w:r>
              <w:rPr>
                <w:rFonts w:hint="eastAsia" w:cs="Times New Roman"/>
                <w:color w:val="auto"/>
                <w:kern w:val="0"/>
                <w:sz w:val="24"/>
                <w:highlight w:val="none"/>
                <w:lang w:val="en-US" w:eastAsia="zh-CN" w:bidi="ar"/>
              </w:rPr>
              <w:t>136</w:t>
            </w:r>
            <w:r>
              <w:rPr>
                <w:rFonts w:hint="eastAsia" w:ascii="Times New Roman" w:hAnsi="Times New Roman" w:eastAsia="宋体" w:cs="Times New Roman"/>
                <w:color w:val="auto"/>
                <w:kern w:val="0"/>
                <w:sz w:val="24"/>
                <w:highlight w:val="none"/>
                <w:lang w:eastAsia="zh-CN" w:bidi="ar"/>
              </w:rPr>
              <w:t>mg/L、</w:t>
            </w:r>
            <w:r>
              <w:rPr>
                <w:rFonts w:hint="eastAsia" w:cs="Times New Roman"/>
                <w:color w:val="auto"/>
                <w:kern w:val="0"/>
                <w:sz w:val="24"/>
                <w:highlight w:val="none"/>
                <w:lang w:val="en-US" w:eastAsia="zh-CN" w:bidi="ar"/>
              </w:rPr>
              <w:t>70.8</w:t>
            </w:r>
            <w:r>
              <w:rPr>
                <w:rFonts w:hint="eastAsia" w:ascii="Times New Roman" w:hAnsi="Times New Roman" w:eastAsia="宋体" w:cs="Times New Roman"/>
                <w:color w:val="auto"/>
                <w:kern w:val="0"/>
                <w:sz w:val="24"/>
                <w:highlight w:val="none"/>
                <w:lang w:eastAsia="zh-CN" w:bidi="ar"/>
              </w:rPr>
              <w:t>mg/L、</w:t>
            </w:r>
            <w:r>
              <w:rPr>
                <w:rFonts w:hint="eastAsia" w:cs="Times New Roman"/>
                <w:color w:val="auto"/>
                <w:kern w:val="0"/>
                <w:sz w:val="24"/>
                <w:highlight w:val="none"/>
                <w:lang w:val="en-US" w:eastAsia="zh-CN" w:bidi="ar"/>
              </w:rPr>
              <w:t>52</w:t>
            </w:r>
            <w:r>
              <w:rPr>
                <w:rFonts w:hint="eastAsia" w:ascii="Times New Roman" w:hAnsi="Times New Roman" w:eastAsia="宋体" w:cs="Times New Roman"/>
                <w:color w:val="auto"/>
                <w:kern w:val="0"/>
                <w:sz w:val="24"/>
                <w:highlight w:val="none"/>
                <w:lang w:eastAsia="zh-CN" w:bidi="ar"/>
              </w:rPr>
              <w:t>mg/L、</w:t>
            </w:r>
            <w:r>
              <w:rPr>
                <w:rFonts w:hint="eastAsia" w:ascii="Times New Roman" w:hAnsi="Times New Roman" w:eastAsia="宋体" w:cs="Times New Roman"/>
                <w:color w:val="auto"/>
                <w:kern w:val="0"/>
                <w:sz w:val="24"/>
                <w:highlight w:val="none"/>
                <w:lang w:val="en-US" w:eastAsia="zh-CN" w:bidi="ar"/>
              </w:rPr>
              <w:t>31.</w:t>
            </w:r>
            <w:r>
              <w:rPr>
                <w:rFonts w:hint="eastAsia" w:cs="Times New Roman"/>
                <w:color w:val="auto"/>
                <w:kern w:val="0"/>
                <w:sz w:val="24"/>
                <w:highlight w:val="none"/>
                <w:lang w:val="en-US" w:eastAsia="zh-CN" w:bidi="ar"/>
              </w:rPr>
              <w:t>6</w:t>
            </w:r>
            <w:r>
              <w:rPr>
                <w:rFonts w:hint="eastAsia" w:ascii="Times New Roman" w:hAnsi="Times New Roman" w:eastAsia="宋体" w:cs="Times New Roman"/>
                <w:color w:val="auto"/>
                <w:kern w:val="0"/>
                <w:sz w:val="24"/>
                <w:highlight w:val="none"/>
                <w:lang w:eastAsia="zh-CN" w:bidi="ar"/>
              </w:rPr>
              <w:t>mg/L。</w:t>
            </w:r>
            <w:r>
              <w:rPr>
                <w:rFonts w:hint="eastAsia" w:ascii="Times New Roman" w:hAnsi="Times New Roman" w:eastAsia="宋体" w:cs="Times New Roman"/>
                <w:color w:val="auto"/>
                <w:spacing w:val="0"/>
                <w:position w:val="0"/>
                <w:sz w:val="24"/>
                <w:highlight w:val="none"/>
              </w:rPr>
              <w:t>具体</w:t>
            </w:r>
            <w:r>
              <w:rPr>
                <w:rFonts w:hint="eastAsia" w:ascii="Times New Roman" w:hAnsi="Times New Roman" w:eastAsia="宋体" w:cs="Times New Roman"/>
                <w:color w:val="auto"/>
                <w:spacing w:val="0"/>
                <w:kern w:val="0"/>
                <w:position w:val="0"/>
                <w:sz w:val="24"/>
                <w:highlight w:val="none"/>
              </w:rPr>
              <w:t>详</w:t>
            </w:r>
            <w:r>
              <w:rPr>
                <w:rFonts w:hint="eastAsia" w:ascii="Times New Roman" w:hAnsi="Times New Roman" w:eastAsia="宋体" w:cs="Times New Roman"/>
                <w:color w:val="auto"/>
                <w:spacing w:val="0"/>
                <w:position w:val="0"/>
                <w:sz w:val="24"/>
                <w:highlight w:val="none"/>
              </w:rPr>
              <w:t>见表</w:t>
            </w:r>
            <w:r>
              <w:rPr>
                <w:rFonts w:ascii="Times New Roman" w:hAnsi="Times New Roman" w:eastAsia="宋体" w:cs="Times New Roman"/>
                <w:color w:val="auto"/>
                <w:spacing w:val="0"/>
                <w:position w:val="0"/>
                <w:sz w:val="24"/>
                <w:highlight w:val="none"/>
              </w:rPr>
              <w:t>4</w:t>
            </w:r>
            <w:r>
              <w:rPr>
                <w:rFonts w:hint="eastAsia" w:ascii="Times New Roman" w:hAnsi="Times New Roman" w:eastAsia="宋体" w:cs="Times New Roman"/>
                <w:color w:val="auto"/>
                <w:spacing w:val="0"/>
                <w:position w:val="0"/>
                <w:sz w:val="24"/>
                <w:highlight w:val="none"/>
                <w:lang w:val="en-US" w:eastAsia="zh-CN"/>
              </w:rPr>
              <w:t>.2-</w:t>
            </w:r>
            <w:r>
              <w:rPr>
                <w:rFonts w:hint="eastAsia" w:cs="Times New Roman"/>
                <w:color w:val="auto"/>
                <w:spacing w:val="0"/>
                <w:position w:val="0"/>
                <w:sz w:val="24"/>
                <w:highlight w:val="none"/>
                <w:lang w:val="en-US" w:eastAsia="zh-CN"/>
              </w:rPr>
              <w:t>2</w:t>
            </w:r>
            <w:r>
              <w:rPr>
                <w:rFonts w:hint="eastAsia" w:ascii="Times New Roman" w:hAnsi="Times New Roman" w:eastAsia="宋体" w:cs="Times New Roman"/>
                <w:color w:val="auto"/>
                <w:spacing w:val="0"/>
                <w:position w:val="0"/>
                <w:sz w:val="24"/>
                <w:highlight w:val="none"/>
              </w:rPr>
              <w:t>至4</w:t>
            </w:r>
            <w:r>
              <w:rPr>
                <w:rFonts w:hint="eastAsia" w:ascii="Times New Roman" w:hAnsi="Times New Roman" w:eastAsia="宋体" w:cs="Times New Roman"/>
                <w:color w:val="auto"/>
                <w:spacing w:val="0"/>
                <w:position w:val="0"/>
                <w:sz w:val="24"/>
                <w:highlight w:val="none"/>
                <w:lang w:val="en-US" w:eastAsia="zh-CN"/>
              </w:rPr>
              <w:t>.2-</w:t>
            </w:r>
            <w:r>
              <w:rPr>
                <w:rFonts w:hint="eastAsia" w:cs="Times New Roman"/>
                <w:color w:val="auto"/>
                <w:spacing w:val="0"/>
                <w:position w:val="0"/>
                <w:sz w:val="24"/>
                <w:highlight w:val="none"/>
                <w:lang w:val="en-US" w:eastAsia="zh-CN"/>
              </w:rPr>
              <w:t>5</w:t>
            </w:r>
            <w:r>
              <w:rPr>
                <w:rFonts w:ascii="Times New Roman" w:hAnsi="Times New Roman" w:eastAsia="宋体" w:cs="Times New Roman"/>
                <w:color w:val="auto"/>
                <w:spacing w:val="0"/>
                <w:position w:val="0"/>
                <w:sz w:val="24"/>
                <w:highlight w:val="none"/>
              </w:rPr>
              <w:t>。</w:t>
            </w:r>
          </w:p>
          <w:p w14:paraId="1BDA8168">
            <w:pPr>
              <w:jc w:val="center"/>
              <w:rPr>
                <w:rFonts w:hint="eastAsia" w:ascii="Times New Roman" w:hAnsi="Times New Roman" w:eastAsia="宋体" w:cs="Times New Roman"/>
                <w:b/>
                <w:bCs/>
                <w:color w:val="auto"/>
                <w:spacing w:val="0"/>
                <w:position w:val="0"/>
                <w:sz w:val="24"/>
                <w:highlight w:val="none"/>
              </w:rPr>
            </w:pPr>
            <w:r>
              <w:rPr>
                <w:rFonts w:ascii="Times New Roman" w:hAnsi="Times New Roman" w:eastAsia="宋体" w:cs="Times New Roman"/>
                <w:b/>
                <w:color w:val="auto"/>
                <w:spacing w:val="0"/>
                <w:position w:val="0"/>
                <w:sz w:val="24"/>
                <w:highlight w:val="none"/>
              </w:rPr>
              <w:t>表4</w:t>
            </w:r>
            <w:r>
              <w:rPr>
                <w:rFonts w:hint="eastAsia" w:ascii="Times New Roman" w:hAnsi="Times New Roman" w:eastAsia="宋体" w:cs="Times New Roman"/>
                <w:b/>
                <w:color w:val="auto"/>
                <w:spacing w:val="0"/>
                <w:position w:val="0"/>
                <w:sz w:val="24"/>
                <w:highlight w:val="none"/>
                <w:lang w:val="en-US" w:eastAsia="zh-CN"/>
              </w:rPr>
              <w:t>.2-</w:t>
            </w:r>
            <w:r>
              <w:rPr>
                <w:rFonts w:hint="eastAsia" w:cs="Times New Roman"/>
                <w:b/>
                <w:color w:val="auto"/>
                <w:spacing w:val="0"/>
                <w:position w:val="0"/>
                <w:sz w:val="24"/>
                <w:highlight w:val="none"/>
                <w:lang w:val="en-US" w:eastAsia="zh-CN"/>
              </w:rPr>
              <w:t>2</w:t>
            </w:r>
            <w:r>
              <w:rPr>
                <w:rFonts w:ascii="Times New Roman" w:hAnsi="Times New Roman" w:eastAsia="宋体" w:cs="Times New Roman"/>
                <w:b/>
                <w:color w:val="auto"/>
                <w:spacing w:val="0"/>
                <w:position w:val="0"/>
                <w:sz w:val="24"/>
                <w:highlight w:val="none"/>
              </w:rPr>
              <w:t xml:space="preserve"> </w:t>
            </w:r>
            <w:r>
              <w:rPr>
                <w:rFonts w:hint="eastAsia" w:ascii="Times New Roman" w:hAnsi="Times New Roman" w:eastAsia="宋体" w:cs="Times New Roman"/>
                <w:b/>
                <w:color w:val="auto"/>
                <w:spacing w:val="0"/>
                <w:position w:val="0"/>
                <w:sz w:val="24"/>
                <w:highlight w:val="none"/>
                <w:lang w:val="en-US" w:eastAsia="zh-CN"/>
              </w:rPr>
              <w:t>项目生活污水</w:t>
            </w:r>
            <w:r>
              <w:rPr>
                <w:rFonts w:ascii="Times New Roman" w:hAnsi="Times New Roman" w:eastAsia="宋体" w:cs="Times New Roman"/>
                <w:b/>
                <w:color w:val="auto"/>
                <w:spacing w:val="0"/>
                <w:position w:val="0"/>
                <w:sz w:val="24"/>
                <w:highlight w:val="none"/>
              </w:rPr>
              <w:t>排放状况</w:t>
            </w:r>
            <w:r>
              <w:rPr>
                <w:rFonts w:hint="eastAsia" w:ascii="Times New Roman" w:hAnsi="Times New Roman" w:eastAsia="宋体" w:cs="Times New Roman"/>
                <w:b/>
                <w:color w:val="auto"/>
                <w:spacing w:val="0"/>
                <w:position w:val="0"/>
                <w:sz w:val="24"/>
                <w:highlight w:val="none"/>
              </w:rPr>
              <w:t>一览</w:t>
            </w:r>
            <w:r>
              <w:rPr>
                <w:rFonts w:hint="eastAsia" w:ascii="Times New Roman" w:hAnsi="Times New Roman" w:eastAsia="宋体" w:cs="Times New Roman"/>
                <w:b/>
                <w:bCs/>
                <w:color w:val="auto"/>
                <w:spacing w:val="0"/>
                <w:position w:val="0"/>
                <w:sz w:val="24"/>
                <w:highlight w:val="none"/>
              </w:rPr>
              <w:t>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3"/>
              <w:gridCol w:w="744"/>
              <w:gridCol w:w="982"/>
              <w:gridCol w:w="833"/>
              <w:gridCol w:w="997"/>
              <w:gridCol w:w="818"/>
              <w:gridCol w:w="907"/>
              <w:gridCol w:w="864"/>
              <w:gridCol w:w="1086"/>
              <w:gridCol w:w="1063"/>
            </w:tblGrid>
            <w:tr w14:paraId="26AF4B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vMerge w:val="restart"/>
                  <w:tcBorders>
                    <w:tl2br w:val="nil"/>
                    <w:tr2bl w:val="nil"/>
                  </w:tcBorders>
                  <w:noWrap w:val="0"/>
                  <w:vAlign w:val="center"/>
                </w:tcPr>
                <w:p w14:paraId="3F289D67">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废水类别</w:t>
                  </w:r>
                </w:p>
              </w:tc>
              <w:tc>
                <w:tcPr>
                  <w:tcW w:w="750" w:type="dxa"/>
                  <w:vMerge w:val="restart"/>
                  <w:tcBorders>
                    <w:tl2br w:val="nil"/>
                    <w:tr2bl w:val="nil"/>
                  </w:tcBorders>
                  <w:noWrap w:val="0"/>
                  <w:vAlign w:val="center"/>
                </w:tcPr>
                <w:p w14:paraId="5CC4316D">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污染物</w:t>
                  </w:r>
                </w:p>
              </w:tc>
              <w:tc>
                <w:tcPr>
                  <w:tcW w:w="1830" w:type="dxa"/>
                  <w:gridSpan w:val="2"/>
                  <w:tcBorders>
                    <w:tl2br w:val="nil"/>
                    <w:tr2bl w:val="nil"/>
                  </w:tcBorders>
                  <w:noWrap w:val="0"/>
                  <w:vAlign w:val="center"/>
                </w:tcPr>
                <w:p w14:paraId="35D39CC2">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厂区污染物产生</w:t>
                  </w:r>
                </w:p>
              </w:tc>
              <w:tc>
                <w:tcPr>
                  <w:tcW w:w="1830" w:type="dxa"/>
                  <w:gridSpan w:val="2"/>
                  <w:tcBorders>
                    <w:tl2br w:val="nil"/>
                    <w:tr2bl w:val="nil"/>
                  </w:tcBorders>
                  <w:noWrap w:val="0"/>
                  <w:vAlign w:val="center"/>
                </w:tcPr>
                <w:p w14:paraId="12DC6A61">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厂区污染物排放</w:t>
                  </w:r>
                </w:p>
              </w:tc>
              <w:tc>
                <w:tcPr>
                  <w:tcW w:w="3952" w:type="dxa"/>
                  <w:gridSpan w:val="4"/>
                  <w:tcBorders>
                    <w:tl2br w:val="nil"/>
                    <w:tr2bl w:val="nil"/>
                  </w:tcBorders>
                  <w:noWrap w:val="0"/>
                  <w:vAlign w:val="center"/>
                </w:tcPr>
                <w:p w14:paraId="1E3CBB58">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18"/>
                      <w:szCs w:val="18"/>
                      <w:highlight w:val="none"/>
                    </w:rPr>
                  </w:pPr>
                  <w:r>
                    <w:rPr>
                      <w:rFonts w:hint="eastAsia"/>
                      <w:b/>
                      <w:bCs/>
                      <w:color w:val="auto"/>
                      <w:sz w:val="18"/>
                      <w:szCs w:val="18"/>
                      <w:highlight w:val="none"/>
                    </w:rPr>
                    <w:t>经污水厂处理后</w:t>
                  </w:r>
                </w:p>
              </w:tc>
            </w:tr>
            <w:tr w14:paraId="5D397A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27" w:type="dxa"/>
                  <w:vMerge w:val="continue"/>
                  <w:tcBorders>
                    <w:tl2br w:val="nil"/>
                    <w:tr2bl w:val="nil"/>
                  </w:tcBorders>
                  <w:noWrap w:val="0"/>
                  <w:vAlign w:val="center"/>
                </w:tcPr>
                <w:p w14:paraId="21E80610">
                  <w:pPr>
                    <w:pStyle w:val="37"/>
                    <w:spacing w:after="0" w:line="240" w:lineRule="auto"/>
                    <w:ind w:left="0" w:leftChars="0" w:firstLine="0" w:firstLineChars="0"/>
                    <w:jc w:val="center"/>
                    <w:rPr>
                      <w:rFonts w:ascii="Times New Roman" w:hAnsi="Times New Roman" w:eastAsia="宋体" w:cs="Times New Roman"/>
                      <w:b/>
                      <w:bCs/>
                      <w:color w:val="auto"/>
                      <w:spacing w:val="0"/>
                      <w:position w:val="0"/>
                      <w:sz w:val="18"/>
                      <w:szCs w:val="18"/>
                      <w:highlight w:val="none"/>
                    </w:rPr>
                  </w:pPr>
                </w:p>
              </w:tc>
              <w:tc>
                <w:tcPr>
                  <w:tcW w:w="750" w:type="dxa"/>
                  <w:vMerge w:val="continue"/>
                  <w:tcBorders>
                    <w:tl2br w:val="nil"/>
                    <w:tr2bl w:val="nil"/>
                  </w:tcBorders>
                  <w:noWrap w:val="0"/>
                  <w:vAlign w:val="center"/>
                </w:tcPr>
                <w:p w14:paraId="5B6A8397">
                  <w:pPr>
                    <w:pStyle w:val="37"/>
                    <w:spacing w:after="0" w:line="240" w:lineRule="auto"/>
                    <w:ind w:left="0" w:leftChars="0" w:firstLine="0" w:firstLineChars="0"/>
                    <w:jc w:val="center"/>
                    <w:rPr>
                      <w:rFonts w:ascii="Times New Roman" w:hAnsi="Times New Roman" w:eastAsia="宋体" w:cs="Times New Roman"/>
                      <w:b/>
                      <w:bCs/>
                      <w:color w:val="auto"/>
                      <w:spacing w:val="0"/>
                      <w:position w:val="0"/>
                      <w:sz w:val="18"/>
                      <w:szCs w:val="18"/>
                      <w:highlight w:val="none"/>
                    </w:rPr>
                  </w:pPr>
                </w:p>
              </w:tc>
              <w:tc>
                <w:tcPr>
                  <w:tcW w:w="990" w:type="dxa"/>
                  <w:vMerge w:val="restart"/>
                  <w:tcBorders>
                    <w:tl2br w:val="nil"/>
                    <w:tr2bl w:val="nil"/>
                  </w:tcBorders>
                  <w:noWrap w:val="0"/>
                  <w:vAlign w:val="center"/>
                </w:tcPr>
                <w:p w14:paraId="19DB612D">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产生浓度（mg/L）</w:t>
                  </w:r>
                </w:p>
              </w:tc>
              <w:tc>
                <w:tcPr>
                  <w:tcW w:w="840" w:type="dxa"/>
                  <w:vMerge w:val="restart"/>
                  <w:tcBorders>
                    <w:tl2br w:val="nil"/>
                    <w:tr2bl w:val="nil"/>
                  </w:tcBorders>
                  <w:noWrap w:val="0"/>
                  <w:vAlign w:val="center"/>
                </w:tcPr>
                <w:p w14:paraId="5E8C88F6">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产生量（t/a）</w:t>
                  </w:r>
                </w:p>
              </w:tc>
              <w:tc>
                <w:tcPr>
                  <w:tcW w:w="1005" w:type="dxa"/>
                  <w:vMerge w:val="restart"/>
                  <w:tcBorders>
                    <w:tl2br w:val="nil"/>
                    <w:tr2bl w:val="nil"/>
                  </w:tcBorders>
                  <w:noWrap w:val="0"/>
                  <w:vAlign w:val="center"/>
                </w:tcPr>
                <w:p w14:paraId="1A35E83A">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出水浓度（mg/L）</w:t>
                  </w:r>
                </w:p>
              </w:tc>
              <w:tc>
                <w:tcPr>
                  <w:tcW w:w="825" w:type="dxa"/>
                  <w:vMerge w:val="restart"/>
                  <w:tcBorders>
                    <w:tl2br w:val="nil"/>
                    <w:tr2bl w:val="nil"/>
                  </w:tcBorders>
                  <w:noWrap w:val="0"/>
                  <w:vAlign w:val="center"/>
                </w:tcPr>
                <w:p w14:paraId="1D12BA3B">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18"/>
                      <w:szCs w:val="18"/>
                      <w:highlight w:val="none"/>
                    </w:rPr>
                  </w:pPr>
                  <w:r>
                    <w:rPr>
                      <w:rFonts w:hint="eastAsia" w:ascii="Times New Roman" w:hAnsi="Times New Roman" w:eastAsia="宋体" w:cs="Times New Roman"/>
                      <w:b/>
                      <w:bCs/>
                      <w:color w:val="auto"/>
                      <w:spacing w:val="0"/>
                      <w:position w:val="0"/>
                      <w:sz w:val="18"/>
                      <w:szCs w:val="18"/>
                      <w:highlight w:val="none"/>
                    </w:rPr>
                    <w:t>排放量（t/a）</w:t>
                  </w:r>
                </w:p>
              </w:tc>
              <w:tc>
                <w:tcPr>
                  <w:tcW w:w="1785" w:type="dxa"/>
                  <w:gridSpan w:val="2"/>
                  <w:tcBorders>
                    <w:tl2br w:val="nil"/>
                    <w:tr2bl w:val="nil"/>
                  </w:tcBorders>
                  <w:noWrap w:val="0"/>
                  <w:vAlign w:val="center"/>
                </w:tcPr>
                <w:p w14:paraId="42F0101D">
                  <w:pPr>
                    <w:pStyle w:val="37"/>
                    <w:spacing w:after="0" w:line="240" w:lineRule="auto"/>
                    <w:ind w:left="0" w:leftChars="0" w:firstLine="0" w:firstLineChars="0"/>
                    <w:jc w:val="center"/>
                    <w:rPr>
                      <w:rFonts w:hint="eastAsia" w:ascii="Times New Roman" w:hAnsi="Times New Roman" w:eastAsia="宋体"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表1</w:t>
                  </w:r>
                  <w:r>
                    <w:rPr>
                      <w:rFonts w:hint="eastAsia" w:ascii="Times New Roman" w:hAnsi="Times New Roman" w:eastAsia="宋体" w:cs="Times New Roman"/>
                      <w:b/>
                      <w:bCs/>
                      <w:color w:val="auto"/>
                      <w:kern w:val="2"/>
                      <w:sz w:val="18"/>
                      <w:szCs w:val="18"/>
                      <w:highlight w:val="none"/>
                      <w:lang w:val="en-US" w:eastAsia="zh-CN" w:bidi="ar-SA"/>
                    </w:rPr>
                    <w:t>一级A标准</w:t>
                  </w:r>
                </w:p>
                <w:p w14:paraId="3CD5F84A">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18"/>
                      <w:szCs w:val="18"/>
                      <w:highlight w:val="none"/>
                    </w:rPr>
                  </w:pPr>
                  <w:r>
                    <w:rPr>
                      <w:rFonts w:hint="eastAsia" w:cs="Times New Roman"/>
                      <w:b/>
                      <w:bCs/>
                      <w:color w:val="auto"/>
                      <w:kern w:val="2"/>
                      <w:sz w:val="18"/>
                      <w:szCs w:val="18"/>
                      <w:highlight w:val="none"/>
                      <w:lang w:val="en-US" w:eastAsia="zh-CN" w:bidi="ar-SA"/>
                    </w:rPr>
                    <w:t>（日均值）</w:t>
                  </w:r>
                </w:p>
              </w:tc>
              <w:tc>
                <w:tcPr>
                  <w:tcW w:w="2167" w:type="dxa"/>
                  <w:gridSpan w:val="2"/>
                  <w:tcBorders>
                    <w:tl2br w:val="nil"/>
                    <w:tr2bl w:val="nil"/>
                  </w:tcBorders>
                  <w:noWrap w:val="0"/>
                  <w:vAlign w:val="center"/>
                </w:tcPr>
                <w:p w14:paraId="5B87937D">
                  <w:pPr>
                    <w:pStyle w:val="37"/>
                    <w:spacing w:after="0" w:line="240" w:lineRule="auto"/>
                    <w:ind w:left="0" w:leftChars="0" w:firstLine="0" w:firstLineChars="0"/>
                    <w:jc w:val="center"/>
                    <w:rPr>
                      <w:rFonts w:hint="eastAsia" w:ascii="Times New Roman" w:hAnsi="Times New Roman" w:eastAsia="宋体" w:cs="Times New Roman"/>
                      <w:b/>
                      <w:bCs/>
                      <w:color w:val="auto"/>
                      <w:spacing w:val="0"/>
                      <w:position w:val="0"/>
                      <w:sz w:val="18"/>
                      <w:szCs w:val="18"/>
                      <w:highlight w:val="none"/>
                    </w:rPr>
                  </w:pPr>
                  <w:r>
                    <w:rPr>
                      <w:rFonts w:hint="default" w:hAnsi="宋体" w:eastAsia="宋体"/>
                      <w:b/>
                      <w:bCs/>
                      <w:color w:val="auto"/>
                      <w:sz w:val="18"/>
                      <w:szCs w:val="18"/>
                      <w:highlight w:val="none"/>
                    </w:rPr>
                    <w:t>修改单</w:t>
                  </w:r>
                  <w:r>
                    <w:rPr>
                      <w:rFonts w:hint="eastAsia" w:hAnsi="宋体" w:eastAsia="宋体"/>
                      <w:b/>
                      <w:bCs/>
                      <w:color w:val="auto"/>
                      <w:sz w:val="18"/>
                      <w:szCs w:val="18"/>
                      <w:highlight w:val="none"/>
                      <w:lang w:eastAsia="zh-CN"/>
                    </w:rPr>
                    <w:t>：</w:t>
                  </w:r>
                  <w:r>
                    <w:rPr>
                      <w:rFonts w:hint="eastAsia" w:hAnsi="宋体" w:eastAsia="宋体"/>
                      <w:b/>
                      <w:bCs/>
                      <w:color w:val="auto"/>
                      <w:sz w:val="18"/>
                      <w:szCs w:val="18"/>
                      <w:highlight w:val="none"/>
                      <w:lang w:val="en-US" w:eastAsia="zh-CN"/>
                    </w:rPr>
                    <w:t>表4</w:t>
                  </w:r>
                  <w:r>
                    <w:rPr>
                      <w:rFonts w:hint="eastAsia" w:ascii="Times New Roman" w:hAnsi="Times New Roman" w:eastAsia="宋体" w:cs="Times New Roman"/>
                      <w:b/>
                      <w:bCs/>
                      <w:color w:val="auto"/>
                      <w:kern w:val="2"/>
                      <w:sz w:val="18"/>
                      <w:szCs w:val="18"/>
                      <w:highlight w:val="none"/>
                      <w:lang w:val="en-US" w:eastAsia="zh-CN" w:bidi="ar-SA"/>
                    </w:rPr>
                    <w:t>一级A标准</w:t>
                  </w:r>
                  <w:r>
                    <w:rPr>
                      <w:rFonts w:hint="eastAsia" w:cs="Times New Roman"/>
                      <w:b/>
                      <w:bCs/>
                      <w:color w:val="auto"/>
                      <w:kern w:val="2"/>
                      <w:sz w:val="18"/>
                      <w:szCs w:val="18"/>
                      <w:highlight w:val="none"/>
                      <w:lang w:val="en-US" w:eastAsia="zh-CN" w:bidi="ar-SA"/>
                    </w:rPr>
                    <w:t>（顺时值）</w:t>
                  </w:r>
                </w:p>
              </w:tc>
            </w:tr>
            <w:tr w14:paraId="213652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27" w:type="dxa"/>
                  <w:vMerge w:val="continue"/>
                  <w:tcBorders>
                    <w:tl2br w:val="nil"/>
                    <w:tr2bl w:val="nil"/>
                  </w:tcBorders>
                  <w:noWrap w:val="0"/>
                  <w:vAlign w:val="center"/>
                </w:tcPr>
                <w:p w14:paraId="71E3F38C">
                  <w:pPr>
                    <w:pStyle w:val="37"/>
                    <w:spacing w:after="0" w:line="240" w:lineRule="auto"/>
                    <w:ind w:left="0" w:leftChars="0" w:firstLine="0" w:firstLineChars="0"/>
                    <w:jc w:val="center"/>
                    <w:rPr>
                      <w:color w:val="auto"/>
                      <w:sz w:val="18"/>
                      <w:szCs w:val="18"/>
                      <w:highlight w:val="none"/>
                    </w:rPr>
                  </w:pPr>
                </w:p>
              </w:tc>
              <w:tc>
                <w:tcPr>
                  <w:tcW w:w="750" w:type="dxa"/>
                  <w:vMerge w:val="continue"/>
                  <w:tcBorders>
                    <w:tl2br w:val="nil"/>
                    <w:tr2bl w:val="nil"/>
                  </w:tcBorders>
                  <w:noWrap w:val="0"/>
                  <w:vAlign w:val="center"/>
                </w:tcPr>
                <w:p w14:paraId="4C485355">
                  <w:pPr>
                    <w:pStyle w:val="37"/>
                    <w:spacing w:after="0" w:line="240" w:lineRule="auto"/>
                    <w:ind w:left="0" w:leftChars="0" w:firstLine="0" w:firstLineChars="0"/>
                    <w:jc w:val="center"/>
                    <w:rPr>
                      <w:color w:val="auto"/>
                      <w:sz w:val="18"/>
                      <w:szCs w:val="18"/>
                      <w:highlight w:val="none"/>
                    </w:rPr>
                  </w:pPr>
                </w:p>
              </w:tc>
              <w:tc>
                <w:tcPr>
                  <w:tcW w:w="990" w:type="dxa"/>
                  <w:vMerge w:val="continue"/>
                  <w:tcBorders>
                    <w:tl2br w:val="nil"/>
                    <w:tr2bl w:val="nil"/>
                  </w:tcBorders>
                  <w:noWrap w:val="0"/>
                  <w:vAlign w:val="center"/>
                </w:tcPr>
                <w:p w14:paraId="33562AC3">
                  <w:pPr>
                    <w:pStyle w:val="37"/>
                    <w:spacing w:after="0" w:line="240" w:lineRule="auto"/>
                    <w:ind w:left="0" w:leftChars="0" w:firstLine="0" w:firstLineChars="0"/>
                    <w:jc w:val="center"/>
                    <w:rPr>
                      <w:color w:val="auto"/>
                      <w:sz w:val="18"/>
                      <w:szCs w:val="18"/>
                      <w:highlight w:val="none"/>
                    </w:rPr>
                  </w:pPr>
                </w:p>
              </w:tc>
              <w:tc>
                <w:tcPr>
                  <w:tcW w:w="840" w:type="dxa"/>
                  <w:vMerge w:val="continue"/>
                  <w:tcBorders>
                    <w:tl2br w:val="nil"/>
                    <w:tr2bl w:val="nil"/>
                  </w:tcBorders>
                  <w:noWrap w:val="0"/>
                  <w:vAlign w:val="center"/>
                </w:tcPr>
                <w:p w14:paraId="36DDA352">
                  <w:pPr>
                    <w:pStyle w:val="37"/>
                    <w:spacing w:after="0" w:line="240" w:lineRule="auto"/>
                    <w:ind w:left="0" w:leftChars="0" w:firstLine="0" w:firstLineChars="0"/>
                    <w:jc w:val="center"/>
                    <w:rPr>
                      <w:color w:val="auto"/>
                      <w:sz w:val="18"/>
                      <w:szCs w:val="18"/>
                      <w:highlight w:val="none"/>
                    </w:rPr>
                  </w:pPr>
                </w:p>
              </w:tc>
              <w:tc>
                <w:tcPr>
                  <w:tcW w:w="1005" w:type="dxa"/>
                  <w:vMerge w:val="continue"/>
                  <w:tcBorders>
                    <w:tl2br w:val="nil"/>
                    <w:tr2bl w:val="nil"/>
                  </w:tcBorders>
                  <w:noWrap w:val="0"/>
                  <w:vAlign w:val="center"/>
                </w:tcPr>
                <w:p w14:paraId="464CB56D">
                  <w:pPr>
                    <w:pStyle w:val="37"/>
                    <w:spacing w:after="0" w:line="240" w:lineRule="auto"/>
                    <w:ind w:left="0" w:leftChars="0" w:firstLine="0" w:firstLineChars="0"/>
                    <w:jc w:val="center"/>
                    <w:rPr>
                      <w:color w:val="auto"/>
                      <w:sz w:val="18"/>
                      <w:szCs w:val="18"/>
                      <w:highlight w:val="none"/>
                    </w:rPr>
                  </w:pPr>
                </w:p>
              </w:tc>
              <w:tc>
                <w:tcPr>
                  <w:tcW w:w="825" w:type="dxa"/>
                  <w:vMerge w:val="continue"/>
                  <w:tcBorders>
                    <w:tl2br w:val="nil"/>
                    <w:tr2bl w:val="nil"/>
                  </w:tcBorders>
                  <w:noWrap w:val="0"/>
                  <w:vAlign w:val="center"/>
                </w:tcPr>
                <w:p w14:paraId="636923D7">
                  <w:pPr>
                    <w:pStyle w:val="37"/>
                    <w:spacing w:after="0" w:line="240" w:lineRule="auto"/>
                    <w:ind w:left="0" w:leftChars="0" w:firstLine="0" w:firstLineChars="0"/>
                    <w:jc w:val="center"/>
                    <w:rPr>
                      <w:color w:val="auto"/>
                      <w:sz w:val="18"/>
                      <w:szCs w:val="18"/>
                      <w:highlight w:val="none"/>
                    </w:rPr>
                  </w:pPr>
                </w:p>
              </w:tc>
              <w:tc>
                <w:tcPr>
                  <w:tcW w:w="915" w:type="dxa"/>
                  <w:tcBorders>
                    <w:tl2br w:val="nil"/>
                    <w:tr2bl w:val="nil"/>
                  </w:tcBorders>
                  <w:shd w:val="clear" w:color="auto" w:fill="auto"/>
                  <w:noWrap w:val="0"/>
                  <w:vAlign w:val="center"/>
                </w:tcPr>
                <w:p w14:paraId="63456E8B">
                  <w:pPr>
                    <w:pStyle w:val="37"/>
                    <w:spacing w:after="0" w:line="240" w:lineRule="auto"/>
                    <w:ind w:left="0" w:leftChars="0" w:firstLine="0" w:firstLineChars="0"/>
                    <w:jc w:val="center"/>
                    <w:rPr>
                      <w:rFonts w:hint="eastAsia" w:ascii="Times New Roman" w:hAnsi="Times New Roman" w:eastAsia="宋体" w:cs="Times New Roman"/>
                      <w:b/>
                      <w:bCs/>
                      <w:color w:val="auto"/>
                      <w:spacing w:val="0"/>
                      <w:kern w:val="0"/>
                      <w:position w:val="0"/>
                      <w:sz w:val="18"/>
                      <w:szCs w:val="18"/>
                      <w:highlight w:val="none"/>
                      <w:lang w:val="en-US" w:eastAsia="zh-CN" w:bidi="ar-SA"/>
                    </w:rPr>
                  </w:pPr>
                  <w:r>
                    <w:rPr>
                      <w:b/>
                      <w:bCs/>
                      <w:color w:val="auto"/>
                      <w:sz w:val="18"/>
                      <w:szCs w:val="18"/>
                      <w:highlight w:val="none"/>
                    </w:rPr>
                    <w:t>浓度</w:t>
                  </w:r>
                  <w:r>
                    <w:rPr>
                      <w:rFonts w:hint="eastAsia"/>
                      <w:b/>
                      <w:bCs/>
                      <w:color w:val="auto"/>
                      <w:sz w:val="18"/>
                      <w:szCs w:val="18"/>
                      <w:highlight w:val="none"/>
                      <w:lang w:eastAsia="zh-CN"/>
                    </w:rPr>
                    <w:t>（</w:t>
                  </w:r>
                  <w:r>
                    <w:rPr>
                      <w:b/>
                      <w:bCs/>
                      <w:color w:val="auto"/>
                      <w:sz w:val="18"/>
                      <w:szCs w:val="18"/>
                      <w:highlight w:val="none"/>
                    </w:rPr>
                    <w:t>mg/L</w:t>
                  </w:r>
                  <w:r>
                    <w:rPr>
                      <w:rFonts w:hint="eastAsia"/>
                      <w:b/>
                      <w:bCs/>
                      <w:color w:val="auto"/>
                      <w:sz w:val="18"/>
                      <w:szCs w:val="18"/>
                      <w:highlight w:val="none"/>
                      <w:lang w:eastAsia="zh-CN"/>
                    </w:rPr>
                    <w:t>）</w:t>
                  </w:r>
                </w:p>
              </w:tc>
              <w:tc>
                <w:tcPr>
                  <w:tcW w:w="870" w:type="dxa"/>
                  <w:tcBorders>
                    <w:tl2br w:val="nil"/>
                    <w:tr2bl w:val="nil"/>
                  </w:tcBorders>
                  <w:shd w:val="clear" w:color="auto" w:fill="auto"/>
                  <w:noWrap w:val="0"/>
                  <w:vAlign w:val="center"/>
                </w:tcPr>
                <w:p w14:paraId="1FAA8877">
                  <w:pPr>
                    <w:pStyle w:val="37"/>
                    <w:spacing w:after="0" w:line="240" w:lineRule="auto"/>
                    <w:ind w:left="0" w:leftChars="0" w:firstLine="0" w:firstLineChars="0"/>
                    <w:jc w:val="center"/>
                    <w:rPr>
                      <w:rFonts w:hint="eastAsia" w:ascii="Times New Roman" w:hAnsi="Times New Roman" w:eastAsia="宋体" w:cs="Times New Roman"/>
                      <w:b/>
                      <w:bCs/>
                      <w:color w:val="auto"/>
                      <w:spacing w:val="0"/>
                      <w:kern w:val="0"/>
                      <w:position w:val="0"/>
                      <w:sz w:val="18"/>
                      <w:szCs w:val="18"/>
                      <w:highlight w:val="none"/>
                      <w:lang w:val="en-US" w:eastAsia="zh-CN" w:bidi="ar-SA"/>
                    </w:rPr>
                  </w:pPr>
                  <w:r>
                    <w:rPr>
                      <w:rFonts w:hint="eastAsia" w:ascii="Times New Roman" w:hAnsi="Times New Roman" w:eastAsia="宋体" w:cs="Times New Roman"/>
                      <w:b/>
                      <w:bCs/>
                      <w:color w:val="auto"/>
                      <w:spacing w:val="0"/>
                      <w:position w:val="0"/>
                      <w:sz w:val="18"/>
                      <w:szCs w:val="18"/>
                      <w:highlight w:val="none"/>
                    </w:rPr>
                    <w:t>排放量（t/a）</w:t>
                  </w:r>
                </w:p>
              </w:tc>
              <w:tc>
                <w:tcPr>
                  <w:tcW w:w="1095" w:type="dxa"/>
                  <w:tcBorders>
                    <w:tl2br w:val="nil"/>
                    <w:tr2bl w:val="nil"/>
                  </w:tcBorders>
                  <w:shd w:val="clear" w:color="auto" w:fill="auto"/>
                  <w:noWrap w:val="0"/>
                  <w:vAlign w:val="center"/>
                </w:tcPr>
                <w:p w14:paraId="1F77DD75">
                  <w:pPr>
                    <w:pStyle w:val="37"/>
                    <w:spacing w:after="0" w:line="240" w:lineRule="auto"/>
                    <w:ind w:left="0" w:leftChars="0" w:firstLine="0" w:firstLineChars="0"/>
                    <w:jc w:val="center"/>
                    <w:rPr>
                      <w:rFonts w:hint="eastAsia" w:ascii="Times New Roman" w:hAnsi="Times New Roman" w:eastAsia="宋体" w:cs="Times New Roman"/>
                      <w:b/>
                      <w:bCs/>
                      <w:color w:val="auto"/>
                      <w:spacing w:val="0"/>
                      <w:kern w:val="0"/>
                      <w:position w:val="0"/>
                      <w:sz w:val="18"/>
                      <w:szCs w:val="18"/>
                      <w:highlight w:val="none"/>
                      <w:lang w:val="en-US" w:eastAsia="zh-CN" w:bidi="ar-SA"/>
                    </w:rPr>
                  </w:pPr>
                  <w:r>
                    <w:rPr>
                      <w:b/>
                      <w:bCs/>
                      <w:color w:val="auto"/>
                      <w:sz w:val="18"/>
                      <w:szCs w:val="18"/>
                      <w:highlight w:val="none"/>
                    </w:rPr>
                    <w:t>浓度</w:t>
                  </w:r>
                  <w:r>
                    <w:rPr>
                      <w:rFonts w:hint="eastAsia"/>
                      <w:b/>
                      <w:bCs/>
                      <w:color w:val="auto"/>
                      <w:sz w:val="18"/>
                      <w:szCs w:val="18"/>
                      <w:highlight w:val="none"/>
                      <w:lang w:eastAsia="zh-CN"/>
                    </w:rPr>
                    <w:t>（</w:t>
                  </w:r>
                  <w:r>
                    <w:rPr>
                      <w:b/>
                      <w:bCs/>
                      <w:color w:val="auto"/>
                      <w:sz w:val="18"/>
                      <w:szCs w:val="18"/>
                      <w:highlight w:val="none"/>
                    </w:rPr>
                    <w:t>mg/L</w:t>
                  </w:r>
                  <w:r>
                    <w:rPr>
                      <w:rFonts w:hint="eastAsia"/>
                      <w:b/>
                      <w:bCs/>
                      <w:color w:val="auto"/>
                      <w:sz w:val="18"/>
                      <w:szCs w:val="18"/>
                      <w:highlight w:val="none"/>
                      <w:lang w:eastAsia="zh-CN"/>
                    </w:rPr>
                    <w:t>）</w:t>
                  </w:r>
                </w:p>
              </w:tc>
              <w:tc>
                <w:tcPr>
                  <w:tcW w:w="1072" w:type="dxa"/>
                  <w:tcBorders>
                    <w:tl2br w:val="nil"/>
                    <w:tr2bl w:val="nil"/>
                  </w:tcBorders>
                  <w:shd w:val="clear" w:color="auto" w:fill="auto"/>
                  <w:noWrap w:val="0"/>
                  <w:vAlign w:val="center"/>
                </w:tcPr>
                <w:p w14:paraId="7D2788DF">
                  <w:pPr>
                    <w:pStyle w:val="37"/>
                    <w:spacing w:after="0" w:line="240" w:lineRule="auto"/>
                    <w:ind w:left="0" w:leftChars="0" w:firstLine="0" w:firstLineChars="0"/>
                    <w:jc w:val="center"/>
                    <w:rPr>
                      <w:rFonts w:hint="eastAsia" w:ascii="Times New Roman" w:hAnsi="Times New Roman" w:eastAsia="宋体" w:cs="Times New Roman"/>
                      <w:b/>
                      <w:bCs/>
                      <w:color w:val="auto"/>
                      <w:spacing w:val="0"/>
                      <w:kern w:val="0"/>
                      <w:position w:val="0"/>
                      <w:sz w:val="18"/>
                      <w:szCs w:val="18"/>
                      <w:highlight w:val="none"/>
                      <w:lang w:val="en-US" w:eastAsia="zh-CN" w:bidi="ar-SA"/>
                    </w:rPr>
                  </w:pPr>
                  <w:r>
                    <w:rPr>
                      <w:rFonts w:hint="eastAsia" w:ascii="Times New Roman" w:hAnsi="Times New Roman" w:eastAsia="宋体" w:cs="Times New Roman"/>
                      <w:b/>
                      <w:bCs/>
                      <w:color w:val="auto"/>
                      <w:spacing w:val="0"/>
                      <w:position w:val="0"/>
                      <w:sz w:val="18"/>
                      <w:szCs w:val="18"/>
                      <w:highlight w:val="none"/>
                    </w:rPr>
                    <w:t>排放量（t/a）</w:t>
                  </w:r>
                </w:p>
              </w:tc>
            </w:tr>
            <w:tr w14:paraId="70D715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vMerge w:val="restart"/>
                  <w:tcBorders>
                    <w:tl2br w:val="nil"/>
                    <w:tr2bl w:val="nil"/>
                  </w:tcBorders>
                  <w:noWrap w:val="0"/>
                  <w:vAlign w:val="center"/>
                </w:tcPr>
                <w:p w14:paraId="20405919">
                  <w:pPr>
                    <w:pStyle w:val="37"/>
                    <w:spacing w:after="0" w:line="240" w:lineRule="auto"/>
                    <w:ind w:left="0" w:leftChars="0" w:firstLine="0" w:firstLineChars="0"/>
                    <w:jc w:val="center"/>
                    <w:rPr>
                      <w:rFonts w:hint="eastAsia" w:ascii="Times New Roman" w:hAnsi="Times New Roman" w:eastAsia="宋体" w:cs="Times New Roman"/>
                      <w:color w:val="auto"/>
                      <w:spacing w:val="0"/>
                      <w:position w:val="0"/>
                      <w:sz w:val="18"/>
                      <w:szCs w:val="18"/>
                      <w:highlight w:val="none"/>
                    </w:rPr>
                  </w:pPr>
                  <w:r>
                    <w:rPr>
                      <w:rFonts w:hint="eastAsia" w:ascii="Times New Roman" w:hAnsi="Times New Roman" w:eastAsia="宋体" w:cs="Times New Roman"/>
                      <w:color w:val="auto"/>
                      <w:spacing w:val="0"/>
                      <w:position w:val="0"/>
                      <w:sz w:val="18"/>
                      <w:szCs w:val="18"/>
                      <w:highlight w:val="none"/>
                    </w:rPr>
                    <w:t>生活污水</w:t>
                  </w:r>
                </w:p>
              </w:tc>
              <w:tc>
                <w:tcPr>
                  <w:tcW w:w="750" w:type="dxa"/>
                  <w:tcBorders>
                    <w:tl2br w:val="nil"/>
                    <w:tr2bl w:val="nil"/>
                  </w:tcBorders>
                  <w:noWrap w:val="0"/>
                  <w:vAlign w:val="center"/>
                </w:tcPr>
                <w:p w14:paraId="6B0FAC40">
                  <w:pPr>
                    <w:pStyle w:val="37"/>
                    <w:spacing w:after="0" w:line="240" w:lineRule="auto"/>
                    <w:ind w:left="0" w:leftChars="0" w:firstLine="0" w:firstLineChars="0"/>
                    <w:jc w:val="center"/>
                    <w:rPr>
                      <w:rFonts w:ascii="Times New Roman" w:hAnsi="Times New Roman" w:eastAsia="宋体" w:cs="Times New Roman"/>
                      <w:color w:val="auto"/>
                      <w:spacing w:val="0"/>
                      <w:position w:val="0"/>
                      <w:sz w:val="18"/>
                      <w:szCs w:val="18"/>
                      <w:highlight w:val="none"/>
                    </w:rPr>
                  </w:pPr>
                  <w:r>
                    <w:rPr>
                      <w:rFonts w:hint="eastAsia" w:ascii="Times New Roman" w:hAnsi="Times New Roman" w:eastAsia="宋体" w:cs="Times New Roman"/>
                      <w:color w:val="auto"/>
                      <w:spacing w:val="0"/>
                      <w:position w:val="0"/>
                      <w:sz w:val="18"/>
                      <w:szCs w:val="18"/>
                      <w:highlight w:val="none"/>
                    </w:rPr>
                    <w:t>COD</w:t>
                  </w:r>
                  <w:r>
                    <w:rPr>
                      <w:rFonts w:hint="eastAsia" w:ascii="Times New Roman" w:hAnsi="Times New Roman" w:eastAsia="宋体" w:cs="Times New Roman"/>
                      <w:color w:val="auto"/>
                      <w:spacing w:val="0"/>
                      <w:position w:val="0"/>
                      <w:sz w:val="18"/>
                      <w:szCs w:val="18"/>
                      <w:highlight w:val="none"/>
                      <w:vertAlign w:val="subscript"/>
                    </w:rPr>
                    <w:t>Cr</w:t>
                  </w:r>
                </w:p>
              </w:tc>
              <w:tc>
                <w:tcPr>
                  <w:tcW w:w="990" w:type="dxa"/>
                  <w:tcBorders>
                    <w:tl2br w:val="nil"/>
                    <w:tr2bl w:val="nil"/>
                  </w:tcBorders>
                  <w:noWrap w:val="0"/>
                  <w:vAlign w:val="center"/>
                </w:tcPr>
                <w:p w14:paraId="01EBE0B8">
                  <w:pPr>
                    <w:keepNext/>
                    <w:keepLines/>
                    <w:pageBreakBefore w:val="0"/>
                    <w:widowControl/>
                    <w:suppressLineNumbers w:val="0"/>
                    <w:kinsoku/>
                    <w:wordWrap w:val="0"/>
                    <w:overflowPunct/>
                    <w:topLinePunct/>
                    <w:autoSpaceDE/>
                    <w:autoSpaceDN/>
                    <w:bidi w:val="0"/>
                    <w:jc w:val="center"/>
                    <w:textAlignment w:val="auto"/>
                    <w:rPr>
                      <w:rFonts w:hint="default" w:ascii="Times New Roman" w:hAnsi="Times New Roman" w:eastAsia="宋体" w:cs="Times New Roman"/>
                      <w:color w:val="auto"/>
                      <w:spacing w:val="0"/>
                      <w:position w:val="0"/>
                      <w:sz w:val="18"/>
                      <w:szCs w:val="18"/>
                      <w:highlight w:val="none"/>
                      <w:lang w:val="en-US" w:eastAsia="zh-CN"/>
                    </w:rPr>
                  </w:pPr>
                </w:p>
              </w:tc>
              <w:tc>
                <w:tcPr>
                  <w:tcW w:w="840" w:type="dxa"/>
                  <w:tcBorders>
                    <w:tl2br w:val="nil"/>
                    <w:tr2bl w:val="nil"/>
                  </w:tcBorders>
                  <w:noWrap w:val="0"/>
                  <w:vAlign w:val="center"/>
                </w:tcPr>
                <w:p w14:paraId="087D54BB">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18"/>
                      <w:szCs w:val="18"/>
                      <w:highlight w:val="none"/>
                      <w:lang w:val="en-US" w:eastAsia="zh-CN"/>
                    </w:rPr>
                  </w:pPr>
                </w:p>
              </w:tc>
              <w:tc>
                <w:tcPr>
                  <w:tcW w:w="1005" w:type="dxa"/>
                  <w:tcBorders>
                    <w:tl2br w:val="nil"/>
                    <w:tr2bl w:val="nil"/>
                  </w:tcBorders>
                  <w:noWrap w:val="0"/>
                  <w:vAlign w:val="center"/>
                </w:tcPr>
                <w:p w14:paraId="58AAA342">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kern w:val="0"/>
                      <w:position w:val="0"/>
                      <w:sz w:val="18"/>
                      <w:szCs w:val="18"/>
                      <w:highlight w:val="none"/>
                      <w:lang w:bidi="ar"/>
                    </w:rPr>
                  </w:pPr>
                </w:p>
              </w:tc>
              <w:tc>
                <w:tcPr>
                  <w:tcW w:w="825" w:type="dxa"/>
                  <w:tcBorders>
                    <w:tl2br w:val="nil"/>
                    <w:tr2bl w:val="nil"/>
                  </w:tcBorders>
                  <w:noWrap w:val="0"/>
                  <w:vAlign w:val="center"/>
                </w:tcPr>
                <w:p w14:paraId="718F6AC0">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18"/>
                      <w:szCs w:val="18"/>
                      <w:highlight w:val="none"/>
                      <w:lang w:val="en-US" w:eastAsia="zh-CN" w:bidi="ar"/>
                    </w:rPr>
                  </w:pPr>
                </w:p>
              </w:tc>
              <w:tc>
                <w:tcPr>
                  <w:tcW w:w="915" w:type="dxa"/>
                  <w:tcBorders>
                    <w:tl2br w:val="nil"/>
                    <w:tr2bl w:val="nil"/>
                  </w:tcBorders>
                  <w:noWrap w:val="0"/>
                  <w:vAlign w:val="center"/>
                </w:tcPr>
                <w:p w14:paraId="05265A4E">
                  <w:pPr>
                    <w:keepNext w:val="0"/>
                    <w:keepLines w:val="0"/>
                    <w:widowControl/>
                    <w:suppressLineNumbers w:val="0"/>
                    <w:jc w:val="center"/>
                    <w:textAlignment w:val="center"/>
                    <w:rPr>
                      <w:rFonts w:hint="default" w:cs="Times New Roman"/>
                      <w:color w:val="auto"/>
                      <w:spacing w:val="0"/>
                      <w:position w:val="0"/>
                      <w:sz w:val="18"/>
                      <w:szCs w:val="18"/>
                      <w:highlight w:val="none"/>
                      <w:lang w:val="en-US" w:eastAsia="zh-CN" w:bidi="ar"/>
                    </w:rPr>
                  </w:pPr>
                </w:p>
              </w:tc>
              <w:tc>
                <w:tcPr>
                  <w:tcW w:w="870" w:type="dxa"/>
                  <w:tcBorders>
                    <w:tl2br w:val="nil"/>
                    <w:tr2bl w:val="nil"/>
                  </w:tcBorders>
                  <w:noWrap w:val="0"/>
                  <w:vAlign w:val="center"/>
                </w:tcPr>
                <w:p w14:paraId="6A552B0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1095" w:type="dxa"/>
                  <w:tcBorders>
                    <w:tl2br w:val="nil"/>
                    <w:tr2bl w:val="nil"/>
                  </w:tcBorders>
                  <w:noWrap w:val="0"/>
                  <w:vAlign w:val="center"/>
                </w:tcPr>
                <w:p w14:paraId="271266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1072" w:type="dxa"/>
                  <w:tcBorders>
                    <w:tl2br w:val="nil"/>
                    <w:tr2bl w:val="nil"/>
                  </w:tcBorders>
                  <w:noWrap w:val="0"/>
                  <w:vAlign w:val="center"/>
                </w:tcPr>
                <w:p w14:paraId="15C3F79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r>
            <w:tr w14:paraId="108C00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vMerge w:val="continue"/>
                  <w:tcBorders>
                    <w:tl2br w:val="nil"/>
                    <w:tr2bl w:val="nil"/>
                  </w:tcBorders>
                  <w:noWrap w:val="0"/>
                  <w:vAlign w:val="center"/>
                </w:tcPr>
                <w:p w14:paraId="449A6EA1">
                  <w:pPr>
                    <w:pStyle w:val="37"/>
                    <w:spacing w:after="0" w:line="240" w:lineRule="auto"/>
                    <w:ind w:left="0" w:leftChars="0" w:firstLine="0" w:firstLineChars="0"/>
                    <w:jc w:val="center"/>
                    <w:rPr>
                      <w:rFonts w:ascii="Times New Roman" w:hAnsi="Times New Roman" w:eastAsia="宋体" w:cs="Times New Roman"/>
                      <w:color w:val="auto"/>
                      <w:spacing w:val="0"/>
                      <w:position w:val="0"/>
                      <w:sz w:val="18"/>
                      <w:szCs w:val="18"/>
                      <w:highlight w:val="none"/>
                    </w:rPr>
                  </w:pPr>
                </w:p>
              </w:tc>
              <w:tc>
                <w:tcPr>
                  <w:tcW w:w="750" w:type="dxa"/>
                  <w:tcBorders>
                    <w:tl2br w:val="nil"/>
                    <w:tr2bl w:val="nil"/>
                  </w:tcBorders>
                  <w:noWrap w:val="0"/>
                  <w:vAlign w:val="center"/>
                </w:tcPr>
                <w:p w14:paraId="51E2B9B1">
                  <w:pPr>
                    <w:pStyle w:val="37"/>
                    <w:spacing w:after="0" w:line="240" w:lineRule="auto"/>
                    <w:ind w:left="0" w:leftChars="0" w:firstLine="0" w:firstLineChars="0"/>
                    <w:jc w:val="center"/>
                    <w:rPr>
                      <w:rFonts w:ascii="Times New Roman" w:hAnsi="Times New Roman" w:eastAsia="宋体" w:cs="Times New Roman"/>
                      <w:color w:val="auto"/>
                      <w:spacing w:val="0"/>
                      <w:position w:val="0"/>
                      <w:sz w:val="18"/>
                      <w:szCs w:val="18"/>
                      <w:highlight w:val="none"/>
                    </w:rPr>
                  </w:pPr>
                  <w:r>
                    <w:rPr>
                      <w:rFonts w:hint="eastAsia" w:ascii="Times New Roman" w:hAnsi="Times New Roman" w:eastAsia="宋体" w:cs="Times New Roman"/>
                      <w:color w:val="auto"/>
                      <w:spacing w:val="0"/>
                      <w:position w:val="0"/>
                      <w:sz w:val="18"/>
                      <w:szCs w:val="18"/>
                      <w:highlight w:val="none"/>
                    </w:rPr>
                    <w:t>BOD</w:t>
                  </w:r>
                  <w:r>
                    <w:rPr>
                      <w:rFonts w:hint="eastAsia" w:ascii="Times New Roman" w:hAnsi="Times New Roman" w:eastAsia="宋体" w:cs="Times New Roman"/>
                      <w:color w:val="auto"/>
                      <w:spacing w:val="0"/>
                      <w:position w:val="0"/>
                      <w:sz w:val="18"/>
                      <w:szCs w:val="18"/>
                      <w:highlight w:val="none"/>
                      <w:vertAlign w:val="subscript"/>
                    </w:rPr>
                    <w:t>5</w:t>
                  </w:r>
                </w:p>
              </w:tc>
              <w:tc>
                <w:tcPr>
                  <w:tcW w:w="990" w:type="dxa"/>
                  <w:tcBorders>
                    <w:tl2br w:val="nil"/>
                    <w:tr2bl w:val="nil"/>
                  </w:tcBorders>
                  <w:noWrap w:val="0"/>
                  <w:vAlign w:val="center"/>
                </w:tcPr>
                <w:p w14:paraId="76134F88">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position w:val="0"/>
                      <w:sz w:val="18"/>
                      <w:szCs w:val="18"/>
                      <w:highlight w:val="none"/>
                    </w:rPr>
                  </w:pPr>
                </w:p>
              </w:tc>
              <w:tc>
                <w:tcPr>
                  <w:tcW w:w="840" w:type="dxa"/>
                  <w:tcBorders>
                    <w:tl2br w:val="nil"/>
                    <w:tr2bl w:val="nil"/>
                  </w:tcBorders>
                  <w:noWrap w:val="0"/>
                  <w:vAlign w:val="center"/>
                </w:tcPr>
                <w:p w14:paraId="05F48913">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18"/>
                      <w:szCs w:val="18"/>
                      <w:highlight w:val="none"/>
                      <w:lang w:val="en-US" w:eastAsia="zh-CN"/>
                    </w:rPr>
                  </w:pPr>
                </w:p>
              </w:tc>
              <w:tc>
                <w:tcPr>
                  <w:tcW w:w="1005" w:type="dxa"/>
                  <w:tcBorders>
                    <w:tl2br w:val="nil"/>
                    <w:tr2bl w:val="nil"/>
                  </w:tcBorders>
                  <w:noWrap w:val="0"/>
                  <w:vAlign w:val="center"/>
                </w:tcPr>
                <w:p w14:paraId="55C73EC0">
                  <w:pPr>
                    <w:keepNext/>
                    <w:keepLines/>
                    <w:pageBreakBefore w:val="0"/>
                    <w:widowControl/>
                    <w:suppressLineNumbers w:val="0"/>
                    <w:kinsoku/>
                    <w:wordWrap w:val="0"/>
                    <w:overflowPunct/>
                    <w:topLinePunct/>
                    <w:autoSpaceDE/>
                    <w:autoSpaceDN/>
                    <w:bidi w:val="0"/>
                    <w:jc w:val="center"/>
                    <w:textAlignment w:val="auto"/>
                    <w:rPr>
                      <w:rFonts w:hint="default" w:ascii="Times New Roman" w:hAnsi="Times New Roman" w:eastAsia="宋体" w:cs="Times New Roman"/>
                      <w:color w:val="auto"/>
                      <w:spacing w:val="0"/>
                      <w:kern w:val="0"/>
                      <w:position w:val="0"/>
                      <w:sz w:val="18"/>
                      <w:szCs w:val="18"/>
                      <w:highlight w:val="none"/>
                      <w:lang w:val="en-US" w:bidi="ar"/>
                    </w:rPr>
                  </w:pPr>
                </w:p>
              </w:tc>
              <w:tc>
                <w:tcPr>
                  <w:tcW w:w="825" w:type="dxa"/>
                  <w:tcBorders>
                    <w:tl2br w:val="nil"/>
                    <w:tr2bl w:val="nil"/>
                  </w:tcBorders>
                  <w:noWrap w:val="0"/>
                  <w:vAlign w:val="center"/>
                </w:tcPr>
                <w:p w14:paraId="4C6EBE3E">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18"/>
                      <w:szCs w:val="18"/>
                      <w:highlight w:val="none"/>
                      <w:lang w:val="en-US" w:eastAsia="zh-CN" w:bidi="ar"/>
                    </w:rPr>
                  </w:pPr>
                </w:p>
              </w:tc>
              <w:tc>
                <w:tcPr>
                  <w:tcW w:w="915" w:type="dxa"/>
                  <w:tcBorders>
                    <w:tl2br w:val="nil"/>
                    <w:tr2bl w:val="nil"/>
                  </w:tcBorders>
                  <w:noWrap w:val="0"/>
                  <w:vAlign w:val="center"/>
                </w:tcPr>
                <w:p w14:paraId="723BDC80">
                  <w:pPr>
                    <w:keepNext w:val="0"/>
                    <w:keepLines w:val="0"/>
                    <w:widowControl/>
                    <w:suppressLineNumbers w:val="0"/>
                    <w:jc w:val="center"/>
                    <w:textAlignment w:val="center"/>
                    <w:rPr>
                      <w:rFonts w:hint="default" w:cs="Times New Roman"/>
                      <w:color w:val="auto"/>
                      <w:spacing w:val="0"/>
                      <w:position w:val="0"/>
                      <w:sz w:val="18"/>
                      <w:szCs w:val="18"/>
                      <w:highlight w:val="none"/>
                      <w:lang w:val="en-US" w:eastAsia="zh-CN" w:bidi="ar"/>
                    </w:rPr>
                  </w:pPr>
                </w:p>
              </w:tc>
              <w:tc>
                <w:tcPr>
                  <w:tcW w:w="870" w:type="dxa"/>
                  <w:tcBorders>
                    <w:tl2br w:val="nil"/>
                    <w:tr2bl w:val="nil"/>
                  </w:tcBorders>
                  <w:noWrap w:val="0"/>
                  <w:vAlign w:val="center"/>
                </w:tcPr>
                <w:p w14:paraId="77165B2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1095" w:type="dxa"/>
                  <w:tcBorders>
                    <w:tl2br w:val="nil"/>
                    <w:tr2bl w:val="nil"/>
                  </w:tcBorders>
                  <w:noWrap w:val="0"/>
                  <w:vAlign w:val="center"/>
                </w:tcPr>
                <w:p w14:paraId="4BA1E5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1072" w:type="dxa"/>
                  <w:tcBorders>
                    <w:tl2br w:val="nil"/>
                    <w:tr2bl w:val="nil"/>
                  </w:tcBorders>
                  <w:noWrap w:val="0"/>
                  <w:vAlign w:val="center"/>
                </w:tcPr>
                <w:p w14:paraId="62FCB47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r>
            <w:tr w14:paraId="7EFF73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vMerge w:val="continue"/>
                  <w:tcBorders>
                    <w:tl2br w:val="nil"/>
                    <w:tr2bl w:val="nil"/>
                  </w:tcBorders>
                  <w:noWrap w:val="0"/>
                  <w:vAlign w:val="center"/>
                </w:tcPr>
                <w:p w14:paraId="265F02B7">
                  <w:pPr>
                    <w:pStyle w:val="37"/>
                    <w:spacing w:after="0" w:line="240" w:lineRule="auto"/>
                    <w:ind w:left="0" w:leftChars="0" w:firstLine="0" w:firstLineChars="0"/>
                    <w:jc w:val="center"/>
                    <w:rPr>
                      <w:rFonts w:ascii="Times New Roman" w:hAnsi="Times New Roman" w:eastAsia="宋体" w:cs="Times New Roman"/>
                      <w:color w:val="auto"/>
                      <w:spacing w:val="0"/>
                      <w:position w:val="0"/>
                      <w:sz w:val="18"/>
                      <w:szCs w:val="18"/>
                      <w:highlight w:val="none"/>
                    </w:rPr>
                  </w:pPr>
                </w:p>
              </w:tc>
              <w:tc>
                <w:tcPr>
                  <w:tcW w:w="750" w:type="dxa"/>
                  <w:tcBorders>
                    <w:tl2br w:val="nil"/>
                    <w:tr2bl w:val="nil"/>
                  </w:tcBorders>
                  <w:noWrap w:val="0"/>
                  <w:vAlign w:val="center"/>
                </w:tcPr>
                <w:p w14:paraId="77C9E7FE">
                  <w:pPr>
                    <w:pStyle w:val="37"/>
                    <w:spacing w:after="0" w:line="240" w:lineRule="auto"/>
                    <w:ind w:left="0" w:leftChars="0" w:firstLine="0" w:firstLineChars="0"/>
                    <w:jc w:val="center"/>
                    <w:rPr>
                      <w:rFonts w:ascii="Times New Roman" w:hAnsi="Times New Roman" w:eastAsia="宋体" w:cs="Times New Roman"/>
                      <w:color w:val="auto"/>
                      <w:spacing w:val="0"/>
                      <w:position w:val="0"/>
                      <w:sz w:val="18"/>
                      <w:szCs w:val="18"/>
                      <w:highlight w:val="none"/>
                    </w:rPr>
                  </w:pPr>
                  <w:r>
                    <w:rPr>
                      <w:rFonts w:hint="eastAsia" w:ascii="Times New Roman" w:hAnsi="Times New Roman" w:eastAsia="宋体" w:cs="Times New Roman"/>
                      <w:color w:val="auto"/>
                      <w:spacing w:val="0"/>
                      <w:position w:val="0"/>
                      <w:sz w:val="18"/>
                      <w:szCs w:val="18"/>
                      <w:highlight w:val="none"/>
                    </w:rPr>
                    <w:t>SS</w:t>
                  </w:r>
                </w:p>
              </w:tc>
              <w:tc>
                <w:tcPr>
                  <w:tcW w:w="990" w:type="dxa"/>
                  <w:tcBorders>
                    <w:tl2br w:val="nil"/>
                    <w:tr2bl w:val="nil"/>
                  </w:tcBorders>
                  <w:noWrap w:val="0"/>
                  <w:vAlign w:val="center"/>
                </w:tcPr>
                <w:p w14:paraId="52C1CAD3">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position w:val="0"/>
                      <w:sz w:val="18"/>
                      <w:szCs w:val="18"/>
                      <w:highlight w:val="none"/>
                    </w:rPr>
                  </w:pPr>
                </w:p>
              </w:tc>
              <w:tc>
                <w:tcPr>
                  <w:tcW w:w="840" w:type="dxa"/>
                  <w:tcBorders>
                    <w:tl2br w:val="nil"/>
                    <w:tr2bl w:val="nil"/>
                  </w:tcBorders>
                  <w:noWrap w:val="0"/>
                  <w:vAlign w:val="center"/>
                </w:tcPr>
                <w:p w14:paraId="448639B0">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18"/>
                      <w:szCs w:val="18"/>
                      <w:highlight w:val="none"/>
                      <w:lang w:val="en-US" w:eastAsia="zh-CN"/>
                    </w:rPr>
                  </w:pPr>
                </w:p>
              </w:tc>
              <w:tc>
                <w:tcPr>
                  <w:tcW w:w="1005" w:type="dxa"/>
                  <w:tcBorders>
                    <w:tl2br w:val="nil"/>
                    <w:tr2bl w:val="nil"/>
                  </w:tcBorders>
                  <w:noWrap w:val="0"/>
                  <w:vAlign w:val="center"/>
                </w:tcPr>
                <w:p w14:paraId="1FABDBA1">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position w:val="0"/>
                      <w:sz w:val="18"/>
                      <w:szCs w:val="18"/>
                      <w:highlight w:val="none"/>
                    </w:rPr>
                  </w:pPr>
                </w:p>
              </w:tc>
              <w:tc>
                <w:tcPr>
                  <w:tcW w:w="825" w:type="dxa"/>
                  <w:tcBorders>
                    <w:tl2br w:val="nil"/>
                    <w:tr2bl w:val="nil"/>
                  </w:tcBorders>
                  <w:noWrap w:val="0"/>
                  <w:vAlign w:val="center"/>
                </w:tcPr>
                <w:p w14:paraId="156CD1C0">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18"/>
                      <w:szCs w:val="18"/>
                      <w:highlight w:val="none"/>
                      <w:lang w:val="en-US" w:eastAsia="zh-CN"/>
                    </w:rPr>
                  </w:pPr>
                </w:p>
              </w:tc>
              <w:tc>
                <w:tcPr>
                  <w:tcW w:w="915" w:type="dxa"/>
                  <w:tcBorders>
                    <w:tl2br w:val="nil"/>
                    <w:tr2bl w:val="nil"/>
                  </w:tcBorders>
                  <w:noWrap w:val="0"/>
                  <w:vAlign w:val="center"/>
                </w:tcPr>
                <w:p w14:paraId="0C2085AA">
                  <w:pPr>
                    <w:keepNext w:val="0"/>
                    <w:keepLines w:val="0"/>
                    <w:widowControl/>
                    <w:suppressLineNumbers w:val="0"/>
                    <w:jc w:val="center"/>
                    <w:textAlignment w:val="center"/>
                    <w:rPr>
                      <w:rFonts w:hint="default" w:cs="Times New Roman"/>
                      <w:color w:val="auto"/>
                      <w:spacing w:val="0"/>
                      <w:position w:val="0"/>
                      <w:sz w:val="18"/>
                      <w:szCs w:val="18"/>
                      <w:highlight w:val="none"/>
                      <w:lang w:val="en-US" w:eastAsia="zh-CN"/>
                    </w:rPr>
                  </w:pPr>
                </w:p>
              </w:tc>
              <w:tc>
                <w:tcPr>
                  <w:tcW w:w="870" w:type="dxa"/>
                  <w:tcBorders>
                    <w:tl2br w:val="nil"/>
                    <w:tr2bl w:val="nil"/>
                  </w:tcBorders>
                  <w:noWrap w:val="0"/>
                  <w:vAlign w:val="center"/>
                </w:tcPr>
                <w:p w14:paraId="5962948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1095" w:type="dxa"/>
                  <w:tcBorders>
                    <w:tl2br w:val="nil"/>
                    <w:tr2bl w:val="nil"/>
                  </w:tcBorders>
                  <w:noWrap w:val="0"/>
                  <w:vAlign w:val="center"/>
                </w:tcPr>
                <w:p w14:paraId="2EE189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1072" w:type="dxa"/>
                  <w:tcBorders>
                    <w:tl2br w:val="nil"/>
                    <w:tr2bl w:val="nil"/>
                  </w:tcBorders>
                  <w:noWrap w:val="0"/>
                  <w:vAlign w:val="center"/>
                </w:tcPr>
                <w:p w14:paraId="5FE1099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r>
            <w:tr w14:paraId="35D21D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vMerge w:val="continue"/>
                  <w:tcBorders>
                    <w:tl2br w:val="nil"/>
                    <w:tr2bl w:val="nil"/>
                  </w:tcBorders>
                  <w:noWrap w:val="0"/>
                  <w:vAlign w:val="center"/>
                </w:tcPr>
                <w:p w14:paraId="7FCA103E">
                  <w:pPr>
                    <w:pStyle w:val="37"/>
                    <w:spacing w:after="0" w:line="240" w:lineRule="auto"/>
                    <w:ind w:left="0" w:leftChars="0" w:firstLine="0" w:firstLineChars="0"/>
                    <w:jc w:val="center"/>
                    <w:rPr>
                      <w:rFonts w:ascii="Times New Roman" w:hAnsi="Times New Roman" w:eastAsia="宋体" w:cs="Times New Roman"/>
                      <w:color w:val="auto"/>
                      <w:spacing w:val="0"/>
                      <w:position w:val="0"/>
                      <w:sz w:val="18"/>
                      <w:szCs w:val="18"/>
                      <w:highlight w:val="none"/>
                    </w:rPr>
                  </w:pPr>
                </w:p>
              </w:tc>
              <w:tc>
                <w:tcPr>
                  <w:tcW w:w="750" w:type="dxa"/>
                  <w:tcBorders>
                    <w:tl2br w:val="nil"/>
                    <w:tr2bl w:val="nil"/>
                  </w:tcBorders>
                  <w:noWrap w:val="0"/>
                  <w:vAlign w:val="center"/>
                </w:tcPr>
                <w:p w14:paraId="2056E375">
                  <w:pPr>
                    <w:pStyle w:val="37"/>
                    <w:spacing w:after="0" w:line="240" w:lineRule="auto"/>
                    <w:ind w:left="0" w:leftChars="0" w:firstLine="0" w:firstLineChars="0"/>
                    <w:jc w:val="center"/>
                    <w:rPr>
                      <w:rFonts w:ascii="Times New Roman" w:hAnsi="Times New Roman" w:eastAsia="宋体" w:cs="Times New Roman"/>
                      <w:color w:val="auto"/>
                      <w:spacing w:val="0"/>
                      <w:position w:val="0"/>
                      <w:sz w:val="18"/>
                      <w:szCs w:val="18"/>
                      <w:highlight w:val="none"/>
                    </w:rPr>
                  </w:pPr>
                  <w:r>
                    <w:rPr>
                      <w:rFonts w:hint="eastAsia" w:ascii="Times New Roman" w:hAnsi="Times New Roman" w:eastAsia="宋体" w:cs="Times New Roman"/>
                      <w:color w:val="auto"/>
                      <w:spacing w:val="0"/>
                      <w:position w:val="0"/>
                      <w:sz w:val="18"/>
                      <w:szCs w:val="18"/>
                      <w:highlight w:val="none"/>
                      <w:lang w:bidi="ar"/>
                    </w:rPr>
                    <w:t>氨氮</w:t>
                  </w:r>
                </w:p>
              </w:tc>
              <w:tc>
                <w:tcPr>
                  <w:tcW w:w="990" w:type="dxa"/>
                  <w:tcBorders>
                    <w:tl2br w:val="nil"/>
                    <w:tr2bl w:val="nil"/>
                  </w:tcBorders>
                  <w:noWrap w:val="0"/>
                  <w:vAlign w:val="center"/>
                </w:tcPr>
                <w:p w14:paraId="2345ADC7">
                  <w:pPr>
                    <w:keepNext/>
                    <w:keepLines/>
                    <w:pageBreakBefore w:val="0"/>
                    <w:widowControl/>
                    <w:suppressLineNumbers w:val="0"/>
                    <w:kinsoku/>
                    <w:wordWrap w:val="0"/>
                    <w:overflowPunct/>
                    <w:topLinePunct/>
                    <w:autoSpaceDE/>
                    <w:autoSpaceDN/>
                    <w:bidi w:val="0"/>
                    <w:jc w:val="center"/>
                    <w:textAlignment w:val="auto"/>
                    <w:rPr>
                      <w:rFonts w:hint="default" w:ascii="Times New Roman" w:hAnsi="Times New Roman" w:eastAsia="宋体" w:cs="Times New Roman"/>
                      <w:color w:val="auto"/>
                      <w:spacing w:val="0"/>
                      <w:position w:val="0"/>
                      <w:sz w:val="18"/>
                      <w:szCs w:val="18"/>
                      <w:highlight w:val="none"/>
                      <w:lang w:val="en-US"/>
                    </w:rPr>
                  </w:pPr>
                </w:p>
              </w:tc>
              <w:tc>
                <w:tcPr>
                  <w:tcW w:w="840" w:type="dxa"/>
                  <w:tcBorders>
                    <w:tl2br w:val="nil"/>
                    <w:tr2bl w:val="nil"/>
                  </w:tcBorders>
                  <w:noWrap w:val="0"/>
                  <w:vAlign w:val="center"/>
                </w:tcPr>
                <w:p w14:paraId="6C9B6C1F">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18"/>
                      <w:szCs w:val="18"/>
                      <w:highlight w:val="none"/>
                      <w:lang w:val="en-US" w:eastAsia="zh-CN"/>
                    </w:rPr>
                  </w:pPr>
                </w:p>
              </w:tc>
              <w:tc>
                <w:tcPr>
                  <w:tcW w:w="1005" w:type="dxa"/>
                  <w:tcBorders>
                    <w:tl2br w:val="nil"/>
                    <w:tr2bl w:val="nil"/>
                  </w:tcBorders>
                  <w:noWrap w:val="0"/>
                  <w:vAlign w:val="center"/>
                </w:tcPr>
                <w:p w14:paraId="080DB0B2">
                  <w:pPr>
                    <w:keepNext/>
                    <w:keepLines/>
                    <w:pageBreakBefore w:val="0"/>
                    <w:widowControl/>
                    <w:suppressLineNumbers w:val="0"/>
                    <w:kinsoku/>
                    <w:wordWrap w:val="0"/>
                    <w:overflowPunct/>
                    <w:topLinePunct/>
                    <w:autoSpaceDE/>
                    <w:autoSpaceDN/>
                    <w:bidi w:val="0"/>
                    <w:jc w:val="center"/>
                    <w:textAlignment w:val="auto"/>
                    <w:rPr>
                      <w:rFonts w:hint="default" w:ascii="Times New Roman" w:hAnsi="Times New Roman" w:eastAsia="宋体" w:cs="Times New Roman"/>
                      <w:color w:val="auto"/>
                      <w:spacing w:val="0"/>
                      <w:kern w:val="0"/>
                      <w:position w:val="0"/>
                      <w:sz w:val="18"/>
                      <w:szCs w:val="18"/>
                      <w:highlight w:val="none"/>
                      <w:lang w:val="en-US" w:eastAsia="zh-CN" w:bidi="ar"/>
                    </w:rPr>
                  </w:pPr>
                </w:p>
              </w:tc>
              <w:tc>
                <w:tcPr>
                  <w:tcW w:w="825" w:type="dxa"/>
                  <w:tcBorders>
                    <w:tl2br w:val="nil"/>
                    <w:tr2bl w:val="nil"/>
                  </w:tcBorders>
                  <w:noWrap w:val="0"/>
                  <w:vAlign w:val="center"/>
                </w:tcPr>
                <w:p w14:paraId="06B2AE14">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18"/>
                      <w:szCs w:val="18"/>
                      <w:highlight w:val="none"/>
                      <w:lang w:val="en-US" w:eastAsia="zh-CN" w:bidi="ar"/>
                    </w:rPr>
                  </w:pPr>
                </w:p>
              </w:tc>
              <w:tc>
                <w:tcPr>
                  <w:tcW w:w="915" w:type="dxa"/>
                  <w:tcBorders>
                    <w:tl2br w:val="nil"/>
                    <w:tr2bl w:val="nil"/>
                  </w:tcBorders>
                  <w:noWrap w:val="0"/>
                  <w:vAlign w:val="center"/>
                </w:tcPr>
                <w:p w14:paraId="5DE41C39">
                  <w:pPr>
                    <w:keepNext w:val="0"/>
                    <w:keepLines w:val="0"/>
                    <w:widowControl/>
                    <w:suppressLineNumbers w:val="0"/>
                    <w:jc w:val="center"/>
                    <w:textAlignment w:val="center"/>
                    <w:rPr>
                      <w:rFonts w:hint="default" w:cs="Times New Roman"/>
                      <w:color w:val="auto"/>
                      <w:spacing w:val="0"/>
                      <w:position w:val="0"/>
                      <w:sz w:val="18"/>
                      <w:szCs w:val="18"/>
                      <w:highlight w:val="none"/>
                      <w:lang w:val="en-US" w:eastAsia="zh-CN" w:bidi="ar"/>
                    </w:rPr>
                  </w:pPr>
                </w:p>
              </w:tc>
              <w:tc>
                <w:tcPr>
                  <w:tcW w:w="870" w:type="dxa"/>
                  <w:tcBorders>
                    <w:tl2br w:val="nil"/>
                    <w:tr2bl w:val="nil"/>
                  </w:tcBorders>
                  <w:noWrap w:val="0"/>
                  <w:vAlign w:val="center"/>
                </w:tcPr>
                <w:p w14:paraId="616499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1095" w:type="dxa"/>
                  <w:tcBorders>
                    <w:tl2br w:val="nil"/>
                    <w:tr2bl w:val="nil"/>
                  </w:tcBorders>
                  <w:noWrap w:val="0"/>
                  <w:vAlign w:val="center"/>
                </w:tcPr>
                <w:p w14:paraId="7FB908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1072" w:type="dxa"/>
                  <w:tcBorders>
                    <w:tl2br w:val="nil"/>
                    <w:tr2bl w:val="nil"/>
                  </w:tcBorders>
                  <w:noWrap w:val="0"/>
                  <w:vAlign w:val="center"/>
                </w:tcPr>
                <w:p w14:paraId="3DE9CB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r>
            <w:tr w14:paraId="751695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vMerge w:val="continue"/>
                  <w:tcBorders>
                    <w:tl2br w:val="nil"/>
                    <w:tr2bl w:val="nil"/>
                  </w:tcBorders>
                  <w:noWrap w:val="0"/>
                  <w:vAlign w:val="center"/>
                </w:tcPr>
                <w:p w14:paraId="1C8D3115">
                  <w:pPr>
                    <w:pStyle w:val="37"/>
                    <w:spacing w:after="0" w:line="240" w:lineRule="auto"/>
                    <w:ind w:left="0" w:leftChars="0" w:firstLine="0" w:firstLineChars="0"/>
                    <w:jc w:val="center"/>
                    <w:rPr>
                      <w:rFonts w:ascii="Times New Roman" w:hAnsi="Times New Roman" w:eastAsia="宋体" w:cs="Times New Roman"/>
                      <w:color w:val="auto"/>
                      <w:spacing w:val="0"/>
                      <w:position w:val="0"/>
                      <w:sz w:val="18"/>
                      <w:szCs w:val="18"/>
                      <w:highlight w:val="none"/>
                    </w:rPr>
                  </w:pPr>
                </w:p>
              </w:tc>
              <w:tc>
                <w:tcPr>
                  <w:tcW w:w="750" w:type="dxa"/>
                  <w:tcBorders>
                    <w:tl2br w:val="nil"/>
                    <w:tr2bl w:val="nil"/>
                  </w:tcBorders>
                  <w:noWrap w:val="0"/>
                  <w:vAlign w:val="center"/>
                </w:tcPr>
                <w:p w14:paraId="228023EA">
                  <w:pPr>
                    <w:pStyle w:val="37"/>
                    <w:spacing w:after="0" w:line="240" w:lineRule="auto"/>
                    <w:ind w:left="0" w:leftChars="0" w:firstLine="0" w:firstLineChars="0"/>
                    <w:jc w:val="center"/>
                    <w:rPr>
                      <w:rFonts w:hint="eastAsia" w:ascii="Times New Roman" w:hAnsi="Times New Roman" w:eastAsia="宋体" w:cs="Times New Roman"/>
                      <w:color w:val="auto"/>
                      <w:spacing w:val="0"/>
                      <w:position w:val="0"/>
                      <w:sz w:val="18"/>
                      <w:szCs w:val="18"/>
                      <w:highlight w:val="none"/>
                    </w:rPr>
                  </w:pPr>
                  <w:r>
                    <w:rPr>
                      <w:rFonts w:hint="eastAsia" w:ascii="Times New Roman" w:hAnsi="Times New Roman" w:eastAsia="宋体" w:cs="Times New Roman"/>
                      <w:color w:val="auto"/>
                      <w:spacing w:val="0"/>
                      <w:position w:val="0"/>
                      <w:sz w:val="18"/>
                      <w:szCs w:val="18"/>
                      <w:highlight w:val="none"/>
                    </w:rPr>
                    <w:t>总氮</w:t>
                  </w:r>
                </w:p>
              </w:tc>
              <w:tc>
                <w:tcPr>
                  <w:tcW w:w="990" w:type="dxa"/>
                  <w:tcBorders>
                    <w:tl2br w:val="nil"/>
                    <w:tr2bl w:val="nil"/>
                  </w:tcBorders>
                  <w:noWrap w:val="0"/>
                  <w:vAlign w:val="center"/>
                </w:tcPr>
                <w:p w14:paraId="2465837E">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position w:val="0"/>
                      <w:sz w:val="18"/>
                      <w:szCs w:val="18"/>
                      <w:highlight w:val="none"/>
                    </w:rPr>
                  </w:pPr>
                </w:p>
              </w:tc>
              <w:tc>
                <w:tcPr>
                  <w:tcW w:w="840" w:type="dxa"/>
                  <w:tcBorders>
                    <w:tl2br w:val="nil"/>
                    <w:tr2bl w:val="nil"/>
                  </w:tcBorders>
                  <w:noWrap w:val="0"/>
                  <w:vAlign w:val="center"/>
                </w:tcPr>
                <w:p w14:paraId="07927234">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18"/>
                      <w:szCs w:val="18"/>
                      <w:highlight w:val="none"/>
                      <w:lang w:val="en-US" w:eastAsia="zh-CN"/>
                    </w:rPr>
                  </w:pPr>
                </w:p>
              </w:tc>
              <w:tc>
                <w:tcPr>
                  <w:tcW w:w="1005" w:type="dxa"/>
                  <w:tcBorders>
                    <w:tl2br w:val="nil"/>
                    <w:tr2bl w:val="nil"/>
                  </w:tcBorders>
                  <w:noWrap w:val="0"/>
                  <w:vAlign w:val="center"/>
                </w:tcPr>
                <w:p w14:paraId="65D370DF">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kern w:val="0"/>
                      <w:position w:val="0"/>
                      <w:sz w:val="18"/>
                      <w:szCs w:val="18"/>
                      <w:highlight w:val="none"/>
                      <w:lang w:bidi="ar"/>
                    </w:rPr>
                  </w:pPr>
                </w:p>
              </w:tc>
              <w:tc>
                <w:tcPr>
                  <w:tcW w:w="825" w:type="dxa"/>
                  <w:tcBorders>
                    <w:tl2br w:val="nil"/>
                    <w:tr2bl w:val="nil"/>
                  </w:tcBorders>
                  <w:noWrap w:val="0"/>
                  <w:vAlign w:val="center"/>
                </w:tcPr>
                <w:p w14:paraId="7F5064BF">
                  <w:pPr>
                    <w:keepNext w:val="0"/>
                    <w:keepLines w:val="0"/>
                    <w:widowControl/>
                    <w:suppressLineNumbers w:val="0"/>
                    <w:jc w:val="center"/>
                    <w:textAlignment w:val="center"/>
                    <w:rPr>
                      <w:rFonts w:ascii="Times New Roman" w:hAnsi="Times New Roman" w:eastAsia="宋体" w:cs="Times New Roman"/>
                      <w:color w:val="auto"/>
                      <w:spacing w:val="0"/>
                      <w:position w:val="0"/>
                      <w:sz w:val="18"/>
                      <w:szCs w:val="18"/>
                      <w:highlight w:val="none"/>
                      <w:lang w:bidi="ar"/>
                    </w:rPr>
                  </w:pPr>
                </w:p>
              </w:tc>
              <w:tc>
                <w:tcPr>
                  <w:tcW w:w="915" w:type="dxa"/>
                  <w:tcBorders>
                    <w:tl2br w:val="nil"/>
                    <w:tr2bl w:val="nil"/>
                  </w:tcBorders>
                  <w:noWrap w:val="0"/>
                  <w:vAlign w:val="center"/>
                </w:tcPr>
                <w:p w14:paraId="68ED5621">
                  <w:pPr>
                    <w:keepNext w:val="0"/>
                    <w:keepLines w:val="0"/>
                    <w:widowControl/>
                    <w:suppressLineNumbers w:val="0"/>
                    <w:jc w:val="center"/>
                    <w:textAlignment w:val="center"/>
                    <w:rPr>
                      <w:rFonts w:hint="default" w:cs="Times New Roman"/>
                      <w:color w:val="auto"/>
                      <w:spacing w:val="0"/>
                      <w:position w:val="0"/>
                      <w:sz w:val="18"/>
                      <w:szCs w:val="18"/>
                      <w:highlight w:val="none"/>
                      <w:lang w:val="en-US" w:eastAsia="zh-CN" w:bidi="ar"/>
                    </w:rPr>
                  </w:pPr>
                </w:p>
              </w:tc>
              <w:tc>
                <w:tcPr>
                  <w:tcW w:w="870" w:type="dxa"/>
                  <w:tcBorders>
                    <w:tl2br w:val="nil"/>
                    <w:tr2bl w:val="nil"/>
                  </w:tcBorders>
                  <w:noWrap w:val="0"/>
                  <w:vAlign w:val="center"/>
                </w:tcPr>
                <w:p w14:paraId="2EC1353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1095" w:type="dxa"/>
                  <w:tcBorders>
                    <w:tl2br w:val="nil"/>
                    <w:tr2bl w:val="nil"/>
                  </w:tcBorders>
                  <w:noWrap w:val="0"/>
                  <w:vAlign w:val="center"/>
                </w:tcPr>
                <w:p w14:paraId="5D3AEC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1072" w:type="dxa"/>
                  <w:tcBorders>
                    <w:tl2br w:val="nil"/>
                    <w:tr2bl w:val="nil"/>
                  </w:tcBorders>
                  <w:noWrap w:val="0"/>
                  <w:vAlign w:val="center"/>
                </w:tcPr>
                <w:p w14:paraId="766172E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r>
            <w:tr w14:paraId="44B76D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vMerge w:val="continue"/>
                  <w:tcBorders>
                    <w:tl2br w:val="nil"/>
                    <w:tr2bl w:val="nil"/>
                  </w:tcBorders>
                  <w:noWrap w:val="0"/>
                  <w:vAlign w:val="center"/>
                </w:tcPr>
                <w:p w14:paraId="08CC17DF">
                  <w:pPr>
                    <w:pStyle w:val="37"/>
                    <w:spacing w:after="0" w:line="240" w:lineRule="auto"/>
                    <w:ind w:left="0" w:leftChars="0" w:firstLine="0" w:firstLineChars="0"/>
                    <w:jc w:val="center"/>
                    <w:rPr>
                      <w:rFonts w:ascii="Times New Roman" w:hAnsi="Times New Roman" w:eastAsia="宋体" w:cs="Times New Roman"/>
                      <w:color w:val="auto"/>
                      <w:spacing w:val="0"/>
                      <w:position w:val="0"/>
                      <w:sz w:val="18"/>
                      <w:szCs w:val="18"/>
                      <w:highlight w:val="none"/>
                    </w:rPr>
                  </w:pPr>
                </w:p>
              </w:tc>
              <w:tc>
                <w:tcPr>
                  <w:tcW w:w="750" w:type="dxa"/>
                  <w:tcBorders>
                    <w:tl2br w:val="nil"/>
                    <w:tr2bl w:val="nil"/>
                  </w:tcBorders>
                  <w:noWrap w:val="0"/>
                  <w:vAlign w:val="center"/>
                </w:tcPr>
                <w:p w14:paraId="3CD2C64B">
                  <w:pPr>
                    <w:pStyle w:val="37"/>
                    <w:spacing w:after="0" w:line="240" w:lineRule="auto"/>
                    <w:ind w:left="0" w:leftChars="0" w:firstLine="0" w:firstLineChars="0"/>
                    <w:jc w:val="center"/>
                    <w:rPr>
                      <w:rFonts w:hint="eastAsia" w:ascii="Times New Roman" w:hAnsi="Times New Roman" w:eastAsia="宋体" w:cs="Times New Roman"/>
                      <w:color w:val="auto"/>
                      <w:spacing w:val="0"/>
                      <w:position w:val="0"/>
                      <w:sz w:val="18"/>
                      <w:szCs w:val="18"/>
                      <w:highlight w:val="none"/>
                    </w:rPr>
                  </w:pPr>
                  <w:r>
                    <w:rPr>
                      <w:rFonts w:hint="eastAsia" w:ascii="Times New Roman" w:hAnsi="Times New Roman" w:eastAsia="宋体" w:cs="Times New Roman"/>
                      <w:color w:val="auto"/>
                      <w:spacing w:val="0"/>
                      <w:position w:val="0"/>
                      <w:sz w:val="18"/>
                      <w:szCs w:val="18"/>
                      <w:highlight w:val="none"/>
                    </w:rPr>
                    <w:t>总磷</w:t>
                  </w:r>
                </w:p>
              </w:tc>
              <w:tc>
                <w:tcPr>
                  <w:tcW w:w="990" w:type="dxa"/>
                  <w:tcBorders>
                    <w:tl2br w:val="nil"/>
                    <w:tr2bl w:val="nil"/>
                  </w:tcBorders>
                  <w:noWrap w:val="0"/>
                  <w:vAlign w:val="center"/>
                </w:tcPr>
                <w:p w14:paraId="4BB913F8">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position w:val="0"/>
                      <w:sz w:val="18"/>
                      <w:szCs w:val="18"/>
                      <w:highlight w:val="none"/>
                    </w:rPr>
                  </w:pPr>
                </w:p>
              </w:tc>
              <w:tc>
                <w:tcPr>
                  <w:tcW w:w="840" w:type="dxa"/>
                  <w:tcBorders>
                    <w:tl2br w:val="nil"/>
                    <w:tr2bl w:val="nil"/>
                  </w:tcBorders>
                  <w:noWrap w:val="0"/>
                  <w:vAlign w:val="center"/>
                </w:tcPr>
                <w:p w14:paraId="5735C32B">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18"/>
                      <w:szCs w:val="18"/>
                      <w:highlight w:val="none"/>
                      <w:lang w:val="en-US" w:eastAsia="zh-CN" w:bidi="ar"/>
                    </w:rPr>
                  </w:pPr>
                </w:p>
              </w:tc>
              <w:tc>
                <w:tcPr>
                  <w:tcW w:w="1005" w:type="dxa"/>
                  <w:tcBorders>
                    <w:tl2br w:val="nil"/>
                    <w:tr2bl w:val="nil"/>
                  </w:tcBorders>
                  <w:noWrap w:val="0"/>
                  <w:vAlign w:val="center"/>
                </w:tcPr>
                <w:p w14:paraId="45CEC200">
                  <w:pPr>
                    <w:keepNext/>
                    <w:keepLines/>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kern w:val="0"/>
                      <w:position w:val="0"/>
                      <w:sz w:val="18"/>
                      <w:szCs w:val="18"/>
                      <w:highlight w:val="none"/>
                      <w:lang w:bidi="ar"/>
                    </w:rPr>
                  </w:pPr>
                </w:p>
              </w:tc>
              <w:tc>
                <w:tcPr>
                  <w:tcW w:w="825" w:type="dxa"/>
                  <w:tcBorders>
                    <w:tl2br w:val="nil"/>
                    <w:tr2bl w:val="nil"/>
                  </w:tcBorders>
                  <w:noWrap w:val="0"/>
                  <w:vAlign w:val="center"/>
                </w:tcPr>
                <w:p w14:paraId="19D4A6B8">
                  <w:pPr>
                    <w:keepNext w:val="0"/>
                    <w:keepLines w:val="0"/>
                    <w:widowControl/>
                    <w:suppressLineNumbers w:val="0"/>
                    <w:jc w:val="center"/>
                    <w:textAlignment w:val="center"/>
                    <w:rPr>
                      <w:rFonts w:ascii="Times New Roman" w:hAnsi="Times New Roman" w:eastAsia="宋体" w:cs="Times New Roman"/>
                      <w:color w:val="auto"/>
                      <w:spacing w:val="0"/>
                      <w:position w:val="0"/>
                      <w:sz w:val="18"/>
                      <w:szCs w:val="18"/>
                      <w:highlight w:val="none"/>
                      <w:lang w:bidi="ar"/>
                    </w:rPr>
                  </w:pPr>
                </w:p>
              </w:tc>
              <w:tc>
                <w:tcPr>
                  <w:tcW w:w="915" w:type="dxa"/>
                  <w:tcBorders>
                    <w:tl2br w:val="nil"/>
                    <w:tr2bl w:val="nil"/>
                  </w:tcBorders>
                  <w:noWrap w:val="0"/>
                  <w:vAlign w:val="center"/>
                </w:tcPr>
                <w:p w14:paraId="1C855721">
                  <w:pPr>
                    <w:keepNext w:val="0"/>
                    <w:keepLines w:val="0"/>
                    <w:widowControl/>
                    <w:suppressLineNumbers w:val="0"/>
                    <w:jc w:val="center"/>
                    <w:textAlignment w:val="center"/>
                    <w:rPr>
                      <w:rFonts w:hint="default" w:cs="Times New Roman"/>
                      <w:color w:val="auto"/>
                      <w:spacing w:val="0"/>
                      <w:position w:val="0"/>
                      <w:sz w:val="18"/>
                      <w:szCs w:val="18"/>
                      <w:highlight w:val="none"/>
                      <w:lang w:val="en-US" w:eastAsia="zh-CN" w:bidi="ar"/>
                    </w:rPr>
                  </w:pPr>
                </w:p>
              </w:tc>
              <w:tc>
                <w:tcPr>
                  <w:tcW w:w="870" w:type="dxa"/>
                  <w:tcBorders>
                    <w:tl2br w:val="nil"/>
                    <w:tr2bl w:val="nil"/>
                  </w:tcBorders>
                  <w:noWrap w:val="0"/>
                  <w:vAlign w:val="center"/>
                </w:tcPr>
                <w:p w14:paraId="5833A81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1095" w:type="dxa"/>
                  <w:tcBorders>
                    <w:tl2br w:val="nil"/>
                    <w:tr2bl w:val="nil"/>
                  </w:tcBorders>
                  <w:noWrap w:val="0"/>
                  <w:vAlign w:val="center"/>
                </w:tcPr>
                <w:p w14:paraId="028B25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1072" w:type="dxa"/>
                  <w:tcBorders>
                    <w:tl2br w:val="nil"/>
                    <w:tr2bl w:val="nil"/>
                  </w:tcBorders>
                  <w:noWrap w:val="0"/>
                  <w:vAlign w:val="center"/>
                </w:tcPr>
                <w:p w14:paraId="251DD3F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r>
            <w:tr w14:paraId="38A521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89" w:type="dxa"/>
                  <w:gridSpan w:val="10"/>
                  <w:tcBorders>
                    <w:tl2br w:val="nil"/>
                    <w:tr2bl w:val="nil"/>
                  </w:tcBorders>
                  <w:noWrap w:val="0"/>
                  <w:vAlign w:val="center"/>
                </w:tcPr>
                <w:p w14:paraId="3A855792">
                  <w:pPr>
                    <w:keepNext w:val="0"/>
                    <w:keepLines w:val="0"/>
                    <w:widowControl/>
                    <w:suppressLineNumbers w:val="0"/>
                    <w:jc w:val="both"/>
                    <w:textAlignment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备注：</w:t>
                  </w:r>
                  <w:r>
                    <w:rPr>
                      <w:rFonts w:hint="eastAsia" w:ascii="Times New Roman" w:hAnsi="Times New Roman" w:eastAsia="宋体" w:cs="Times New Roman"/>
                      <w:color w:val="auto"/>
                      <w:kern w:val="0"/>
                      <w:sz w:val="18"/>
                      <w:szCs w:val="18"/>
                      <w:highlight w:val="none"/>
                      <w:lang w:val="en-US" w:eastAsia="zh-CN" w:bidi="ar"/>
                    </w:rPr>
                    <w:t>生活污水排放量为</w:t>
                  </w:r>
                  <w:r>
                    <w:rPr>
                      <w:rFonts w:hint="eastAsia" w:cs="Times New Roman"/>
                      <w:color w:val="auto"/>
                      <w:sz w:val="18"/>
                      <w:szCs w:val="18"/>
                      <w:highlight w:val="none"/>
                      <w:lang w:val="en-US" w:eastAsia="zh-CN"/>
                    </w:rPr>
                    <w:t>24</w:t>
                  </w:r>
                  <w:r>
                    <w:rPr>
                      <w:rFonts w:hint="eastAsia" w:ascii="Times New Roman" w:hAnsi="Times New Roman" w:eastAsia="宋体" w:cs="Times New Roman"/>
                      <w:color w:val="auto"/>
                      <w:sz w:val="18"/>
                      <w:szCs w:val="18"/>
                      <w:highlight w:val="none"/>
                      <w:lang w:val="en-US" w:eastAsia="zh-CN"/>
                    </w:rPr>
                    <w:t>0</w:t>
                  </w:r>
                  <w:r>
                    <w:rPr>
                      <w:rFonts w:hint="default" w:ascii="Times New Roman" w:hAnsi="Times New Roman" w:eastAsia="宋体" w:cs="Times New Roman"/>
                      <w:color w:val="auto"/>
                      <w:kern w:val="0"/>
                      <w:sz w:val="18"/>
                      <w:szCs w:val="18"/>
                      <w:highlight w:val="none"/>
                      <w:lang w:val="en-US" w:eastAsia="zh-CN" w:bidi="ar"/>
                    </w:rPr>
                    <w:t>t/a</w:t>
                  </w:r>
                  <w:r>
                    <w:rPr>
                      <w:rFonts w:hint="eastAsia" w:ascii="Times New Roman" w:hAnsi="Times New Roman" w:eastAsia="宋体" w:cs="Times New Roman"/>
                      <w:color w:val="auto"/>
                      <w:kern w:val="0"/>
                      <w:sz w:val="18"/>
                      <w:szCs w:val="18"/>
                      <w:highlight w:val="none"/>
                      <w:lang w:val="en-US" w:eastAsia="zh-CN" w:bidi="ar"/>
                    </w:rPr>
                    <w:t>。</w:t>
                  </w:r>
                </w:p>
              </w:tc>
            </w:tr>
          </w:tbl>
          <w:p w14:paraId="04E15739">
            <w:pPr>
              <w:widowControl/>
              <w:spacing w:before="120" w:beforeLines="50"/>
              <w:jc w:val="center"/>
              <w:rPr>
                <w:rFonts w:ascii="Times New Roman" w:hAnsi="Times New Roman" w:eastAsia="宋体" w:cs="Times New Roman"/>
                <w:b/>
                <w:bCs/>
                <w:color w:val="auto"/>
                <w:spacing w:val="0"/>
                <w:position w:val="0"/>
                <w:sz w:val="24"/>
                <w:highlight w:val="none"/>
              </w:rPr>
            </w:pPr>
            <w:r>
              <w:rPr>
                <w:rFonts w:ascii="Times New Roman" w:hAnsi="Times New Roman" w:eastAsia="宋体" w:cs="Times New Roman"/>
                <w:b/>
                <w:bCs/>
                <w:color w:val="auto"/>
                <w:spacing w:val="0"/>
                <w:position w:val="0"/>
                <w:sz w:val="24"/>
                <w:highlight w:val="none"/>
              </w:rPr>
              <w:t>表4</w:t>
            </w:r>
            <w:r>
              <w:rPr>
                <w:rFonts w:hint="eastAsia" w:ascii="Times New Roman" w:hAnsi="Times New Roman" w:eastAsia="宋体" w:cs="Times New Roman"/>
                <w:b/>
                <w:bCs/>
                <w:color w:val="auto"/>
                <w:spacing w:val="0"/>
                <w:position w:val="0"/>
                <w:sz w:val="24"/>
                <w:highlight w:val="none"/>
                <w:lang w:val="en-US" w:eastAsia="zh-CN"/>
              </w:rPr>
              <w:t>.2-</w:t>
            </w:r>
            <w:r>
              <w:rPr>
                <w:rFonts w:hint="eastAsia" w:cs="Times New Roman"/>
                <w:b/>
                <w:bCs/>
                <w:color w:val="auto"/>
                <w:spacing w:val="0"/>
                <w:position w:val="0"/>
                <w:sz w:val="24"/>
                <w:highlight w:val="none"/>
                <w:lang w:val="en-US" w:eastAsia="zh-CN"/>
              </w:rPr>
              <w:t>3</w:t>
            </w:r>
            <w:r>
              <w:rPr>
                <w:rFonts w:ascii="Times New Roman" w:hAnsi="Times New Roman" w:eastAsia="宋体" w:cs="Times New Roman"/>
                <w:b/>
                <w:bCs/>
                <w:color w:val="auto"/>
                <w:spacing w:val="0"/>
                <w:position w:val="0"/>
                <w:sz w:val="24"/>
                <w:highlight w:val="none"/>
              </w:rPr>
              <w:tab/>
            </w:r>
            <w:r>
              <w:rPr>
                <w:rFonts w:ascii="Times New Roman" w:hAnsi="Times New Roman" w:eastAsia="宋体" w:cs="Times New Roman"/>
                <w:b/>
                <w:bCs/>
                <w:color w:val="auto"/>
                <w:spacing w:val="0"/>
                <w:position w:val="0"/>
                <w:sz w:val="24"/>
                <w:highlight w:val="none"/>
              </w:rPr>
              <w:t xml:space="preserve"> 项目</w:t>
            </w:r>
            <w:r>
              <w:rPr>
                <w:rFonts w:hint="eastAsia" w:ascii="Times New Roman" w:hAnsi="Times New Roman" w:eastAsia="宋体" w:cs="Times New Roman"/>
                <w:b/>
                <w:bCs/>
                <w:color w:val="auto"/>
                <w:spacing w:val="0"/>
                <w:position w:val="0"/>
                <w:sz w:val="24"/>
                <w:highlight w:val="none"/>
                <w:lang w:val="en-US" w:eastAsia="zh-CN"/>
              </w:rPr>
              <w:t>生活污水</w:t>
            </w:r>
            <w:r>
              <w:rPr>
                <w:rFonts w:ascii="Times New Roman" w:hAnsi="Times New Roman" w:eastAsia="宋体" w:cs="Times New Roman"/>
                <w:b/>
                <w:bCs/>
                <w:color w:val="auto"/>
                <w:spacing w:val="0"/>
                <w:position w:val="0"/>
                <w:sz w:val="24"/>
                <w:highlight w:val="none"/>
              </w:rPr>
              <w:t>类别、污染物及污染治理设施信息</w:t>
            </w:r>
            <w:r>
              <w:rPr>
                <w:rFonts w:hint="eastAsia" w:ascii="Times New Roman" w:hAnsi="Times New Roman" w:eastAsia="宋体" w:cs="Times New Roman"/>
                <w:b/>
                <w:bCs/>
                <w:color w:val="auto"/>
                <w:spacing w:val="0"/>
                <w:position w:val="0"/>
                <w:sz w:val="24"/>
                <w:highlight w:val="none"/>
              </w:rPr>
              <w:t>一览</w:t>
            </w:r>
            <w:r>
              <w:rPr>
                <w:rFonts w:ascii="Times New Roman" w:hAnsi="Times New Roman" w:eastAsia="宋体" w:cs="Times New Roman"/>
                <w:b/>
                <w:bCs/>
                <w:color w:val="auto"/>
                <w:spacing w:val="0"/>
                <w:position w:val="0"/>
                <w:sz w:val="24"/>
                <w:highlight w:val="none"/>
              </w:rPr>
              <w:t>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376"/>
              <w:gridCol w:w="1129"/>
              <w:gridCol w:w="1033"/>
              <w:gridCol w:w="967"/>
              <w:gridCol w:w="1163"/>
              <w:gridCol w:w="834"/>
              <w:gridCol w:w="870"/>
              <w:gridCol w:w="713"/>
            </w:tblGrid>
            <w:tr w14:paraId="2D51D8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Merge w:val="restart"/>
                  <w:tcBorders>
                    <w:tl2br w:val="nil"/>
                    <w:tr2bl w:val="nil"/>
                  </w:tcBorders>
                  <w:noWrap w:val="0"/>
                  <w:vAlign w:val="center"/>
                </w:tcPr>
                <w:p w14:paraId="34B70253">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废水类别</w:t>
                  </w:r>
                </w:p>
              </w:tc>
              <w:tc>
                <w:tcPr>
                  <w:tcW w:w="780" w:type="pct"/>
                  <w:vMerge w:val="restart"/>
                  <w:tcBorders>
                    <w:tl2br w:val="nil"/>
                    <w:tr2bl w:val="nil"/>
                  </w:tcBorders>
                  <w:noWrap w:val="0"/>
                  <w:vAlign w:val="center"/>
                </w:tcPr>
                <w:p w14:paraId="12CF2A4F">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污染物</w:t>
                  </w:r>
                </w:p>
                <w:p w14:paraId="3550C1F4">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种类</w:t>
                  </w:r>
                </w:p>
              </w:tc>
              <w:tc>
                <w:tcPr>
                  <w:tcW w:w="640" w:type="pct"/>
                  <w:vMerge w:val="restart"/>
                  <w:tcBorders>
                    <w:tl2br w:val="nil"/>
                    <w:tr2bl w:val="nil"/>
                  </w:tcBorders>
                  <w:noWrap w:val="0"/>
                  <w:vAlign w:val="center"/>
                </w:tcPr>
                <w:p w14:paraId="12D47FC2">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排放去向</w:t>
                  </w:r>
                </w:p>
              </w:tc>
              <w:tc>
                <w:tcPr>
                  <w:tcW w:w="585" w:type="pct"/>
                  <w:vMerge w:val="restart"/>
                  <w:tcBorders>
                    <w:tl2br w:val="nil"/>
                    <w:tr2bl w:val="nil"/>
                  </w:tcBorders>
                  <w:noWrap w:val="0"/>
                  <w:vAlign w:val="center"/>
                </w:tcPr>
                <w:p w14:paraId="6B2B16D4">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排放</w:t>
                  </w:r>
                </w:p>
                <w:p w14:paraId="6B322C75">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方式</w:t>
                  </w:r>
                </w:p>
              </w:tc>
              <w:tc>
                <w:tcPr>
                  <w:tcW w:w="548" w:type="pct"/>
                  <w:vMerge w:val="restart"/>
                  <w:tcBorders>
                    <w:tl2br w:val="nil"/>
                    <w:tr2bl w:val="nil"/>
                  </w:tcBorders>
                  <w:noWrap w:val="0"/>
                  <w:vAlign w:val="center"/>
                </w:tcPr>
                <w:p w14:paraId="771163D5">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排放</w:t>
                  </w:r>
                </w:p>
                <w:p w14:paraId="4117290A">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规律</w:t>
                  </w:r>
                </w:p>
              </w:tc>
              <w:tc>
                <w:tcPr>
                  <w:tcW w:w="1626" w:type="pct"/>
                  <w:gridSpan w:val="3"/>
                  <w:tcBorders>
                    <w:tl2br w:val="nil"/>
                    <w:tr2bl w:val="nil"/>
                  </w:tcBorders>
                  <w:noWrap w:val="0"/>
                  <w:vAlign w:val="center"/>
                </w:tcPr>
                <w:p w14:paraId="389AB737">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污水治理设施</w:t>
                  </w:r>
                </w:p>
              </w:tc>
              <w:tc>
                <w:tcPr>
                  <w:tcW w:w="404" w:type="pct"/>
                  <w:vMerge w:val="restart"/>
                  <w:tcBorders>
                    <w:tl2br w:val="nil"/>
                    <w:tr2bl w:val="nil"/>
                  </w:tcBorders>
                  <w:noWrap w:val="0"/>
                  <w:vAlign w:val="center"/>
                </w:tcPr>
                <w:p w14:paraId="48DBAF48">
                  <w:pPr>
                    <w:jc w:val="center"/>
                    <w:rPr>
                      <w:rFonts w:ascii="Times New Roman" w:hAnsi="Times New Roman" w:eastAsia="宋体" w:cs="Times New Roman"/>
                      <w:b/>
                      <w:bCs/>
                      <w:color w:val="auto"/>
                      <w:spacing w:val="0"/>
                      <w:position w:val="0"/>
                      <w:szCs w:val="21"/>
                      <w:highlight w:val="none"/>
                    </w:rPr>
                  </w:pPr>
                  <w:r>
                    <w:rPr>
                      <w:rFonts w:ascii="Times New Roman" w:hAnsi="Times New Roman" w:eastAsia="宋体" w:cs="Times New Roman"/>
                      <w:b/>
                      <w:bCs/>
                      <w:color w:val="auto"/>
                      <w:spacing w:val="0"/>
                      <w:position w:val="0"/>
                      <w:szCs w:val="21"/>
                      <w:highlight w:val="none"/>
                    </w:rPr>
                    <w:t>是否为可行技术</w:t>
                  </w:r>
                </w:p>
              </w:tc>
            </w:tr>
            <w:tr w14:paraId="211DE7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Merge w:val="continue"/>
                  <w:tcBorders>
                    <w:tl2br w:val="nil"/>
                    <w:tr2bl w:val="nil"/>
                  </w:tcBorders>
                  <w:noWrap w:val="0"/>
                  <w:vAlign w:val="center"/>
                </w:tcPr>
                <w:p w14:paraId="0CB3E4A5">
                  <w:pPr>
                    <w:jc w:val="center"/>
                    <w:rPr>
                      <w:rFonts w:ascii="Times New Roman" w:hAnsi="Times New Roman" w:eastAsia="宋体" w:cs="Times New Roman"/>
                      <w:b/>
                      <w:bCs/>
                      <w:color w:val="auto"/>
                      <w:spacing w:val="0"/>
                      <w:position w:val="0"/>
                      <w:sz w:val="21"/>
                      <w:szCs w:val="21"/>
                      <w:highlight w:val="none"/>
                    </w:rPr>
                  </w:pPr>
                </w:p>
              </w:tc>
              <w:tc>
                <w:tcPr>
                  <w:tcW w:w="780" w:type="pct"/>
                  <w:vMerge w:val="continue"/>
                  <w:tcBorders>
                    <w:tl2br w:val="nil"/>
                    <w:tr2bl w:val="nil"/>
                  </w:tcBorders>
                  <w:noWrap w:val="0"/>
                  <w:vAlign w:val="center"/>
                </w:tcPr>
                <w:p w14:paraId="39224643">
                  <w:pPr>
                    <w:jc w:val="center"/>
                    <w:rPr>
                      <w:rFonts w:ascii="Times New Roman" w:hAnsi="Times New Roman" w:eastAsia="宋体" w:cs="Times New Roman"/>
                      <w:b/>
                      <w:bCs/>
                      <w:color w:val="auto"/>
                      <w:spacing w:val="0"/>
                      <w:position w:val="0"/>
                      <w:sz w:val="21"/>
                      <w:szCs w:val="21"/>
                      <w:highlight w:val="none"/>
                    </w:rPr>
                  </w:pPr>
                </w:p>
              </w:tc>
              <w:tc>
                <w:tcPr>
                  <w:tcW w:w="640" w:type="pct"/>
                  <w:vMerge w:val="continue"/>
                  <w:tcBorders>
                    <w:tl2br w:val="nil"/>
                    <w:tr2bl w:val="nil"/>
                  </w:tcBorders>
                  <w:noWrap w:val="0"/>
                  <w:vAlign w:val="center"/>
                </w:tcPr>
                <w:p w14:paraId="7F91A308">
                  <w:pPr>
                    <w:jc w:val="center"/>
                    <w:rPr>
                      <w:rFonts w:ascii="Times New Roman" w:hAnsi="Times New Roman" w:eastAsia="宋体" w:cs="Times New Roman"/>
                      <w:b/>
                      <w:bCs/>
                      <w:color w:val="auto"/>
                      <w:spacing w:val="0"/>
                      <w:position w:val="0"/>
                      <w:sz w:val="21"/>
                      <w:szCs w:val="21"/>
                      <w:highlight w:val="none"/>
                    </w:rPr>
                  </w:pPr>
                </w:p>
              </w:tc>
              <w:tc>
                <w:tcPr>
                  <w:tcW w:w="585" w:type="pct"/>
                  <w:vMerge w:val="continue"/>
                  <w:tcBorders>
                    <w:tl2br w:val="nil"/>
                    <w:tr2bl w:val="nil"/>
                  </w:tcBorders>
                  <w:noWrap w:val="0"/>
                  <w:vAlign w:val="center"/>
                </w:tcPr>
                <w:p w14:paraId="2E524212">
                  <w:pPr>
                    <w:jc w:val="center"/>
                    <w:rPr>
                      <w:rFonts w:ascii="Times New Roman" w:hAnsi="Times New Roman" w:eastAsia="宋体" w:cs="Times New Roman"/>
                      <w:b/>
                      <w:bCs/>
                      <w:color w:val="auto"/>
                      <w:spacing w:val="0"/>
                      <w:position w:val="0"/>
                      <w:sz w:val="21"/>
                      <w:szCs w:val="21"/>
                      <w:highlight w:val="none"/>
                    </w:rPr>
                  </w:pPr>
                </w:p>
              </w:tc>
              <w:tc>
                <w:tcPr>
                  <w:tcW w:w="548" w:type="pct"/>
                  <w:vMerge w:val="continue"/>
                  <w:tcBorders>
                    <w:tl2br w:val="nil"/>
                    <w:tr2bl w:val="nil"/>
                  </w:tcBorders>
                  <w:noWrap w:val="0"/>
                  <w:vAlign w:val="center"/>
                </w:tcPr>
                <w:p w14:paraId="4A623FA9">
                  <w:pPr>
                    <w:jc w:val="center"/>
                    <w:rPr>
                      <w:rFonts w:ascii="Times New Roman" w:hAnsi="Times New Roman" w:eastAsia="宋体" w:cs="Times New Roman"/>
                      <w:b/>
                      <w:bCs/>
                      <w:color w:val="auto"/>
                      <w:spacing w:val="0"/>
                      <w:position w:val="0"/>
                      <w:sz w:val="21"/>
                      <w:szCs w:val="21"/>
                      <w:highlight w:val="none"/>
                    </w:rPr>
                  </w:pPr>
                </w:p>
              </w:tc>
              <w:tc>
                <w:tcPr>
                  <w:tcW w:w="659" w:type="pct"/>
                  <w:tcBorders>
                    <w:tl2br w:val="nil"/>
                    <w:tr2bl w:val="nil"/>
                  </w:tcBorders>
                  <w:noWrap w:val="0"/>
                  <w:vAlign w:val="center"/>
                </w:tcPr>
                <w:p w14:paraId="08F24645">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污染治理设施名称</w:t>
                  </w:r>
                </w:p>
              </w:tc>
              <w:tc>
                <w:tcPr>
                  <w:tcW w:w="473" w:type="pct"/>
                  <w:tcBorders>
                    <w:tl2br w:val="nil"/>
                    <w:tr2bl w:val="nil"/>
                  </w:tcBorders>
                  <w:noWrap w:val="0"/>
                  <w:vAlign w:val="center"/>
                </w:tcPr>
                <w:p w14:paraId="2063CD73">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处理能力m³/</w:t>
                  </w:r>
                  <w:r>
                    <w:rPr>
                      <w:rFonts w:hint="eastAsia" w:ascii="Times New Roman" w:hAnsi="Times New Roman" w:eastAsia="宋体" w:cs="Times New Roman"/>
                      <w:b/>
                      <w:bCs/>
                      <w:color w:val="auto"/>
                      <w:spacing w:val="0"/>
                      <w:position w:val="0"/>
                      <w:sz w:val="21"/>
                      <w:szCs w:val="21"/>
                      <w:highlight w:val="none"/>
                    </w:rPr>
                    <w:t>d</w:t>
                  </w:r>
                </w:p>
              </w:tc>
              <w:tc>
                <w:tcPr>
                  <w:tcW w:w="493" w:type="pct"/>
                  <w:tcBorders>
                    <w:tl2br w:val="nil"/>
                    <w:tr2bl w:val="nil"/>
                  </w:tcBorders>
                  <w:noWrap w:val="0"/>
                  <w:vAlign w:val="center"/>
                </w:tcPr>
                <w:p w14:paraId="10A4C522">
                  <w:pPr>
                    <w:jc w:val="center"/>
                    <w:rPr>
                      <w:rFonts w:hint="eastAsia"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治理效率（%）</w:t>
                  </w:r>
                </w:p>
              </w:tc>
              <w:tc>
                <w:tcPr>
                  <w:tcW w:w="404" w:type="pct"/>
                  <w:vMerge w:val="continue"/>
                  <w:tcBorders>
                    <w:tl2br w:val="nil"/>
                    <w:tr2bl w:val="nil"/>
                  </w:tcBorders>
                  <w:noWrap w:val="0"/>
                  <w:vAlign w:val="center"/>
                </w:tcPr>
                <w:p w14:paraId="41BA3B50">
                  <w:pPr>
                    <w:jc w:val="center"/>
                    <w:rPr>
                      <w:rFonts w:ascii="Times New Roman" w:hAnsi="Times New Roman" w:eastAsia="宋体" w:cs="Times New Roman"/>
                      <w:color w:val="auto"/>
                      <w:spacing w:val="0"/>
                      <w:position w:val="0"/>
                      <w:szCs w:val="21"/>
                      <w:highlight w:val="none"/>
                    </w:rPr>
                  </w:pPr>
                </w:p>
              </w:tc>
            </w:tr>
            <w:tr w14:paraId="74BA1C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Merge w:val="restart"/>
                  <w:tcBorders>
                    <w:tl2br w:val="nil"/>
                    <w:tr2bl w:val="nil"/>
                  </w:tcBorders>
                  <w:noWrap w:val="0"/>
                  <w:vAlign w:val="center"/>
                </w:tcPr>
                <w:p w14:paraId="3DFC4D0D">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生活污水</w:t>
                  </w:r>
                </w:p>
              </w:tc>
              <w:tc>
                <w:tcPr>
                  <w:tcW w:w="780" w:type="pct"/>
                  <w:tcBorders>
                    <w:tl2br w:val="nil"/>
                    <w:tr2bl w:val="nil"/>
                  </w:tcBorders>
                  <w:noWrap w:val="0"/>
                  <w:vAlign w:val="center"/>
                </w:tcPr>
                <w:p w14:paraId="10BC58B1">
                  <w:pPr>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pH</w:t>
                  </w:r>
                </w:p>
                <w:p w14:paraId="0C2A5656">
                  <w:pPr>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（无量纲）</w:t>
                  </w:r>
                </w:p>
              </w:tc>
              <w:tc>
                <w:tcPr>
                  <w:tcW w:w="640" w:type="pct"/>
                  <w:vMerge w:val="restart"/>
                  <w:tcBorders>
                    <w:tl2br w:val="nil"/>
                    <w:tr2bl w:val="nil"/>
                  </w:tcBorders>
                  <w:noWrap w:val="0"/>
                  <w:vAlign w:val="center"/>
                </w:tcPr>
                <w:p w14:paraId="144D2862">
                  <w:pPr>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闽侯县城关</w:t>
                  </w:r>
                  <w:r>
                    <w:rPr>
                      <w:rFonts w:hint="default" w:ascii="Times New Roman" w:hAnsi="Times New Roman" w:eastAsia="宋体" w:cs="Times New Roman"/>
                      <w:color w:val="auto"/>
                      <w:spacing w:val="0"/>
                      <w:position w:val="0"/>
                      <w:sz w:val="21"/>
                      <w:szCs w:val="21"/>
                      <w:highlight w:val="none"/>
                      <w:lang w:val="en-US" w:eastAsia="zh-CN"/>
                    </w:rPr>
                    <w:t>污水处理厂</w:t>
                  </w:r>
                </w:p>
              </w:tc>
              <w:tc>
                <w:tcPr>
                  <w:tcW w:w="585" w:type="pct"/>
                  <w:vMerge w:val="restart"/>
                  <w:tcBorders>
                    <w:tl2br w:val="nil"/>
                    <w:tr2bl w:val="nil"/>
                  </w:tcBorders>
                  <w:noWrap w:val="0"/>
                  <w:vAlign w:val="center"/>
                </w:tcPr>
                <w:p w14:paraId="65129297">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间接</w:t>
                  </w:r>
                </w:p>
                <w:p w14:paraId="66D8E9FD">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排放</w:t>
                  </w:r>
                </w:p>
              </w:tc>
              <w:tc>
                <w:tcPr>
                  <w:tcW w:w="548" w:type="pct"/>
                  <w:vMerge w:val="restart"/>
                  <w:tcBorders>
                    <w:tl2br w:val="nil"/>
                    <w:tr2bl w:val="nil"/>
                  </w:tcBorders>
                  <w:noWrap w:val="0"/>
                  <w:vAlign w:val="center"/>
                </w:tcPr>
                <w:p w14:paraId="56E73EF7">
                  <w:pPr>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废水间断排放，排放期间流量不稳定且无规律</w:t>
                  </w:r>
                </w:p>
              </w:tc>
              <w:tc>
                <w:tcPr>
                  <w:tcW w:w="659" w:type="pct"/>
                  <w:vMerge w:val="restart"/>
                  <w:tcBorders>
                    <w:tl2br w:val="nil"/>
                    <w:tr2bl w:val="nil"/>
                  </w:tcBorders>
                  <w:noWrap w:val="0"/>
                  <w:vAlign w:val="center"/>
                </w:tcPr>
                <w:p w14:paraId="5AEF0567">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化粪池</w:t>
                  </w:r>
                </w:p>
              </w:tc>
              <w:tc>
                <w:tcPr>
                  <w:tcW w:w="473" w:type="pct"/>
                  <w:vMerge w:val="restart"/>
                  <w:tcBorders>
                    <w:tl2br w:val="nil"/>
                    <w:tr2bl w:val="nil"/>
                  </w:tcBorders>
                  <w:noWrap w:val="0"/>
                  <w:vAlign w:val="center"/>
                </w:tcPr>
                <w:p w14:paraId="30D8B786">
                  <w:pPr>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25</w:t>
                  </w:r>
                </w:p>
              </w:tc>
              <w:tc>
                <w:tcPr>
                  <w:tcW w:w="493" w:type="pct"/>
                  <w:tcBorders>
                    <w:tl2br w:val="nil"/>
                    <w:tr2bl w:val="nil"/>
                  </w:tcBorders>
                  <w:noWrap w:val="0"/>
                  <w:vAlign w:val="center"/>
                </w:tcPr>
                <w:p w14:paraId="69F4983A">
                  <w:pPr>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w:t>
                  </w:r>
                </w:p>
              </w:tc>
              <w:tc>
                <w:tcPr>
                  <w:tcW w:w="404" w:type="pct"/>
                  <w:vMerge w:val="restart"/>
                  <w:tcBorders>
                    <w:tl2br w:val="nil"/>
                    <w:tr2bl w:val="nil"/>
                  </w:tcBorders>
                  <w:noWrap w:val="0"/>
                  <w:vAlign w:val="center"/>
                </w:tcPr>
                <w:p w14:paraId="3AF82A50">
                  <w:pPr>
                    <w:jc w:val="center"/>
                    <w:rPr>
                      <w:rFonts w:hint="eastAsia" w:ascii="Times New Roman" w:hAnsi="Times New Roman" w:eastAsia="宋体" w:cs="Times New Roman"/>
                      <w:color w:val="auto"/>
                      <w:spacing w:val="0"/>
                      <w:position w:val="0"/>
                      <w:szCs w:val="21"/>
                      <w:highlight w:val="none"/>
                      <w:lang w:eastAsia="zh-CN"/>
                    </w:rPr>
                  </w:pPr>
                  <w:r>
                    <w:rPr>
                      <w:rFonts w:hint="eastAsia" w:cs="Times New Roman"/>
                      <w:color w:val="auto"/>
                      <w:spacing w:val="0"/>
                      <w:position w:val="0"/>
                      <w:szCs w:val="21"/>
                      <w:highlight w:val="none"/>
                      <w:lang w:val="en-US" w:eastAsia="zh-CN"/>
                    </w:rPr>
                    <w:t>否</w:t>
                  </w:r>
                </w:p>
              </w:tc>
            </w:tr>
            <w:tr w14:paraId="6970E5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Merge w:val="continue"/>
                  <w:tcBorders>
                    <w:tl2br w:val="nil"/>
                    <w:tr2bl w:val="nil"/>
                  </w:tcBorders>
                  <w:noWrap w:val="0"/>
                  <w:vAlign w:val="center"/>
                </w:tcPr>
                <w:p w14:paraId="2ECFB63E">
                  <w:pPr>
                    <w:jc w:val="center"/>
                    <w:rPr>
                      <w:rFonts w:ascii="Times New Roman" w:hAnsi="Times New Roman" w:eastAsia="宋体" w:cs="Times New Roman"/>
                      <w:color w:val="auto"/>
                      <w:spacing w:val="0"/>
                      <w:position w:val="0"/>
                      <w:sz w:val="21"/>
                      <w:szCs w:val="21"/>
                      <w:highlight w:val="none"/>
                    </w:rPr>
                  </w:pPr>
                </w:p>
              </w:tc>
              <w:tc>
                <w:tcPr>
                  <w:tcW w:w="780" w:type="pct"/>
                  <w:tcBorders>
                    <w:tl2br w:val="nil"/>
                    <w:tr2bl w:val="nil"/>
                  </w:tcBorders>
                  <w:noWrap w:val="0"/>
                  <w:vAlign w:val="center"/>
                </w:tcPr>
                <w:p w14:paraId="21926A50">
                  <w:pPr>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COD</w:t>
                  </w:r>
                  <w:r>
                    <w:rPr>
                      <w:rFonts w:hint="eastAsia" w:ascii="Times New Roman" w:hAnsi="Times New Roman" w:eastAsia="宋体" w:cs="Times New Roman"/>
                      <w:color w:val="auto"/>
                      <w:spacing w:val="0"/>
                      <w:position w:val="0"/>
                      <w:sz w:val="21"/>
                      <w:szCs w:val="21"/>
                      <w:highlight w:val="none"/>
                      <w:vertAlign w:val="subscript"/>
                    </w:rPr>
                    <w:t>Cr</w:t>
                  </w:r>
                </w:p>
              </w:tc>
              <w:tc>
                <w:tcPr>
                  <w:tcW w:w="640" w:type="pct"/>
                  <w:vMerge w:val="continue"/>
                  <w:tcBorders>
                    <w:tl2br w:val="nil"/>
                    <w:tr2bl w:val="nil"/>
                  </w:tcBorders>
                  <w:noWrap w:val="0"/>
                  <w:vAlign w:val="center"/>
                </w:tcPr>
                <w:p w14:paraId="323E9C0D">
                  <w:pPr>
                    <w:jc w:val="center"/>
                    <w:rPr>
                      <w:rFonts w:ascii="Times New Roman" w:hAnsi="Times New Roman" w:eastAsia="宋体" w:cs="Times New Roman"/>
                      <w:color w:val="auto"/>
                      <w:spacing w:val="0"/>
                      <w:position w:val="0"/>
                      <w:sz w:val="21"/>
                      <w:szCs w:val="21"/>
                      <w:highlight w:val="none"/>
                    </w:rPr>
                  </w:pPr>
                </w:p>
              </w:tc>
              <w:tc>
                <w:tcPr>
                  <w:tcW w:w="585" w:type="pct"/>
                  <w:vMerge w:val="continue"/>
                  <w:tcBorders>
                    <w:tl2br w:val="nil"/>
                    <w:tr2bl w:val="nil"/>
                  </w:tcBorders>
                  <w:noWrap w:val="0"/>
                  <w:vAlign w:val="center"/>
                </w:tcPr>
                <w:p w14:paraId="704CDDB5">
                  <w:pPr>
                    <w:jc w:val="center"/>
                    <w:rPr>
                      <w:rFonts w:ascii="Times New Roman" w:hAnsi="Times New Roman" w:eastAsia="宋体" w:cs="Times New Roman"/>
                      <w:color w:val="auto"/>
                      <w:spacing w:val="0"/>
                      <w:position w:val="0"/>
                      <w:sz w:val="21"/>
                      <w:szCs w:val="21"/>
                      <w:highlight w:val="none"/>
                    </w:rPr>
                  </w:pPr>
                </w:p>
              </w:tc>
              <w:tc>
                <w:tcPr>
                  <w:tcW w:w="548" w:type="pct"/>
                  <w:vMerge w:val="continue"/>
                  <w:tcBorders>
                    <w:tl2br w:val="nil"/>
                    <w:tr2bl w:val="nil"/>
                  </w:tcBorders>
                  <w:noWrap w:val="0"/>
                  <w:vAlign w:val="center"/>
                </w:tcPr>
                <w:p w14:paraId="2A7CB2A1">
                  <w:pPr>
                    <w:jc w:val="center"/>
                    <w:rPr>
                      <w:rFonts w:ascii="Times New Roman" w:hAnsi="Times New Roman" w:eastAsia="宋体" w:cs="Times New Roman"/>
                      <w:color w:val="auto"/>
                      <w:spacing w:val="0"/>
                      <w:position w:val="0"/>
                      <w:sz w:val="21"/>
                      <w:szCs w:val="21"/>
                      <w:highlight w:val="none"/>
                    </w:rPr>
                  </w:pPr>
                </w:p>
              </w:tc>
              <w:tc>
                <w:tcPr>
                  <w:tcW w:w="659" w:type="pct"/>
                  <w:vMerge w:val="continue"/>
                  <w:tcBorders>
                    <w:tl2br w:val="nil"/>
                    <w:tr2bl w:val="nil"/>
                  </w:tcBorders>
                  <w:noWrap w:val="0"/>
                  <w:vAlign w:val="center"/>
                </w:tcPr>
                <w:p w14:paraId="60AA5FEF">
                  <w:pPr>
                    <w:jc w:val="center"/>
                    <w:rPr>
                      <w:rFonts w:ascii="Times New Roman" w:hAnsi="Times New Roman" w:eastAsia="宋体" w:cs="Times New Roman"/>
                      <w:color w:val="auto"/>
                      <w:spacing w:val="0"/>
                      <w:position w:val="0"/>
                      <w:sz w:val="21"/>
                      <w:szCs w:val="21"/>
                      <w:highlight w:val="none"/>
                    </w:rPr>
                  </w:pPr>
                </w:p>
              </w:tc>
              <w:tc>
                <w:tcPr>
                  <w:tcW w:w="473" w:type="pct"/>
                  <w:vMerge w:val="continue"/>
                  <w:tcBorders>
                    <w:tl2br w:val="nil"/>
                    <w:tr2bl w:val="nil"/>
                  </w:tcBorders>
                  <w:noWrap w:val="0"/>
                  <w:vAlign w:val="center"/>
                </w:tcPr>
                <w:p w14:paraId="73A14761">
                  <w:pPr>
                    <w:jc w:val="center"/>
                    <w:rPr>
                      <w:rFonts w:ascii="Times New Roman" w:hAnsi="Times New Roman" w:eastAsia="宋体" w:cs="Times New Roman"/>
                      <w:color w:val="auto"/>
                      <w:spacing w:val="0"/>
                      <w:position w:val="0"/>
                      <w:sz w:val="21"/>
                      <w:szCs w:val="21"/>
                      <w:highlight w:val="none"/>
                    </w:rPr>
                  </w:pPr>
                </w:p>
              </w:tc>
              <w:tc>
                <w:tcPr>
                  <w:tcW w:w="493" w:type="pct"/>
                  <w:tcBorders>
                    <w:tl2br w:val="nil"/>
                    <w:tr2bl w:val="nil"/>
                  </w:tcBorders>
                  <w:noWrap w:val="0"/>
                  <w:vAlign w:val="center"/>
                </w:tcPr>
                <w:p w14:paraId="42D2EEEA">
                  <w:pPr>
                    <w:jc w:val="center"/>
                    <w:rPr>
                      <w:rFonts w:hint="default" w:ascii="Times New Roman" w:hAnsi="Times New Roman" w:eastAsia="宋体" w:cs="Times New Roman"/>
                      <w:color w:val="auto"/>
                      <w:spacing w:val="0"/>
                      <w:position w:val="0"/>
                      <w:sz w:val="21"/>
                      <w:szCs w:val="21"/>
                      <w:highlight w:val="none"/>
                      <w:lang w:val="en-US"/>
                    </w:rPr>
                  </w:pPr>
                  <w:r>
                    <w:rPr>
                      <w:rFonts w:hint="eastAsia" w:cs="Times New Roman"/>
                      <w:color w:val="auto"/>
                      <w:spacing w:val="0"/>
                      <w:position w:val="0"/>
                      <w:sz w:val="21"/>
                      <w:szCs w:val="21"/>
                      <w:highlight w:val="none"/>
                      <w:lang w:val="en-US" w:eastAsia="zh-CN"/>
                    </w:rPr>
                    <w:t>60</w:t>
                  </w:r>
                </w:p>
              </w:tc>
              <w:tc>
                <w:tcPr>
                  <w:tcW w:w="404" w:type="pct"/>
                  <w:vMerge w:val="continue"/>
                  <w:tcBorders>
                    <w:tl2br w:val="nil"/>
                    <w:tr2bl w:val="nil"/>
                  </w:tcBorders>
                  <w:noWrap w:val="0"/>
                  <w:vAlign w:val="center"/>
                </w:tcPr>
                <w:p w14:paraId="68135EBC">
                  <w:pPr>
                    <w:jc w:val="center"/>
                    <w:rPr>
                      <w:rFonts w:ascii="Times New Roman" w:hAnsi="Times New Roman" w:eastAsia="宋体" w:cs="Times New Roman"/>
                      <w:color w:val="auto"/>
                      <w:spacing w:val="0"/>
                      <w:position w:val="0"/>
                      <w:szCs w:val="21"/>
                      <w:highlight w:val="none"/>
                    </w:rPr>
                  </w:pPr>
                </w:p>
              </w:tc>
            </w:tr>
            <w:tr w14:paraId="37C063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Merge w:val="continue"/>
                  <w:tcBorders>
                    <w:tl2br w:val="nil"/>
                    <w:tr2bl w:val="nil"/>
                  </w:tcBorders>
                  <w:noWrap w:val="0"/>
                  <w:vAlign w:val="center"/>
                </w:tcPr>
                <w:p w14:paraId="417E26EA">
                  <w:pPr>
                    <w:jc w:val="center"/>
                    <w:rPr>
                      <w:rFonts w:ascii="Times New Roman" w:hAnsi="Times New Roman" w:eastAsia="宋体" w:cs="Times New Roman"/>
                      <w:color w:val="auto"/>
                      <w:spacing w:val="0"/>
                      <w:position w:val="0"/>
                      <w:sz w:val="21"/>
                      <w:szCs w:val="21"/>
                      <w:highlight w:val="none"/>
                    </w:rPr>
                  </w:pPr>
                </w:p>
              </w:tc>
              <w:tc>
                <w:tcPr>
                  <w:tcW w:w="780" w:type="pct"/>
                  <w:tcBorders>
                    <w:tl2br w:val="nil"/>
                    <w:tr2bl w:val="nil"/>
                  </w:tcBorders>
                  <w:noWrap w:val="0"/>
                  <w:vAlign w:val="center"/>
                </w:tcPr>
                <w:p w14:paraId="0AC43985">
                  <w:pPr>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BOD</w:t>
                  </w:r>
                  <w:r>
                    <w:rPr>
                      <w:rFonts w:hint="eastAsia" w:ascii="Times New Roman" w:hAnsi="Times New Roman" w:eastAsia="宋体" w:cs="Times New Roman"/>
                      <w:color w:val="auto"/>
                      <w:spacing w:val="0"/>
                      <w:position w:val="0"/>
                      <w:sz w:val="21"/>
                      <w:szCs w:val="21"/>
                      <w:highlight w:val="none"/>
                      <w:vertAlign w:val="subscript"/>
                    </w:rPr>
                    <w:t>5</w:t>
                  </w:r>
                </w:p>
              </w:tc>
              <w:tc>
                <w:tcPr>
                  <w:tcW w:w="640" w:type="pct"/>
                  <w:vMerge w:val="continue"/>
                  <w:tcBorders>
                    <w:tl2br w:val="nil"/>
                    <w:tr2bl w:val="nil"/>
                  </w:tcBorders>
                  <w:noWrap w:val="0"/>
                  <w:vAlign w:val="center"/>
                </w:tcPr>
                <w:p w14:paraId="7DD734EC">
                  <w:pPr>
                    <w:jc w:val="center"/>
                    <w:rPr>
                      <w:rFonts w:ascii="Times New Roman" w:hAnsi="Times New Roman" w:eastAsia="宋体" w:cs="Times New Roman"/>
                      <w:color w:val="auto"/>
                      <w:spacing w:val="0"/>
                      <w:position w:val="0"/>
                      <w:sz w:val="21"/>
                      <w:szCs w:val="21"/>
                      <w:highlight w:val="none"/>
                    </w:rPr>
                  </w:pPr>
                </w:p>
              </w:tc>
              <w:tc>
                <w:tcPr>
                  <w:tcW w:w="585" w:type="pct"/>
                  <w:vMerge w:val="continue"/>
                  <w:tcBorders>
                    <w:tl2br w:val="nil"/>
                    <w:tr2bl w:val="nil"/>
                  </w:tcBorders>
                  <w:noWrap w:val="0"/>
                  <w:vAlign w:val="center"/>
                </w:tcPr>
                <w:p w14:paraId="17312CAC">
                  <w:pPr>
                    <w:jc w:val="center"/>
                    <w:rPr>
                      <w:rFonts w:ascii="Times New Roman" w:hAnsi="Times New Roman" w:eastAsia="宋体" w:cs="Times New Roman"/>
                      <w:color w:val="auto"/>
                      <w:spacing w:val="0"/>
                      <w:position w:val="0"/>
                      <w:sz w:val="21"/>
                      <w:szCs w:val="21"/>
                      <w:highlight w:val="none"/>
                    </w:rPr>
                  </w:pPr>
                </w:p>
              </w:tc>
              <w:tc>
                <w:tcPr>
                  <w:tcW w:w="548" w:type="pct"/>
                  <w:vMerge w:val="continue"/>
                  <w:tcBorders>
                    <w:tl2br w:val="nil"/>
                    <w:tr2bl w:val="nil"/>
                  </w:tcBorders>
                  <w:noWrap w:val="0"/>
                  <w:vAlign w:val="center"/>
                </w:tcPr>
                <w:p w14:paraId="6CFAA0FC">
                  <w:pPr>
                    <w:jc w:val="center"/>
                    <w:rPr>
                      <w:rFonts w:ascii="Times New Roman" w:hAnsi="Times New Roman" w:eastAsia="宋体" w:cs="Times New Roman"/>
                      <w:color w:val="auto"/>
                      <w:spacing w:val="0"/>
                      <w:position w:val="0"/>
                      <w:sz w:val="21"/>
                      <w:szCs w:val="21"/>
                      <w:highlight w:val="none"/>
                    </w:rPr>
                  </w:pPr>
                </w:p>
              </w:tc>
              <w:tc>
                <w:tcPr>
                  <w:tcW w:w="659" w:type="pct"/>
                  <w:vMerge w:val="continue"/>
                  <w:tcBorders>
                    <w:tl2br w:val="nil"/>
                    <w:tr2bl w:val="nil"/>
                  </w:tcBorders>
                  <w:noWrap w:val="0"/>
                  <w:vAlign w:val="center"/>
                </w:tcPr>
                <w:p w14:paraId="14DEEA72">
                  <w:pPr>
                    <w:jc w:val="center"/>
                    <w:rPr>
                      <w:rFonts w:ascii="Times New Roman" w:hAnsi="Times New Roman" w:eastAsia="宋体" w:cs="Times New Roman"/>
                      <w:color w:val="auto"/>
                      <w:spacing w:val="0"/>
                      <w:position w:val="0"/>
                      <w:sz w:val="21"/>
                      <w:szCs w:val="21"/>
                      <w:highlight w:val="none"/>
                    </w:rPr>
                  </w:pPr>
                </w:p>
              </w:tc>
              <w:tc>
                <w:tcPr>
                  <w:tcW w:w="473" w:type="pct"/>
                  <w:vMerge w:val="continue"/>
                  <w:tcBorders>
                    <w:tl2br w:val="nil"/>
                    <w:tr2bl w:val="nil"/>
                  </w:tcBorders>
                  <w:noWrap w:val="0"/>
                  <w:vAlign w:val="center"/>
                </w:tcPr>
                <w:p w14:paraId="57E7C0B5">
                  <w:pPr>
                    <w:jc w:val="center"/>
                    <w:rPr>
                      <w:rFonts w:ascii="Times New Roman" w:hAnsi="Times New Roman" w:eastAsia="宋体" w:cs="Times New Roman"/>
                      <w:color w:val="auto"/>
                      <w:spacing w:val="0"/>
                      <w:position w:val="0"/>
                      <w:sz w:val="21"/>
                      <w:szCs w:val="21"/>
                      <w:highlight w:val="none"/>
                    </w:rPr>
                  </w:pPr>
                </w:p>
              </w:tc>
              <w:tc>
                <w:tcPr>
                  <w:tcW w:w="493" w:type="pct"/>
                  <w:tcBorders>
                    <w:tl2br w:val="nil"/>
                    <w:tr2bl w:val="nil"/>
                  </w:tcBorders>
                  <w:noWrap w:val="0"/>
                  <w:vAlign w:val="center"/>
                </w:tcPr>
                <w:p w14:paraId="2F327517">
                  <w:pPr>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60</w:t>
                  </w:r>
                </w:p>
              </w:tc>
              <w:tc>
                <w:tcPr>
                  <w:tcW w:w="404" w:type="pct"/>
                  <w:vMerge w:val="continue"/>
                  <w:tcBorders>
                    <w:tl2br w:val="nil"/>
                    <w:tr2bl w:val="nil"/>
                  </w:tcBorders>
                  <w:noWrap w:val="0"/>
                  <w:vAlign w:val="center"/>
                </w:tcPr>
                <w:p w14:paraId="1039832B">
                  <w:pPr>
                    <w:jc w:val="center"/>
                    <w:rPr>
                      <w:rFonts w:ascii="Times New Roman" w:hAnsi="Times New Roman" w:eastAsia="宋体" w:cs="Times New Roman"/>
                      <w:color w:val="auto"/>
                      <w:spacing w:val="0"/>
                      <w:position w:val="0"/>
                      <w:szCs w:val="21"/>
                      <w:highlight w:val="none"/>
                    </w:rPr>
                  </w:pPr>
                </w:p>
              </w:tc>
            </w:tr>
            <w:tr w14:paraId="7017B4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Merge w:val="continue"/>
                  <w:tcBorders>
                    <w:tl2br w:val="nil"/>
                    <w:tr2bl w:val="nil"/>
                  </w:tcBorders>
                  <w:noWrap w:val="0"/>
                  <w:vAlign w:val="center"/>
                </w:tcPr>
                <w:p w14:paraId="3308C2CA">
                  <w:pPr>
                    <w:jc w:val="center"/>
                    <w:rPr>
                      <w:rFonts w:ascii="Times New Roman" w:hAnsi="Times New Roman" w:eastAsia="宋体" w:cs="Times New Roman"/>
                      <w:color w:val="auto"/>
                      <w:spacing w:val="0"/>
                      <w:position w:val="0"/>
                      <w:sz w:val="21"/>
                      <w:szCs w:val="21"/>
                      <w:highlight w:val="none"/>
                    </w:rPr>
                  </w:pPr>
                </w:p>
              </w:tc>
              <w:tc>
                <w:tcPr>
                  <w:tcW w:w="780" w:type="pct"/>
                  <w:tcBorders>
                    <w:tl2br w:val="nil"/>
                    <w:tr2bl w:val="nil"/>
                  </w:tcBorders>
                  <w:noWrap w:val="0"/>
                  <w:vAlign w:val="center"/>
                </w:tcPr>
                <w:p w14:paraId="54C12C01">
                  <w:pPr>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SS</w:t>
                  </w:r>
                </w:p>
              </w:tc>
              <w:tc>
                <w:tcPr>
                  <w:tcW w:w="640" w:type="pct"/>
                  <w:vMerge w:val="continue"/>
                  <w:tcBorders>
                    <w:tl2br w:val="nil"/>
                    <w:tr2bl w:val="nil"/>
                  </w:tcBorders>
                  <w:noWrap w:val="0"/>
                  <w:vAlign w:val="center"/>
                </w:tcPr>
                <w:p w14:paraId="5AA6A751">
                  <w:pPr>
                    <w:jc w:val="center"/>
                    <w:rPr>
                      <w:rFonts w:ascii="Times New Roman" w:hAnsi="Times New Roman" w:eastAsia="宋体" w:cs="Times New Roman"/>
                      <w:color w:val="auto"/>
                      <w:spacing w:val="0"/>
                      <w:position w:val="0"/>
                      <w:sz w:val="21"/>
                      <w:szCs w:val="21"/>
                      <w:highlight w:val="none"/>
                    </w:rPr>
                  </w:pPr>
                </w:p>
              </w:tc>
              <w:tc>
                <w:tcPr>
                  <w:tcW w:w="585" w:type="pct"/>
                  <w:vMerge w:val="continue"/>
                  <w:tcBorders>
                    <w:tl2br w:val="nil"/>
                    <w:tr2bl w:val="nil"/>
                  </w:tcBorders>
                  <w:noWrap w:val="0"/>
                  <w:vAlign w:val="center"/>
                </w:tcPr>
                <w:p w14:paraId="362E2FC9">
                  <w:pPr>
                    <w:jc w:val="center"/>
                    <w:rPr>
                      <w:rFonts w:ascii="Times New Roman" w:hAnsi="Times New Roman" w:eastAsia="宋体" w:cs="Times New Roman"/>
                      <w:color w:val="auto"/>
                      <w:spacing w:val="0"/>
                      <w:position w:val="0"/>
                      <w:sz w:val="21"/>
                      <w:szCs w:val="21"/>
                      <w:highlight w:val="none"/>
                    </w:rPr>
                  </w:pPr>
                </w:p>
              </w:tc>
              <w:tc>
                <w:tcPr>
                  <w:tcW w:w="548" w:type="pct"/>
                  <w:vMerge w:val="continue"/>
                  <w:tcBorders>
                    <w:tl2br w:val="nil"/>
                    <w:tr2bl w:val="nil"/>
                  </w:tcBorders>
                  <w:noWrap w:val="0"/>
                  <w:vAlign w:val="center"/>
                </w:tcPr>
                <w:p w14:paraId="3D1ABEBF">
                  <w:pPr>
                    <w:jc w:val="center"/>
                    <w:rPr>
                      <w:rFonts w:ascii="Times New Roman" w:hAnsi="Times New Roman" w:eastAsia="宋体" w:cs="Times New Roman"/>
                      <w:color w:val="auto"/>
                      <w:spacing w:val="0"/>
                      <w:position w:val="0"/>
                      <w:sz w:val="21"/>
                      <w:szCs w:val="21"/>
                      <w:highlight w:val="none"/>
                    </w:rPr>
                  </w:pPr>
                </w:p>
              </w:tc>
              <w:tc>
                <w:tcPr>
                  <w:tcW w:w="659" w:type="pct"/>
                  <w:vMerge w:val="continue"/>
                  <w:tcBorders>
                    <w:tl2br w:val="nil"/>
                    <w:tr2bl w:val="nil"/>
                  </w:tcBorders>
                  <w:noWrap w:val="0"/>
                  <w:vAlign w:val="center"/>
                </w:tcPr>
                <w:p w14:paraId="45800DB5">
                  <w:pPr>
                    <w:jc w:val="center"/>
                    <w:rPr>
                      <w:rFonts w:ascii="Times New Roman" w:hAnsi="Times New Roman" w:eastAsia="宋体" w:cs="Times New Roman"/>
                      <w:color w:val="auto"/>
                      <w:spacing w:val="0"/>
                      <w:position w:val="0"/>
                      <w:sz w:val="21"/>
                      <w:szCs w:val="21"/>
                      <w:highlight w:val="none"/>
                    </w:rPr>
                  </w:pPr>
                </w:p>
              </w:tc>
              <w:tc>
                <w:tcPr>
                  <w:tcW w:w="473" w:type="pct"/>
                  <w:vMerge w:val="continue"/>
                  <w:tcBorders>
                    <w:tl2br w:val="nil"/>
                    <w:tr2bl w:val="nil"/>
                  </w:tcBorders>
                  <w:noWrap w:val="0"/>
                  <w:vAlign w:val="center"/>
                </w:tcPr>
                <w:p w14:paraId="44D63B05">
                  <w:pPr>
                    <w:jc w:val="center"/>
                    <w:rPr>
                      <w:rFonts w:ascii="Times New Roman" w:hAnsi="Times New Roman" w:eastAsia="宋体" w:cs="Times New Roman"/>
                      <w:color w:val="auto"/>
                      <w:spacing w:val="0"/>
                      <w:position w:val="0"/>
                      <w:sz w:val="21"/>
                      <w:szCs w:val="21"/>
                      <w:highlight w:val="none"/>
                    </w:rPr>
                  </w:pPr>
                </w:p>
              </w:tc>
              <w:tc>
                <w:tcPr>
                  <w:tcW w:w="493" w:type="pct"/>
                  <w:tcBorders>
                    <w:tl2br w:val="nil"/>
                    <w:tr2bl w:val="nil"/>
                  </w:tcBorders>
                  <w:noWrap w:val="0"/>
                  <w:vAlign w:val="center"/>
                </w:tcPr>
                <w:p w14:paraId="03FB92C8">
                  <w:pPr>
                    <w:jc w:val="center"/>
                    <w:rPr>
                      <w:rFonts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val="en-US" w:eastAsia="zh-CN"/>
                    </w:rPr>
                    <w:t>8</w:t>
                  </w:r>
                  <w:r>
                    <w:rPr>
                      <w:rFonts w:hint="eastAsia" w:ascii="Times New Roman" w:hAnsi="Times New Roman" w:eastAsia="宋体" w:cs="Times New Roman"/>
                      <w:color w:val="auto"/>
                      <w:spacing w:val="0"/>
                      <w:position w:val="0"/>
                      <w:sz w:val="21"/>
                      <w:szCs w:val="21"/>
                      <w:highlight w:val="none"/>
                      <w:lang w:val="en-US" w:eastAsia="zh-CN"/>
                    </w:rPr>
                    <w:t>0</w:t>
                  </w:r>
                </w:p>
              </w:tc>
              <w:tc>
                <w:tcPr>
                  <w:tcW w:w="404" w:type="pct"/>
                  <w:vMerge w:val="continue"/>
                  <w:tcBorders>
                    <w:tl2br w:val="nil"/>
                    <w:tr2bl w:val="nil"/>
                  </w:tcBorders>
                  <w:noWrap w:val="0"/>
                  <w:vAlign w:val="center"/>
                </w:tcPr>
                <w:p w14:paraId="67F7477D">
                  <w:pPr>
                    <w:jc w:val="center"/>
                    <w:rPr>
                      <w:rFonts w:ascii="Times New Roman" w:hAnsi="Times New Roman" w:eastAsia="宋体" w:cs="Times New Roman"/>
                      <w:color w:val="auto"/>
                      <w:spacing w:val="0"/>
                      <w:position w:val="0"/>
                      <w:szCs w:val="21"/>
                      <w:highlight w:val="none"/>
                    </w:rPr>
                  </w:pPr>
                </w:p>
              </w:tc>
            </w:tr>
            <w:tr w14:paraId="2BF7DF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Merge w:val="continue"/>
                  <w:tcBorders>
                    <w:tl2br w:val="nil"/>
                    <w:tr2bl w:val="nil"/>
                  </w:tcBorders>
                  <w:noWrap w:val="0"/>
                  <w:vAlign w:val="center"/>
                </w:tcPr>
                <w:p w14:paraId="3D5C7D79">
                  <w:pPr>
                    <w:jc w:val="center"/>
                    <w:rPr>
                      <w:rFonts w:ascii="Times New Roman" w:hAnsi="Times New Roman" w:eastAsia="宋体" w:cs="Times New Roman"/>
                      <w:color w:val="auto"/>
                      <w:spacing w:val="0"/>
                      <w:position w:val="0"/>
                      <w:sz w:val="21"/>
                      <w:szCs w:val="21"/>
                      <w:highlight w:val="none"/>
                    </w:rPr>
                  </w:pPr>
                </w:p>
              </w:tc>
              <w:tc>
                <w:tcPr>
                  <w:tcW w:w="780" w:type="pct"/>
                  <w:tcBorders>
                    <w:tl2br w:val="nil"/>
                    <w:tr2bl w:val="nil"/>
                  </w:tcBorders>
                  <w:noWrap w:val="0"/>
                  <w:vAlign w:val="center"/>
                </w:tcPr>
                <w:p w14:paraId="41B26B06">
                  <w:pPr>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lang w:bidi="ar"/>
                    </w:rPr>
                    <w:t>氨氮</w:t>
                  </w:r>
                </w:p>
              </w:tc>
              <w:tc>
                <w:tcPr>
                  <w:tcW w:w="640" w:type="pct"/>
                  <w:vMerge w:val="continue"/>
                  <w:tcBorders>
                    <w:tl2br w:val="nil"/>
                    <w:tr2bl w:val="nil"/>
                  </w:tcBorders>
                  <w:noWrap w:val="0"/>
                  <w:vAlign w:val="center"/>
                </w:tcPr>
                <w:p w14:paraId="469442E0">
                  <w:pPr>
                    <w:jc w:val="center"/>
                    <w:rPr>
                      <w:rFonts w:ascii="Times New Roman" w:hAnsi="Times New Roman" w:eastAsia="宋体" w:cs="Times New Roman"/>
                      <w:color w:val="auto"/>
                      <w:spacing w:val="0"/>
                      <w:position w:val="0"/>
                      <w:sz w:val="21"/>
                      <w:szCs w:val="21"/>
                      <w:highlight w:val="none"/>
                    </w:rPr>
                  </w:pPr>
                </w:p>
              </w:tc>
              <w:tc>
                <w:tcPr>
                  <w:tcW w:w="585" w:type="pct"/>
                  <w:vMerge w:val="continue"/>
                  <w:tcBorders>
                    <w:tl2br w:val="nil"/>
                    <w:tr2bl w:val="nil"/>
                  </w:tcBorders>
                  <w:noWrap w:val="0"/>
                  <w:vAlign w:val="center"/>
                </w:tcPr>
                <w:p w14:paraId="0FB88922">
                  <w:pPr>
                    <w:jc w:val="center"/>
                    <w:rPr>
                      <w:rFonts w:ascii="Times New Roman" w:hAnsi="Times New Roman" w:eastAsia="宋体" w:cs="Times New Roman"/>
                      <w:color w:val="auto"/>
                      <w:spacing w:val="0"/>
                      <w:position w:val="0"/>
                      <w:sz w:val="21"/>
                      <w:szCs w:val="21"/>
                      <w:highlight w:val="none"/>
                    </w:rPr>
                  </w:pPr>
                </w:p>
              </w:tc>
              <w:tc>
                <w:tcPr>
                  <w:tcW w:w="548" w:type="pct"/>
                  <w:vMerge w:val="continue"/>
                  <w:tcBorders>
                    <w:tl2br w:val="nil"/>
                    <w:tr2bl w:val="nil"/>
                  </w:tcBorders>
                  <w:noWrap w:val="0"/>
                  <w:vAlign w:val="center"/>
                </w:tcPr>
                <w:p w14:paraId="1032A1A2">
                  <w:pPr>
                    <w:jc w:val="center"/>
                    <w:rPr>
                      <w:rFonts w:ascii="Times New Roman" w:hAnsi="Times New Roman" w:eastAsia="宋体" w:cs="Times New Roman"/>
                      <w:color w:val="auto"/>
                      <w:spacing w:val="0"/>
                      <w:position w:val="0"/>
                      <w:sz w:val="21"/>
                      <w:szCs w:val="21"/>
                      <w:highlight w:val="none"/>
                    </w:rPr>
                  </w:pPr>
                </w:p>
              </w:tc>
              <w:tc>
                <w:tcPr>
                  <w:tcW w:w="659" w:type="pct"/>
                  <w:vMerge w:val="continue"/>
                  <w:tcBorders>
                    <w:tl2br w:val="nil"/>
                    <w:tr2bl w:val="nil"/>
                  </w:tcBorders>
                  <w:noWrap w:val="0"/>
                  <w:vAlign w:val="center"/>
                </w:tcPr>
                <w:p w14:paraId="1ADD41F1">
                  <w:pPr>
                    <w:jc w:val="center"/>
                    <w:rPr>
                      <w:rFonts w:ascii="Times New Roman" w:hAnsi="Times New Roman" w:eastAsia="宋体" w:cs="Times New Roman"/>
                      <w:color w:val="auto"/>
                      <w:spacing w:val="0"/>
                      <w:position w:val="0"/>
                      <w:sz w:val="21"/>
                      <w:szCs w:val="21"/>
                      <w:highlight w:val="none"/>
                    </w:rPr>
                  </w:pPr>
                </w:p>
              </w:tc>
              <w:tc>
                <w:tcPr>
                  <w:tcW w:w="473" w:type="pct"/>
                  <w:vMerge w:val="continue"/>
                  <w:tcBorders>
                    <w:tl2br w:val="nil"/>
                    <w:tr2bl w:val="nil"/>
                  </w:tcBorders>
                  <w:noWrap w:val="0"/>
                  <w:vAlign w:val="center"/>
                </w:tcPr>
                <w:p w14:paraId="7C80B4A4">
                  <w:pPr>
                    <w:jc w:val="center"/>
                    <w:rPr>
                      <w:rFonts w:ascii="Times New Roman" w:hAnsi="Times New Roman" w:eastAsia="宋体" w:cs="Times New Roman"/>
                      <w:color w:val="auto"/>
                      <w:spacing w:val="0"/>
                      <w:position w:val="0"/>
                      <w:sz w:val="21"/>
                      <w:szCs w:val="21"/>
                      <w:highlight w:val="none"/>
                    </w:rPr>
                  </w:pPr>
                </w:p>
              </w:tc>
              <w:tc>
                <w:tcPr>
                  <w:tcW w:w="493" w:type="pct"/>
                  <w:tcBorders>
                    <w:tl2br w:val="nil"/>
                    <w:tr2bl w:val="nil"/>
                  </w:tcBorders>
                  <w:noWrap w:val="0"/>
                  <w:vAlign w:val="center"/>
                </w:tcPr>
                <w:p w14:paraId="49089EFC">
                  <w:pPr>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3</w:t>
                  </w:r>
                </w:p>
              </w:tc>
              <w:tc>
                <w:tcPr>
                  <w:tcW w:w="404" w:type="pct"/>
                  <w:vMerge w:val="continue"/>
                  <w:tcBorders>
                    <w:tl2br w:val="nil"/>
                    <w:tr2bl w:val="nil"/>
                  </w:tcBorders>
                  <w:noWrap w:val="0"/>
                  <w:vAlign w:val="center"/>
                </w:tcPr>
                <w:p w14:paraId="70519D0F">
                  <w:pPr>
                    <w:jc w:val="center"/>
                    <w:rPr>
                      <w:rFonts w:ascii="Times New Roman" w:hAnsi="Times New Roman" w:eastAsia="宋体" w:cs="Times New Roman"/>
                      <w:color w:val="auto"/>
                      <w:spacing w:val="0"/>
                      <w:position w:val="0"/>
                      <w:szCs w:val="21"/>
                      <w:highlight w:val="none"/>
                    </w:rPr>
                  </w:pPr>
                </w:p>
              </w:tc>
            </w:tr>
            <w:tr w14:paraId="197224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Merge w:val="continue"/>
                  <w:tcBorders>
                    <w:tl2br w:val="nil"/>
                    <w:tr2bl w:val="nil"/>
                  </w:tcBorders>
                  <w:noWrap w:val="0"/>
                  <w:vAlign w:val="center"/>
                </w:tcPr>
                <w:p w14:paraId="3D075DD4">
                  <w:pPr>
                    <w:jc w:val="center"/>
                    <w:rPr>
                      <w:rFonts w:ascii="Times New Roman" w:hAnsi="Times New Roman" w:eastAsia="宋体" w:cs="Times New Roman"/>
                      <w:color w:val="auto"/>
                      <w:spacing w:val="0"/>
                      <w:position w:val="0"/>
                      <w:sz w:val="21"/>
                      <w:szCs w:val="21"/>
                      <w:highlight w:val="none"/>
                    </w:rPr>
                  </w:pPr>
                </w:p>
              </w:tc>
              <w:tc>
                <w:tcPr>
                  <w:tcW w:w="780" w:type="pct"/>
                  <w:tcBorders>
                    <w:tl2br w:val="nil"/>
                    <w:tr2bl w:val="nil"/>
                  </w:tcBorders>
                  <w:noWrap w:val="0"/>
                  <w:vAlign w:val="center"/>
                </w:tcPr>
                <w:p w14:paraId="18C2B4D7">
                  <w:pPr>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总氮</w:t>
                  </w:r>
                </w:p>
              </w:tc>
              <w:tc>
                <w:tcPr>
                  <w:tcW w:w="640" w:type="pct"/>
                  <w:vMerge w:val="continue"/>
                  <w:tcBorders>
                    <w:tl2br w:val="nil"/>
                    <w:tr2bl w:val="nil"/>
                  </w:tcBorders>
                  <w:noWrap w:val="0"/>
                  <w:vAlign w:val="center"/>
                </w:tcPr>
                <w:p w14:paraId="17C71CAE">
                  <w:pPr>
                    <w:jc w:val="center"/>
                    <w:rPr>
                      <w:rFonts w:ascii="Times New Roman" w:hAnsi="Times New Roman" w:eastAsia="宋体" w:cs="Times New Roman"/>
                      <w:color w:val="auto"/>
                      <w:spacing w:val="0"/>
                      <w:position w:val="0"/>
                      <w:sz w:val="21"/>
                      <w:szCs w:val="21"/>
                      <w:highlight w:val="none"/>
                    </w:rPr>
                  </w:pPr>
                </w:p>
              </w:tc>
              <w:tc>
                <w:tcPr>
                  <w:tcW w:w="585" w:type="pct"/>
                  <w:vMerge w:val="continue"/>
                  <w:tcBorders>
                    <w:tl2br w:val="nil"/>
                    <w:tr2bl w:val="nil"/>
                  </w:tcBorders>
                  <w:noWrap w:val="0"/>
                  <w:vAlign w:val="center"/>
                </w:tcPr>
                <w:p w14:paraId="0D55025B">
                  <w:pPr>
                    <w:jc w:val="center"/>
                    <w:rPr>
                      <w:rFonts w:ascii="Times New Roman" w:hAnsi="Times New Roman" w:eastAsia="宋体" w:cs="Times New Roman"/>
                      <w:color w:val="auto"/>
                      <w:spacing w:val="0"/>
                      <w:position w:val="0"/>
                      <w:sz w:val="21"/>
                      <w:szCs w:val="21"/>
                      <w:highlight w:val="none"/>
                    </w:rPr>
                  </w:pPr>
                </w:p>
              </w:tc>
              <w:tc>
                <w:tcPr>
                  <w:tcW w:w="548" w:type="pct"/>
                  <w:vMerge w:val="continue"/>
                  <w:tcBorders>
                    <w:tl2br w:val="nil"/>
                    <w:tr2bl w:val="nil"/>
                  </w:tcBorders>
                  <w:noWrap w:val="0"/>
                  <w:vAlign w:val="center"/>
                </w:tcPr>
                <w:p w14:paraId="652D0C0C">
                  <w:pPr>
                    <w:jc w:val="center"/>
                    <w:rPr>
                      <w:rFonts w:ascii="Times New Roman" w:hAnsi="Times New Roman" w:eastAsia="宋体" w:cs="Times New Roman"/>
                      <w:color w:val="auto"/>
                      <w:spacing w:val="0"/>
                      <w:position w:val="0"/>
                      <w:sz w:val="21"/>
                      <w:szCs w:val="21"/>
                      <w:highlight w:val="none"/>
                    </w:rPr>
                  </w:pPr>
                </w:p>
              </w:tc>
              <w:tc>
                <w:tcPr>
                  <w:tcW w:w="659" w:type="pct"/>
                  <w:vMerge w:val="continue"/>
                  <w:tcBorders>
                    <w:tl2br w:val="nil"/>
                    <w:tr2bl w:val="nil"/>
                  </w:tcBorders>
                  <w:noWrap w:val="0"/>
                  <w:vAlign w:val="center"/>
                </w:tcPr>
                <w:p w14:paraId="6B2E2F78">
                  <w:pPr>
                    <w:jc w:val="center"/>
                    <w:rPr>
                      <w:rFonts w:ascii="Times New Roman" w:hAnsi="Times New Roman" w:eastAsia="宋体" w:cs="Times New Roman"/>
                      <w:color w:val="auto"/>
                      <w:spacing w:val="0"/>
                      <w:position w:val="0"/>
                      <w:sz w:val="21"/>
                      <w:szCs w:val="21"/>
                      <w:highlight w:val="none"/>
                    </w:rPr>
                  </w:pPr>
                </w:p>
              </w:tc>
              <w:tc>
                <w:tcPr>
                  <w:tcW w:w="473" w:type="pct"/>
                  <w:vMerge w:val="continue"/>
                  <w:tcBorders>
                    <w:tl2br w:val="nil"/>
                    <w:tr2bl w:val="nil"/>
                  </w:tcBorders>
                  <w:noWrap w:val="0"/>
                  <w:vAlign w:val="center"/>
                </w:tcPr>
                <w:p w14:paraId="2B92D314">
                  <w:pPr>
                    <w:jc w:val="center"/>
                    <w:rPr>
                      <w:rFonts w:ascii="Times New Roman" w:hAnsi="Times New Roman" w:eastAsia="宋体" w:cs="Times New Roman"/>
                      <w:color w:val="auto"/>
                      <w:spacing w:val="0"/>
                      <w:position w:val="0"/>
                      <w:sz w:val="21"/>
                      <w:szCs w:val="21"/>
                      <w:highlight w:val="none"/>
                    </w:rPr>
                  </w:pPr>
                </w:p>
              </w:tc>
              <w:tc>
                <w:tcPr>
                  <w:tcW w:w="877" w:type="dxa"/>
                  <w:tcBorders>
                    <w:tl2br w:val="nil"/>
                    <w:tr2bl w:val="nil"/>
                  </w:tcBorders>
                  <w:noWrap w:val="0"/>
                  <w:vAlign w:val="center"/>
                </w:tcPr>
                <w:p w14:paraId="6CD42935">
                  <w:pPr>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64.3</w:t>
                  </w:r>
                </w:p>
              </w:tc>
              <w:tc>
                <w:tcPr>
                  <w:tcW w:w="404" w:type="pct"/>
                  <w:vMerge w:val="continue"/>
                  <w:tcBorders>
                    <w:tl2br w:val="nil"/>
                    <w:tr2bl w:val="nil"/>
                  </w:tcBorders>
                  <w:noWrap w:val="0"/>
                  <w:vAlign w:val="center"/>
                </w:tcPr>
                <w:p w14:paraId="002EAECF">
                  <w:pPr>
                    <w:jc w:val="center"/>
                    <w:rPr>
                      <w:rFonts w:ascii="Times New Roman" w:hAnsi="Times New Roman" w:eastAsia="宋体" w:cs="Times New Roman"/>
                      <w:color w:val="auto"/>
                      <w:spacing w:val="0"/>
                      <w:position w:val="0"/>
                      <w:szCs w:val="21"/>
                      <w:highlight w:val="none"/>
                    </w:rPr>
                  </w:pPr>
                </w:p>
              </w:tc>
            </w:tr>
            <w:tr w14:paraId="44388E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Merge w:val="continue"/>
                  <w:tcBorders>
                    <w:tl2br w:val="nil"/>
                    <w:tr2bl w:val="nil"/>
                  </w:tcBorders>
                  <w:noWrap w:val="0"/>
                  <w:vAlign w:val="center"/>
                </w:tcPr>
                <w:p w14:paraId="673140A7">
                  <w:pPr>
                    <w:jc w:val="center"/>
                    <w:rPr>
                      <w:rFonts w:ascii="Times New Roman" w:hAnsi="Times New Roman" w:eastAsia="宋体" w:cs="Times New Roman"/>
                      <w:color w:val="auto"/>
                      <w:spacing w:val="0"/>
                      <w:position w:val="0"/>
                      <w:sz w:val="21"/>
                      <w:szCs w:val="21"/>
                      <w:highlight w:val="none"/>
                    </w:rPr>
                  </w:pPr>
                </w:p>
              </w:tc>
              <w:tc>
                <w:tcPr>
                  <w:tcW w:w="780" w:type="pct"/>
                  <w:tcBorders>
                    <w:tl2br w:val="nil"/>
                    <w:tr2bl w:val="nil"/>
                  </w:tcBorders>
                  <w:noWrap w:val="0"/>
                  <w:vAlign w:val="center"/>
                </w:tcPr>
                <w:p w14:paraId="29AA8669">
                  <w:pPr>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总磷</w:t>
                  </w:r>
                </w:p>
              </w:tc>
              <w:tc>
                <w:tcPr>
                  <w:tcW w:w="640" w:type="pct"/>
                  <w:vMerge w:val="continue"/>
                  <w:tcBorders>
                    <w:tl2br w:val="nil"/>
                    <w:tr2bl w:val="nil"/>
                  </w:tcBorders>
                  <w:noWrap w:val="0"/>
                  <w:vAlign w:val="center"/>
                </w:tcPr>
                <w:p w14:paraId="41113F24">
                  <w:pPr>
                    <w:jc w:val="center"/>
                    <w:rPr>
                      <w:rFonts w:ascii="Times New Roman" w:hAnsi="Times New Roman" w:eastAsia="宋体" w:cs="Times New Roman"/>
                      <w:color w:val="auto"/>
                      <w:spacing w:val="0"/>
                      <w:position w:val="0"/>
                      <w:sz w:val="21"/>
                      <w:szCs w:val="21"/>
                      <w:highlight w:val="none"/>
                    </w:rPr>
                  </w:pPr>
                </w:p>
              </w:tc>
              <w:tc>
                <w:tcPr>
                  <w:tcW w:w="585" w:type="pct"/>
                  <w:vMerge w:val="continue"/>
                  <w:tcBorders>
                    <w:tl2br w:val="nil"/>
                    <w:tr2bl w:val="nil"/>
                  </w:tcBorders>
                  <w:noWrap w:val="0"/>
                  <w:vAlign w:val="center"/>
                </w:tcPr>
                <w:p w14:paraId="6A52257F">
                  <w:pPr>
                    <w:jc w:val="center"/>
                    <w:rPr>
                      <w:rFonts w:ascii="Times New Roman" w:hAnsi="Times New Roman" w:eastAsia="宋体" w:cs="Times New Roman"/>
                      <w:color w:val="auto"/>
                      <w:spacing w:val="0"/>
                      <w:position w:val="0"/>
                      <w:sz w:val="21"/>
                      <w:szCs w:val="21"/>
                      <w:highlight w:val="none"/>
                    </w:rPr>
                  </w:pPr>
                </w:p>
              </w:tc>
              <w:tc>
                <w:tcPr>
                  <w:tcW w:w="548" w:type="pct"/>
                  <w:vMerge w:val="continue"/>
                  <w:tcBorders>
                    <w:tl2br w:val="nil"/>
                    <w:tr2bl w:val="nil"/>
                  </w:tcBorders>
                  <w:noWrap w:val="0"/>
                  <w:vAlign w:val="center"/>
                </w:tcPr>
                <w:p w14:paraId="2E1D7600">
                  <w:pPr>
                    <w:jc w:val="center"/>
                    <w:rPr>
                      <w:rFonts w:ascii="Times New Roman" w:hAnsi="Times New Roman" w:eastAsia="宋体" w:cs="Times New Roman"/>
                      <w:color w:val="auto"/>
                      <w:spacing w:val="0"/>
                      <w:position w:val="0"/>
                      <w:sz w:val="21"/>
                      <w:szCs w:val="21"/>
                      <w:highlight w:val="none"/>
                    </w:rPr>
                  </w:pPr>
                </w:p>
              </w:tc>
              <w:tc>
                <w:tcPr>
                  <w:tcW w:w="659" w:type="pct"/>
                  <w:vMerge w:val="continue"/>
                  <w:tcBorders>
                    <w:tl2br w:val="nil"/>
                    <w:tr2bl w:val="nil"/>
                  </w:tcBorders>
                  <w:noWrap w:val="0"/>
                  <w:vAlign w:val="center"/>
                </w:tcPr>
                <w:p w14:paraId="07C30BD8">
                  <w:pPr>
                    <w:jc w:val="center"/>
                    <w:rPr>
                      <w:rFonts w:ascii="Times New Roman" w:hAnsi="Times New Roman" w:eastAsia="宋体" w:cs="Times New Roman"/>
                      <w:color w:val="auto"/>
                      <w:spacing w:val="0"/>
                      <w:position w:val="0"/>
                      <w:sz w:val="21"/>
                      <w:szCs w:val="21"/>
                      <w:highlight w:val="none"/>
                    </w:rPr>
                  </w:pPr>
                </w:p>
              </w:tc>
              <w:tc>
                <w:tcPr>
                  <w:tcW w:w="473" w:type="pct"/>
                  <w:vMerge w:val="continue"/>
                  <w:tcBorders>
                    <w:tl2br w:val="nil"/>
                    <w:tr2bl w:val="nil"/>
                  </w:tcBorders>
                  <w:noWrap w:val="0"/>
                  <w:vAlign w:val="center"/>
                </w:tcPr>
                <w:p w14:paraId="69D2C5C6">
                  <w:pPr>
                    <w:jc w:val="center"/>
                    <w:rPr>
                      <w:rFonts w:ascii="Times New Roman" w:hAnsi="Times New Roman" w:eastAsia="宋体" w:cs="Times New Roman"/>
                      <w:color w:val="auto"/>
                      <w:spacing w:val="0"/>
                      <w:position w:val="0"/>
                      <w:sz w:val="21"/>
                      <w:szCs w:val="21"/>
                      <w:highlight w:val="none"/>
                    </w:rPr>
                  </w:pPr>
                </w:p>
              </w:tc>
              <w:tc>
                <w:tcPr>
                  <w:tcW w:w="877" w:type="dxa"/>
                  <w:tcBorders>
                    <w:tl2br w:val="nil"/>
                    <w:tr2bl w:val="nil"/>
                  </w:tcBorders>
                  <w:noWrap w:val="0"/>
                  <w:vAlign w:val="center"/>
                </w:tcPr>
                <w:p w14:paraId="0C840D72">
                  <w:pPr>
                    <w:jc w:val="center"/>
                    <w:rPr>
                      <w:rFonts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val="en-US" w:eastAsia="zh-CN"/>
                    </w:rPr>
                    <w:t>26.64</w:t>
                  </w:r>
                </w:p>
              </w:tc>
              <w:tc>
                <w:tcPr>
                  <w:tcW w:w="404" w:type="pct"/>
                  <w:vMerge w:val="continue"/>
                  <w:tcBorders>
                    <w:tl2br w:val="nil"/>
                    <w:tr2bl w:val="nil"/>
                  </w:tcBorders>
                  <w:noWrap w:val="0"/>
                  <w:vAlign w:val="center"/>
                </w:tcPr>
                <w:p w14:paraId="57D0CA04">
                  <w:pPr>
                    <w:jc w:val="center"/>
                    <w:rPr>
                      <w:rFonts w:ascii="Times New Roman" w:hAnsi="Times New Roman" w:eastAsia="宋体" w:cs="Times New Roman"/>
                      <w:color w:val="auto"/>
                      <w:spacing w:val="0"/>
                      <w:position w:val="0"/>
                      <w:szCs w:val="21"/>
                      <w:highlight w:val="none"/>
                    </w:rPr>
                  </w:pPr>
                </w:p>
              </w:tc>
            </w:tr>
          </w:tbl>
          <w:p w14:paraId="22C12A49">
            <w:pPr>
              <w:widowControl/>
              <w:spacing w:before="120" w:beforeLines="50"/>
              <w:jc w:val="center"/>
              <w:rPr>
                <w:rFonts w:ascii="Times New Roman" w:hAnsi="Times New Roman" w:eastAsia="宋体" w:cs="Times New Roman"/>
                <w:color w:val="auto"/>
                <w:spacing w:val="0"/>
                <w:highlight w:val="none"/>
              </w:rPr>
            </w:pPr>
            <w:r>
              <w:rPr>
                <w:rFonts w:ascii="Times New Roman" w:hAnsi="Times New Roman" w:eastAsia="宋体" w:cs="Times New Roman"/>
                <w:b/>
                <w:bCs/>
                <w:color w:val="auto"/>
                <w:spacing w:val="0"/>
                <w:position w:val="0"/>
                <w:sz w:val="24"/>
                <w:highlight w:val="none"/>
              </w:rPr>
              <w:t>表4</w:t>
            </w:r>
            <w:r>
              <w:rPr>
                <w:rFonts w:hint="eastAsia" w:ascii="Times New Roman" w:hAnsi="Times New Roman" w:eastAsia="宋体" w:cs="Times New Roman"/>
                <w:b/>
                <w:bCs/>
                <w:color w:val="auto"/>
                <w:spacing w:val="0"/>
                <w:position w:val="0"/>
                <w:sz w:val="24"/>
                <w:highlight w:val="none"/>
                <w:lang w:val="en-US" w:eastAsia="zh-CN"/>
              </w:rPr>
              <w:t>.2-</w:t>
            </w:r>
            <w:r>
              <w:rPr>
                <w:rFonts w:hint="eastAsia" w:cs="Times New Roman"/>
                <w:b/>
                <w:bCs/>
                <w:color w:val="auto"/>
                <w:spacing w:val="0"/>
                <w:position w:val="0"/>
                <w:sz w:val="24"/>
                <w:highlight w:val="none"/>
                <w:lang w:val="en-US" w:eastAsia="zh-CN"/>
              </w:rPr>
              <w:t>4</w:t>
            </w:r>
            <w:r>
              <w:rPr>
                <w:rFonts w:ascii="Times New Roman" w:hAnsi="Times New Roman" w:eastAsia="宋体" w:cs="Times New Roman"/>
                <w:b/>
                <w:bCs/>
                <w:color w:val="auto"/>
                <w:spacing w:val="0"/>
                <w:position w:val="0"/>
                <w:sz w:val="24"/>
                <w:highlight w:val="none"/>
              </w:rPr>
              <w:t xml:space="preserve">  </w:t>
            </w:r>
            <w:r>
              <w:rPr>
                <w:rFonts w:hint="eastAsia" w:ascii="Times New Roman" w:hAnsi="Times New Roman" w:eastAsia="宋体" w:cs="Times New Roman"/>
                <w:b/>
                <w:bCs/>
                <w:color w:val="auto"/>
                <w:spacing w:val="0"/>
                <w:position w:val="0"/>
                <w:sz w:val="24"/>
                <w:highlight w:val="none"/>
                <w:lang w:val="en-US" w:eastAsia="zh-CN"/>
              </w:rPr>
              <w:t>生活污水</w:t>
            </w:r>
            <w:r>
              <w:rPr>
                <w:rFonts w:ascii="Times New Roman" w:hAnsi="Times New Roman" w:eastAsia="宋体" w:cs="Times New Roman"/>
                <w:b/>
                <w:bCs/>
                <w:color w:val="auto"/>
                <w:spacing w:val="0"/>
                <w:position w:val="0"/>
                <w:sz w:val="24"/>
                <w:highlight w:val="none"/>
              </w:rPr>
              <w:t>间接排放口基本情况</w:t>
            </w:r>
            <w:r>
              <w:rPr>
                <w:rFonts w:hint="eastAsia" w:ascii="Times New Roman" w:hAnsi="Times New Roman" w:eastAsia="宋体" w:cs="Times New Roman"/>
                <w:b/>
                <w:bCs/>
                <w:color w:val="auto"/>
                <w:spacing w:val="0"/>
                <w:position w:val="0"/>
                <w:sz w:val="24"/>
                <w:highlight w:val="none"/>
              </w:rPr>
              <w:t>一览</w:t>
            </w:r>
            <w:r>
              <w:rPr>
                <w:rFonts w:ascii="Times New Roman" w:hAnsi="Times New Roman" w:eastAsia="宋体" w:cs="Times New Roman"/>
                <w:b/>
                <w:bCs/>
                <w:color w:val="auto"/>
                <w:spacing w:val="0"/>
                <w:position w:val="0"/>
                <w:sz w:val="24"/>
                <w:highlight w:val="none"/>
              </w:rPr>
              <w:t>表</w:t>
            </w:r>
          </w:p>
          <w:tbl>
            <w:tblPr>
              <w:tblStyle w:val="29"/>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98"/>
              <w:gridCol w:w="759"/>
              <w:gridCol w:w="908"/>
              <w:gridCol w:w="959"/>
              <w:gridCol w:w="529"/>
              <w:gridCol w:w="500"/>
              <w:gridCol w:w="932"/>
              <w:gridCol w:w="692"/>
              <w:gridCol w:w="1016"/>
              <w:gridCol w:w="1723"/>
            </w:tblGrid>
            <w:tr w14:paraId="23B9FEE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noWrap w:val="0"/>
                  <w:vAlign w:val="center"/>
                </w:tcPr>
                <w:p w14:paraId="54B6CEF3">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排放口编号</w:t>
                  </w:r>
                </w:p>
              </w:tc>
              <w:tc>
                <w:tcPr>
                  <w:tcW w:w="430" w:type="pct"/>
                  <w:vMerge w:val="restart"/>
                  <w:tcBorders>
                    <w:tl2br w:val="nil"/>
                    <w:tr2bl w:val="nil"/>
                  </w:tcBorders>
                  <w:noWrap w:val="0"/>
                  <w:vAlign w:val="center"/>
                </w:tcPr>
                <w:p w14:paraId="46122002">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排放口名称</w:t>
                  </w:r>
                </w:p>
              </w:tc>
              <w:tc>
                <w:tcPr>
                  <w:tcW w:w="1058" w:type="pct"/>
                  <w:gridSpan w:val="2"/>
                  <w:tcBorders>
                    <w:tl2br w:val="nil"/>
                    <w:tr2bl w:val="nil"/>
                  </w:tcBorders>
                  <w:noWrap w:val="0"/>
                  <w:vAlign w:val="center"/>
                </w:tcPr>
                <w:p w14:paraId="1050AF7D">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排放口地理坐标</w:t>
                  </w:r>
                </w:p>
              </w:tc>
              <w:tc>
                <w:tcPr>
                  <w:tcW w:w="300" w:type="pct"/>
                  <w:vMerge w:val="restart"/>
                  <w:tcBorders>
                    <w:tl2br w:val="nil"/>
                    <w:tr2bl w:val="nil"/>
                  </w:tcBorders>
                  <w:noWrap w:val="0"/>
                  <w:vAlign w:val="center"/>
                </w:tcPr>
                <w:p w14:paraId="1F922565">
                  <w:pPr>
                    <w:adjustRightInd w:val="0"/>
                    <w:snapToGrid w:val="0"/>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排放</w:t>
                  </w:r>
                </w:p>
                <w:p w14:paraId="360AA426">
                  <w:pPr>
                    <w:adjustRightInd w:val="0"/>
                    <w:snapToGrid w:val="0"/>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方式</w:t>
                  </w:r>
                </w:p>
              </w:tc>
              <w:tc>
                <w:tcPr>
                  <w:tcW w:w="283" w:type="pct"/>
                  <w:vMerge w:val="restart"/>
                  <w:tcBorders>
                    <w:tl2br w:val="nil"/>
                    <w:tr2bl w:val="nil"/>
                  </w:tcBorders>
                  <w:noWrap w:val="0"/>
                  <w:vAlign w:val="center"/>
                </w:tcPr>
                <w:p w14:paraId="520FC693">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排放去向</w:t>
                  </w:r>
                </w:p>
              </w:tc>
              <w:tc>
                <w:tcPr>
                  <w:tcW w:w="528" w:type="pct"/>
                  <w:vMerge w:val="restart"/>
                  <w:tcBorders>
                    <w:tl2br w:val="nil"/>
                    <w:tr2bl w:val="nil"/>
                  </w:tcBorders>
                  <w:noWrap w:val="0"/>
                  <w:vAlign w:val="center"/>
                </w:tcPr>
                <w:p w14:paraId="1D32F48F">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排放</w:t>
                  </w:r>
                </w:p>
                <w:p w14:paraId="51426997">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时段</w:t>
                  </w:r>
                </w:p>
              </w:tc>
              <w:tc>
                <w:tcPr>
                  <w:tcW w:w="1945" w:type="pct"/>
                  <w:gridSpan w:val="3"/>
                  <w:tcBorders>
                    <w:tl2br w:val="nil"/>
                    <w:tr2bl w:val="nil"/>
                  </w:tcBorders>
                  <w:noWrap w:val="0"/>
                  <w:vAlign w:val="center"/>
                </w:tcPr>
                <w:p w14:paraId="313E8FC8">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受纳污水处理厂信息</w:t>
                  </w:r>
                </w:p>
              </w:tc>
            </w:tr>
            <w:tr w14:paraId="013A7AB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center"/>
                </w:tcPr>
                <w:p w14:paraId="3A191E8E">
                  <w:pPr>
                    <w:jc w:val="center"/>
                    <w:rPr>
                      <w:rFonts w:ascii="Times New Roman" w:hAnsi="Times New Roman" w:eastAsia="宋体" w:cs="Times New Roman"/>
                      <w:b/>
                      <w:bCs/>
                      <w:color w:val="auto"/>
                      <w:spacing w:val="0"/>
                      <w:position w:val="0"/>
                      <w:sz w:val="21"/>
                      <w:szCs w:val="21"/>
                      <w:highlight w:val="none"/>
                    </w:rPr>
                  </w:pPr>
                </w:p>
              </w:tc>
              <w:tc>
                <w:tcPr>
                  <w:tcW w:w="430" w:type="pct"/>
                  <w:vMerge w:val="continue"/>
                  <w:tcBorders>
                    <w:tl2br w:val="nil"/>
                    <w:tr2bl w:val="nil"/>
                  </w:tcBorders>
                  <w:noWrap w:val="0"/>
                  <w:vAlign w:val="center"/>
                </w:tcPr>
                <w:p w14:paraId="322D3245">
                  <w:pPr>
                    <w:jc w:val="center"/>
                    <w:rPr>
                      <w:rFonts w:ascii="Times New Roman" w:hAnsi="Times New Roman" w:eastAsia="宋体" w:cs="Times New Roman"/>
                      <w:b/>
                      <w:bCs/>
                      <w:color w:val="auto"/>
                      <w:spacing w:val="0"/>
                      <w:position w:val="0"/>
                      <w:sz w:val="21"/>
                      <w:szCs w:val="21"/>
                      <w:highlight w:val="none"/>
                    </w:rPr>
                  </w:pPr>
                </w:p>
              </w:tc>
              <w:tc>
                <w:tcPr>
                  <w:tcW w:w="514" w:type="pct"/>
                  <w:tcBorders>
                    <w:tl2br w:val="nil"/>
                    <w:tr2bl w:val="nil"/>
                  </w:tcBorders>
                  <w:noWrap w:val="0"/>
                  <w:vAlign w:val="center"/>
                </w:tcPr>
                <w:p w14:paraId="06D146B5">
                  <w:pPr>
                    <w:jc w:val="center"/>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lang w:val="en-US" w:eastAsia="zh-CN"/>
                    </w:rPr>
                    <w:t>东</w:t>
                  </w:r>
                  <w:r>
                    <w:rPr>
                      <w:rFonts w:ascii="Times New Roman" w:hAnsi="Times New Roman" w:eastAsia="宋体" w:cs="Times New Roman"/>
                      <w:b/>
                      <w:bCs/>
                      <w:color w:val="auto"/>
                      <w:spacing w:val="0"/>
                      <w:position w:val="0"/>
                      <w:sz w:val="21"/>
                      <w:szCs w:val="21"/>
                      <w:highlight w:val="none"/>
                    </w:rPr>
                    <w:t>经</w:t>
                  </w:r>
                </w:p>
              </w:tc>
              <w:tc>
                <w:tcPr>
                  <w:tcW w:w="543" w:type="pct"/>
                  <w:tcBorders>
                    <w:tl2br w:val="nil"/>
                    <w:tr2bl w:val="nil"/>
                  </w:tcBorders>
                  <w:noWrap w:val="0"/>
                  <w:vAlign w:val="center"/>
                </w:tcPr>
                <w:p w14:paraId="4DA0ED5E">
                  <w:pPr>
                    <w:jc w:val="center"/>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lang w:val="en-US" w:eastAsia="zh-CN"/>
                    </w:rPr>
                    <w:t>北</w:t>
                  </w:r>
                  <w:r>
                    <w:rPr>
                      <w:rFonts w:ascii="Times New Roman" w:hAnsi="Times New Roman" w:eastAsia="宋体" w:cs="Times New Roman"/>
                      <w:b/>
                      <w:bCs/>
                      <w:color w:val="auto"/>
                      <w:spacing w:val="0"/>
                      <w:position w:val="0"/>
                      <w:sz w:val="21"/>
                      <w:szCs w:val="21"/>
                      <w:highlight w:val="none"/>
                    </w:rPr>
                    <w:t>纬</w:t>
                  </w:r>
                </w:p>
              </w:tc>
              <w:tc>
                <w:tcPr>
                  <w:tcW w:w="300" w:type="pct"/>
                  <w:vMerge w:val="continue"/>
                  <w:tcBorders>
                    <w:tl2br w:val="nil"/>
                    <w:tr2bl w:val="nil"/>
                  </w:tcBorders>
                  <w:noWrap w:val="0"/>
                  <w:vAlign w:val="center"/>
                </w:tcPr>
                <w:p w14:paraId="7F7354A4">
                  <w:pPr>
                    <w:jc w:val="center"/>
                    <w:rPr>
                      <w:rFonts w:ascii="Times New Roman" w:hAnsi="Times New Roman" w:eastAsia="宋体" w:cs="Times New Roman"/>
                      <w:b/>
                      <w:bCs/>
                      <w:color w:val="auto"/>
                      <w:spacing w:val="0"/>
                      <w:position w:val="0"/>
                      <w:sz w:val="21"/>
                      <w:szCs w:val="21"/>
                      <w:highlight w:val="none"/>
                    </w:rPr>
                  </w:pPr>
                </w:p>
              </w:tc>
              <w:tc>
                <w:tcPr>
                  <w:tcW w:w="283" w:type="pct"/>
                  <w:vMerge w:val="continue"/>
                  <w:tcBorders>
                    <w:tl2br w:val="nil"/>
                    <w:tr2bl w:val="nil"/>
                  </w:tcBorders>
                  <w:noWrap w:val="0"/>
                  <w:vAlign w:val="center"/>
                </w:tcPr>
                <w:p w14:paraId="7FA721C1">
                  <w:pPr>
                    <w:jc w:val="center"/>
                    <w:rPr>
                      <w:rFonts w:ascii="Times New Roman" w:hAnsi="Times New Roman" w:eastAsia="宋体" w:cs="Times New Roman"/>
                      <w:b/>
                      <w:bCs/>
                      <w:color w:val="auto"/>
                      <w:spacing w:val="0"/>
                      <w:position w:val="0"/>
                      <w:sz w:val="21"/>
                      <w:szCs w:val="21"/>
                      <w:highlight w:val="none"/>
                    </w:rPr>
                  </w:pPr>
                </w:p>
              </w:tc>
              <w:tc>
                <w:tcPr>
                  <w:tcW w:w="528" w:type="pct"/>
                  <w:vMerge w:val="continue"/>
                  <w:tcBorders>
                    <w:tl2br w:val="nil"/>
                    <w:tr2bl w:val="nil"/>
                  </w:tcBorders>
                  <w:noWrap w:val="0"/>
                  <w:vAlign w:val="center"/>
                </w:tcPr>
                <w:p w14:paraId="6FD45523">
                  <w:pPr>
                    <w:jc w:val="center"/>
                    <w:rPr>
                      <w:rFonts w:ascii="Times New Roman" w:hAnsi="Times New Roman" w:eastAsia="宋体" w:cs="Times New Roman"/>
                      <w:b/>
                      <w:bCs/>
                      <w:color w:val="auto"/>
                      <w:spacing w:val="0"/>
                      <w:position w:val="0"/>
                      <w:sz w:val="21"/>
                      <w:szCs w:val="21"/>
                      <w:highlight w:val="none"/>
                    </w:rPr>
                  </w:pPr>
                </w:p>
              </w:tc>
              <w:tc>
                <w:tcPr>
                  <w:tcW w:w="392" w:type="pct"/>
                  <w:tcBorders>
                    <w:tl2br w:val="nil"/>
                    <w:tr2bl w:val="nil"/>
                  </w:tcBorders>
                  <w:noWrap w:val="0"/>
                  <w:vAlign w:val="center"/>
                </w:tcPr>
                <w:p w14:paraId="1F975188">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名称</w:t>
                  </w:r>
                </w:p>
              </w:tc>
              <w:tc>
                <w:tcPr>
                  <w:tcW w:w="576" w:type="pct"/>
                  <w:tcBorders>
                    <w:tl2br w:val="nil"/>
                    <w:tr2bl w:val="nil"/>
                  </w:tcBorders>
                  <w:noWrap w:val="0"/>
                  <w:vAlign w:val="center"/>
                </w:tcPr>
                <w:p w14:paraId="79ABAB89">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污染物</w:t>
                  </w:r>
                </w:p>
                <w:p w14:paraId="1528C819">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种类</w:t>
                  </w:r>
                </w:p>
              </w:tc>
              <w:tc>
                <w:tcPr>
                  <w:tcW w:w="977" w:type="pct"/>
                  <w:tcBorders>
                    <w:tl2br w:val="nil"/>
                    <w:tr2bl w:val="nil"/>
                  </w:tcBorders>
                  <w:noWrap w:val="0"/>
                  <w:vAlign w:val="center"/>
                </w:tcPr>
                <w:p w14:paraId="522D2E00">
                  <w:pPr>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国家或地方污染物排放标准限值/（mg/L）</w:t>
                  </w:r>
                </w:p>
              </w:tc>
            </w:tr>
            <w:tr w14:paraId="44EA142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noWrap w:val="0"/>
                  <w:vAlign w:val="center"/>
                </w:tcPr>
                <w:p w14:paraId="4F3C717F">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DW001</w:t>
                  </w:r>
                </w:p>
              </w:tc>
              <w:tc>
                <w:tcPr>
                  <w:tcW w:w="430" w:type="pct"/>
                  <w:vMerge w:val="restart"/>
                  <w:tcBorders>
                    <w:tl2br w:val="nil"/>
                    <w:tr2bl w:val="nil"/>
                  </w:tcBorders>
                  <w:noWrap w:val="0"/>
                  <w:vAlign w:val="center"/>
                </w:tcPr>
                <w:p w14:paraId="6B73A45E">
                  <w:pPr>
                    <w:jc w:val="center"/>
                    <w:rPr>
                      <w:rFonts w:hint="eastAsia" w:ascii="Times New Roman" w:hAnsi="Times New Roman" w:eastAsia="宋体" w:cs="Times New Roman"/>
                      <w:color w:val="auto"/>
                      <w:spacing w:val="0"/>
                      <w:position w:val="0"/>
                      <w:sz w:val="21"/>
                      <w:szCs w:val="21"/>
                      <w:highlight w:val="none"/>
                      <w:lang w:eastAsia="zh-CN"/>
                    </w:rPr>
                  </w:pPr>
                  <w:r>
                    <w:rPr>
                      <w:rFonts w:ascii="Times New Roman" w:hAnsi="Times New Roman" w:eastAsia="宋体" w:cs="Times New Roman"/>
                      <w:color w:val="auto"/>
                      <w:spacing w:val="0"/>
                      <w:position w:val="0"/>
                      <w:sz w:val="21"/>
                      <w:szCs w:val="21"/>
                      <w:highlight w:val="none"/>
                    </w:rPr>
                    <w:t>生活污水排放口</w:t>
                  </w:r>
                </w:p>
              </w:tc>
              <w:tc>
                <w:tcPr>
                  <w:tcW w:w="514" w:type="pct"/>
                  <w:vMerge w:val="restart"/>
                  <w:tcBorders>
                    <w:tl2br w:val="nil"/>
                    <w:tr2bl w:val="nil"/>
                  </w:tcBorders>
                  <w:noWrap w:val="0"/>
                  <w:vAlign w:val="center"/>
                </w:tcPr>
                <w:p w14:paraId="6F5A9D21">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11</w:t>
                  </w:r>
                  <w:r>
                    <w:rPr>
                      <w:rFonts w:hint="eastAsia" w:ascii="Times New Roman" w:hAnsi="Times New Roman" w:eastAsia="宋体" w:cs="Times New Roman"/>
                      <w:color w:val="auto"/>
                      <w:spacing w:val="0"/>
                      <w:position w:val="0"/>
                      <w:sz w:val="21"/>
                      <w:szCs w:val="21"/>
                      <w:highlight w:val="none"/>
                      <w:lang w:val="en-US" w:eastAsia="zh-CN"/>
                    </w:rPr>
                    <w:t>9</w:t>
                  </w:r>
                  <w:r>
                    <w:rPr>
                      <w:rFonts w:ascii="Times New Roman" w:hAnsi="Times New Roman" w:eastAsia="宋体" w:cs="Times New Roman"/>
                      <w:color w:val="auto"/>
                      <w:spacing w:val="0"/>
                      <w:position w:val="0"/>
                      <w:sz w:val="21"/>
                      <w:szCs w:val="21"/>
                      <w:highlight w:val="none"/>
                    </w:rPr>
                    <w:t>°</w:t>
                  </w:r>
                  <w:r>
                    <w:rPr>
                      <w:rFonts w:hint="eastAsia" w:cs="Times New Roman"/>
                      <w:color w:val="auto"/>
                      <w:spacing w:val="0"/>
                      <w:position w:val="0"/>
                      <w:sz w:val="21"/>
                      <w:szCs w:val="21"/>
                      <w:highlight w:val="none"/>
                      <w:lang w:val="en-US" w:eastAsia="zh-CN"/>
                    </w:rPr>
                    <w:t>10</w:t>
                  </w:r>
                  <w:r>
                    <w:rPr>
                      <w:rFonts w:ascii="Times New Roman" w:hAnsi="Times New Roman" w:eastAsia="宋体" w:cs="Times New Roman"/>
                      <w:color w:val="auto"/>
                      <w:spacing w:val="0"/>
                      <w:position w:val="0"/>
                      <w:sz w:val="21"/>
                      <w:szCs w:val="21"/>
                      <w:highlight w:val="none"/>
                    </w:rPr>
                    <w:t>'</w:t>
                  </w:r>
                  <w:r>
                    <w:rPr>
                      <w:rFonts w:hint="eastAsia" w:cs="Times New Roman"/>
                      <w:color w:val="auto"/>
                      <w:spacing w:val="0"/>
                      <w:position w:val="0"/>
                      <w:sz w:val="21"/>
                      <w:szCs w:val="21"/>
                      <w:highlight w:val="none"/>
                      <w:lang w:val="en-US" w:eastAsia="zh-CN"/>
                    </w:rPr>
                    <w:t>54.956</w:t>
                  </w:r>
                  <w:r>
                    <w:rPr>
                      <w:rFonts w:ascii="Times New Roman" w:hAnsi="Times New Roman" w:eastAsia="宋体" w:cs="Times New Roman"/>
                      <w:color w:val="auto"/>
                      <w:spacing w:val="0"/>
                      <w:position w:val="0"/>
                      <w:sz w:val="21"/>
                      <w:szCs w:val="21"/>
                      <w:highlight w:val="none"/>
                    </w:rPr>
                    <w:t>"</w:t>
                  </w:r>
                </w:p>
              </w:tc>
              <w:tc>
                <w:tcPr>
                  <w:tcW w:w="543" w:type="pct"/>
                  <w:vMerge w:val="restart"/>
                  <w:tcBorders>
                    <w:tl2br w:val="nil"/>
                    <w:tr2bl w:val="nil"/>
                  </w:tcBorders>
                  <w:noWrap w:val="0"/>
                  <w:vAlign w:val="center"/>
                </w:tcPr>
                <w:p w14:paraId="3F9DCB83">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w:t>
                  </w:r>
                  <w:r>
                    <w:rPr>
                      <w:rFonts w:hint="eastAsia" w:ascii="Times New Roman" w:hAnsi="Times New Roman" w:eastAsia="宋体" w:cs="Times New Roman"/>
                      <w:color w:val="auto"/>
                      <w:spacing w:val="0"/>
                      <w:position w:val="0"/>
                      <w:sz w:val="21"/>
                      <w:szCs w:val="21"/>
                      <w:highlight w:val="none"/>
                      <w:lang w:val="en-US" w:eastAsia="zh-CN"/>
                    </w:rPr>
                    <w:t>6</w:t>
                  </w:r>
                  <w:r>
                    <w:rPr>
                      <w:rFonts w:ascii="Times New Roman" w:hAnsi="Times New Roman" w:eastAsia="宋体" w:cs="Times New Roman"/>
                      <w:color w:val="auto"/>
                      <w:spacing w:val="0"/>
                      <w:position w:val="0"/>
                      <w:sz w:val="21"/>
                      <w:szCs w:val="21"/>
                      <w:highlight w:val="none"/>
                    </w:rPr>
                    <w:t>°</w:t>
                  </w:r>
                  <w:r>
                    <w:rPr>
                      <w:rFonts w:hint="eastAsia" w:cs="Times New Roman"/>
                      <w:color w:val="auto"/>
                      <w:spacing w:val="0"/>
                      <w:position w:val="0"/>
                      <w:sz w:val="21"/>
                      <w:szCs w:val="21"/>
                      <w:highlight w:val="none"/>
                      <w:lang w:val="en-US" w:eastAsia="zh-CN"/>
                    </w:rPr>
                    <w:t>9</w:t>
                  </w:r>
                  <w:r>
                    <w:rPr>
                      <w:rFonts w:ascii="Times New Roman" w:hAnsi="Times New Roman" w:eastAsia="宋体" w:cs="Times New Roman"/>
                      <w:color w:val="auto"/>
                      <w:spacing w:val="0"/>
                      <w:position w:val="0"/>
                      <w:sz w:val="21"/>
                      <w:szCs w:val="21"/>
                      <w:highlight w:val="none"/>
                    </w:rPr>
                    <w:t>'</w:t>
                  </w:r>
                  <w:r>
                    <w:rPr>
                      <w:rFonts w:hint="eastAsia" w:cs="Times New Roman"/>
                      <w:color w:val="auto"/>
                      <w:spacing w:val="0"/>
                      <w:position w:val="0"/>
                      <w:sz w:val="21"/>
                      <w:szCs w:val="21"/>
                      <w:highlight w:val="none"/>
                      <w:lang w:val="en-US" w:eastAsia="zh-CN"/>
                    </w:rPr>
                    <w:t>38.385</w:t>
                  </w:r>
                  <w:r>
                    <w:rPr>
                      <w:rFonts w:ascii="Times New Roman" w:hAnsi="Times New Roman" w:eastAsia="宋体" w:cs="Times New Roman"/>
                      <w:color w:val="auto"/>
                      <w:spacing w:val="0"/>
                      <w:position w:val="0"/>
                      <w:sz w:val="21"/>
                      <w:szCs w:val="21"/>
                      <w:highlight w:val="none"/>
                    </w:rPr>
                    <w:t>"</w:t>
                  </w:r>
                </w:p>
              </w:tc>
              <w:tc>
                <w:tcPr>
                  <w:tcW w:w="300" w:type="pct"/>
                  <w:vMerge w:val="restart"/>
                  <w:tcBorders>
                    <w:tl2br w:val="nil"/>
                    <w:tr2bl w:val="nil"/>
                  </w:tcBorders>
                  <w:noWrap w:val="0"/>
                  <w:vAlign w:val="center"/>
                </w:tcPr>
                <w:p w14:paraId="1F59823E">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间接</w:t>
                  </w:r>
                </w:p>
                <w:p w14:paraId="209DD89B">
                  <w:pPr>
                    <w:adjustRightInd w:val="0"/>
                    <w:snapToGrid w:val="0"/>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排放</w:t>
                  </w:r>
                </w:p>
              </w:tc>
              <w:tc>
                <w:tcPr>
                  <w:tcW w:w="283" w:type="pct"/>
                  <w:vMerge w:val="restart"/>
                  <w:tcBorders>
                    <w:tl2br w:val="nil"/>
                    <w:tr2bl w:val="nil"/>
                  </w:tcBorders>
                  <w:noWrap w:val="0"/>
                  <w:vAlign w:val="center"/>
                </w:tcPr>
                <w:p w14:paraId="170E5994">
                  <w:pPr>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闽侯县城关</w:t>
                  </w:r>
                  <w:r>
                    <w:rPr>
                      <w:rFonts w:hint="default" w:ascii="Times New Roman" w:hAnsi="Times New Roman" w:eastAsia="宋体" w:cs="Times New Roman"/>
                      <w:color w:val="auto"/>
                      <w:spacing w:val="0"/>
                      <w:position w:val="0"/>
                      <w:sz w:val="21"/>
                      <w:szCs w:val="21"/>
                      <w:highlight w:val="none"/>
                      <w:lang w:val="en-US" w:eastAsia="zh-CN"/>
                    </w:rPr>
                    <w:t>污水处理厂</w:t>
                  </w:r>
                </w:p>
              </w:tc>
              <w:tc>
                <w:tcPr>
                  <w:tcW w:w="528" w:type="pct"/>
                  <w:vMerge w:val="restart"/>
                  <w:tcBorders>
                    <w:tl2br w:val="nil"/>
                    <w:tr2bl w:val="nil"/>
                  </w:tcBorders>
                  <w:noWrap w:val="0"/>
                  <w:vAlign w:val="center"/>
                </w:tcPr>
                <w:p w14:paraId="4A872369">
                  <w:pPr>
                    <w:jc w:val="center"/>
                    <w:rPr>
                      <w:rFonts w:hint="eastAsia" w:ascii="Times New Roman" w:hAnsi="Times New Roman" w:eastAsia="宋体" w:cs="Times New Roman"/>
                      <w:color w:val="auto"/>
                      <w:spacing w:val="0"/>
                      <w:position w:val="0"/>
                      <w:sz w:val="21"/>
                      <w:szCs w:val="21"/>
                      <w:highlight w:val="none"/>
                      <w:lang w:eastAsia="zh-CN"/>
                    </w:rPr>
                  </w:pPr>
                  <w:r>
                    <w:rPr>
                      <w:rFonts w:hint="eastAsia" w:cs="Times New Roman"/>
                      <w:color w:val="auto"/>
                      <w:spacing w:val="0"/>
                      <w:position w:val="0"/>
                      <w:sz w:val="21"/>
                      <w:szCs w:val="21"/>
                      <w:highlight w:val="none"/>
                      <w:lang w:val="en-US" w:eastAsia="zh-CN"/>
                    </w:rPr>
                    <w:t>0</w:t>
                  </w:r>
                  <w:r>
                    <w:rPr>
                      <w:rFonts w:ascii="Times New Roman" w:hAnsi="Times New Roman" w:eastAsia="宋体" w:cs="Times New Roman"/>
                      <w:color w:val="auto"/>
                      <w:spacing w:val="0"/>
                      <w:position w:val="0"/>
                      <w:sz w:val="21"/>
                      <w:szCs w:val="21"/>
                      <w:highlight w:val="none"/>
                    </w:rPr>
                    <w:t>~2</w:t>
                  </w:r>
                  <w:r>
                    <w:rPr>
                      <w:rFonts w:hint="eastAsia" w:cs="Times New Roman"/>
                      <w:color w:val="auto"/>
                      <w:spacing w:val="0"/>
                      <w:position w:val="0"/>
                      <w:sz w:val="21"/>
                      <w:szCs w:val="21"/>
                      <w:highlight w:val="none"/>
                      <w:lang w:val="en-US" w:eastAsia="zh-CN"/>
                    </w:rPr>
                    <w:t>4</w:t>
                  </w:r>
                </w:p>
                <w:p w14:paraId="2C9335CE">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时</w:t>
                  </w:r>
                </w:p>
              </w:tc>
              <w:tc>
                <w:tcPr>
                  <w:tcW w:w="392" w:type="pct"/>
                  <w:vMerge w:val="restart"/>
                  <w:tcBorders>
                    <w:tl2br w:val="nil"/>
                    <w:tr2bl w:val="nil"/>
                  </w:tcBorders>
                  <w:noWrap w:val="0"/>
                  <w:vAlign w:val="center"/>
                </w:tcPr>
                <w:p w14:paraId="3889D6FF">
                  <w:pPr>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闽侯县城关</w:t>
                  </w:r>
                  <w:r>
                    <w:rPr>
                      <w:rFonts w:hint="default" w:ascii="Times New Roman" w:hAnsi="Times New Roman" w:eastAsia="宋体" w:cs="Times New Roman"/>
                      <w:color w:val="auto"/>
                      <w:spacing w:val="0"/>
                      <w:position w:val="0"/>
                      <w:sz w:val="21"/>
                      <w:szCs w:val="21"/>
                      <w:highlight w:val="none"/>
                      <w:lang w:val="en-US" w:eastAsia="zh-CN"/>
                    </w:rPr>
                    <w:t>污水处理厂</w:t>
                  </w:r>
                </w:p>
              </w:tc>
              <w:tc>
                <w:tcPr>
                  <w:tcW w:w="576" w:type="pct"/>
                  <w:tcBorders>
                    <w:tl2br w:val="nil"/>
                    <w:tr2bl w:val="nil"/>
                  </w:tcBorders>
                  <w:noWrap w:val="0"/>
                  <w:vAlign w:val="center"/>
                </w:tcPr>
                <w:p w14:paraId="681A4EEB">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pH</w:t>
                  </w:r>
                </w:p>
              </w:tc>
              <w:tc>
                <w:tcPr>
                  <w:tcW w:w="977" w:type="pct"/>
                  <w:tcBorders>
                    <w:tl2br w:val="nil"/>
                    <w:tr2bl w:val="nil"/>
                  </w:tcBorders>
                  <w:noWrap w:val="0"/>
                  <w:vAlign w:val="center"/>
                </w:tcPr>
                <w:p w14:paraId="701E9CE7">
                  <w:pPr>
                    <w:jc w:val="center"/>
                    <w:rPr>
                      <w:rFonts w:hint="eastAsia" w:ascii="Times New Roman" w:hAnsi="Times New Roman" w:eastAsia="宋体" w:cs="Times New Roman"/>
                      <w:color w:val="auto"/>
                      <w:spacing w:val="0"/>
                      <w:position w:val="0"/>
                      <w:sz w:val="21"/>
                      <w:szCs w:val="21"/>
                      <w:highlight w:val="none"/>
                      <w:lang w:eastAsia="zh-CN"/>
                    </w:rPr>
                  </w:pPr>
                  <w:r>
                    <w:rPr>
                      <w:rFonts w:ascii="Times New Roman" w:hAnsi="Times New Roman" w:eastAsia="宋体" w:cs="Times New Roman"/>
                      <w:color w:val="auto"/>
                      <w:spacing w:val="0"/>
                      <w:position w:val="0"/>
                      <w:sz w:val="21"/>
                      <w:szCs w:val="21"/>
                      <w:highlight w:val="none"/>
                    </w:rPr>
                    <w:t>6</w:t>
                  </w:r>
                  <w:r>
                    <w:rPr>
                      <w:rFonts w:hint="eastAsia" w:ascii="Times New Roman" w:hAnsi="Times New Roman" w:eastAsia="宋体" w:cs="Times New Roman"/>
                      <w:color w:val="auto"/>
                      <w:spacing w:val="0"/>
                      <w:position w:val="0"/>
                      <w:sz w:val="21"/>
                      <w:szCs w:val="21"/>
                      <w:highlight w:val="none"/>
                      <w:lang w:val="en-US" w:eastAsia="zh-CN"/>
                    </w:rPr>
                    <w:t>~</w:t>
                  </w:r>
                  <w:r>
                    <w:rPr>
                      <w:rFonts w:ascii="Times New Roman" w:hAnsi="Times New Roman" w:eastAsia="宋体" w:cs="Times New Roman"/>
                      <w:color w:val="auto"/>
                      <w:spacing w:val="0"/>
                      <w:position w:val="0"/>
                      <w:sz w:val="21"/>
                      <w:szCs w:val="21"/>
                      <w:highlight w:val="none"/>
                    </w:rPr>
                    <w:t>9（无量纲）</w:t>
                  </w:r>
                </w:p>
              </w:tc>
            </w:tr>
            <w:tr w14:paraId="6D8889A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center"/>
                </w:tcPr>
                <w:p w14:paraId="66D52C16">
                  <w:pPr>
                    <w:jc w:val="center"/>
                    <w:rPr>
                      <w:rFonts w:ascii="Times New Roman" w:hAnsi="Times New Roman" w:eastAsia="宋体" w:cs="Times New Roman"/>
                      <w:color w:val="auto"/>
                      <w:spacing w:val="0"/>
                      <w:position w:val="0"/>
                      <w:sz w:val="21"/>
                      <w:szCs w:val="21"/>
                      <w:highlight w:val="none"/>
                    </w:rPr>
                  </w:pPr>
                </w:p>
              </w:tc>
              <w:tc>
                <w:tcPr>
                  <w:tcW w:w="430" w:type="pct"/>
                  <w:vMerge w:val="continue"/>
                  <w:tcBorders>
                    <w:tl2br w:val="nil"/>
                    <w:tr2bl w:val="nil"/>
                  </w:tcBorders>
                  <w:noWrap w:val="0"/>
                  <w:vAlign w:val="center"/>
                </w:tcPr>
                <w:p w14:paraId="7E9198FA">
                  <w:pPr>
                    <w:jc w:val="center"/>
                    <w:rPr>
                      <w:rFonts w:ascii="Times New Roman" w:hAnsi="Times New Roman" w:eastAsia="宋体" w:cs="Times New Roman"/>
                      <w:color w:val="auto"/>
                      <w:spacing w:val="0"/>
                      <w:position w:val="0"/>
                      <w:sz w:val="21"/>
                      <w:szCs w:val="21"/>
                      <w:highlight w:val="none"/>
                    </w:rPr>
                  </w:pPr>
                </w:p>
              </w:tc>
              <w:tc>
                <w:tcPr>
                  <w:tcW w:w="514" w:type="pct"/>
                  <w:vMerge w:val="continue"/>
                  <w:tcBorders>
                    <w:tl2br w:val="nil"/>
                    <w:tr2bl w:val="nil"/>
                  </w:tcBorders>
                  <w:noWrap w:val="0"/>
                  <w:vAlign w:val="center"/>
                </w:tcPr>
                <w:p w14:paraId="632902E6">
                  <w:pPr>
                    <w:jc w:val="center"/>
                    <w:rPr>
                      <w:rFonts w:ascii="Times New Roman" w:hAnsi="Times New Roman" w:eastAsia="宋体" w:cs="Times New Roman"/>
                      <w:color w:val="auto"/>
                      <w:spacing w:val="0"/>
                      <w:position w:val="0"/>
                      <w:sz w:val="21"/>
                      <w:szCs w:val="21"/>
                      <w:highlight w:val="none"/>
                    </w:rPr>
                  </w:pPr>
                </w:p>
              </w:tc>
              <w:tc>
                <w:tcPr>
                  <w:tcW w:w="543" w:type="pct"/>
                  <w:vMerge w:val="continue"/>
                  <w:tcBorders>
                    <w:tl2br w:val="nil"/>
                    <w:tr2bl w:val="nil"/>
                  </w:tcBorders>
                  <w:noWrap w:val="0"/>
                  <w:vAlign w:val="center"/>
                </w:tcPr>
                <w:p w14:paraId="2D8C2BFC">
                  <w:pPr>
                    <w:jc w:val="center"/>
                    <w:rPr>
                      <w:rFonts w:ascii="Times New Roman" w:hAnsi="Times New Roman" w:eastAsia="宋体" w:cs="Times New Roman"/>
                      <w:color w:val="auto"/>
                      <w:spacing w:val="0"/>
                      <w:position w:val="0"/>
                      <w:sz w:val="21"/>
                      <w:szCs w:val="21"/>
                      <w:highlight w:val="none"/>
                    </w:rPr>
                  </w:pPr>
                </w:p>
              </w:tc>
              <w:tc>
                <w:tcPr>
                  <w:tcW w:w="300" w:type="pct"/>
                  <w:vMerge w:val="continue"/>
                  <w:tcBorders>
                    <w:tl2br w:val="nil"/>
                    <w:tr2bl w:val="nil"/>
                  </w:tcBorders>
                  <w:noWrap w:val="0"/>
                  <w:vAlign w:val="center"/>
                </w:tcPr>
                <w:p w14:paraId="655C8024">
                  <w:pPr>
                    <w:jc w:val="center"/>
                    <w:rPr>
                      <w:rFonts w:ascii="Times New Roman" w:hAnsi="Times New Roman" w:eastAsia="宋体" w:cs="Times New Roman"/>
                      <w:color w:val="auto"/>
                      <w:spacing w:val="0"/>
                      <w:position w:val="0"/>
                      <w:sz w:val="21"/>
                      <w:szCs w:val="21"/>
                      <w:highlight w:val="none"/>
                    </w:rPr>
                  </w:pPr>
                </w:p>
              </w:tc>
              <w:tc>
                <w:tcPr>
                  <w:tcW w:w="283" w:type="pct"/>
                  <w:vMerge w:val="continue"/>
                  <w:tcBorders>
                    <w:tl2br w:val="nil"/>
                    <w:tr2bl w:val="nil"/>
                  </w:tcBorders>
                  <w:noWrap w:val="0"/>
                  <w:vAlign w:val="center"/>
                </w:tcPr>
                <w:p w14:paraId="3A0D489B">
                  <w:pPr>
                    <w:jc w:val="center"/>
                    <w:rPr>
                      <w:rFonts w:ascii="Times New Roman" w:hAnsi="Times New Roman" w:eastAsia="宋体" w:cs="Times New Roman"/>
                      <w:color w:val="auto"/>
                      <w:spacing w:val="0"/>
                      <w:position w:val="0"/>
                      <w:sz w:val="21"/>
                      <w:szCs w:val="21"/>
                      <w:highlight w:val="none"/>
                    </w:rPr>
                  </w:pPr>
                </w:p>
              </w:tc>
              <w:tc>
                <w:tcPr>
                  <w:tcW w:w="528" w:type="pct"/>
                  <w:vMerge w:val="continue"/>
                  <w:tcBorders>
                    <w:tl2br w:val="nil"/>
                    <w:tr2bl w:val="nil"/>
                  </w:tcBorders>
                  <w:noWrap w:val="0"/>
                  <w:vAlign w:val="center"/>
                </w:tcPr>
                <w:p w14:paraId="6ED9BF8C">
                  <w:pPr>
                    <w:jc w:val="center"/>
                    <w:rPr>
                      <w:rFonts w:ascii="Times New Roman" w:hAnsi="Times New Roman" w:eastAsia="宋体" w:cs="Times New Roman"/>
                      <w:color w:val="auto"/>
                      <w:spacing w:val="0"/>
                      <w:position w:val="0"/>
                      <w:sz w:val="21"/>
                      <w:szCs w:val="21"/>
                      <w:highlight w:val="none"/>
                    </w:rPr>
                  </w:pPr>
                </w:p>
              </w:tc>
              <w:tc>
                <w:tcPr>
                  <w:tcW w:w="392" w:type="pct"/>
                  <w:vMerge w:val="continue"/>
                  <w:tcBorders>
                    <w:tl2br w:val="nil"/>
                    <w:tr2bl w:val="nil"/>
                  </w:tcBorders>
                  <w:noWrap w:val="0"/>
                  <w:vAlign w:val="center"/>
                </w:tcPr>
                <w:p w14:paraId="2DA6026F">
                  <w:pPr>
                    <w:jc w:val="center"/>
                    <w:rPr>
                      <w:rFonts w:ascii="Times New Roman" w:hAnsi="Times New Roman" w:eastAsia="宋体" w:cs="Times New Roman"/>
                      <w:color w:val="auto"/>
                      <w:spacing w:val="0"/>
                      <w:position w:val="0"/>
                      <w:sz w:val="21"/>
                      <w:szCs w:val="21"/>
                      <w:highlight w:val="none"/>
                    </w:rPr>
                  </w:pPr>
                </w:p>
              </w:tc>
              <w:tc>
                <w:tcPr>
                  <w:tcW w:w="576" w:type="pct"/>
                  <w:tcBorders>
                    <w:tl2br w:val="nil"/>
                    <w:tr2bl w:val="nil"/>
                  </w:tcBorders>
                  <w:noWrap w:val="0"/>
                  <w:vAlign w:val="center"/>
                </w:tcPr>
                <w:p w14:paraId="42F9BB98">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COD</w:t>
                  </w:r>
                  <w:r>
                    <w:rPr>
                      <w:rFonts w:ascii="Times New Roman" w:hAnsi="Times New Roman" w:eastAsia="宋体" w:cs="Times New Roman"/>
                      <w:color w:val="auto"/>
                      <w:spacing w:val="0"/>
                      <w:position w:val="0"/>
                      <w:sz w:val="21"/>
                      <w:szCs w:val="21"/>
                      <w:highlight w:val="none"/>
                      <w:vertAlign w:val="subscript"/>
                    </w:rPr>
                    <w:t>Cr</w:t>
                  </w:r>
                </w:p>
              </w:tc>
              <w:tc>
                <w:tcPr>
                  <w:tcW w:w="977" w:type="pct"/>
                  <w:tcBorders>
                    <w:tl2br w:val="nil"/>
                    <w:tr2bl w:val="nil"/>
                  </w:tcBorders>
                  <w:noWrap w:val="0"/>
                  <w:vAlign w:val="center"/>
                </w:tcPr>
                <w:p w14:paraId="1DF2DCA0">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50</w:t>
                  </w:r>
                </w:p>
              </w:tc>
            </w:tr>
            <w:tr w14:paraId="2376FB9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center"/>
                </w:tcPr>
                <w:p w14:paraId="23BA1609">
                  <w:pPr>
                    <w:jc w:val="center"/>
                    <w:rPr>
                      <w:rFonts w:ascii="Times New Roman" w:hAnsi="Times New Roman" w:eastAsia="宋体" w:cs="Times New Roman"/>
                      <w:color w:val="auto"/>
                      <w:spacing w:val="0"/>
                      <w:position w:val="0"/>
                      <w:sz w:val="21"/>
                      <w:szCs w:val="21"/>
                      <w:highlight w:val="none"/>
                    </w:rPr>
                  </w:pPr>
                </w:p>
              </w:tc>
              <w:tc>
                <w:tcPr>
                  <w:tcW w:w="430" w:type="pct"/>
                  <w:vMerge w:val="continue"/>
                  <w:tcBorders>
                    <w:tl2br w:val="nil"/>
                    <w:tr2bl w:val="nil"/>
                  </w:tcBorders>
                  <w:noWrap w:val="0"/>
                  <w:vAlign w:val="center"/>
                </w:tcPr>
                <w:p w14:paraId="1329780D">
                  <w:pPr>
                    <w:jc w:val="center"/>
                    <w:rPr>
                      <w:rFonts w:ascii="Times New Roman" w:hAnsi="Times New Roman" w:eastAsia="宋体" w:cs="Times New Roman"/>
                      <w:color w:val="auto"/>
                      <w:spacing w:val="0"/>
                      <w:position w:val="0"/>
                      <w:sz w:val="21"/>
                      <w:szCs w:val="21"/>
                      <w:highlight w:val="none"/>
                    </w:rPr>
                  </w:pPr>
                </w:p>
              </w:tc>
              <w:tc>
                <w:tcPr>
                  <w:tcW w:w="514" w:type="pct"/>
                  <w:vMerge w:val="continue"/>
                  <w:tcBorders>
                    <w:tl2br w:val="nil"/>
                    <w:tr2bl w:val="nil"/>
                  </w:tcBorders>
                  <w:noWrap w:val="0"/>
                  <w:vAlign w:val="center"/>
                </w:tcPr>
                <w:p w14:paraId="37D9E77A">
                  <w:pPr>
                    <w:jc w:val="center"/>
                    <w:rPr>
                      <w:rFonts w:ascii="Times New Roman" w:hAnsi="Times New Roman" w:eastAsia="宋体" w:cs="Times New Roman"/>
                      <w:color w:val="auto"/>
                      <w:spacing w:val="0"/>
                      <w:position w:val="0"/>
                      <w:sz w:val="21"/>
                      <w:szCs w:val="21"/>
                      <w:highlight w:val="none"/>
                    </w:rPr>
                  </w:pPr>
                </w:p>
              </w:tc>
              <w:tc>
                <w:tcPr>
                  <w:tcW w:w="543" w:type="pct"/>
                  <w:vMerge w:val="continue"/>
                  <w:tcBorders>
                    <w:tl2br w:val="nil"/>
                    <w:tr2bl w:val="nil"/>
                  </w:tcBorders>
                  <w:noWrap w:val="0"/>
                  <w:vAlign w:val="center"/>
                </w:tcPr>
                <w:p w14:paraId="1092D6C2">
                  <w:pPr>
                    <w:jc w:val="center"/>
                    <w:rPr>
                      <w:rFonts w:ascii="Times New Roman" w:hAnsi="Times New Roman" w:eastAsia="宋体" w:cs="Times New Roman"/>
                      <w:color w:val="auto"/>
                      <w:spacing w:val="0"/>
                      <w:position w:val="0"/>
                      <w:sz w:val="21"/>
                      <w:szCs w:val="21"/>
                      <w:highlight w:val="none"/>
                    </w:rPr>
                  </w:pPr>
                </w:p>
              </w:tc>
              <w:tc>
                <w:tcPr>
                  <w:tcW w:w="300" w:type="pct"/>
                  <w:vMerge w:val="continue"/>
                  <w:tcBorders>
                    <w:tl2br w:val="nil"/>
                    <w:tr2bl w:val="nil"/>
                  </w:tcBorders>
                  <w:noWrap w:val="0"/>
                  <w:vAlign w:val="center"/>
                </w:tcPr>
                <w:p w14:paraId="3FF704FF">
                  <w:pPr>
                    <w:jc w:val="center"/>
                    <w:rPr>
                      <w:rFonts w:ascii="Times New Roman" w:hAnsi="Times New Roman" w:eastAsia="宋体" w:cs="Times New Roman"/>
                      <w:color w:val="auto"/>
                      <w:spacing w:val="0"/>
                      <w:position w:val="0"/>
                      <w:sz w:val="21"/>
                      <w:szCs w:val="21"/>
                      <w:highlight w:val="none"/>
                    </w:rPr>
                  </w:pPr>
                </w:p>
              </w:tc>
              <w:tc>
                <w:tcPr>
                  <w:tcW w:w="283" w:type="pct"/>
                  <w:vMerge w:val="continue"/>
                  <w:tcBorders>
                    <w:tl2br w:val="nil"/>
                    <w:tr2bl w:val="nil"/>
                  </w:tcBorders>
                  <w:noWrap w:val="0"/>
                  <w:vAlign w:val="center"/>
                </w:tcPr>
                <w:p w14:paraId="61341570">
                  <w:pPr>
                    <w:jc w:val="center"/>
                    <w:rPr>
                      <w:rFonts w:ascii="Times New Roman" w:hAnsi="Times New Roman" w:eastAsia="宋体" w:cs="Times New Roman"/>
                      <w:color w:val="auto"/>
                      <w:spacing w:val="0"/>
                      <w:position w:val="0"/>
                      <w:sz w:val="21"/>
                      <w:szCs w:val="21"/>
                      <w:highlight w:val="none"/>
                    </w:rPr>
                  </w:pPr>
                </w:p>
              </w:tc>
              <w:tc>
                <w:tcPr>
                  <w:tcW w:w="528" w:type="pct"/>
                  <w:vMerge w:val="continue"/>
                  <w:tcBorders>
                    <w:tl2br w:val="nil"/>
                    <w:tr2bl w:val="nil"/>
                  </w:tcBorders>
                  <w:noWrap w:val="0"/>
                  <w:vAlign w:val="center"/>
                </w:tcPr>
                <w:p w14:paraId="59F0D171">
                  <w:pPr>
                    <w:jc w:val="center"/>
                    <w:rPr>
                      <w:rFonts w:ascii="Times New Roman" w:hAnsi="Times New Roman" w:eastAsia="宋体" w:cs="Times New Roman"/>
                      <w:color w:val="auto"/>
                      <w:spacing w:val="0"/>
                      <w:position w:val="0"/>
                      <w:sz w:val="21"/>
                      <w:szCs w:val="21"/>
                      <w:highlight w:val="none"/>
                    </w:rPr>
                  </w:pPr>
                </w:p>
              </w:tc>
              <w:tc>
                <w:tcPr>
                  <w:tcW w:w="392" w:type="pct"/>
                  <w:vMerge w:val="continue"/>
                  <w:tcBorders>
                    <w:tl2br w:val="nil"/>
                    <w:tr2bl w:val="nil"/>
                  </w:tcBorders>
                  <w:noWrap w:val="0"/>
                  <w:vAlign w:val="center"/>
                </w:tcPr>
                <w:p w14:paraId="1B1980CC">
                  <w:pPr>
                    <w:jc w:val="center"/>
                    <w:rPr>
                      <w:rFonts w:ascii="Times New Roman" w:hAnsi="Times New Roman" w:eastAsia="宋体" w:cs="Times New Roman"/>
                      <w:color w:val="auto"/>
                      <w:spacing w:val="0"/>
                      <w:position w:val="0"/>
                      <w:sz w:val="21"/>
                      <w:szCs w:val="21"/>
                      <w:highlight w:val="none"/>
                    </w:rPr>
                  </w:pPr>
                </w:p>
              </w:tc>
              <w:tc>
                <w:tcPr>
                  <w:tcW w:w="576" w:type="pct"/>
                  <w:tcBorders>
                    <w:tl2br w:val="nil"/>
                    <w:tr2bl w:val="nil"/>
                  </w:tcBorders>
                  <w:noWrap w:val="0"/>
                  <w:vAlign w:val="center"/>
                </w:tcPr>
                <w:p w14:paraId="04AF34CE">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BOD</w:t>
                  </w:r>
                  <w:r>
                    <w:rPr>
                      <w:rFonts w:ascii="Times New Roman" w:hAnsi="Times New Roman" w:eastAsia="宋体" w:cs="Times New Roman"/>
                      <w:color w:val="auto"/>
                      <w:spacing w:val="0"/>
                      <w:position w:val="0"/>
                      <w:sz w:val="21"/>
                      <w:szCs w:val="21"/>
                      <w:highlight w:val="none"/>
                      <w:vertAlign w:val="subscript"/>
                    </w:rPr>
                    <w:t>5</w:t>
                  </w:r>
                </w:p>
              </w:tc>
              <w:tc>
                <w:tcPr>
                  <w:tcW w:w="977" w:type="pct"/>
                  <w:tcBorders>
                    <w:tl2br w:val="nil"/>
                    <w:tr2bl w:val="nil"/>
                  </w:tcBorders>
                  <w:noWrap w:val="0"/>
                  <w:vAlign w:val="center"/>
                </w:tcPr>
                <w:p w14:paraId="5A9836CB">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10</w:t>
                  </w:r>
                </w:p>
              </w:tc>
            </w:tr>
            <w:tr w14:paraId="2BD4765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center"/>
                </w:tcPr>
                <w:p w14:paraId="4F418430">
                  <w:pPr>
                    <w:jc w:val="center"/>
                    <w:rPr>
                      <w:rFonts w:ascii="Times New Roman" w:hAnsi="Times New Roman" w:eastAsia="宋体" w:cs="Times New Roman"/>
                      <w:color w:val="auto"/>
                      <w:spacing w:val="0"/>
                      <w:position w:val="0"/>
                      <w:sz w:val="21"/>
                      <w:szCs w:val="21"/>
                      <w:highlight w:val="none"/>
                    </w:rPr>
                  </w:pPr>
                </w:p>
              </w:tc>
              <w:tc>
                <w:tcPr>
                  <w:tcW w:w="430" w:type="pct"/>
                  <w:vMerge w:val="continue"/>
                  <w:tcBorders>
                    <w:tl2br w:val="nil"/>
                    <w:tr2bl w:val="nil"/>
                  </w:tcBorders>
                  <w:noWrap w:val="0"/>
                  <w:vAlign w:val="center"/>
                </w:tcPr>
                <w:p w14:paraId="66D218B6">
                  <w:pPr>
                    <w:jc w:val="center"/>
                    <w:rPr>
                      <w:rFonts w:ascii="Times New Roman" w:hAnsi="Times New Roman" w:eastAsia="宋体" w:cs="Times New Roman"/>
                      <w:color w:val="auto"/>
                      <w:spacing w:val="0"/>
                      <w:position w:val="0"/>
                      <w:sz w:val="21"/>
                      <w:szCs w:val="21"/>
                      <w:highlight w:val="none"/>
                    </w:rPr>
                  </w:pPr>
                </w:p>
              </w:tc>
              <w:tc>
                <w:tcPr>
                  <w:tcW w:w="514" w:type="pct"/>
                  <w:vMerge w:val="continue"/>
                  <w:tcBorders>
                    <w:tl2br w:val="nil"/>
                    <w:tr2bl w:val="nil"/>
                  </w:tcBorders>
                  <w:noWrap w:val="0"/>
                  <w:vAlign w:val="center"/>
                </w:tcPr>
                <w:p w14:paraId="620CB90C">
                  <w:pPr>
                    <w:jc w:val="center"/>
                    <w:rPr>
                      <w:rFonts w:ascii="Times New Roman" w:hAnsi="Times New Roman" w:eastAsia="宋体" w:cs="Times New Roman"/>
                      <w:color w:val="auto"/>
                      <w:spacing w:val="0"/>
                      <w:position w:val="0"/>
                      <w:sz w:val="21"/>
                      <w:szCs w:val="21"/>
                      <w:highlight w:val="none"/>
                    </w:rPr>
                  </w:pPr>
                </w:p>
              </w:tc>
              <w:tc>
                <w:tcPr>
                  <w:tcW w:w="543" w:type="pct"/>
                  <w:vMerge w:val="continue"/>
                  <w:tcBorders>
                    <w:tl2br w:val="nil"/>
                    <w:tr2bl w:val="nil"/>
                  </w:tcBorders>
                  <w:noWrap w:val="0"/>
                  <w:vAlign w:val="center"/>
                </w:tcPr>
                <w:p w14:paraId="450F7145">
                  <w:pPr>
                    <w:jc w:val="center"/>
                    <w:rPr>
                      <w:rFonts w:ascii="Times New Roman" w:hAnsi="Times New Roman" w:eastAsia="宋体" w:cs="Times New Roman"/>
                      <w:color w:val="auto"/>
                      <w:spacing w:val="0"/>
                      <w:position w:val="0"/>
                      <w:sz w:val="21"/>
                      <w:szCs w:val="21"/>
                      <w:highlight w:val="none"/>
                    </w:rPr>
                  </w:pPr>
                </w:p>
              </w:tc>
              <w:tc>
                <w:tcPr>
                  <w:tcW w:w="300" w:type="pct"/>
                  <w:vMerge w:val="continue"/>
                  <w:tcBorders>
                    <w:tl2br w:val="nil"/>
                    <w:tr2bl w:val="nil"/>
                  </w:tcBorders>
                  <w:noWrap w:val="0"/>
                  <w:vAlign w:val="center"/>
                </w:tcPr>
                <w:p w14:paraId="327C63FE">
                  <w:pPr>
                    <w:jc w:val="center"/>
                    <w:rPr>
                      <w:rFonts w:ascii="Times New Roman" w:hAnsi="Times New Roman" w:eastAsia="宋体" w:cs="Times New Roman"/>
                      <w:color w:val="auto"/>
                      <w:spacing w:val="0"/>
                      <w:position w:val="0"/>
                      <w:sz w:val="21"/>
                      <w:szCs w:val="21"/>
                      <w:highlight w:val="none"/>
                    </w:rPr>
                  </w:pPr>
                </w:p>
              </w:tc>
              <w:tc>
                <w:tcPr>
                  <w:tcW w:w="283" w:type="pct"/>
                  <w:vMerge w:val="continue"/>
                  <w:tcBorders>
                    <w:tl2br w:val="nil"/>
                    <w:tr2bl w:val="nil"/>
                  </w:tcBorders>
                  <w:noWrap w:val="0"/>
                  <w:vAlign w:val="center"/>
                </w:tcPr>
                <w:p w14:paraId="2B220883">
                  <w:pPr>
                    <w:jc w:val="center"/>
                    <w:rPr>
                      <w:rFonts w:ascii="Times New Roman" w:hAnsi="Times New Roman" w:eastAsia="宋体" w:cs="Times New Roman"/>
                      <w:color w:val="auto"/>
                      <w:spacing w:val="0"/>
                      <w:position w:val="0"/>
                      <w:sz w:val="21"/>
                      <w:szCs w:val="21"/>
                      <w:highlight w:val="none"/>
                    </w:rPr>
                  </w:pPr>
                </w:p>
              </w:tc>
              <w:tc>
                <w:tcPr>
                  <w:tcW w:w="528" w:type="pct"/>
                  <w:vMerge w:val="continue"/>
                  <w:tcBorders>
                    <w:tl2br w:val="nil"/>
                    <w:tr2bl w:val="nil"/>
                  </w:tcBorders>
                  <w:noWrap w:val="0"/>
                  <w:vAlign w:val="center"/>
                </w:tcPr>
                <w:p w14:paraId="00E840C7">
                  <w:pPr>
                    <w:jc w:val="center"/>
                    <w:rPr>
                      <w:rFonts w:ascii="Times New Roman" w:hAnsi="Times New Roman" w:eastAsia="宋体" w:cs="Times New Roman"/>
                      <w:color w:val="auto"/>
                      <w:spacing w:val="0"/>
                      <w:position w:val="0"/>
                      <w:sz w:val="21"/>
                      <w:szCs w:val="21"/>
                      <w:highlight w:val="none"/>
                    </w:rPr>
                  </w:pPr>
                </w:p>
              </w:tc>
              <w:tc>
                <w:tcPr>
                  <w:tcW w:w="392" w:type="pct"/>
                  <w:vMerge w:val="continue"/>
                  <w:tcBorders>
                    <w:tl2br w:val="nil"/>
                    <w:tr2bl w:val="nil"/>
                  </w:tcBorders>
                  <w:noWrap w:val="0"/>
                  <w:vAlign w:val="center"/>
                </w:tcPr>
                <w:p w14:paraId="73755B03">
                  <w:pPr>
                    <w:jc w:val="center"/>
                    <w:rPr>
                      <w:rFonts w:ascii="Times New Roman" w:hAnsi="Times New Roman" w:eastAsia="宋体" w:cs="Times New Roman"/>
                      <w:color w:val="auto"/>
                      <w:spacing w:val="0"/>
                      <w:position w:val="0"/>
                      <w:sz w:val="21"/>
                      <w:szCs w:val="21"/>
                      <w:highlight w:val="none"/>
                    </w:rPr>
                  </w:pPr>
                </w:p>
              </w:tc>
              <w:tc>
                <w:tcPr>
                  <w:tcW w:w="576" w:type="pct"/>
                  <w:tcBorders>
                    <w:tl2br w:val="nil"/>
                    <w:tr2bl w:val="nil"/>
                  </w:tcBorders>
                  <w:noWrap w:val="0"/>
                  <w:vAlign w:val="center"/>
                </w:tcPr>
                <w:p w14:paraId="323DD65F">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SS</w:t>
                  </w:r>
                </w:p>
              </w:tc>
              <w:tc>
                <w:tcPr>
                  <w:tcW w:w="977" w:type="pct"/>
                  <w:tcBorders>
                    <w:tl2br w:val="nil"/>
                    <w:tr2bl w:val="nil"/>
                  </w:tcBorders>
                  <w:noWrap w:val="0"/>
                  <w:vAlign w:val="center"/>
                </w:tcPr>
                <w:p w14:paraId="1D2F684B">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10</w:t>
                  </w:r>
                </w:p>
              </w:tc>
            </w:tr>
            <w:tr w14:paraId="396EBEB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top"/>
                </w:tcPr>
                <w:p w14:paraId="55820271">
                  <w:pPr>
                    <w:jc w:val="center"/>
                    <w:rPr>
                      <w:rFonts w:ascii="Times New Roman" w:hAnsi="Times New Roman" w:eastAsia="宋体" w:cs="Times New Roman"/>
                      <w:color w:val="auto"/>
                      <w:spacing w:val="0"/>
                      <w:position w:val="0"/>
                      <w:sz w:val="21"/>
                      <w:szCs w:val="21"/>
                      <w:highlight w:val="none"/>
                    </w:rPr>
                  </w:pPr>
                </w:p>
              </w:tc>
              <w:tc>
                <w:tcPr>
                  <w:tcW w:w="430" w:type="pct"/>
                  <w:vMerge w:val="continue"/>
                  <w:tcBorders>
                    <w:tl2br w:val="nil"/>
                    <w:tr2bl w:val="nil"/>
                  </w:tcBorders>
                  <w:noWrap w:val="0"/>
                  <w:vAlign w:val="top"/>
                </w:tcPr>
                <w:p w14:paraId="3E84EBA9">
                  <w:pPr>
                    <w:jc w:val="center"/>
                    <w:rPr>
                      <w:rFonts w:ascii="Times New Roman" w:hAnsi="Times New Roman" w:eastAsia="宋体" w:cs="Times New Roman"/>
                      <w:color w:val="auto"/>
                      <w:spacing w:val="0"/>
                      <w:position w:val="0"/>
                      <w:sz w:val="21"/>
                      <w:szCs w:val="21"/>
                      <w:highlight w:val="none"/>
                    </w:rPr>
                  </w:pPr>
                </w:p>
              </w:tc>
              <w:tc>
                <w:tcPr>
                  <w:tcW w:w="514" w:type="pct"/>
                  <w:vMerge w:val="continue"/>
                  <w:tcBorders>
                    <w:tl2br w:val="nil"/>
                    <w:tr2bl w:val="nil"/>
                  </w:tcBorders>
                  <w:noWrap w:val="0"/>
                  <w:vAlign w:val="top"/>
                </w:tcPr>
                <w:p w14:paraId="1B2D851F">
                  <w:pPr>
                    <w:jc w:val="center"/>
                    <w:rPr>
                      <w:rFonts w:ascii="Times New Roman" w:hAnsi="Times New Roman" w:eastAsia="宋体" w:cs="Times New Roman"/>
                      <w:color w:val="auto"/>
                      <w:spacing w:val="0"/>
                      <w:position w:val="0"/>
                      <w:sz w:val="21"/>
                      <w:szCs w:val="21"/>
                      <w:highlight w:val="none"/>
                    </w:rPr>
                  </w:pPr>
                </w:p>
              </w:tc>
              <w:tc>
                <w:tcPr>
                  <w:tcW w:w="543" w:type="pct"/>
                  <w:vMerge w:val="continue"/>
                  <w:tcBorders>
                    <w:tl2br w:val="nil"/>
                    <w:tr2bl w:val="nil"/>
                  </w:tcBorders>
                  <w:noWrap w:val="0"/>
                  <w:vAlign w:val="top"/>
                </w:tcPr>
                <w:p w14:paraId="6AE8C2A0">
                  <w:pPr>
                    <w:jc w:val="center"/>
                    <w:rPr>
                      <w:rFonts w:ascii="Times New Roman" w:hAnsi="Times New Roman" w:eastAsia="宋体" w:cs="Times New Roman"/>
                      <w:color w:val="auto"/>
                      <w:spacing w:val="0"/>
                      <w:position w:val="0"/>
                      <w:sz w:val="21"/>
                      <w:szCs w:val="21"/>
                      <w:highlight w:val="none"/>
                    </w:rPr>
                  </w:pPr>
                </w:p>
              </w:tc>
              <w:tc>
                <w:tcPr>
                  <w:tcW w:w="300" w:type="pct"/>
                  <w:vMerge w:val="continue"/>
                  <w:tcBorders>
                    <w:tl2br w:val="nil"/>
                    <w:tr2bl w:val="nil"/>
                  </w:tcBorders>
                  <w:noWrap w:val="0"/>
                  <w:vAlign w:val="top"/>
                </w:tcPr>
                <w:p w14:paraId="19B70320">
                  <w:pPr>
                    <w:jc w:val="center"/>
                    <w:rPr>
                      <w:rFonts w:ascii="Times New Roman" w:hAnsi="Times New Roman" w:eastAsia="宋体" w:cs="Times New Roman"/>
                      <w:color w:val="auto"/>
                      <w:spacing w:val="0"/>
                      <w:position w:val="0"/>
                      <w:sz w:val="21"/>
                      <w:szCs w:val="21"/>
                      <w:highlight w:val="none"/>
                    </w:rPr>
                  </w:pPr>
                </w:p>
              </w:tc>
              <w:tc>
                <w:tcPr>
                  <w:tcW w:w="283" w:type="pct"/>
                  <w:vMerge w:val="continue"/>
                  <w:tcBorders>
                    <w:tl2br w:val="nil"/>
                    <w:tr2bl w:val="nil"/>
                  </w:tcBorders>
                  <w:noWrap w:val="0"/>
                  <w:vAlign w:val="top"/>
                </w:tcPr>
                <w:p w14:paraId="61F4ED32">
                  <w:pPr>
                    <w:jc w:val="center"/>
                    <w:rPr>
                      <w:rFonts w:ascii="Times New Roman" w:hAnsi="Times New Roman" w:eastAsia="宋体" w:cs="Times New Roman"/>
                      <w:color w:val="auto"/>
                      <w:spacing w:val="0"/>
                      <w:position w:val="0"/>
                      <w:sz w:val="21"/>
                      <w:szCs w:val="21"/>
                      <w:highlight w:val="none"/>
                    </w:rPr>
                  </w:pPr>
                </w:p>
              </w:tc>
              <w:tc>
                <w:tcPr>
                  <w:tcW w:w="528" w:type="pct"/>
                  <w:vMerge w:val="continue"/>
                  <w:tcBorders>
                    <w:tl2br w:val="nil"/>
                    <w:tr2bl w:val="nil"/>
                  </w:tcBorders>
                  <w:noWrap w:val="0"/>
                  <w:vAlign w:val="top"/>
                </w:tcPr>
                <w:p w14:paraId="51F41A3C">
                  <w:pPr>
                    <w:jc w:val="center"/>
                    <w:rPr>
                      <w:rFonts w:ascii="Times New Roman" w:hAnsi="Times New Roman" w:eastAsia="宋体" w:cs="Times New Roman"/>
                      <w:color w:val="auto"/>
                      <w:spacing w:val="0"/>
                      <w:position w:val="0"/>
                      <w:sz w:val="21"/>
                      <w:szCs w:val="21"/>
                      <w:highlight w:val="none"/>
                    </w:rPr>
                  </w:pPr>
                </w:p>
              </w:tc>
              <w:tc>
                <w:tcPr>
                  <w:tcW w:w="392" w:type="pct"/>
                  <w:vMerge w:val="continue"/>
                  <w:tcBorders>
                    <w:tl2br w:val="nil"/>
                    <w:tr2bl w:val="nil"/>
                  </w:tcBorders>
                  <w:noWrap w:val="0"/>
                  <w:vAlign w:val="top"/>
                </w:tcPr>
                <w:p w14:paraId="06AFCAED">
                  <w:pPr>
                    <w:jc w:val="center"/>
                    <w:rPr>
                      <w:rFonts w:ascii="Times New Roman" w:hAnsi="Times New Roman" w:eastAsia="宋体" w:cs="Times New Roman"/>
                      <w:color w:val="auto"/>
                      <w:spacing w:val="0"/>
                      <w:position w:val="0"/>
                      <w:sz w:val="21"/>
                      <w:szCs w:val="21"/>
                      <w:highlight w:val="none"/>
                    </w:rPr>
                  </w:pPr>
                </w:p>
              </w:tc>
              <w:tc>
                <w:tcPr>
                  <w:tcW w:w="576" w:type="pct"/>
                  <w:tcBorders>
                    <w:tl2br w:val="nil"/>
                    <w:tr2bl w:val="nil"/>
                  </w:tcBorders>
                  <w:noWrap w:val="0"/>
                  <w:vAlign w:val="center"/>
                </w:tcPr>
                <w:p w14:paraId="300825CC">
                  <w:pPr>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氨氮</w:t>
                  </w:r>
                </w:p>
              </w:tc>
              <w:tc>
                <w:tcPr>
                  <w:tcW w:w="977" w:type="pct"/>
                  <w:tcBorders>
                    <w:tl2br w:val="nil"/>
                    <w:tr2bl w:val="nil"/>
                  </w:tcBorders>
                  <w:noWrap w:val="0"/>
                  <w:vAlign w:val="center"/>
                </w:tcPr>
                <w:p w14:paraId="4F3E658E">
                  <w:pPr>
                    <w:jc w:val="center"/>
                    <w:rPr>
                      <w:rFonts w:hint="eastAsia" w:ascii="Times New Roman" w:hAnsi="Times New Roman" w:eastAsia="宋体" w:cs="Times New Roman"/>
                      <w:color w:val="auto"/>
                      <w:spacing w:val="0"/>
                      <w:position w:val="0"/>
                      <w:sz w:val="21"/>
                      <w:szCs w:val="21"/>
                      <w:highlight w:val="none"/>
                      <w:lang w:eastAsia="zh-CN"/>
                    </w:rPr>
                  </w:pPr>
                  <w:r>
                    <w:rPr>
                      <w:rFonts w:ascii="Times New Roman" w:hAnsi="Times New Roman" w:eastAsia="宋体" w:cs="Times New Roman"/>
                      <w:color w:val="auto"/>
                      <w:spacing w:val="0"/>
                      <w:position w:val="0"/>
                      <w:sz w:val="21"/>
                      <w:szCs w:val="21"/>
                      <w:highlight w:val="none"/>
                    </w:rPr>
                    <w:t>5</w:t>
                  </w:r>
                  <w:r>
                    <w:rPr>
                      <w:rFonts w:hint="eastAsia" w:cs="Times New Roman"/>
                      <w:color w:val="auto"/>
                      <w:spacing w:val="0"/>
                      <w:position w:val="0"/>
                      <w:sz w:val="21"/>
                      <w:szCs w:val="21"/>
                      <w:highlight w:val="none"/>
                      <w:lang w:eastAsia="zh-CN"/>
                    </w:rPr>
                    <w:t>（</w:t>
                  </w:r>
                  <w:r>
                    <w:rPr>
                      <w:rFonts w:hint="eastAsia" w:cs="Times New Roman"/>
                      <w:color w:val="auto"/>
                      <w:spacing w:val="0"/>
                      <w:position w:val="0"/>
                      <w:sz w:val="21"/>
                      <w:szCs w:val="21"/>
                      <w:highlight w:val="none"/>
                      <w:lang w:val="en-US" w:eastAsia="zh-CN"/>
                    </w:rPr>
                    <w:t>8</w:t>
                  </w:r>
                  <w:r>
                    <w:rPr>
                      <w:rFonts w:hint="eastAsia" w:cs="Times New Roman"/>
                      <w:color w:val="auto"/>
                      <w:spacing w:val="0"/>
                      <w:position w:val="0"/>
                      <w:sz w:val="21"/>
                      <w:szCs w:val="21"/>
                      <w:highlight w:val="none"/>
                      <w:lang w:eastAsia="zh-CN"/>
                    </w:rPr>
                    <w:t>）</w:t>
                  </w:r>
                </w:p>
              </w:tc>
            </w:tr>
            <w:tr w14:paraId="002C427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top"/>
                </w:tcPr>
                <w:p w14:paraId="43F54EDF">
                  <w:pPr>
                    <w:jc w:val="center"/>
                    <w:rPr>
                      <w:rFonts w:ascii="Times New Roman" w:hAnsi="Times New Roman" w:eastAsia="宋体" w:cs="Times New Roman"/>
                      <w:color w:val="auto"/>
                      <w:spacing w:val="0"/>
                      <w:position w:val="0"/>
                      <w:sz w:val="21"/>
                      <w:szCs w:val="21"/>
                      <w:highlight w:val="none"/>
                    </w:rPr>
                  </w:pPr>
                </w:p>
              </w:tc>
              <w:tc>
                <w:tcPr>
                  <w:tcW w:w="430" w:type="pct"/>
                  <w:vMerge w:val="continue"/>
                  <w:tcBorders>
                    <w:tl2br w:val="nil"/>
                    <w:tr2bl w:val="nil"/>
                  </w:tcBorders>
                  <w:noWrap w:val="0"/>
                  <w:vAlign w:val="top"/>
                </w:tcPr>
                <w:p w14:paraId="54A71E4B">
                  <w:pPr>
                    <w:jc w:val="center"/>
                    <w:rPr>
                      <w:rFonts w:ascii="Times New Roman" w:hAnsi="Times New Roman" w:eastAsia="宋体" w:cs="Times New Roman"/>
                      <w:color w:val="auto"/>
                      <w:spacing w:val="0"/>
                      <w:position w:val="0"/>
                      <w:sz w:val="21"/>
                      <w:szCs w:val="21"/>
                      <w:highlight w:val="none"/>
                    </w:rPr>
                  </w:pPr>
                </w:p>
              </w:tc>
              <w:tc>
                <w:tcPr>
                  <w:tcW w:w="514" w:type="pct"/>
                  <w:vMerge w:val="continue"/>
                  <w:tcBorders>
                    <w:tl2br w:val="nil"/>
                    <w:tr2bl w:val="nil"/>
                  </w:tcBorders>
                  <w:noWrap w:val="0"/>
                  <w:vAlign w:val="top"/>
                </w:tcPr>
                <w:p w14:paraId="0CC0DEDF">
                  <w:pPr>
                    <w:jc w:val="center"/>
                    <w:rPr>
                      <w:rFonts w:ascii="Times New Roman" w:hAnsi="Times New Roman" w:eastAsia="宋体" w:cs="Times New Roman"/>
                      <w:color w:val="auto"/>
                      <w:spacing w:val="0"/>
                      <w:position w:val="0"/>
                      <w:sz w:val="21"/>
                      <w:szCs w:val="21"/>
                      <w:highlight w:val="none"/>
                    </w:rPr>
                  </w:pPr>
                </w:p>
              </w:tc>
              <w:tc>
                <w:tcPr>
                  <w:tcW w:w="543" w:type="pct"/>
                  <w:vMerge w:val="continue"/>
                  <w:tcBorders>
                    <w:tl2br w:val="nil"/>
                    <w:tr2bl w:val="nil"/>
                  </w:tcBorders>
                  <w:noWrap w:val="0"/>
                  <w:vAlign w:val="top"/>
                </w:tcPr>
                <w:p w14:paraId="66314DE1">
                  <w:pPr>
                    <w:jc w:val="center"/>
                    <w:rPr>
                      <w:rFonts w:ascii="Times New Roman" w:hAnsi="Times New Roman" w:eastAsia="宋体" w:cs="Times New Roman"/>
                      <w:color w:val="auto"/>
                      <w:spacing w:val="0"/>
                      <w:position w:val="0"/>
                      <w:sz w:val="21"/>
                      <w:szCs w:val="21"/>
                      <w:highlight w:val="none"/>
                    </w:rPr>
                  </w:pPr>
                </w:p>
              </w:tc>
              <w:tc>
                <w:tcPr>
                  <w:tcW w:w="300" w:type="pct"/>
                  <w:vMerge w:val="continue"/>
                  <w:tcBorders>
                    <w:tl2br w:val="nil"/>
                    <w:tr2bl w:val="nil"/>
                  </w:tcBorders>
                  <w:noWrap w:val="0"/>
                  <w:vAlign w:val="top"/>
                </w:tcPr>
                <w:p w14:paraId="62194824">
                  <w:pPr>
                    <w:jc w:val="center"/>
                    <w:rPr>
                      <w:rFonts w:ascii="Times New Roman" w:hAnsi="Times New Roman" w:eastAsia="宋体" w:cs="Times New Roman"/>
                      <w:color w:val="auto"/>
                      <w:spacing w:val="0"/>
                      <w:position w:val="0"/>
                      <w:sz w:val="21"/>
                      <w:szCs w:val="21"/>
                      <w:highlight w:val="none"/>
                    </w:rPr>
                  </w:pPr>
                </w:p>
              </w:tc>
              <w:tc>
                <w:tcPr>
                  <w:tcW w:w="283" w:type="pct"/>
                  <w:vMerge w:val="continue"/>
                  <w:tcBorders>
                    <w:tl2br w:val="nil"/>
                    <w:tr2bl w:val="nil"/>
                  </w:tcBorders>
                  <w:noWrap w:val="0"/>
                  <w:vAlign w:val="top"/>
                </w:tcPr>
                <w:p w14:paraId="4DE22854">
                  <w:pPr>
                    <w:jc w:val="center"/>
                    <w:rPr>
                      <w:rFonts w:ascii="Times New Roman" w:hAnsi="Times New Roman" w:eastAsia="宋体" w:cs="Times New Roman"/>
                      <w:color w:val="auto"/>
                      <w:spacing w:val="0"/>
                      <w:position w:val="0"/>
                      <w:sz w:val="21"/>
                      <w:szCs w:val="21"/>
                      <w:highlight w:val="none"/>
                    </w:rPr>
                  </w:pPr>
                </w:p>
              </w:tc>
              <w:tc>
                <w:tcPr>
                  <w:tcW w:w="528" w:type="pct"/>
                  <w:vMerge w:val="continue"/>
                  <w:tcBorders>
                    <w:tl2br w:val="nil"/>
                    <w:tr2bl w:val="nil"/>
                  </w:tcBorders>
                  <w:noWrap w:val="0"/>
                  <w:vAlign w:val="top"/>
                </w:tcPr>
                <w:p w14:paraId="4B176A7E">
                  <w:pPr>
                    <w:jc w:val="center"/>
                    <w:rPr>
                      <w:rFonts w:ascii="Times New Roman" w:hAnsi="Times New Roman" w:eastAsia="宋体" w:cs="Times New Roman"/>
                      <w:color w:val="auto"/>
                      <w:spacing w:val="0"/>
                      <w:position w:val="0"/>
                      <w:sz w:val="21"/>
                      <w:szCs w:val="21"/>
                      <w:highlight w:val="none"/>
                    </w:rPr>
                  </w:pPr>
                </w:p>
              </w:tc>
              <w:tc>
                <w:tcPr>
                  <w:tcW w:w="392" w:type="pct"/>
                  <w:vMerge w:val="continue"/>
                  <w:tcBorders>
                    <w:tl2br w:val="nil"/>
                    <w:tr2bl w:val="nil"/>
                  </w:tcBorders>
                  <w:noWrap w:val="0"/>
                  <w:vAlign w:val="top"/>
                </w:tcPr>
                <w:p w14:paraId="40F3BA25">
                  <w:pPr>
                    <w:jc w:val="center"/>
                    <w:rPr>
                      <w:rFonts w:ascii="Times New Roman" w:hAnsi="Times New Roman" w:eastAsia="宋体" w:cs="Times New Roman"/>
                      <w:color w:val="auto"/>
                      <w:spacing w:val="0"/>
                      <w:position w:val="0"/>
                      <w:sz w:val="21"/>
                      <w:szCs w:val="21"/>
                      <w:highlight w:val="none"/>
                    </w:rPr>
                  </w:pPr>
                </w:p>
              </w:tc>
              <w:tc>
                <w:tcPr>
                  <w:tcW w:w="576" w:type="pct"/>
                  <w:tcBorders>
                    <w:tl2br w:val="nil"/>
                    <w:tr2bl w:val="nil"/>
                  </w:tcBorders>
                  <w:noWrap w:val="0"/>
                  <w:vAlign w:val="center"/>
                </w:tcPr>
                <w:p w14:paraId="178277E8">
                  <w:pPr>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总磷</w:t>
                  </w:r>
                </w:p>
              </w:tc>
              <w:tc>
                <w:tcPr>
                  <w:tcW w:w="977" w:type="pct"/>
                  <w:tcBorders>
                    <w:tl2br w:val="nil"/>
                    <w:tr2bl w:val="nil"/>
                  </w:tcBorders>
                  <w:noWrap w:val="0"/>
                  <w:vAlign w:val="center"/>
                </w:tcPr>
                <w:p w14:paraId="3788964A">
                  <w:pPr>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0.5</w:t>
                  </w:r>
                </w:p>
              </w:tc>
            </w:tr>
            <w:tr w14:paraId="6489E85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top"/>
                </w:tcPr>
                <w:p w14:paraId="6BC1B4D1">
                  <w:pPr>
                    <w:jc w:val="center"/>
                    <w:rPr>
                      <w:rFonts w:ascii="Times New Roman" w:hAnsi="Times New Roman" w:eastAsia="宋体" w:cs="Times New Roman"/>
                      <w:color w:val="auto"/>
                      <w:spacing w:val="0"/>
                      <w:position w:val="0"/>
                      <w:sz w:val="21"/>
                      <w:szCs w:val="21"/>
                      <w:highlight w:val="none"/>
                    </w:rPr>
                  </w:pPr>
                </w:p>
              </w:tc>
              <w:tc>
                <w:tcPr>
                  <w:tcW w:w="430" w:type="pct"/>
                  <w:vMerge w:val="continue"/>
                  <w:tcBorders>
                    <w:tl2br w:val="nil"/>
                    <w:tr2bl w:val="nil"/>
                  </w:tcBorders>
                  <w:noWrap w:val="0"/>
                  <w:vAlign w:val="top"/>
                </w:tcPr>
                <w:p w14:paraId="1C71229A">
                  <w:pPr>
                    <w:jc w:val="center"/>
                    <w:rPr>
                      <w:rFonts w:ascii="Times New Roman" w:hAnsi="Times New Roman" w:eastAsia="宋体" w:cs="Times New Roman"/>
                      <w:color w:val="auto"/>
                      <w:spacing w:val="0"/>
                      <w:position w:val="0"/>
                      <w:sz w:val="21"/>
                      <w:szCs w:val="21"/>
                      <w:highlight w:val="none"/>
                    </w:rPr>
                  </w:pPr>
                </w:p>
              </w:tc>
              <w:tc>
                <w:tcPr>
                  <w:tcW w:w="514" w:type="pct"/>
                  <w:vMerge w:val="continue"/>
                  <w:tcBorders>
                    <w:tl2br w:val="nil"/>
                    <w:tr2bl w:val="nil"/>
                  </w:tcBorders>
                  <w:noWrap w:val="0"/>
                  <w:vAlign w:val="top"/>
                </w:tcPr>
                <w:p w14:paraId="24613C13">
                  <w:pPr>
                    <w:jc w:val="center"/>
                    <w:rPr>
                      <w:rFonts w:ascii="Times New Roman" w:hAnsi="Times New Roman" w:eastAsia="宋体" w:cs="Times New Roman"/>
                      <w:color w:val="auto"/>
                      <w:spacing w:val="0"/>
                      <w:position w:val="0"/>
                      <w:sz w:val="21"/>
                      <w:szCs w:val="21"/>
                      <w:highlight w:val="none"/>
                    </w:rPr>
                  </w:pPr>
                </w:p>
              </w:tc>
              <w:tc>
                <w:tcPr>
                  <w:tcW w:w="543" w:type="pct"/>
                  <w:vMerge w:val="continue"/>
                  <w:tcBorders>
                    <w:tl2br w:val="nil"/>
                    <w:tr2bl w:val="nil"/>
                  </w:tcBorders>
                  <w:noWrap w:val="0"/>
                  <w:vAlign w:val="top"/>
                </w:tcPr>
                <w:p w14:paraId="607D7176">
                  <w:pPr>
                    <w:jc w:val="center"/>
                    <w:rPr>
                      <w:rFonts w:ascii="Times New Roman" w:hAnsi="Times New Roman" w:eastAsia="宋体" w:cs="Times New Roman"/>
                      <w:color w:val="auto"/>
                      <w:spacing w:val="0"/>
                      <w:position w:val="0"/>
                      <w:sz w:val="21"/>
                      <w:szCs w:val="21"/>
                      <w:highlight w:val="none"/>
                    </w:rPr>
                  </w:pPr>
                </w:p>
              </w:tc>
              <w:tc>
                <w:tcPr>
                  <w:tcW w:w="300" w:type="pct"/>
                  <w:vMerge w:val="continue"/>
                  <w:tcBorders>
                    <w:tl2br w:val="nil"/>
                    <w:tr2bl w:val="nil"/>
                  </w:tcBorders>
                  <w:noWrap w:val="0"/>
                  <w:vAlign w:val="top"/>
                </w:tcPr>
                <w:p w14:paraId="5DC82924">
                  <w:pPr>
                    <w:jc w:val="center"/>
                    <w:rPr>
                      <w:rFonts w:ascii="Times New Roman" w:hAnsi="Times New Roman" w:eastAsia="宋体" w:cs="Times New Roman"/>
                      <w:color w:val="auto"/>
                      <w:spacing w:val="0"/>
                      <w:position w:val="0"/>
                      <w:sz w:val="21"/>
                      <w:szCs w:val="21"/>
                      <w:highlight w:val="none"/>
                    </w:rPr>
                  </w:pPr>
                </w:p>
              </w:tc>
              <w:tc>
                <w:tcPr>
                  <w:tcW w:w="283" w:type="pct"/>
                  <w:vMerge w:val="continue"/>
                  <w:tcBorders>
                    <w:tl2br w:val="nil"/>
                    <w:tr2bl w:val="nil"/>
                  </w:tcBorders>
                  <w:noWrap w:val="0"/>
                  <w:vAlign w:val="top"/>
                </w:tcPr>
                <w:p w14:paraId="6B6B7B80">
                  <w:pPr>
                    <w:jc w:val="center"/>
                    <w:rPr>
                      <w:rFonts w:ascii="Times New Roman" w:hAnsi="Times New Roman" w:eastAsia="宋体" w:cs="Times New Roman"/>
                      <w:color w:val="auto"/>
                      <w:spacing w:val="0"/>
                      <w:position w:val="0"/>
                      <w:sz w:val="21"/>
                      <w:szCs w:val="21"/>
                      <w:highlight w:val="none"/>
                    </w:rPr>
                  </w:pPr>
                </w:p>
              </w:tc>
              <w:tc>
                <w:tcPr>
                  <w:tcW w:w="528" w:type="pct"/>
                  <w:vMerge w:val="continue"/>
                  <w:tcBorders>
                    <w:tl2br w:val="nil"/>
                    <w:tr2bl w:val="nil"/>
                  </w:tcBorders>
                  <w:noWrap w:val="0"/>
                  <w:vAlign w:val="top"/>
                </w:tcPr>
                <w:p w14:paraId="70EDFDA4">
                  <w:pPr>
                    <w:jc w:val="center"/>
                    <w:rPr>
                      <w:rFonts w:ascii="Times New Roman" w:hAnsi="Times New Roman" w:eastAsia="宋体" w:cs="Times New Roman"/>
                      <w:color w:val="auto"/>
                      <w:spacing w:val="0"/>
                      <w:position w:val="0"/>
                      <w:sz w:val="21"/>
                      <w:szCs w:val="21"/>
                      <w:highlight w:val="none"/>
                    </w:rPr>
                  </w:pPr>
                </w:p>
              </w:tc>
              <w:tc>
                <w:tcPr>
                  <w:tcW w:w="392" w:type="pct"/>
                  <w:vMerge w:val="continue"/>
                  <w:tcBorders>
                    <w:tl2br w:val="nil"/>
                    <w:tr2bl w:val="nil"/>
                  </w:tcBorders>
                  <w:noWrap w:val="0"/>
                  <w:vAlign w:val="top"/>
                </w:tcPr>
                <w:p w14:paraId="43646111">
                  <w:pPr>
                    <w:jc w:val="center"/>
                    <w:rPr>
                      <w:rFonts w:ascii="Times New Roman" w:hAnsi="Times New Roman" w:eastAsia="宋体" w:cs="Times New Roman"/>
                      <w:color w:val="auto"/>
                      <w:spacing w:val="0"/>
                      <w:position w:val="0"/>
                      <w:sz w:val="21"/>
                      <w:szCs w:val="21"/>
                      <w:highlight w:val="none"/>
                    </w:rPr>
                  </w:pPr>
                </w:p>
              </w:tc>
              <w:tc>
                <w:tcPr>
                  <w:tcW w:w="576" w:type="pct"/>
                  <w:tcBorders>
                    <w:tl2br w:val="nil"/>
                    <w:tr2bl w:val="nil"/>
                  </w:tcBorders>
                  <w:noWrap w:val="0"/>
                  <w:vAlign w:val="center"/>
                </w:tcPr>
                <w:p w14:paraId="0FFB0E30">
                  <w:pPr>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总氮</w:t>
                  </w:r>
                </w:p>
              </w:tc>
              <w:tc>
                <w:tcPr>
                  <w:tcW w:w="977" w:type="pct"/>
                  <w:tcBorders>
                    <w:tl2br w:val="nil"/>
                    <w:tr2bl w:val="nil"/>
                  </w:tcBorders>
                  <w:noWrap w:val="0"/>
                  <w:vAlign w:val="center"/>
                </w:tcPr>
                <w:p w14:paraId="3FB1E87B">
                  <w:pPr>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15</w:t>
                  </w:r>
                </w:p>
              </w:tc>
            </w:tr>
            <w:tr w14:paraId="0FA8453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top"/>
                </w:tcPr>
                <w:p w14:paraId="32046269">
                  <w:pPr>
                    <w:jc w:val="center"/>
                    <w:rPr>
                      <w:rFonts w:ascii="Times New Roman" w:hAnsi="Times New Roman" w:eastAsia="宋体" w:cs="Times New Roman"/>
                      <w:color w:val="auto"/>
                      <w:spacing w:val="0"/>
                      <w:position w:val="0"/>
                      <w:sz w:val="21"/>
                      <w:szCs w:val="21"/>
                      <w:highlight w:val="none"/>
                    </w:rPr>
                  </w:pPr>
                </w:p>
              </w:tc>
              <w:tc>
                <w:tcPr>
                  <w:tcW w:w="430" w:type="pct"/>
                  <w:vMerge w:val="continue"/>
                  <w:tcBorders>
                    <w:tl2br w:val="nil"/>
                    <w:tr2bl w:val="nil"/>
                  </w:tcBorders>
                  <w:noWrap w:val="0"/>
                  <w:vAlign w:val="top"/>
                </w:tcPr>
                <w:p w14:paraId="4AFFCEDC">
                  <w:pPr>
                    <w:jc w:val="center"/>
                    <w:rPr>
                      <w:rFonts w:ascii="Times New Roman" w:hAnsi="Times New Roman" w:eastAsia="宋体" w:cs="Times New Roman"/>
                      <w:color w:val="auto"/>
                      <w:spacing w:val="0"/>
                      <w:position w:val="0"/>
                      <w:sz w:val="21"/>
                      <w:szCs w:val="21"/>
                      <w:highlight w:val="none"/>
                    </w:rPr>
                  </w:pPr>
                </w:p>
              </w:tc>
              <w:tc>
                <w:tcPr>
                  <w:tcW w:w="514" w:type="pct"/>
                  <w:vMerge w:val="continue"/>
                  <w:tcBorders>
                    <w:tl2br w:val="nil"/>
                    <w:tr2bl w:val="nil"/>
                  </w:tcBorders>
                  <w:noWrap w:val="0"/>
                  <w:vAlign w:val="top"/>
                </w:tcPr>
                <w:p w14:paraId="4C13A3FF">
                  <w:pPr>
                    <w:jc w:val="center"/>
                    <w:rPr>
                      <w:rFonts w:ascii="Times New Roman" w:hAnsi="Times New Roman" w:eastAsia="宋体" w:cs="Times New Roman"/>
                      <w:color w:val="auto"/>
                      <w:spacing w:val="0"/>
                      <w:position w:val="0"/>
                      <w:sz w:val="21"/>
                      <w:szCs w:val="21"/>
                      <w:highlight w:val="none"/>
                    </w:rPr>
                  </w:pPr>
                </w:p>
              </w:tc>
              <w:tc>
                <w:tcPr>
                  <w:tcW w:w="543" w:type="pct"/>
                  <w:vMerge w:val="continue"/>
                  <w:tcBorders>
                    <w:tl2br w:val="nil"/>
                    <w:tr2bl w:val="nil"/>
                  </w:tcBorders>
                  <w:noWrap w:val="0"/>
                  <w:vAlign w:val="top"/>
                </w:tcPr>
                <w:p w14:paraId="2927FD47">
                  <w:pPr>
                    <w:jc w:val="center"/>
                    <w:rPr>
                      <w:rFonts w:ascii="Times New Roman" w:hAnsi="Times New Roman" w:eastAsia="宋体" w:cs="Times New Roman"/>
                      <w:color w:val="auto"/>
                      <w:spacing w:val="0"/>
                      <w:position w:val="0"/>
                      <w:sz w:val="21"/>
                      <w:szCs w:val="21"/>
                      <w:highlight w:val="none"/>
                    </w:rPr>
                  </w:pPr>
                </w:p>
              </w:tc>
              <w:tc>
                <w:tcPr>
                  <w:tcW w:w="300" w:type="pct"/>
                  <w:vMerge w:val="continue"/>
                  <w:tcBorders>
                    <w:tl2br w:val="nil"/>
                    <w:tr2bl w:val="nil"/>
                  </w:tcBorders>
                  <w:noWrap w:val="0"/>
                  <w:vAlign w:val="top"/>
                </w:tcPr>
                <w:p w14:paraId="13EDF681">
                  <w:pPr>
                    <w:jc w:val="center"/>
                    <w:rPr>
                      <w:rFonts w:ascii="Times New Roman" w:hAnsi="Times New Roman" w:eastAsia="宋体" w:cs="Times New Roman"/>
                      <w:color w:val="auto"/>
                      <w:spacing w:val="0"/>
                      <w:position w:val="0"/>
                      <w:sz w:val="21"/>
                      <w:szCs w:val="21"/>
                      <w:highlight w:val="none"/>
                    </w:rPr>
                  </w:pPr>
                </w:p>
              </w:tc>
              <w:tc>
                <w:tcPr>
                  <w:tcW w:w="283" w:type="pct"/>
                  <w:vMerge w:val="continue"/>
                  <w:tcBorders>
                    <w:tl2br w:val="nil"/>
                    <w:tr2bl w:val="nil"/>
                  </w:tcBorders>
                  <w:noWrap w:val="0"/>
                  <w:vAlign w:val="top"/>
                </w:tcPr>
                <w:p w14:paraId="2854ABD5">
                  <w:pPr>
                    <w:jc w:val="center"/>
                    <w:rPr>
                      <w:rFonts w:ascii="Times New Roman" w:hAnsi="Times New Roman" w:eastAsia="宋体" w:cs="Times New Roman"/>
                      <w:color w:val="auto"/>
                      <w:spacing w:val="0"/>
                      <w:position w:val="0"/>
                      <w:sz w:val="21"/>
                      <w:szCs w:val="21"/>
                      <w:highlight w:val="none"/>
                    </w:rPr>
                  </w:pPr>
                </w:p>
              </w:tc>
              <w:tc>
                <w:tcPr>
                  <w:tcW w:w="528" w:type="pct"/>
                  <w:vMerge w:val="restart"/>
                  <w:tcBorders>
                    <w:tl2br w:val="nil"/>
                    <w:tr2bl w:val="nil"/>
                  </w:tcBorders>
                  <w:noWrap w:val="0"/>
                  <w:vAlign w:val="center"/>
                </w:tcPr>
                <w:p w14:paraId="2127CAF9">
                  <w:pPr>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瞬时值</w:t>
                  </w:r>
                </w:p>
              </w:tc>
              <w:tc>
                <w:tcPr>
                  <w:tcW w:w="392" w:type="pct"/>
                  <w:vMerge w:val="continue"/>
                  <w:tcBorders>
                    <w:tl2br w:val="nil"/>
                    <w:tr2bl w:val="nil"/>
                  </w:tcBorders>
                  <w:noWrap w:val="0"/>
                  <w:vAlign w:val="top"/>
                </w:tcPr>
                <w:p w14:paraId="16EC1B21">
                  <w:pPr>
                    <w:jc w:val="center"/>
                    <w:rPr>
                      <w:rFonts w:ascii="Times New Roman" w:hAnsi="Times New Roman" w:eastAsia="宋体" w:cs="Times New Roman"/>
                      <w:color w:val="auto"/>
                      <w:spacing w:val="0"/>
                      <w:position w:val="0"/>
                      <w:sz w:val="21"/>
                      <w:szCs w:val="21"/>
                      <w:highlight w:val="none"/>
                    </w:rPr>
                  </w:pPr>
                </w:p>
              </w:tc>
              <w:tc>
                <w:tcPr>
                  <w:tcW w:w="576" w:type="pct"/>
                  <w:tcBorders>
                    <w:tl2br w:val="nil"/>
                    <w:tr2bl w:val="nil"/>
                  </w:tcBorders>
                  <w:noWrap w:val="0"/>
                  <w:vAlign w:val="center"/>
                </w:tcPr>
                <w:p w14:paraId="506EC1E6">
                  <w:pPr>
                    <w:jc w:val="center"/>
                    <w:rPr>
                      <w:rFonts w:hint="eastAsia"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pH</w:t>
                  </w:r>
                </w:p>
              </w:tc>
              <w:tc>
                <w:tcPr>
                  <w:tcW w:w="977" w:type="pct"/>
                  <w:tcBorders>
                    <w:tl2br w:val="nil"/>
                    <w:tr2bl w:val="nil"/>
                  </w:tcBorders>
                  <w:noWrap w:val="0"/>
                  <w:vAlign w:val="center"/>
                </w:tcPr>
                <w:p w14:paraId="14B41C51">
                  <w:pPr>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6~9</w:t>
                  </w:r>
                </w:p>
              </w:tc>
            </w:tr>
            <w:tr w14:paraId="2565F1D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top"/>
                </w:tcPr>
                <w:p w14:paraId="2AEB4BD8">
                  <w:pPr>
                    <w:jc w:val="center"/>
                    <w:rPr>
                      <w:rFonts w:ascii="Times New Roman" w:hAnsi="Times New Roman" w:eastAsia="宋体" w:cs="Times New Roman"/>
                      <w:color w:val="auto"/>
                      <w:spacing w:val="0"/>
                      <w:position w:val="0"/>
                      <w:sz w:val="21"/>
                      <w:szCs w:val="21"/>
                      <w:highlight w:val="none"/>
                    </w:rPr>
                  </w:pPr>
                </w:p>
              </w:tc>
              <w:tc>
                <w:tcPr>
                  <w:tcW w:w="430" w:type="pct"/>
                  <w:vMerge w:val="continue"/>
                  <w:tcBorders>
                    <w:tl2br w:val="nil"/>
                    <w:tr2bl w:val="nil"/>
                  </w:tcBorders>
                  <w:noWrap w:val="0"/>
                  <w:vAlign w:val="top"/>
                </w:tcPr>
                <w:p w14:paraId="7929FAC8">
                  <w:pPr>
                    <w:jc w:val="center"/>
                    <w:rPr>
                      <w:rFonts w:ascii="Times New Roman" w:hAnsi="Times New Roman" w:eastAsia="宋体" w:cs="Times New Roman"/>
                      <w:color w:val="auto"/>
                      <w:spacing w:val="0"/>
                      <w:position w:val="0"/>
                      <w:sz w:val="21"/>
                      <w:szCs w:val="21"/>
                      <w:highlight w:val="none"/>
                    </w:rPr>
                  </w:pPr>
                </w:p>
              </w:tc>
              <w:tc>
                <w:tcPr>
                  <w:tcW w:w="514" w:type="pct"/>
                  <w:vMerge w:val="continue"/>
                  <w:tcBorders>
                    <w:tl2br w:val="nil"/>
                    <w:tr2bl w:val="nil"/>
                  </w:tcBorders>
                  <w:noWrap w:val="0"/>
                  <w:vAlign w:val="top"/>
                </w:tcPr>
                <w:p w14:paraId="0AF6A364">
                  <w:pPr>
                    <w:jc w:val="center"/>
                    <w:rPr>
                      <w:rFonts w:ascii="Times New Roman" w:hAnsi="Times New Roman" w:eastAsia="宋体" w:cs="Times New Roman"/>
                      <w:color w:val="auto"/>
                      <w:spacing w:val="0"/>
                      <w:position w:val="0"/>
                      <w:sz w:val="21"/>
                      <w:szCs w:val="21"/>
                      <w:highlight w:val="none"/>
                    </w:rPr>
                  </w:pPr>
                </w:p>
              </w:tc>
              <w:tc>
                <w:tcPr>
                  <w:tcW w:w="543" w:type="pct"/>
                  <w:vMerge w:val="continue"/>
                  <w:tcBorders>
                    <w:tl2br w:val="nil"/>
                    <w:tr2bl w:val="nil"/>
                  </w:tcBorders>
                  <w:noWrap w:val="0"/>
                  <w:vAlign w:val="top"/>
                </w:tcPr>
                <w:p w14:paraId="23B71EA9">
                  <w:pPr>
                    <w:jc w:val="center"/>
                    <w:rPr>
                      <w:rFonts w:ascii="Times New Roman" w:hAnsi="Times New Roman" w:eastAsia="宋体" w:cs="Times New Roman"/>
                      <w:color w:val="auto"/>
                      <w:spacing w:val="0"/>
                      <w:position w:val="0"/>
                      <w:sz w:val="21"/>
                      <w:szCs w:val="21"/>
                      <w:highlight w:val="none"/>
                    </w:rPr>
                  </w:pPr>
                </w:p>
              </w:tc>
              <w:tc>
                <w:tcPr>
                  <w:tcW w:w="300" w:type="pct"/>
                  <w:vMerge w:val="continue"/>
                  <w:tcBorders>
                    <w:tl2br w:val="nil"/>
                    <w:tr2bl w:val="nil"/>
                  </w:tcBorders>
                  <w:noWrap w:val="0"/>
                  <w:vAlign w:val="top"/>
                </w:tcPr>
                <w:p w14:paraId="592B3F7A">
                  <w:pPr>
                    <w:jc w:val="center"/>
                    <w:rPr>
                      <w:rFonts w:ascii="Times New Roman" w:hAnsi="Times New Roman" w:eastAsia="宋体" w:cs="Times New Roman"/>
                      <w:color w:val="auto"/>
                      <w:spacing w:val="0"/>
                      <w:position w:val="0"/>
                      <w:sz w:val="21"/>
                      <w:szCs w:val="21"/>
                      <w:highlight w:val="none"/>
                    </w:rPr>
                  </w:pPr>
                </w:p>
              </w:tc>
              <w:tc>
                <w:tcPr>
                  <w:tcW w:w="283" w:type="pct"/>
                  <w:vMerge w:val="continue"/>
                  <w:tcBorders>
                    <w:tl2br w:val="nil"/>
                    <w:tr2bl w:val="nil"/>
                  </w:tcBorders>
                  <w:noWrap w:val="0"/>
                  <w:vAlign w:val="top"/>
                </w:tcPr>
                <w:p w14:paraId="5B60DF8D">
                  <w:pPr>
                    <w:jc w:val="center"/>
                    <w:rPr>
                      <w:rFonts w:ascii="Times New Roman" w:hAnsi="Times New Roman" w:eastAsia="宋体" w:cs="Times New Roman"/>
                      <w:color w:val="auto"/>
                      <w:spacing w:val="0"/>
                      <w:position w:val="0"/>
                      <w:sz w:val="21"/>
                      <w:szCs w:val="21"/>
                      <w:highlight w:val="none"/>
                    </w:rPr>
                  </w:pPr>
                </w:p>
              </w:tc>
              <w:tc>
                <w:tcPr>
                  <w:tcW w:w="528" w:type="pct"/>
                  <w:vMerge w:val="continue"/>
                  <w:tcBorders>
                    <w:tl2br w:val="nil"/>
                    <w:tr2bl w:val="nil"/>
                  </w:tcBorders>
                  <w:noWrap w:val="0"/>
                  <w:vAlign w:val="top"/>
                </w:tcPr>
                <w:p w14:paraId="62BB6F86">
                  <w:pPr>
                    <w:jc w:val="center"/>
                    <w:rPr>
                      <w:rFonts w:ascii="Times New Roman" w:hAnsi="Times New Roman" w:eastAsia="宋体" w:cs="Times New Roman"/>
                      <w:color w:val="auto"/>
                      <w:spacing w:val="0"/>
                      <w:position w:val="0"/>
                      <w:sz w:val="21"/>
                      <w:szCs w:val="21"/>
                      <w:highlight w:val="none"/>
                    </w:rPr>
                  </w:pPr>
                </w:p>
              </w:tc>
              <w:tc>
                <w:tcPr>
                  <w:tcW w:w="392" w:type="pct"/>
                  <w:vMerge w:val="continue"/>
                  <w:tcBorders>
                    <w:tl2br w:val="nil"/>
                    <w:tr2bl w:val="nil"/>
                  </w:tcBorders>
                  <w:noWrap w:val="0"/>
                  <w:vAlign w:val="top"/>
                </w:tcPr>
                <w:p w14:paraId="4D663D3D">
                  <w:pPr>
                    <w:jc w:val="center"/>
                    <w:rPr>
                      <w:rFonts w:ascii="Times New Roman" w:hAnsi="Times New Roman" w:eastAsia="宋体" w:cs="Times New Roman"/>
                      <w:color w:val="auto"/>
                      <w:spacing w:val="0"/>
                      <w:position w:val="0"/>
                      <w:sz w:val="21"/>
                      <w:szCs w:val="21"/>
                      <w:highlight w:val="none"/>
                    </w:rPr>
                  </w:pPr>
                </w:p>
              </w:tc>
              <w:tc>
                <w:tcPr>
                  <w:tcW w:w="576" w:type="pct"/>
                  <w:tcBorders>
                    <w:tl2br w:val="nil"/>
                    <w:tr2bl w:val="nil"/>
                  </w:tcBorders>
                  <w:noWrap w:val="0"/>
                  <w:vAlign w:val="center"/>
                </w:tcPr>
                <w:p w14:paraId="1AAF28E8">
                  <w:pPr>
                    <w:jc w:val="center"/>
                    <w:rPr>
                      <w:rFonts w:hint="eastAsia"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COD</w:t>
                  </w:r>
                  <w:r>
                    <w:rPr>
                      <w:rFonts w:ascii="Times New Roman" w:hAnsi="Times New Roman" w:eastAsia="宋体" w:cs="Times New Roman"/>
                      <w:color w:val="auto"/>
                      <w:spacing w:val="0"/>
                      <w:position w:val="0"/>
                      <w:sz w:val="21"/>
                      <w:szCs w:val="21"/>
                      <w:highlight w:val="none"/>
                      <w:vertAlign w:val="subscript"/>
                    </w:rPr>
                    <w:t>Cr</w:t>
                  </w:r>
                </w:p>
              </w:tc>
              <w:tc>
                <w:tcPr>
                  <w:tcW w:w="977" w:type="pct"/>
                  <w:tcBorders>
                    <w:tl2br w:val="nil"/>
                    <w:tr2bl w:val="nil"/>
                  </w:tcBorders>
                  <w:noWrap w:val="0"/>
                  <w:vAlign w:val="center"/>
                </w:tcPr>
                <w:p w14:paraId="45F25CF4">
                  <w:pPr>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75</w:t>
                  </w:r>
                </w:p>
              </w:tc>
            </w:tr>
            <w:tr w14:paraId="69D24A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top"/>
                </w:tcPr>
                <w:p w14:paraId="2D716F06">
                  <w:pPr>
                    <w:jc w:val="center"/>
                    <w:rPr>
                      <w:rFonts w:ascii="Times New Roman" w:hAnsi="Times New Roman" w:eastAsia="宋体" w:cs="Times New Roman"/>
                      <w:color w:val="auto"/>
                      <w:spacing w:val="0"/>
                      <w:position w:val="0"/>
                      <w:sz w:val="21"/>
                      <w:szCs w:val="21"/>
                      <w:highlight w:val="none"/>
                    </w:rPr>
                  </w:pPr>
                </w:p>
              </w:tc>
              <w:tc>
                <w:tcPr>
                  <w:tcW w:w="430" w:type="pct"/>
                  <w:vMerge w:val="continue"/>
                  <w:tcBorders>
                    <w:tl2br w:val="nil"/>
                    <w:tr2bl w:val="nil"/>
                  </w:tcBorders>
                  <w:noWrap w:val="0"/>
                  <w:vAlign w:val="top"/>
                </w:tcPr>
                <w:p w14:paraId="4636B0FD">
                  <w:pPr>
                    <w:jc w:val="center"/>
                    <w:rPr>
                      <w:rFonts w:ascii="Times New Roman" w:hAnsi="Times New Roman" w:eastAsia="宋体" w:cs="Times New Roman"/>
                      <w:color w:val="auto"/>
                      <w:spacing w:val="0"/>
                      <w:position w:val="0"/>
                      <w:sz w:val="21"/>
                      <w:szCs w:val="21"/>
                      <w:highlight w:val="none"/>
                    </w:rPr>
                  </w:pPr>
                </w:p>
              </w:tc>
              <w:tc>
                <w:tcPr>
                  <w:tcW w:w="514" w:type="pct"/>
                  <w:vMerge w:val="continue"/>
                  <w:tcBorders>
                    <w:tl2br w:val="nil"/>
                    <w:tr2bl w:val="nil"/>
                  </w:tcBorders>
                  <w:noWrap w:val="0"/>
                  <w:vAlign w:val="top"/>
                </w:tcPr>
                <w:p w14:paraId="25DEBFCB">
                  <w:pPr>
                    <w:jc w:val="center"/>
                    <w:rPr>
                      <w:rFonts w:ascii="Times New Roman" w:hAnsi="Times New Roman" w:eastAsia="宋体" w:cs="Times New Roman"/>
                      <w:color w:val="auto"/>
                      <w:spacing w:val="0"/>
                      <w:position w:val="0"/>
                      <w:sz w:val="21"/>
                      <w:szCs w:val="21"/>
                      <w:highlight w:val="none"/>
                    </w:rPr>
                  </w:pPr>
                </w:p>
              </w:tc>
              <w:tc>
                <w:tcPr>
                  <w:tcW w:w="543" w:type="pct"/>
                  <w:vMerge w:val="continue"/>
                  <w:tcBorders>
                    <w:tl2br w:val="nil"/>
                    <w:tr2bl w:val="nil"/>
                  </w:tcBorders>
                  <w:noWrap w:val="0"/>
                  <w:vAlign w:val="top"/>
                </w:tcPr>
                <w:p w14:paraId="6D2C5E64">
                  <w:pPr>
                    <w:jc w:val="center"/>
                    <w:rPr>
                      <w:rFonts w:ascii="Times New Roman" w:hAnsi="Times New Roman" w:eastAsia="宋体" w:cs="Times New Roman"/>
                      <w:color w:val="auto"/>
                      <w:spacing w:val="0"/>
                      <w:position w:val="0"/>
                      <w:sz w:val="21"/>
                      <w:szCs w:val="21"/>
                      <w:highlight w:val="none"/>
                    </w:rPr>
                  </w:pPr>
                </w:p>
              </w:tc>
              <w:tc>
                <w:tcPr>
                  <w:tcW w:w="300" w:type="pct"/>
                  <w:vMerge w:val="continue"/>
                  <w:tcBorders>
                    <w:tl2br w:val="nil"/>
                    <w:tr2bl w:val="nil"/>
                  </w:tcBorders>
                  <w:noWrap w:val="0"/>
                  <w:vAlign w:val="top"/>
                </w:tcPr>
                <w:p w14:paraId="7687F025">
                  <w:pPr>
                    <w:jc w:val="center"/>
                    <w:rPr>
                      <w:rFonts w:ascii="Times New Roman" w:hAnsi="Times New Roman" w:eastAsia="宋体" w:cs="Times New Roman"/>
                      <w:color w:val="auto"/>
                      <w:spacing w:val="0"/>
                      <w:position w:val="0"/>
                      <w:sz w:val="21"/>
                      <w:szCs w:val="21"/>
                      <w:highlight w:val="none"/>
                    </w:rPr>
                  </w:pPr>
                </w:p>
              </w:tc>
              <w:tc>
                <w:tcPr>
                  <w:tcW w:w="283" w:type="pct"/>
                  <w:vMerge w:val="continue"/>
                  <w:tcBorders>
                    <w:tl2br w:val="nil"/>
                    <w:tr2bl w:val="nil"/>
                  </w:tcBorders>
                  <w:noWrap w:val="0"/>
                  <w:vAlign w:val="top"/>
                </w:tcPr>
                <w:p w14:paraId="594ABDBE">
                  <w:pPr>
                    <w:jc w:val="center"/>
                    <w:rPr>
                      <w:rFonts w:ascii="Times New Roman" w:hAnsi="Times New Roman" w:eastAsia="宋体" w:cs="Times New Roman"/>
                      <w:color w:val="auto"/>
                      <w:spacing w:val="0"/>
                      <w:position w:val="0"/>
                      <w:sz w:val="21"/>
                      <w:szCs w:val="21"/>
                      <w:highlight w:val="none"/>
                    </w:rPr>
                  </w:pPr>
                </w:p>
              </w:tc>
              <w:tc>
                <w:tcPr>
                  <w:tcW w:w="528" w:type="pct"/>
                  <w:vMerge w:val="continue"/>
                  <w:tcBorders>
                    <w:tl2br w:val="nil"/>
                    <w:tr2bl w:val="nil"/>
                  </w:tcBorders>
                  <w:noWrap w:val="0"/>
                  <w:vAlign w:val="top"/>
                </w:tcPr>
                <w:p w14:paraId="2A7A9F09">
                  <w:pPr>
                    <w:jc w:val="center"/>
                    <w:rPr>
                      <w:rFonts w:ascii="Times New Roman" w:hAnsi="Times New Roman" w:eastAsia="宋体" w:cs="Times New Roman"/>
                      <w:color w:val="auto"/>
                      <w:spacing w:val="0"/>
                      <w:position w:val="0"/>
                      <w:sz w:val="21"/>
                      <w:szCs w:val="21"/>
                      <w:highlight w:val="none"/>
                    </w:rPr>
                  </w:pPr>
                </w:p>
              </w:tc>
              <w:tc>
                <w:tcPr>
                  <w:tcW w:w="392" w:type="pct"/>
                  <w:vMerge w:val="continue"/>
                  <w:tcBorders>
                    <w:tl2br w:val="nil"/>
                    <w:tr2bl w:val="nil"/>
                  </w:tcBorders>
                  <w:noWrap w:val="0"/>
                  <w:vAlign w:val="top"/>
                </w:tcPr>
                <w:p w14:paraId="05C70A09">
                  <w:pPr>
                    <w:jc w:val="center"/>
                    <w:rPr>
                      <w:rFonts w:ascii="Times New Roman" w:hAnsi="Times New Roman" w:eastAsia="宋体" w:cs="Times New Roman"/>
                      <w:color w:val="auto"/>
                      <w:spacing w:val="0"/>
                      <w:position w:val="0"/>
                      <w:sz w:val="21"/>
                      <w:szCs w:val="21"/>
                      <w:highlight w:val="none"/>
                    </w:rPr>
                  </w:pPr>
                </w:p>
              </w:tc>
              <w:tc>
                <w:tcPr>
                  <w:tcW w:w="576" w:type="pct"/>
                  <w:tcBorders>
                    <w:tl2br w:val="nil"/>
                    <w:tr2bl w:val="nil"/>
                  </w:tcBorders>
                  <w:noWrap w:val="0"/>
                  <w:vAlign w:val="center"/>
                </w:tcPr>
                <w:p w14:paraId="6BE58610">
                  <w:pPr>
                    <w:jc w:val="center"/>
                    <w:rPr>
                      <w:rFonts w:hint="eastAsia"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BOD</w:t>
                  </w:r>
                  <w:r>
                    <w:rPr>
                      <w:rFonts w:ascii="Times New Roman" w:hAnsi="Times New Roman" w:eastAsia="宋体" w:cs="Times New Roman"/>
                      <w:color w:val="auto"/>
                      <w:spacing w:val="0"/>
                      <w:position w:val="0"/>
                      <w:sz w:val="21"/>
                      <w:szCs w:val="21"/>
                      <w:highlight w:val="none"/>
                      <w:vertAlign w:val="subscript"/>
                    </w:rPr>
                    <w:t>5</w:t>
                  </w:r>
                </w:p>
              </w:tc>
              <w:tc>
                <w:tcPr>
                  <w:tcW w:w="977" w:type="pct"/>
                  <w:tcBorders>
                    <w:tl2br w:val="nil"/>
                    <w:tr2bl w:val="nil"/>
                  </w:tcBorders>
                  <w:noWrap w:val="0"/>
                  <w:vAlign w:val="center"/>
                </w:tcPr>
                <w:p w14:paraId="57A1068A">
                  <w:pPr>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r w14:paraId="0D26298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top"/>
                </w:tcPr>
                <w:p w14:paraId="027056CB">
                  <w:pPr>
                    <w:jc w:val="center"/>
                    <w:rPr>
                      <w:rFonts w:ascii="Times New Roman" w:hAnsi="Times New Roman" w:eastAsia="宋体" w:cs="Times New Roman"/>
                      <w:color w:val="auto"/>
                      <w:spacing w:val="0"/>
                      <w:position w:val="0"/>
                      <w:sz w:val="21"/>
                      <w:szCs w:val="21"/>
                      <w:highlight w:val="none"/>
                    </w:rPr>
                  </w:pPr>
                </w:p>
              </w:tc>
              <w:tc>
                <w:tcPr>
                  <w:tcW w:w="430" w:type="pct"/>
                  <w:vMerge w:val="continue"/>
                  <w:tcBorders>
                    <w:tl2br w:val="nil"/>
                    <w:tr2bl w:val="nil"/>
                  </w:tcBorders>
                  <w:noWrap w:val="0"/>
                  <w:vAlign w:val="top"/>
                </w:tcPr>
                <w:p w14:paraId="447FBEE8">
                  <w:pPr>
                    <w:jc w:val="center"/>
                    <w:rPr>
                      <w:rFonts w:ascii="Times New Roman" w:hAnsi="Times New Roman" w:eastAsia="宋体" w:cs="Times New Roman"/>
                      <w:color w:val="auto"/>
                      <w:spacing w:val="0"/>
                      <w:position w:val="0"/>
                      <w:sz w:val="21"/>
                      <w:szCs w:val="21"/>
                      <w:highlight w:val="none"/>
                    </w:rPr>
                  </w:pPr>
                </w:p>
              </w:tc>
              <w:tc>
                <w:tcPr>
                  <w:tcW w:w="514" w:type="pct"/>
                  <w:vMerge w:val="continue"/>
                  <w:tcBorders>
                    <w:tl2br w:val="nil"/>
                    <w:tr2bl w:val="nil"/>
                  </w:tcBorders>
                  <w:noWrap w:val="0"/>
                  <w:vAlign w:val="top"/>
                </w:tcPr>
                <w:p w14:paraId="013A049B">
                  <w:pPr>
                    <w:jc w:val="center"/>
                    <w:rPr>
                      <w:rFonts w:ascii="Times New Roman" w:hAnsi="Times New Roman" w:eastAsia="宋体" w:cs="Times New Roman"/>
                      <w:color w:val="auto"/>
                      <w:spacing w:val="0"/>
                      <w:position w:val="0"/>
                      <w:sz w:val="21"/>
                      <w:szCs w:val="21"/>
                      <w:highlight w:val="none"/>
                    </w:rPr>
                  </w:pPr>
                </w:p>
              </w:tc>
              <w:tc>
                <w:tcPr>
                  <w:tcW w:w="543" w:type="pct"/>
                  <w:vMerge w:val="continue"/>
                  <w:tcBorders>
                    <w:tl2br w:val="nil"/>
                    <w:tr2bl w:val="nil"/>
                  </w:tcBorders>
                  <w:noWrap w:val="0"/>
                  <w:vAlign w:val="top"/>
                </w:tcPr>
                <w:p w14:paraId="3AF2F4E1">
                  <w:pPr>
                    <w:jc w:val="center"/>
                    <w:rPr>
                      <w:rFonts w:ascii="Times New Roman" w:hAnsi="Times New Roman" w:eastAsia="宋体" w:cs="Times New Roman"/>
                      <w:color w:val="auto"/>
                      <w:spacing w:val="0"/>
                      <w:position w:val="0"/>
                      <w:sz w:val="21"/>
                      <w:szCs w:val="21"/>
                      <w:highlight w:val="none"/>
                    </w:rPr>
                  </w:pPr>
                </w:p>
              </w:tc>
              <w:tc>
                <w:tcPr>
                  <w:tcW w:w="300" w:type="pct"/>
                  <w:vMerge w:val="continue"/>
                  <w:tcBorders>
                    <w:tl2br w:val="nil"/>
                    <w:tr2bl w:val="nil"/>
                  </w:tcBorders>
                  <w:noWrap w:val="0"/>
                  <w:vAlign w:val="top"/>
                </w:tcPr>
                <w:p w14:paraId="625F75AA">
                  <w:pPr>
                    <w:jc w:val="center"/>
                    <w:rPr>
                      <w:rFonts w:ascii="Times New Roman" w:hAnsi="Times New Roman" w:eastAsia="宋体" w:cs="Times New Roman"/>
                      <w:color w:val="auto"/>
                      <w:spacing w:val="0"/>
                      <w:position w:val="0"/>
                      <w:sz w:val="21"/>
                      <w:szCs w:val="21"/>
                      <w:highlight w:val="none"/>
                    </w:rPr>
                  </w:pPr>
                </w:p>
              </w:tc>
              <w:tc>
                <w:tcPr>
                  <w:tcW w:w="283" w:type="pct"/>
                  <w:vMerge w:val="continue"/>
                  <w:tcBorders>
                    <w:tl2br w:val="nil"/>
                    <w:tr2bl w:val="nil"/>
                  </w:tcBorders>
                  <w:noWrap w:val="0"/>
                  <w:vAlign w:val="top"/>
                </w:tcPr>
                <w:p w14:paraId="2804DAD6">
                  <w:pPr>
                    <w:jc w:val="center"/>
                    <w:rPr>
                      <w:rFonts w:ascii="Times New Roman" w:hAnsi="Times New Roman" w:eastAsia="宋体" w:cs="Times New Roman"/>
                      <w:color w:val="auto"/>
                      <w:spacing w:val="0"/>
                      <w:position w:val="0"/>
                      <w:sz w:val="21"/>
                      <w:szCs w:val="21"/>
                      <w:highlight w:val="none"/>
                    </w:rPr>
                  </w:pPr>
                </w:p>
              </w:tc>
              <w:tc>
                <w:tcPr>
                  <w:tcW w:w="528" w:type="pct"/>
                  <w:vMerge w:val="continue"/>
                  <w:tcBorders>
                    <w:tl2br w:val="nil"/>
                    <w:tr2bl w:val="nil"/>
                  </w:tcBorders>
                  <w:noWrap w:val="0"/>
                  <w:vAlign w:val="top"/>
                </w:tcPr>
                <w:p w14:paraId="634A4DD1">
                  <w:pPr>
                    <w:jc w:val="center"/>
                    <w:rPr>
                      <w:rFonts w:ascii="Times New Roman" w:hAnsi="Times New Roman" w:eastAsia="宋体" w:cs="Times New Roman"/>
                      <w:color w:val="auto"/>
                      <w:spacing w:val="0"/>
                      <w:position w:val="0"/>
                      <w:sz w:val="21"/>
                      <w:szCs w:val="21"/>
                      <w:highlight w:val="none"/>
                    </w:rPr>
                  </w:pPr>
                </w:p>
              </w:tc>
              <w:tc>
                <w:tcPr>
                  <w:tcW w:w="392" w:type="pct"/>
                  <w:vMerge w:val="continue"/>
                  <w:tcBorders>
                    <w:tl2br w:val="nil"/>
                    <w:tr2bl w:val="nil"/>
                  </w:tcBorders>
                  <w:noWrap w:val="0"/>
                  <w:vAlign w:val="top"/>
                </w:tcPr>
                <w:p w14:paraId="27EBDACC">
                  <w:pPr>
                    <w:jc w:val="center"/>
                    <w:rPr>
                      <w:rFonts w:ascii="Times New Roman" w:hAnsi="Times New Roman" w:eastAsia="宋体" w:cs="Times New Roman"/>
                      <w:color w:val="auto"/>
                      <w:spacing w:val="0"/>
                      <w:position w:val="0"/>
                      <w:sz w:val="21"/>
                      <w:szCs w:val="21"/>
                      <w:highlight w:val="none"/>
                    </w:rPr>
                  </w:pPr>
                </w:p>
              </w:tc>
              <w:tc>
                <w:tcPr>
                  <w:tcW w:w="576" w:type="pct"/>
                  <w:tcBorders>
                    <w:tl2br w:val="nil"/>
                    <w:tr2bl w:val="nil"/>
                  </w:tcBorders>
                  <w:noWrap w:val="0"/>
                  <w:vAlign w:val="center"/>
                </w:tcPr>
                <w:p w14:paraId="488C9A0A">
                  <w:pPr>
                    <w:jc w:val="center"/>
                    <w:rPr>
                      <w:rFonts w:hint="eastAsia"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SS</w:t>
                  </w:r>
                </w:p>
              </w:tc>
              <w:tc>
                <w:tcPr>
                  <w:tcW w:w="977" w:type="pct"/>
                  <w:tcBorders>
                    <w:tl2br w:val="nil"/>
                    <w:tr2bl w:val="nil"/>
                  </w:tcBorders>
                  <w:noWrap w:val="0"/>
                  <w:vAlign w:val="center"/>
                </w:tcPr>
                <w:p w14:paraId="77F314DF">
                  <w:pPr>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r w14:paraId="203C087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top"/>
                </w:tcPr>
                <w:p w14:paraId="6E65246A">
                  <w:pPr>
                    <w:jc w:val="center"/>
                    <w:rPr>
                      <w:rFonts w:ascii="Times New Roman" w:hAnsi="Times New Roman" w:eastAsia="宋体" w:cs="Times New Roman"/>
                      <w:color w:val="auto"/>
                      <w:spacing w:val="0"/>
                      <w:position w:val="0"/>
                      <w:sz w:val="21"/>
                      <w:szCs w:val="21"/>
                      <w:highlight w:val="none"/>
                    </w:rPr>
                  </w:pPr>
                </w:p>
              </w:tc>
              <w:tc>
                <w:tcPr>
                  <w:tcW w:w="430" w:type="pct"/>
                  <w:vMerge w:val="continue"/>
                  <w:tcBorders>
                    <w:tl2br w:val="nil"/>
                    <w:tr2bl w:val="nil"/>
                  </w:tcBorders>
                  <w:noWrap w:val="0"/>
                  <w:vAlign w:val="top"/>
                </w:tcPr>
                <w:p w14:paraId="2A7ADD6E">
                  <w:pPr>
                    <w:jc w:val="center"/>
                    <w:rPr>
                      <w:rFonts w:ascii="Times New Roman" w:hAnsi="Times New Roman" w:eastAsia="宋体" w:cs="Times New Roman"/>
                      <w:color w:val="auto"/>
                      <w:spacing w:val="0"/>
                      <w:position w:val="0"/>
                      <w:sz w:val="21"/>
                      <w:szCs w:val="21"/>
                      <w:highlight w:val="none"/>
                    </w:rPr>
                  </w:pPr>
                </w:p>
              </w:tc>
              <w:tc>
                <w:tcPr>
                  <w:tcW w:w="514" w:type="pct"/>
                  <w:vMerge w:val="continue"/>
                  <w:tcBorders>
                    <w:tl2br w:val="nil"/>
                    <w:tr2bl w:val="nil"/>
                  </w:tcBorders>
                  <w:noWrap w:val="0"/>
                  <w:vAlign w:val="top"/>
                </w:tcPr>
                <w:p w14:paraId="36879409">
                  <w:pPr>
                    <w:jc w:val="center"/>
                    <w:rPr>
                      <w:rFonts w:ascii="Times New Roman" w:hAnsi="Times New Roman" w:eastAsia="宋体" w:cs="Times New Roman"/>
                      <w:color w:val="auto"/>
                      <w:spacing w:val="0"/>
                      <w:position w:val="0"/>
                      <w:sz w:val="21"/>
                      <w:szCs w:val="21"/>
                      <w:highlight w:val="none"/>
                    </w:rPr>
                  </w:pPr>
                </w:p>
              </w:tc>
              <w:tc>
                <w:tcPr>
                  <w:tcW w:w="543" w:type="pct"/>
                  <w:vMerge w:val="continue"/>
                  <w:tcBorders>
                    <w:tl2br w:val="nil"/>
                    <w:tr2bl w:val="nil"/>
                  </w:tcBorders>
                  <w:noWrap w:val="0"/>
                  <w:vAlign w:val="top"/>
                </w:tcPr>
                <w:p w14:paraId="43B34256">
                  <w:pPr>
                    <w:jc w:val="center"/>
                    <w:rPr>
                      <w:rFonts w:ascii="Times New Roman" w:hAnsi="Times New Roman" w:eastAsia="宋体" w:cs="Times New Roman"/>
                      <w:color w:val="auto"/>
                      <w:spacing w:val="0"/>
                      <w:position w:val="0"/>
                      <w:sz w:val="21"/>
                      <w:szCs w:val="21"/>
                      <w:highlight w:val="none"/>
                    </w:rPr>
                  </w:pPr>
                </w:p>
              </w:tc>
              <w:tc>
                <w:tcPr>
                  <w:tcW w:w="300" w:type="pct"/>
                  <w:vMerge w:val="continue"/>
                  <w:tcBorders>
                    <w:tl2br w:val="nil"/>
                    <w:tr2bl w:val="nil"/>
                  </w:tcBorders>
                  <w:noWrap w:val="0"/>
                  <w:vAlign w:val="top"/>
                </w:tcPr>
                <w:p w14:paraId="44CAD614">
                  <w:pPr>
                    <w:jc w:val="center"/>
                    <w:rPr>
                      <w:rFonts w:ascii="Times New Roman" w:hAnsi="Times New Roman" w:eastAsia="宋体" w:cs="Times New Roman"/>
                      <w:color w:val="auto"/>
                      <w:spacing w:val="0"/>
                      <w:position w:val="0"/>
                      <w:sz w:val="21"/>
                      <w:szCs w:val="21"/>
                      <w:highlight w:val="none"/>
                    </w:rPr>
                  </w:pPr>
                </w:p>
              </w:tc>
              <w:tc>
                <w:tcPr>
                  <w:tcW w:w="283" w:type="pct"/>
                  <w:vMerge w:val="continue"/>
                  <w:tcBorders>
                    <w:tl2br w:val="nil"/>
                    <w:tr2bl w:val="nil"/>
                  </w:tcBorders>
                  <w:noWrap w:val="0"/>
                  <w:vAlign w:val="top"/>
                </w:tcPr>
                <w:p w14:paraId="7B4D4F7A">
                  <w:pPr>
                    <w:jc w:val="center"/>
                    <w:rPr>
                      <w:rFonts w:ascii="Times New Roman" w:hAnsi="Times New Roman" w:eastAsia="宋体" w:cs="Times New Roman"/>
                      <w:color w:val="auto"/>
                      <w:spacing w:val="0"/>
                      <w:position w:val="0"/>
                      <w:sz w:val="21"/>
                      <w:szCs w:val="21"/>
                      <w:highlight w:val="none"/>
                    </w:rPr>
                  </w:pPr>
                </w:p>
              </w:tc>
              <w:tc>
                <w:tcPr>
                  <w:tcW w:w="528" w:type="pct"/>
                  <w:vMerge w:val="continue"/>
                  <w:tcBorders>
                    <w:tl2br w:val="nil"/>
                    <w:tr2bl w:val="nil"/>
                  </w:tcBorders>
                  <w:noWrap w:val="0"/>
                  <w:vAlign w:val="top"/>
                </w:tcPr>
                <w:p w14:paraId="2D42CB9E">
                  <w:pPr>
                    <w:jc w:val="center"/>
                    <w:rPr>
                      <w:rFonts w:ascii="Times New Roman" w:hAnsi="Times New Roman" w:eastAsia="宋体" w:cs="Times New Roman"/>
                      <w:color w:val="auto"/>
                      <w:spacing w:val="0"/>
                      <w:position w:val="0"/>
                      <w:sz w:val="21"/>
                      <w:szCs w:val="21"/>
                      <w:highlight w:val="none"/>
                    </w:rPr>
                  </w:pPr>
                </w:p>
              </w:tc>
              <w:tc>
                <w:tcPr>
                  <w:tcW w:w="392" w:type="pct"/>
                  <w:vMerge w:val="continue"/>
                  <w:tcBorders>
                    <w:tl2br w:val="nil"/>
                    <w:tr2bl w:val="nil"/>
                  </w:tcBorders>
                  <w:noWrap w:val="0"/>
                  <w:vAlign w:val="top"/>
                </w:tcPr>
                <w:p w14:paraId="3477F21A">
                  <w:pPr>
                    <w:jc w:val="center"/>
                    <w:rPr>
                      <w:rFonts w:ascii="Times New Roman" w:hAnsi="Times New Roman" w:eastAsia="宋体" w:cs="Times New Roman"/>
                      <w:color w:val="auto"/>
                      <w:spacing w:val="0"/>
                      <w:position w:val="0"/>
                      <w:sz w:val="21"/>
                      <w:szCs w:val="21"/>
                      <w:highlight w:val="none"/>
                    </w:rPr>
                  </w:pPr>
                </w:p>
              </w:tc>
              <w:tc>
                <w:tcPr>
                  <w:tcW w:w="576" w:type="pct"/>
                  <w:tcBorders>
                    <w:tl2br w:val="nil"/>
                    <w:tr2bl w:val="nil"/>
                  </w:tcBorders>
                  <w:noWrap w:val="0"/>
                  <w:vAlign w:val="center"/>
                </w:tcPr>
                <w:p w14:paraId="4F6C5130">
                  <w:pPr>
                    <w:jc w:val="center"/>
                    <w:rPr>
                      <w:rFonts w:hint="eastAsia"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氨氮</w:t>
                  </w:r>
                </w:p>
              </w:tc>
              <w:tc>
                <w:tcPr>
                  <w:tcW w:w="977" w:type="pct"/>
                  <w:tcBorders>
                    <w:tl2br w:val="nil"/>
                    <w:tr2bl w:val="nil"/>
                  </w:tcBorders>
                  <w:noWrap w:val="0"/>
                  <w:vAlign w:val="center"/>
                </w:tcPr>
                <w:p w14:paraId="4213D9E3">
                  <w:pPr>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10（15）</w:t>
                  </w:r>
                </w:p>
              </w:tc>
            </w:tr>
            <w:tr w14:paraId="3E2F52F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top"/>
                </w:tcPr>
                <w:p w14:paraId="3FA9E23D">
                  <w:pPr>
                    <w:jc w:val="center"/>
                    <w:rPr>
                      <w:rFonts w:ascii="Times New Roman" w:hAnsi="Times New Roman" w:eastAsia="宋体" w:cs="Times New Roman"/>
                      <w:color w:val="auto"/>
                      <w:spacing w:val="0"/>
                      <w:position w:val="0"/>
                      <w:sz w:val="21"/>
                      <w:szCs w:val="21"/>
                      <w:highlight w:val="none"/>
                    </w:rPr>
                  </w:pPr>
                </w:p>
              </w:tc>
              <w:tc>
                <w:tcPr>
                  <w:tcW w:w="430" w:type="pct"/>
                  <w:vMerge w:val="continue"/>
                  <w:tcBorders>
                    <w:tl2br w:val="nil"/>
                    <w:tr2bl w:val="nil"/>
                  </w:tcBorders>
                  <w:noWrap w:val="0"/>
                  <w:vAlign w:val="top"/>
                </w:tcPr>
                <w:p w14:paraId="7AC1311B">
                  <w:pPr>
                    <w:jc w:val="center"/>
                    <w:rPr>
                      <w:rFonts w:ascii="Times New Roman" w:hAnsi="Times New Roman" w:eastAsia="宋体" w:cs="Times New Roman"/>
                      <w:color w:val="auto"/>
                      <w:spacing w:val="0"/>
                      <w:position w:val="0"/>
                      <w:sz w:val="21"/>
                      <w:szCs w:val="21"/>
                      <w:highlight w:val="none"/>
                    </w:rPr>
                  </w:pPr>
                </w:p>
              </w:tc>
              <w:tc>
                <w:tcPr>
                  <w:tcW w:w="514" w:type="pct"/>
                  <w:vMerge w:val="continue"/>
                  <w:tcBorders>
                    <w:tl2br w:val="nil"/>
                    <w:tr2bl w:val="nil"/>
                  </w:tcBorders>
                  <w:noWrap w:val="0"/>
                  <w:vAlign w:val="top"/>
                </w:tcPr>
                <w:p w14:paraId="6300E7A3">
                  <w:pPr>
                    <w:jc w:val="center"/>
                    <w:rPr>
                      <w:rFonts w:ascii="Times New Roman" w:hAnsi="Times New Roman" w:eastAsia="宋体" w:cs="Times New Roman"/>
                      <w:color w:val="auto"/>
                      <w:spacing w:val="0"/>
                      <w:position w:val="0"/>
                      <w:sz w:val="21"/>
                      <w:szCs w:val="21"/>
                      <w:highlight w:val="none"/>
                    </w:rPr>
                  </w:pPr>
                </w:p>
              </w:tc>
              <w:tc>
                <w:tcPr>
                  <w:tcW w:w="543" w:type="pct"/>
                  <w:vMerge w:val="continue"/>
                  <w:tcBorders>
                    <w:tl2br w:val="nil"/>
                    <w:tr2bl w:val="nil"/>
                  </w:tcBorders>
                  <w:noWrap w:val="0"/>
                  <w:vAlign w:val="top"/>
                </w:tcPr>
                <w:p w14:paraId="049A590A">
                  <w:pPr>
                    <w:jc w:val="center"/>
                    <w:rPr>
                      <w:rFonts w:ascii="Times New Roman" w:hAnsi="Times New Roman" w:eastAsia="宋体" w:cs="Times New Roman"/>
                      <w:color w:val="auto"/>
                      <w:spacing w:val="0"/>
                      <w:position w:val="0"/>
                      <w:sz w:val="21"/>
                      <w:szCs w:val="21"/>
                      <w:highlight w:val="none"/>
                    </w:rPr>
                  </w:pPr>
                </w:p>
              </w:tc>
              <w:tc>
                <w:tcPr>
                  <w:tcW w:w="300" w:type="pct"/>
                  <w:vMerge w:val="continue"/>
                  <w:tcBorders>
                    <w:tl2br w:val="nil"/>
                    <w:tr2bl w:val="nil"/>
                  </w:tcBorders>
                  <w:noWrap w:val="0"/>
                  <w:vAlign w:val="top"/>
                </w:tcPr>
                <w:p w14:paraId="405F033B">
                  <w:pPr>
                    <w:jc w:val="center"/>
                    <w:rPr>
                      <w:rFonts w:ascii="Times New Roman" w:hAnsi="Times New Roman" w:eastAsia="宋体" w:cs="Times New Roman"/>
                      <w:color w:val="auto"/>
                      <w:spacing w:val="0"/>
                      <w:position w:val="0"/>
                      <w:sz w:val="21"/>
                      <w:szCs w:val="21"/>
                      <w:highlight w:val="none"/>
                    </w:rPr>
                  </w:pPr>
                </w:p>
              </w:tc>
              <w:tc>
                <w:tcPr>
                  <w:tcW w:w="283" w:type="pct"/>
                  <w:vMerge w:val="continue"/>
                  <w:tcBorders>
                    <w:tl2br w:val="nil"/>
                    <w:tr2bl w:val="nil"/>
                  </w:tcBorders>
                  <w:noWrap w:val="0"/>
                  <w:vAlign w:val="top"/>
                </w:tcPr>
                <w:p w14:paraId="51CE5004">
                  <w:pPr>
                    <w:jc w:val="center"/>
                    <w:rPr>
                      <w:rFonts w:ascii="Times New Roman" w:hAnsi="Times New Roman" w:eastAsia="宋体" w:cs="Times New Roman"/>
                      <w:color w:val="auto"/>
                      <w:spacing w:val="0"/>
                      <w:position w:val="0"/>
                      <w:sz w:val="21"/>
                      <w:szCs w:val="21"/>
                      <w:highlight w:val="none"/>
                    </w:rPr>
                  </w:pPr>
                </w:p>
              </w:tc>
              <w:tc>
                <w:tcPr>
                  <w:tcW w:w="528" w:type="pct"/>
                  <w:vMerge w:val="continue"/>
                  <w:tcBorders>
                    <w:tl2br w:val="nil"/>
                    <w:tr2bl w:val="nil"/>
                  </w:tcBorders>
                  <w:noWrap w:val="0"/>
                  <w:vAlign w:val="top"/>
                </w:tcPr>
                <w:p w14:paraId="4BA5E02E">
                  <w:pPr>
                    <w:jc w:val="center"/>
                    <w:rPr>
                      <w:rFonts w:ascii="Times New Roman" w:hAnsi="Times New Roman" w:eastAsia="宋体" w:cs="Times New Roman"/>
                      <w:color w:val="auto"/>
                      <w:spacing w:val="0"/>
                      <w:position w:val="0"/>
                      <w:sz w:val="21"/>
                      <w:szCs w:val="21"/>
                      <w:highlight w:val="none"/>
                    </w:rPr>
                  </w:pPr>
                </w:p>
              </w:tc>
              <w:tc>
                <w:tcPr>
                  <w:tcW w:w="392" w:type="pct"/>
                  <w:vMerge w:val="continue"/>
                  <w:tcBorders>
                    <w:tl2br w:val="nil"/>
                    <w:tr2bl w:val="nil"/>
                  </w:tcBorders>
                  <w:noWrap w:val="0"/>
                  <w:vAlign w:val="top"/>
                </w:tcPr>
                <w:p w14:paraId="5AC6DFC0">
                  <w:pPr>
                    <w:jc w:val="center"/>
                    <w:rPr>
                      <w:rFonts w:ascii="Times New Roman" w:hAnsi="Times New Roman" w:eastAsia="宋体" w:cs="Times New Roman"/>
                      <w:color w:val="auto"/>
                      <w:spacing w:val="0"/>
                      <w:position w:val="0"/>
                      <w:sz w:val="21"/>
                      <w:szCs w:val="21"/>
                      <w:highlight w:val="none"/>
                    </w:rPr>
                  </w:pPr>
                </w:p>
              </w:tc>
              <w:tc>
                <w:tcPr>
                  <w:tcW w:w="576" w:type="pct"/>
                  <w:tcBorders>
                    <w:tl2br w:val="nil"/>
                    <w:tr2bl w:val="nil"/>
                  </w:tcBorders>
                  <w:noWrap w:val="0"/>
                  <w:vAlign w:val="center"/>
                </w:tcPr>
                <w:p w14:paraId="12ECE2C8">
                  <w:pPr>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总磷</w:t>
                  </w:r>
                </w:p>
              </w:tc>
              <w:tc>
                <w:tcPr>
                  <w:tcW w:w="977" w:type="pct"/>
                  <w:tcBorders>
                    <w:tl2br w:val="nil"/>
                    <w:tr2bl w:val="nil"/>
                  </w:tcBorders>
                  <w:noWrap w:val="0"/>
                  <w:vAlign w:val="center"/>
                </w:tcPr>
                <w:p w14:paraId="3648110D">
                  <w:pPr>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w:t>
                  </w:r>
                </w:p>
              </w:tc>
            </w:tr>
            <w:tr w14:paraId="1CD558C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noWrap w:val="0"/>
                  <w:vAlign w:val="top"/>
                </w:tcPr>
                <w:p w14:paraId="06583F32">
                  <w:pPr>
                    <w:jc w:val="center"/>
                    <w:rPr>
                      <w:rFonts w:ascii="Times New Roman" w:hAnsi="Times New Roman" w:eastAsia="宋体" w:cs="Times New Roman"/>
                      <w:color w:val="auto"/>
                      <w:spacing w:val="0"/>
                      <w:position w:val="0"/>
                      <w:sz w:val="21"/>
                      <w:szCs w:val="21"/>
                      <w:highlight w:val="none"/>
                    </w:rPr>
                  </w:pPr>
                </w:p>
              </w:tc>
              <w:tc>
                <w:tcPr>
                  <w:tcW w:w="430" w:type="pct"/>
                  <w:vMerge w:val="continue"/>
                  <w:tcBorders>
                    <w:tl2br w:val="nil"/>
                    <w:tr2bl w:val="nil"/>
                  </w:tcBorders>
                  <w:noWrap w:val="0"/>
                  <w:vAlign w:val="top"/>
                </w:tcPr>
                <w:p w14:paraId="5DC77036">
                  <w:pPr>
                    <w:jc w:val="center"/>
                    <w:rPr>
                      <w:rFonts w:ascii="Times New Roman" w:hAnsi="Times New Roman" w:eastAsia="宋体" w:cs="Times New Roman"/>
                      <w:color w:val="auto"/>
                      <w:spacing w:val="0"/>
                      <w:position w:val="0"/>
                      <w:sz w:val="21"/>
                      <w:szCs w:val="21"/>
                      <w:highlight w:val="none"/>
                    </w:rPr>
                  </w:pPr>
                </w:p>
              </w:tc>
              <w:tc>
                <w:tcPr>
                  <w:tcW w:w="514" w:type="pct"/>
                  <w:vMerge w:val="continue"/>
                  <w:tcBorders>
                    <w:tl2br w:val="nil"/>
                    <w:tr2bl w:val="nil"/>
                  </w:tcBorders>
                  <w:noWrap w:val="0"/>
                  <w:vAlign w:val="top"/>
                </w:tcPr>
                <w:p w14:paraId="70B02072">
                  <w:pPr>
                    <w:jc w:val="center"/>
                    <w:rPr>
                      <w:rFonts w:ascii="Times New Roman" w:hAnsi="Times New Roman" w:eastAsia="宋体" w:cs="Times New Roman"/>
                      <w:color w:val="auto"/>
                      <w:spacing w:val="0"/>
                      <w:position w:val="0"/>
                      <w:sz w:val="21"/>
                      <w:szCs w:val="21"/>
                      <w:highlight w:val="none"/>
                    </w:rPr>
                  </w:pPr>
                </w:p>
              </w:tc>
              <w:tc>
                <w:tcPr>
                  <w:tcW w:w="543" w:type="pct"/>
                  <w:vMerge w:val="continue"/>
                  <w:tcBorders>
                    <w:tl2br w:val="nil"/>
                    <w:tr2bl w:val="nil"/>
                  </w:tcBorders>
                  <w:noWrap w:val="0"/>
                  <w:vAlign w:val="top"/>
                </w:tcPr>
                <w:p w14:paraId="3B670AFE">
                  <w:pPr>
                    <w:jc w:val="center"/>
                    <w:rPr>
                      <w:rFonts w:ascii="Times New Roman" w:hAnsi="Times New Roman" w:eastAsia="宋体" w:cs="Times New Roman"/>
                      <w:color w:val="auto"/>
                      <w:spacing w:val="0"/>
                      <w:position w:val="0"/>
                      <w:sz w:val="21"/>
                      <w:szCs w:val="21"/>
                      <w:highlight w:val="none"/>
                    </w:rPr>
                  </w:pPr>
                </w:p>
              </w:tc>
              <w:tc>
                <w:tcPr>
                  <w:tcW w:w="300" w:type="pct"/>
                  <w:vMerge w:val="continue"/>
                  <w:tcBorders>
                    <w:tl2br w:val="nil"/>
                    <w:tr2bl w:val="nil"/>
                  </w:tcBorders>
                  <w:noWrap w:val="0"/>
                  <w:vAlign w:val="top"/>
                </w:tcPr>
                <w:p w14:paraId="1DCAA877">
                  <w:pPr>
                    <w:jc w:val="center"/>
                    <w:rPr>
                      <w:rFonts w:ascii="Times New Roman" w:hAnsi="Times New Roman" w:eastAsia="宋体" w:cs="Times New Roman"/>
                      <w:color w:val="auto"/>
                      <w:spacing w:val="0"/>
                      <w:position w:val="0"/>
                      <w:sz w:val="21"/>
                      <w:szCs w:val="21"/>
                      <w:highlight w:val="none"/>
                    </w:rPr>
                  </w:pPr>
                </w:p>
              </w:tc>
              <w:tc>
                <w:tcPr>
                  <w:tcW w:w="283" w:type="pct"/>
                  <w:vMerge w:val="continue"/>
                  <w:tcBorders>
                    <w:tl2br w:val="nil"/>
                    <w:tr2bl w:val="nil"/>
                  </w:tcBorders>
                  <w:noWrap w:val="0"/>
                  <w:vAlign w:val="top"/>
                </w:tcPr>
                <w:p w14:paraId="2CB894BB">
                  <w:pPr>
                    <w:jc w:val="center"/>
                    <w:rPr>
                      <w:rFonts w:ascii="Times New Roman" w:hAnsi="Times New Roman" w:eastAsia="宋体" w:cs="Times New Roman"/>
                      <w:color w:val="auto"/>
                      <w:spacing w:val="0"/>
                      <w:position w:val="0"/>
                      <w:sz w:val="21"/>
                      <w:szCs w:val="21"/>
                      <w:highlight w:val="none"/>
                    </w:rPr>
                  </w:pPr>
                </w:p>
              </w:tc>
              <w:tc>
                <w:tcPr>
                  <w:tcW w:w="528" w:type="pct"/>
                  <w:vMerge w:val="continue"/>
                  <w:tcBorders>
                    <w:tl2br w:val="nil"/>
                    <w:tr2bl w:val="nil"/>
                  </w:tcBorders>
                  <w:noWrap w:val="0"/>
                  <w:vAlign w:val="top"/>
                </w:tcPr>
                <w:p w14:paraId="1ED0605F">
                  <w:pPr>
                    <w:jc w:val="center"/>
                    <w:rPr>
                      <w:rFonts w:ascii="Times New Roman" w:hAnsi="Times New Roman" w:eastAsia="宋体" w:cs="Times New Roman"/>
                      <w:color w:val="auto"/>
                      <w:spacing w:val="0"/>
                      <w:position w:val="0"/>
                      <w:sz w:val="21"/>
                      <w:szCs w:val="21"/>
                      <w:highlight w:val="none"/>
                    </w:rPr>
                  </w:pPr>
                </w:p>
              </w:tc>
              <w:tc>
                <w:tcPr>
                  <w:tcW w:w="392" w:type="pct"/>
                  <w:vMerge w:val="continue"/>
                  <w:tcBorders>
                    <w:tl2br w:val="nil"/>
                    <w:tr2bl w:val="nil"/>
                  </w:tcBorders>
                  <w:noWrap w:val="0"/>
                  <w:vAlign w:val="top"/>
                </w:tcPr>
                <w:p w14:paraId="1925404C">
                  <w:pPr>
                    <w:jc w:val="center"/>
                    <w:rPr>
                      <w:rFonts w:ascii="Times New Roman" w:hAnsi="Times New Roman" w:eastAsia="宋体" w:cs="Times New Roman"/>
                      <w:color w:val="auto"/>
                      <w:spacing w:val="0"/>
                      <w:position w:val="0"/>
                      <w:sz w:val="21"/>
                      <w:szCs w:val="21"/>
                      <w:highlight w:val="none"/>
                    </w:rPr>
                  </w:pPr>
                </w:p>
              </w:tc>
              <w:tc>
                <w:tcPr>
                  <w:tcW w:w="576" w:type="pct"/>
                  <w:tcBorders>
                    <w:tl2br w:val="nil"/>
                    <w:tr2bl w:val="nil"/>
                  </w:tcBorders>
                  <w:noWrap w:val="0"/>
                  <w:vAlign w:val="center"/>
                </w:tcPr>
                <w:p w14:paraId="5A65205D">
                  <w:pPr>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总氮</w:t>
                  </w:r>
                </w:p>
              </w:tc>
              <w:tc>
                <w:tcPr>
                  <w:tcW w:w="977" w:type="pct"/>
                  <w:tcBorders>
                    <w:tl2br w:val="nil"/>
                    <w:tr2bl w:val="nil"/>
                  </w:tcBorders>
                  <w:noWrap w:val="0"/>
                  <w:vAlign w:val="center"/>
                </w:tcPr>
                <w:p w14:paraId="1EA52797">
                  <w:pPr>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20</w:t>
                  </w:r>
                </w:p>
              </w:tc>
            </w:tr>
          </w:tbl>
          <w:p w14:paraId="69A0D74C">
            <w:pPr>
              <w:pStyle w:val="121"/>
              <w:spacing w:before="120" w:beforeLines="50" w:line="240" w:lineRule="auto"/>
              <w:ind w:leftChars="0" w:firstLine="0"/>
              <w:jc w:val="center"/>
              <w:rPr>
                <w:rFonts w:ascii="Times New Roman" w:hAnsi="Times New Roman" w:eastAsia="宋体" w:cs="Times New Roman"/>
                <w:b/>
                <w:color w:val="auto"/>
                <w:spacing w:val="0"/>
                <w:position w:val="0"/>
                <w:szCs w:val="24"/>
                <w:highlight w:val="none"/>
              </w:rPr>
            </w:pPr>
            <w:r>
              <w:rPr>
                <w:rFonts w:ascii="Times New Roman" w:hAnsi="Times New Roman" w:eastAsia="宋体" w:cs="Times New Roman"/>
                <w:b/>
                <w:color w:val="auto"/>
                <w:spacing w:val="0"/>
                <w:position w:val="0"/>
                <w:sz w:val="24"/>
                <w:szCs w:val="24"/>
                <w:highlight w:val="none"/>
              </w:rPr>
              <w:t>表4</w:t>
            </w:r>
            <w:r>
              <w:rPr>
                <w:rFonts w:hint="eastAsia" w:ascii="Times New Roman" w:hAnsi="Times New Roman" w:eastAsia="宋体" w:cs="Times New Roman"/>
                <w:b/>
                <w:color w:val="auto"/>
                <w:spacing w:val="0"/>
                <w:position w:val="0"/>
                <w:sz w:val="24"/>
                <w:szCs w:val="24"/>
                <w:highlight w:val="none"/>
                <w:lang w:val="en-US" w:eastAsia="zh-CN"/>
              </w:rPr>
              <w:t>.2-</w:t>
            </w:r>
            <w:r>
              <w:rPr>
                <w:rFonts w:hint="eastAsia" w:eastAsia="宋体" w:cs="Times New Roman"/>
                <w:b/>
                <w:color w:val="auto"/>
                <w:spacing w:val="0"/>
                <w:position w:val="0"/>
                <w:sz w:val="24"/>
                <w:szCs w:val="24"/>
                <w:highlight w:val="none"/>
                <w:lang w:val="en-US" w:eastAsia="zh-CN"/>
              </w:rPr>
              <w:t>5</w:t>
            </w:r>
            <w:r>
              <w:rPr>
                <w:rFonts w:ascii="Times New Roman" w:hAnsi="Times New Roman" w:eastAsia="宋体" w:cs="Times New Roman"/>
                <w:b/>
                <w:color w:val="auto"/>
                <w:spacing w:val="0"/>
                <w:position w:val="0"/>
                <w:sz w:val="24"/>
                <w:szCs w:val="24"/>
                <w:highlight w:val="none"/>
              </w:rPr>
              <w:t xml:space="preserve">  废水污染物排放执行标准</w:t>
            </w:r>
            <w:r>
              <w:rPr>
                <w:rFonts w:hint="eastAsia" w:ascii="Times New Roman" w:hAnsi="Times New Roman" w:eastAsia="宋体" w:cs="Times New Roman"/>
                <w:b/>
                <w:color w:val="auto"/>
                <w:spacing w:val="0"/>
                <w:position w:val="0"/>
                <w:sz w:val="24"/>
                <w:szCs w:val="24"/>
                <w:highlight w:val="none"/>
              </w:rPr>
              <w:t>一览</w:t>
            </w:r>
            <w:r>
              <w:rPr>
                <w:rFonts w:ascii="Times New Roman" w:hAnsi="Times New Roman" w:eastAsia="宋体" w:cs="Times New Roman"/>
                <w:b/>
                <w:color w:val="auto"/>
                <w:spacing w:val="0"/>
                <w:position w:val="0"/>
                <w:sz w:val="24"/>
                <w:szCs w:val="24"/>
                <w:highlight w:val="none"/>
              </w:rPr>
              <w:t>表</w:t>
            </w:r>
          </w:p>
          <w:tbl>
            <w:tblPr>
              <w:tblStyle w:val="29"/>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70"/>
              <w:gridCol w:w="1133"/>
              <w:gridCol w:w="1616"/>
              <w:gridCol w:w="3054"/>
              <w:gridCol w:w="2043"/>
            </w:tblGrid>
            <w:tr w14:paraId="74059A5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1" w:type="pct"/>
                  <w:vMerge w:val="restart"/>
                  <w:tcBorders>
                    <w:tl2br w:val="nil"/>
                    <w:tr2bl w:val="nil"/>
                  </w:tcBorders>
                  <w:noWrap w:val="0"/>
                  <w:vAlign w:val="center"/>
                </w:tcPr>
                <w:p w14:paraId="16819741">
                  <w:pPr>
                    <w:jc w:val="center"/>
                    <w:rPr>
                      <w:rFonts w:ascii="Times New Roman" w:hAnsi="Times New Roman" w:eastAsia="宋体" w:cs="Times New Roman"/>
                      <w:b/>
                      <w:bCs/>
                      <w:color w:val="auto"/>
                      <w:spacing w:val="0"/>
                      <w:position w:val="0"/>
                      <w:szCs w:val="21"/>
                      <w:highlight w:val="none"/>
                    </w:rPr>
                  </w:pPr>
                  <w:r>
                    <w:rPr>
                      <w:rFonts w:ascii="Times New Roman" w:hAnsi="Times New Roman" w:eastAsia="宋体" w:cs="Times New Roman"/>
                      <w:b/>
                      <w:bCs/>
                      <w:color w:val="auto"/>
                      <w:spacing w:val="0"/>
                      <w:position w:val="0"/>
                      <w:szCs w:val="21"/>
                      <w:highlight w:val="none"/>
                    </w:rPr>
                    <w:t>排放口编号</w:t>
                  </w:r>
                </w:p>
              </w:tc>
              <w:tc>
                <w:tcPr>
                  <w:tcW w:w="642" w:type="pct"/>
                  <w:vMerge w:val="restart"/>
                  <w:tcBorders>
                    <w:tl2br w:val="nil"/>
                    <w:tr2bl w:val="nil"/>
                  </w:tcBorders>
                  <w:noWrap w:val="0"/>
                  <w:vAlign w:val="center"/>
                </w:tcPr>
                <w:p w14:paraId="13302AEB">
                  <w:pPr>
                    <w:jc w:val="center"/>
                    <w:rPr>
                      <w:rFonts w:ascii="Times New Roman" w:hAnsi="Times New Roman" w:eastAsia="宋体" w:cs="Times New Roman"/>
                      <w:b/>
                      <w:bCs/>
                      <w:color w:val="auto"/>
                      <w:spacing w:val="0"/>
                      <w:position w:val="0"/>
                      <w:szCs w:val="21"/>
                      <w:highlight w:val="none"/>
                    </w:rPr>
                  </w:pPr>
                  <w:r>
                    <w:rPr>
                      <w:rFonts w:ascii="Times New Roman" w:hAnsi="Times New Roman" w:eastAsia="宋体" w:cs="Times New Roman"/>
                      <w:b/>
                      <w:bCs/>
                      <w:color w:val="auto"/>
                      <w:spacing w:val="0"/>
                      <w:position w:val="0"/>
                      <w:szCs w:val="21"/>
                      <w:highlight w:val="none"/>
                    </w:rPr>
                    <w:t>排放口</w:t>
                  </w:r>
                </w:p>
                <w:p w14:paraId="3F313DD1">
                  <w:pPr>
                    <w:jc w:val="center"/>
                    <w:rPr>
                      <w:rFonts w:ascii="Times New Roman" w:hAnsi="Times New Roman" w:eastAsia="宋体" w:cs="Times New Roman"/>
                      <w:b/>
                      <w:bCs/>
                      <w:color w:val="auto"/>
                      <w:spacing w:val="0"/>
                      <w:position w:val="0"/>
                      <w:szCs w:val="21"/>
                      <w:highlight w:val="none"/>
                    </w:rPr>
                  </w:pPr>
                  <w:r>
                    <w:rPr>
                      <w:rFonts w:ascii="Times New Roman" w:hAnsi="Times New Roman" w:eastAsia="宋体" w:cs="Times New Roman"/>
                      <w:b/>
                      <w:bCs/>
                      <w:color w:val="auto"/>
                      <w:spacing w:val="0"/>
                      <w:position w:val="0"/>
                      <w:szCs w:val="21"/>
                      <w:highlight w:val="none"/>
                    </w:rPr>
                    <w:t>名称</w:t>
                  </w:r>
                </w:p>
              </w:tc>
              <w:tc>
                <w:tcPr>
                  <w:tcW w:w="916" w:type="pct"/>
                  <w:vMerge w:val="restart"/>
                  <w:tcBorders>
                    <w:tl2br w:val="nil"/>
                    <w:tr2bl w:val="nil"/>
                  </w:tcBorders>
                  <w:noWrap w:val="0"/>
                  <w:vAlign w:val="center"/>
                </w:tcPr>
                <w:p w14:paraId="7EFA1B2E">
                  <w:pPr>
                    <w:jc w:val="center"/>
                    <w:rPr>
                      <w:rFonts w:ascii="Times New Roman" w:hAnsi="Times New Roman" w:eastAsia="宋体" w:cs="Times New Roman"/>
                      <w:b/>
                      <w:bCs/>
                      <w:color w:val="auto"/>
                      <w:spacing w:val="0"/>
                      <w:position w:val="0"/>
                      <w:szCs w:val="21"/>
                      <w:highlight w:val="none"/>
                    </w:rPr>
                  </w:pPr>
                  <w:r>
                    <w:rPr>
                      <w:rFonts w:ascii="Times New Roman" w:hAnsi="Times New Roman" w:eastAsia="宋体" w:cs="Times New Roman"/>
                      <w:b/>
                      <w:bCs/>
                      <w:color w:val="auto"/>
                      <w:spacing w:val="0"/>
                      <w:position w:val="0"/>
                      <w:szCs w:val="21"/>
                      <w:highlight w:val="none"/>
                    </w:rPr>
                    <w:t>污染物</w:t>
                  </w:r>
                </w:p>
                <w:p w14:paraId="1DE0152A">
                  <w:pPr>
                    <w:jc w:val="center"/>
                    <w:rPr>
                      <w:rFonts w:ascii="Times New Roman" w:hAnsi="Times New Roman" w:eastAsia="宋体" w:cs="Times New Roman"/>
                      <w:b/>
                      <w:bCs/>
                      <w:color w:val="auto"/>
                      <w:spacing w:val="0"/>
                      <w:position w:val="0"/>
                      <w:szCs w:val="21"/>
                      <w:highlight w:val="none"/>
                    </w:rPr>
                  </w:pPr>
                  <w:r>
                    <w:rPr>
                      <w:rFonts w:ascii="Times New Roman" w:hAnsi="Times New Roman" w:eastAsia="宋体" w:cs="Times New Roman"/>
                      <w:b/>
                      <w:bCs/>
                      <w:color w:val="auto"/>
                      <w:spacing w:val="0"/>
                      <w:position w:val="0"/>
                      <w:szCs w:val="21"/>
                      <w:highlight w:val="none"/>
                    </w:rPr>
                    <w:t>种类</w:t>
                  </w:r>
                </w:p>
              </w:tc>
              <w:tc>
                <w:tcPr>
                  <w:tcW w:w="2890" w:type="pct"/>
                  <w:gridSpan w:val="2"/>
                  <w:tcBorders>
                    <w:tl2br w:val="nil"/>
                    <w:tr2bl w:val="nil"/>
                  </w:tcBorders>
                  <w:noWrap w:val="0"/>
                  <w:vAlign w:val="center"/>
                </w:tcPr>
                <w:p w14:paraId="02931802">
                  <w:pPr>
                    <w:jc w:val="center"/>
                    <w:rPr>
                      <w:rFonts w:ascii="Times New Roman" w:hAnsi="Times New Roman" w:eastAsia="宋体" w:cs="Times New Roman"/>
                      <w:b/>
                      <w:bCs/>
                      <w:color w:val="auto"/>
                      <w:spacing w:val="0"/>
                      <w:position w:val="0"/>
                      <w:szCs w:val="21"/>
                      <w:highlight w:val="none"/>
                    </w:rPr>
                  </w:pPr>
                  <w:r>
                    <w:rPr>
                      <w:rFonts w:ascii="Times New Roman" w:hAnsi="Times New Roman" w:eastAsia="宋体" w:cs="Times New Roman"/>
                      <w:b/>
                      <w:bCs/>
                      <w:color w:val="auto"/>
                      <w:spacing w:val="0"/>
                      <w:position w:val="0"/>
                      <w:szCs w:val="21"/>
                      <w:highlight w:val="none"/>
                    </w:rPr>
                    <w:t>国家或地方污染物排放标准</w:t>
                  </w:r>
                </w:p>
              </w:tc>
            </w:tr>
            <w:tr w14:paraId="1A75E84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noWrap w:val="0"/>
                  <w:vAlign w:val="center"/>
                </w:tcPr>
                <w:p w14:paraId="1EF62ADA">
                  <w:pPr>
                    <w:jc w:val="center"/>
                    <w:rPr>
                      <w:rFonts w:ascii="Times New Roman" w:hAnsi="Times New Roman" w:eastAsia="宋体" w:cs="Times New Roman"/>
                      <w:b/>
                      <w:bCs/>
                      <w:color w:val="auto"/>
                      <w:spacing w:val="0"/>
                      <w:position w:val="0"/>
                      <w:szCs w:val="21"/>
                      <w:highlight w:val="none"/>
                    </w:rPr>
                  </w:pPr>
                </w:p>
              </w:tc>
              <w:tc>
                <w:tcPr>
                  <w:tcW w:w="642" w:type="pct"/>
                  <w:vMerge w:val="continue"/>
                  <w:tcBorders>
                    <w:tl2br w:val="nil"/>
                    <w:tr2bl w:val="nil"/>
                  </w:tcBorders>
                  <w:noWrap w:val="0"/>
                  <w:vAlign w:val="center"/>
                </w:tcPr>
                <w:p w14:paraId="1A554FEA">
                  <w:pPr>
                    <w:jc w:val="center"/>
                    <w:rPr>
                      <w:rFonts w:ascii="Times New Roman" w:hAnsi="Times New Roman" w:eastAsia="宋体" w:cs="Times New Roman"/>
                      <w:b/>
                      <w:bCs/>
                      <w:color w:val="auto"/>
                      <w:spacing w:val="0"/>
                      <w:position w:val="0"/>
                      <w:szCs w:val="21"/>
                      <w:highlight w:val="none"/>
                    </w:rPr>
                  </w:pPr>
                </w:p>
              </w:tc>
              <w:tc>
                <w:tcPr>
                  <w:tcW w:w="916" w:type="pct"/>
                  <w:vMerge w:val="continue"/>
                  <w:tcBorders>
                    <w:tl2br w:val="nil"/>
                    <w:tr2bl w:val="nil"/>
                  </w:tcBorders>
                  <w:noWrap w:val="0"/>
                  <w:vAlign w:val="center"/>
                </w:tcPr>
                <w:p w14:paraId="2365BC77">
                  <w:pPr>
                    <w:jc w:val="center"/>
                    <w:rPr>
                      <w:rFonts w:ascii="Times New Roman" w:hAnsi="Times New Roman" w:eastAsia="宋体" w:cs="Times New Roman"/>
                      <w:b/>
                      <w:bCs/>
                      <w:color w:val="auto"/>
                      <w:spacing w:val="0"/>
                      <w:position w:val="0"/>
                      <w:szCs w:val="21"/>
                      <w:highlight w:val="none"/>
                    </w:rPr>
                  </w:pPr>
                </w:p>
              </w:tc>
              <w:tc>
                <w:tcPr>
                  <w:tcW w:w="1731" w:type="pct"/>
                  <w:tcBorders>
                    <w:tl2br w:val="nil"/>
                    <w:tr2bl w:val="nil"/>
                  </w:tcBorders>
                  <w:noWrap w:val="0"/>
                  <w:vAlign w:val="center"/>
                </w:tcPr>
                <w:p w14:paraId="7EC2C98A">
                  <w:pPr>
                    <w:jc w:val="center"/>
                    <w:rPr>
                      <w:rFonts w:ascii="Times New Roman" w:hAnsi="Times New Roman" w:eastAsia="宋体" w:cs="Times New Roman"/>
                      <w:b/>
                      <w:bCs/>
                      <w:color w:val="auto"/>
                      <w:spacing w:val="0"/>
                      <w:position w:val="0"/>
                      <w:szCs w:val="21"/>
                      <w:highlight w:val="none"/>
                    </w:rPr>
                  </w:pPr>
                  <w:r>
                    <w:rPr>
                      <w:rFonts w:hint="eastAsia" w:ascii="Times New Roman" w:hAnsi="Times New Roman" w:eastAsia="宋体" w:cs="Times New Roman"/>
                      <w:b/>
                      <w:bCs/>
                      <w:color w:val="auto"/>
                      <w:spacing w:val="0"/>
                      <w:position w:val="0"/>
                      <w:szCs w:val="21"/>
                      <w:highlight w:val="none"/>
                    </w:rPr>
                    <w:t>标准来源</w:t>
                  </w:r>
                </w:p>
              </w:tc>
              <w:tc>
                <w:tcPr>
                  <w:tcW w:w="1158" w:type="pct"/>
                  <w:tcBorders>
                    <w:tl2br w:val="nil"/>
                    <w:tr2bl w:val="nil"/>
                  </w:tcBorders>
                  <w:noWrap w:val="0"/>
                  <w:vAlign w:val="center"/>
                </w:tcPr>
                <w:p w14:paraId="368E284C">
                  <w:pPr>
                    <w:jc w:val="center"/>
                    <w:rPr>
                      <w:rFonts w:hint="eastAsia" w:ascii="Times New Roman" w:hAnsi="Times New Roman" w:eastAsia="宋体" w:cs="Times New Roman"/>
                      <w:b/>
                      <w:bCs/>
                      <w:color w:val="auto"/>
                      <w:spacing w:val="0"/>
                      <w:position w:val="0"/>
                      <w:szCs w:val="21"/>
                      <w:highlight w:val="none"/>
                    </w:rPr>
                  </w:pPr>
                  <w:r>
                    <w:rPr>
                      <w:rFonts w:ascii="Times New Roman" w:hAnsi="Times New Roman" w:eastAsia="宋体" w:cs="Times New Roman"/>
                      <w:b/>
                      <w:bCs/>
                      <w:color w:val="auto"/>
                      <w:spacing w:val="0"/>
                      <w:position w:val="0"/>
                      <w:szCs w:val="21"/>
                      <w:highlight w:val="none"/>
                    </w:rPr>
                    <w:t>浓度限值（mg/L）</w:t>
                  </w:r>
                </w:p>
              </w:tc>
            </w:tr>
            <w:tr w14:paraId="54F245A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1" w:type="pct"/>
                  <w:vMerge w:val="restart"/>
                  <w:tcBorders>
                    <w:tl2br w:val="nil"/>
                    <w:tr2bl w:val="nil"/>
                  </w:tcBorders>
                  <w:noWrap w:val="0"/>
                  <w:vAlign w:val="center"/>
                </w:tcPr>
                <w:p w14:paraId="34A66DBA">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DW001</w:t>
                  </w:r>
                </w:p>
              </w:tc>
              <w:tc>
                <w:tcPr>
                  <w:tcW w:w="642" w:type="pct"/>
                  <w:vMerge w:val="restart"/>
                  <w:tcBorders>
                    <w:tl2br w:val="nil"/>
                    <w:tr2bl w:val="nil"/>
                  </w:tcBorders>
                  <w:noWrap w:val="0"/>
                  <w:vAlign w:val="center"/>
                </w:tcPr>
                <w:p w14:paraId="476C08BF">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生活污水排放口</w:t>
                  </w:r>
                </w:p>
              </w:tc>
              <w:tc>
                <w:tcPr>
                  <w:tcW w:w="916" w:type="pct"/>
                  <w:tcBorders>
                    <w:tl2br w:val="nil"/>
                    <w:tr2bl w:val="nil"/>
                  </w:tcBorders>
                  <w:noWrap w:val="0"/>
                  <w:vAlign w:val="center"/>
                </w:tcPr>
                <w:p w14:paraId="65D7BE38">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pH</w:t>
                  </w:r>
                </w:p>
              </w:tc>
              <w:tc>
                <w:tcPr>
                  <w:tcW w:w="1731" w:type="pct"/>
                  <w:vMerge w:val="restart"/>
                  <w:tcBorders>
                    <w:tl2br w:val="nil"/>
                    <w:tr2bl w:val="nil"/>
                  </w:tcBorders>
                  <w:noWrap w:val="0"/>
                  <w:vAlign w:val="center"/>
                </w:tcPr>
                <w:p w14:paraId="29E95DB2">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《污水综合排放标准》</w:t>
                  </w:r>
                </w:p>
                <w:p w14:paraId="6806C397">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（GB8978-1996）</w:t>
                  </w:r>
                </w:p>
                <w:p w14:paraId="297726A7">
                  <w:pPr>
                    <w:jc w:val="center"/>
                    <w:rPr>
                      <w:rFonts w:ascii="Times New Roman" w:hAnsi="Times New Roman" w:eastAsia="宋体" w:cs="Times New Roman"/>
                      <w:color w:val="auto"/>
                      <w:spacing w:val="0"/>
                      <w:position w:val="0"/>
                      <w:szCs w:val="21"/>
                      <w:highlight w:val="none"/>
                    </w:rPr>
                  </w:pPr>
                  <w:r>
                    <w:rPr>
                      <w:rFonts w:hint="eastAsia" w:ascii="Times New Roman" w:hAnsi="Times New Roman" w:eastAsia="宋体" w:cs="Times New Roman"/>
                      <w:color w:val="auto"/>
                      <w:spacing w:val="0"/>
                      <w:position w:val="0"/>
                      <w:szCs w:val="21"/>
                      <w:highlight w:val="none"/>
                    </w:rPr>
                    <w:t>表4三级标准</w:t>
                  </w:r>
                </w:p>
              </w:tc>
              <w:tc>
                <w:tcPr>
                  <w:tcW w:w="1158" w:type="pct"/>
                  <w:tcBorders>
                    <w:tl2br w:val="nil"/>
                    <w:tr2bl w:val="nil"/>
                  </w:tcBorders>
                  <w:noWrap w:val="0"/>
                  <w:vAlign w:val="center"/>
                </w:tcPr>
                <w:p w14:paraId="3FDE6254">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6</w:t>
                  </w:r>
                  <w:r>
                    <w:rPr>
                      <w:rFonts w:hint="eastAsia" w:ascii="Times New Roman" w:hAnsi="Times New Roman" w:eastAsia="宋体" w:cs="Times New Roman"/>
                      <w:color w:val="auto"/>
                      <w:spacing w:val="0"/>
                      <w:position w:val="0"/>
                      <w:szCs w:val="21"/>
                      <w:highlight w:val="none"/>
                      <w:lang w:val="en-US" w:eastAsia="zh-CN"/>
                    </w:rPr>
                    <w:t>~</w:t>
                  </w:r>
                  <w:r>
                    <w:rPr>
                      <w:rFonts w:ascii="Times New Roman" w:hAnsi="Times New Roman" w:eastAsia="宋体" w:cs="Times New Roman"/>
                      <w:color w:val="auto"/>
                      <w:spacing w:val="0"/>
                      <w:position w:val="0"/>
                      <w:szCs w:val="21"/>
                      <w:highlight w:val="none"/>
                    </w:rPr>
                    <w:t>9（无量纲）</w:t>
                  </w:r>
                </w:p>
              </w:tc>
            </w:tr>
            <w:tr w14:paraId="1937832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noWrap w:val="0"/>
                  <w:vAlign w:val="center"/>
                </w:tcPr>
                <w:p w14:paraId="3FDD5BF8">
                  <w:pPr>
                    <w:jc w:val="center"/>
                    <w:rPr>
                      <w:rFonts w:ascii="Times New Roman" w:hAnsi="Times New Roman" w:eastAsia="宋体" w:cs="Times New Roman"/>
                      <w:color w:val="auto"/>
                      <w:spacing w:val="0"/>
                      <w:position w:val="0"/>
                      <w:szCs w:val="21"/>
                      <w:highlight w:val="none"/>
                    </w:rPr>
                  </w:pPr>
                </w:p>
              </w:tc>
              <w:tc>
                <w:tcPr>
                  <w:tcW w:w="642" w:type="pct"/>
                  <w:vMerge w:val="continue"/>
                  <w:tcBorders>
                    <w:tl2br w:val="nil"/>
                    <w:tr2bl w:val="nil"/>
                  </w:tcBorders>
                  <w:noWrap w:val="0"/>
                  <w:vAlign w:val="center"/>
                </w:tcPr>
                <w:p w14:paraId="651EB77E">
                  <w:pPr>
                    <w:jc w:val="center"/>
                    <w:rPr>
                      <w:rFonts w:ascii="Times New Roman" w:hAnsi="Times New Roman" w:eastAsia="宋体" w:cs="Times New Roman"/>
                      <w:color w:val="auto"/>
                      <w:spacing w:val="0"/>
                      <w:position w:val="0"/>
                      <w:szCs w:val="21"/>
                      <w:highlight w:val="none"/>
                    </w:rPr>
                  </w:pPr>
                </w:p>
              </w:tc>
              <w:tc>
                <w:tcPr>
                  <w:tcW w:w="916" w:type="pct"/>
                  <w:tcBorders>
                    <w:tl2br w:val="nil"/>
                    <w:tr2bl w:val="nil"/>
                  </w:tcBorders>
                  <w:noWrap w:val="0"/>
                  <w:vAlign w:val="center"/>
                </w:tcPr>
                <w:p w14:paraId="1C181405">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COD</w:t>
                  </w:r>
                  <w:r>
                    <w:rPr>
                      <w:rFonts w:ascii="Times New Roman" w:hAnsi="Times New Roman" w:eastAsia="宋体" w:cs="Times New Roman"/>
                      <w:color w:val="auto"/>
                      <w:spacing w:val="0"/>
                      <w:position w:val="0"/>
                      <w:szCs w:val="21"/>
                      <w:highlight w:val="none"/>
                      <w:vertAlign w:val="subscript"/>
                    </w:rPr>
                    <w:t>Cr</w:t>
                  </w:r>
                </w:p>
              </w:tc>
              <w:tc>
                <w:tcPr>
                  <w:tcW w:w="1731" w:type="pct"/>
                  <w:vMerge w:val="continue"/>
                  <w:tcBorders>
                    <w:tl2br w:val="nil"/>
                    <w:tr2bl w:val="nil"/>
                  </w:tcBorders>
                  <w:noWrap w:val="0"/>
                  <w:vAlign w:val="center"/>
                </w:tcPr>
                <w:p w14:paraId="7E75B686">
                  <w:pPr>
                    <w:jc w:val="center"/>
                    <w:rPr>
                      <w:rFonts w:ascii="Times New Roman" w:hAnsi="Times New Roman" w:eastAsia="宋体" w:cs="Times New Roman"/>
                      <w:color w:val="auto"/>
                      <w:spacing w:val="0"/>
                      <w:position w:val="0"/>
                      <w:szCs w:val="21"/>
                      <w:highlight w:val="none"/>
                    </w:rPr>
                  </w:pPr>
                </w:p>
              </w:tc>
              <w:tc>
                <w:tcPr>
                  <w:tcW w:w="1158" w:type="pct"/>
                  <w:tcBorders>
                    <w:tl2br w:val="nil"/>
                    <w:tr2bl w:val="nil"/>
                  </w:tcBorders>
                  <w:noWrap w:val="0"/>
                  <w:vAlign w:val="center"/>
                </w:tcPr>
                <w:p w14:paraId="33DF1A60">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500</w:t>
                  </w:r>
                </w:p>
              </w:tc>
            </w:tr>
            <w:tr w14:paraId="392B69E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noWrap w:val="0"/>
                  <w:vAlign w:val="center"/>
                </w:tcPr>
                <w:p w14:paraId="6F158C60">
                  <w:pPr>
                    <w:jc w:val="center"/>
                    <w:rPr>
                      <w:rFonts w:ascii="Times New Roman" w:hAnsi="Times New Roman" w:eastAsia="宋体" w:cs="Times New Roman"/>
                      <w:color w:val="auto"/>
                      <w:spacing w:val="0"/>
                      <w:position w:val="0"/>
                      <w:szCs w:val="21"/>
                      <w:highlight w:val="none"/>
                    </w:rPr>
                  </w:pPr>
                </w:p>
              </w:tc>
              <w:tc>
                <w:tcPr>
                  <w:tcW w:w="642" w:type="pct"/>
                  <w:vMerge w:val="continue"/>
                  <w:tcBorders>
                    <w:tl2br w:val="nil"/>
                    <w:tr2bl w:val="nil"/>
                  </w:tcBorders>
                  <w:noWrap w:val="0"/>
                  <w:vAlign w:val="center"/>
                </w:tcPr>
                <w:p w14:paraId="12B97364">
                  <w:pPr>
                    <w:jc w:val="center"/>
                    <w:rPr>
                      <w:rFonts w:ascii="Times New Roman" w:hAnsi="Times New Roman" w:eastAsia="宋体" w:cs="Times New Roman"/>
                      <w:color w:val="auto"/>
                      <w:spacing w:val="0"/>
                      <w:position w:val="0"/>
                      <w:szCs w:val="21"/>
                      <w:highlight w:val="none"/>
                    </w:rPr>
                  </w:pPr>
                </w:p>
              </w:tc>
              <w:tc>
                <w:tcPr>
                  <w:tcW w:w="916" w:type="pct"/>
                  <w:tcBorders>
                    <w:tl2br w:val="nil"/>
                    <w:tr2bl w:val="nil"/>
                  </w:tcBorders>
                  <w:noWrap w:val="0"/>
                  <w:vAlign w:val="center"/>
                </w:tcPr>
                <w:p w14:paraId="1190AD85">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BOD</w:t>
                  </w:r>
                  <w:r>
                    <w:rPr>
                      <w:rFonts w:ascii="Times New Roman" w:hAnsi="Times New Roman" w:eastAsia="宋体" w:cs="Times New Roman"/>
                      <w:color w:val="auto"/>
                      <w:spacing w:val="0"/>
                      <w:position w:val="0"/>
                      <w:szCs w:val="21"/>
                      <w:highlight w:val="none"/>
                      <w:vertAlign w:val="subscript"/>
                    </w:rPr>
                    <w:t>5</w:t>
                  </w:r>
                </w:p>
              </w:tc>
              <w:tc>
                <w:tcPr>
                  <w:tcW w:w="1731" w:type="pct"/>
                  <w:vMerge w:val="continue"/>
                  <w:tcBorders>
                    <w:tl2br w:val="nil"/>
                    <w:tr2bl w:val="nil"/>
                  </w:tcBorders>
                  <w:noWrap w:val="0"/>
                  <w:vAlign w:val="center"/>
                </w:tcPr>
                <w:p w14:paraId="14D0F779">
                  <w:pPr>
                    <w:jc w:val="center"/>
                    <w:rPr>
                      <w:rFonts w:ascii="Times New Roman" w:hAnsi="Times New Roman" w:eastAsia="宋体" w:cs="Times New Roman"/>
                      <w:color w:val="auto"/>
                      <w:spacing w:val="0"/>
                      <w:position w:val="0"/>
                      <w:szCs w:val="21"/>
                      <w:highlight w:val="none"/>
                    </w:rPr>
                  </w:pPr>
                </w:p>
              </w:tc>
              <w:tc>
                <w:tcPr>
                  <w:tcW w:w="1158" w:type="pct"/>
                  <w:tcBorders>
                    <w:tl2br w:val="nil"/>
                    <w:tr2bl w:val="nil"/>
                  </w:tcBorders>
                  <w:noWrap w:val="0"/>
                  <w:vAlign w:val="center"/>
                </w:tcPr>
                <w:p w14:paraId="2C057CFB">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300</w:t>
                  </w:r>
                </w:p>
              </w:tc>
            </w:tr>
            <w:tr w14:paraId="238A4B9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noWrap w:val="0"/>
                  <w:vAlign w:val="center"/>
                </w:tcPr>
                <w:p w14:paraId="794F216F">
                  <w:pPr>
                    <w:jc w:val="center"/>
                    <w:rPr>
                      <w:rFonts w:ascii="Times New Roman" w:hAnsi="Times New Roman" w:eastAsia="宋体" w:cs="Times New Roman"/>
                      <w:color w:val="auto"/>
                      <w:spacing w:val="0"/>
                      <w:position w:val="0"/>
                      <w:szCs w:val="21"/>
                      <w:highlight w:val="none"/>
                    </w:rPr>
                  </w:pPr>
                </w:p>
              </w:tc>
              <w:tc>
                <w:tcPr>
                  <w:tcW w:w="642" w:type="pct"/>
                  <w:vMerge w:val="continue"/>
                  <w:tcBorders>
                    <w:tl2br w:val="nil"/>
                    <w:tr2bl w:val="nil"/>
                  </w:tcBorders>
                  <w:noWrap w:val="0"/>
                  <w:vAlign w:val="center"/>
                </w:tcPr>
                <w:p w14:paraId="1E6676AC">
                  <w:pPr>
                    <w:jc w:val="center"/>
                    <w:rPr>
                      <w:rFonts w:ascii="Times New Roman" w:hAnsi="Times New Roman" w:eastAsia="宋体" w:cs="Times New Roman"/>
                      <w:color w:val="auto"/>
                      <w:spacing w:val="0"/>
                      <w:position w:val="0"/>
                      <w:szCs w:val="21"/>
                      <w:highlight w:val="none"/>
                    </w:rPr>
                  </w:pPr>
                </w:p>
              </w:tc>
              <w:tc>
                <w:tcPr>
                  <w:tcW w:w="916" w:type="pct"/>
                  <w:tcBorders>
                    <w:tl2br w:val="nil"/>
                    <w:tr2bl w:val="nil"/>
                  </w:tcBorders>
                  <w:noWrap w:val="0"/>
                  <w:vAlign w:val="center"/>
                </w:tcPr>
                <w:p w14:paraId="53B4DC7E">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SS</w:t>
                  </w:r>
                </w:p>
              </w:tc>
              <w:tc>
                <w:tcPr>
                  <w:tcW w:w="1731" w:type="pct"/>
                  <w:vMerge w:val="continue"/>
                  <w:tcBorders>
                    <w:tl2br w:val="nil"/>
                    <w:tr2bl w:val="nil"/>
                  </w:tcBorders>
                  <w:noWrap w:val="0"/>
                  <w:vAlign w:val="center"/>
                </w:tcPr>
                <w:p w14:paraId="06A418A0">
                  <w:pPr>
                    <w:jc w:val="center"/>
                    <w:rPr>
                      <w:rFonts w:ascii="Times New Roman" w:hAnsi="Times New Roman" w:eastAsia="宋体" w:cs="Times New Roman"/>
                      <w:color w:val="auto"/>
                      <w:spacing w:val="0"/>
                      <w:position w:val="0"/>
                      <w:szCs w:val="21"/>
                      <w:highlight w:val="none"/>
                    </w:rPr>
                  </w:pPr>
                </w:p>
              </w:tc>
              <w:tc>
                <w:tcPr>
                  <w:tcW w:w="1158" w:type="pct"/>
                  <w:tcBorders>
                    <w:tl2br w:val="nil"/>
                    <w:tr2bl w:val="nil"/>
                  </w:tcBorders>
                  <w:noWrap w:val="0"/>
                  <w:vAlign w:val="center"/>
                </w:tcPr>
                <w:p w14:paraId="43D6794F">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400</w:t>
                  </w:r>
                </w:p>
              </w:tc>
            </w:tr>
            <w:tr w14:paraId="4C4C937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noWrap w:val="0"/>
                  <w:vAlign w:val="center"/>
                </w:tcPr>
                <w:p w14:paraId="3E040E0B">
                  <w:pPr>
                    <w:jc w:val="center"/>
                    <w:rPr>
                      <w:rFonts w:ascii="Times New Roman" w:hAnsi="Times New Roman" w:eastAsia="宋体" w:cs="Times New Roman"/>
                      <w:color w:val="auto"/>
                      <w:spacing w:val="0"/>
                      <w:position w:val="0"/>
                      <w:szCs w:val="21"/>
                      <w:highlight w:val="none"/>
                    </w:rPr>
                  </w:pPr>
                </w:p>
              </w:tc>
              <w:tc>
                <w:tcPr>
                  <w:tcW w:w="642" w:type="pct"/>
                  <w:vMerge w:val="continue"/>
                  <w:tcBorders>
                    <w:tl2br w:val="nil"/>
                    <w:tr2bl w:val="nil"/>
                  </w:tcBorders>
                  <w:noWrap w:val="0"/>
                  <w:vAlign w:val="center"/>
                </w:tcPr>
                <w:p w14:paraId="40409408">
                  <w:pPr>
                    <w:jc w:val="center"/>
                    <w:rPr>
                      <w:rFonts w:ascii="Times New Roman" w:hAnsi="Times New Roman" w:eastAsia="宋体" w:cs="Times New Roman"/>
                      <w:color w:val="auto"/>
                      <w:spacing w:val="0"/>
                      <w:position w:val="0"/>
                      <w:szCs w:val="21"/>
                      <w:highlight w:val="none"/>
                    </w:rPr>
                  </w:pPr>
                </w:p>
              </w:tc>
              <w:tc>
                <w:tcPr>
                  <w:tcW w:w="916" w:type="pct"/>
                  <w:tcBorders>
                    <w:tl2br w:val="nil"/>
                    <w:tr2bl w:val="nil"/>
                  </w:tcBorders>
                  <w:noWrap w:val="0"/>
                  <w:vAlign w:val="center"/>
                </w:tcPr>
                <w:p w14:paraId="5F98640E">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氨氮</w:t>
                  </w:r>
                </w:p>
              </w:tc>
              <w:tc>
                <w:tcPr>
                  <w:tcW w:w="1731" w:type="pct"/>
                  <w:vMerge w:val="restart"/>
                  <w:tcBorders>
                    <w:tl2br w:val="nil"/>
                    <w:tr2bl w:val="nil"/>
                  </w:tcBorders>
                  <w:noWrap w:val="0"/>
                  <w:vAlign w:val="center"/>
                </w:tcPr>
                <w:p w14:paraId="3C98FC78">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《污水排入城镇下水道水质</w:t>
                  </w:r>
                </w:p>
                <w:p w14:paraId="4004A1D2">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标准》（GB/T31962-2015）</w:t>
                  </w:r>
                </w:p>
                <w:p w14:paraId="4FE052A7">
                  <w:pPr>
                    <w:jc w:val="center"/>
                    <w:rPr>
                      <w:rFonts w:ascii="Times New Roman" w:hAnsi="Times New Roman" w:eastAsia="宋体" w:cs="Times New Roman"/>
                      <w:color w:val="auto"/>
                      <w:spacing w:val="0"/>
                      <w:position w:val="0"/>
                      <w:szCs w:val="21"/>
                      <w:highlight w:val="none"/>
                    </w:rPr>
                  </w:pPr>
                  <w:r>
                    <w:rPr>
                      <w:rFonts w:hint="eastAsia" w:ascii="Times New Roman" w:hAnsi="Times New Roman" w:eastAsia="宋体" w:cs="Times New Roman"/>
                      <w:color w:val="auto"/>
                      <w:spacing w:val="0"/>
                      <w:position w:val="0"/>
                      <w:szCs w:val="21"/>
                      <w:highlight w:val="none"/>
                      <w:lang w:bidi="ar"/>
                    </w:rPr>
                    <w:t>表1中B级标准</w:t>
                  </w:r>
                </w:p>
              </w:tc>
              <w:tc>
                <w:tcPr>
                  <w:tcW w:w="1158" w:type="pct"/>
                  <w:tcBorders>
                    <w:tl2br w:val="nil"/>
                    <w:tr2bl w:val="nil"/>
                  </w:tcBorders>
                  <w:noWrap w:val="0"/>
                  <w:vAlign w:val="center"/>
                </w:tcPr>
                <w:p w14:paraId="4996ACDB">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45</w:t>
                  </w:r>
                </w:p>
              </w:tc>
            </w:tr>
            <w:tr w14:paraId="0D8C0E4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noWrap w:val="0"/>
                  <w:vAlign w:val="center"/>
                </w:tcPr>
                <w:p w14:paraId="5BB70A93">
                  <w:pPr>
                    <w:jc w:val="center"/>
                    <w:rPr>
                      <w:rFonts w:ascii="Times New Roman" w:hAnsi="Times New Roman" w:eastAsia="宋体" w:cs="Times New Roman"/>
                      <w:color w:val="auto"/>
                      <w:spacing w:val="0"/>
                      <w:position w:val="0"/>
                      <w:szCs w:val="21"/>
                      <w:highlight w:val="none"/>
                    </w:rPr>
                  </w:pPr>
                </w:p>
              </w:tc>
              <w:tc>
                <w:tcPr>
                  <w:tcW w:w="642" w:type="pct"/>
                  <w:vMerge w:val="continue"/>
                  <w:tcBorders>
                    <w:tl2br w:val="nil"/>
                    <w:tr2bl w:val="nil"/>
                  </w:tcBorders>
                  <w:noWrap w:val="0"/>
                  <w:vAlign w:val="center"/>
                </w:tcPr>
                <w:p w14:paraId="4B720173">
                  <w:pPr>
                    <w:jc w:val="center"/>
                    <w:rPr>
                      <w:rFonts w:ascii="Times New Roman" w:hAnsi="Times New Roman" w:eastAsia="宋体" w:cs="Times New Roman"/>
                      <w:color w:val="auto"/>
                      <w:spacing w:val="0"/>
                      <w:position w:val="0"/>
                      <w:szCs w:val="21"/>
                      <w:highlight w:val="none"/>
                    </w:rPr>
                  </w:pPr>
                </w:p>
              </w:tc>
              <w:tc>
                <w:tcPr>
                  <w:tcW w:w="916" w:type="pct"/>
                  <w:tcBorders>
                    <w:tl2br w:val="nil"/>
                    <w:tr2bl w:val="nil"/>
                  </w:tcBorders>
                  <w:noWrap w:val="0"/>
                  <w:vAlign w:val="center"/>
                </w:tcPr>
                <w:p w14:paraId="17B4853B">
                  <w:pPr>
                    <w:jc w:val="center"/>
                    <w:rPr>
                      <w:rFonts w:hint="eastAsia" w:ascii="Times New Roman" w:hAnsi="Times New Roman" w:eastAsia="宋体" w:cs="Times New Roman"/>
                      <w:color w:val="auto"/>
                      <w:spacing w:val="0"/>
                      <w:position w:val="0"/>
                      <w:szCs w:val="21"/>
                      <w:highlight w:val="none"/>
                    </w:rPr>
                  </w:pPr>
                  <w:r>
                    <w:rPr>
                      <w:rFonts w:hint="eastAsia" w:ascii="Times New Roman" w:hAnsi="Times New Roman" w:eastAsia="宋体" w:cs="Times New Roman"/>
                      <w:color w:val="auto"/>
                      <w:spacing w:val="0"/>
                      <w:position w:val="0"/>
                      <w:szCs w:val="21"/>
                      <w:highlight w:val="none"/>
                    </w:rPr>
                    <w:t>总磷</w:t>
                  </w:r>
                </w:p>
              </w:tc>
              <w:tc>
                <w:tcPr>
                  <w:tcW w:w="1731" w:type="pct"/>
                  <w:vMerge w:val="continue"/>
                  <w:tcBorders>
                    <w:tl2br w:val="nil"/>
                    <w:tr2bl w:val="nil"/>
                  </w:tcBorders>
                  <w:noWrap w:val="0"/>
                  <w:vAlign w:val="center"/>
                </w:tcPr>
                <w:p w14:paraId="6CBC6783">
                  <w:pPr>
                    <w:jc w:val="center"/>
                    <w:rPr>
                      <w:rFonts w:ascii="Times New Roman" w:hAnsi="Times New Roman" w:eastAsia="宋体" w:cs="Times New Roman"/>
                      <w:color w:val="auto"/>
                      <w:spacing w:val="0"/>
                      <w:position w:val="0"/>
                      <w:szCs w:val="21"/>
                      <w:highlight w:val="none"/>
                    </w:rPr>
                  </w:pPr>
                </w:p>
              </w:tc>
              <w:tc>
                <w:tcPr>
                  <w:tcW w:w="1158" w:type="pct"/>
                  <w:tcBorders>
                    <w:tl2br w:val="nil"/>
                    <w:tr2bl w:val="nil"/>
                  </w:tcBorders>
                  <w:noWrap w:val="0"/>
                  <w:vAlign w:val="center"/>
                </w:tcPr>
                <w:p w14:paraId="18D1CA50">
                  <w:pPr>
                    <w:jc w:val="center"/>
                    <w:rPr>
                      <w:rFonts w:hint="eastAsia" w:ascii="Times New Roman" w:hAnsi="Times New Roman" w:eastAsia="宋体" w:cs="Times New Roman"/>
                      <w:color w:val="auto"/>
                      <w:spacing w:val="0"/>
                      <w:position w:val="0"/>
                      <w:szCs w:val="21"/>
                      <w:highlight w:val="none"/>
                    </w:rPr>
                  </w:pPr>
                  <w:r>
                    <w:rPr>
                      <w:rFonts w:hint="eastAsia" w:ascii="Times New Roman" w:hAnsi="Times New Roman" w:eastAsia="宋体" w:cs="Times New Roman"/>
                      <w:color w:val="auto"/>
                      <w:spacing w:val="0"/>
                      <w:position w:val="0"/>
                      <w:szCs w:val="21"/>
                      <w:highlight w:val="none"/>
                    </w:rPr>
                    <w:t>8</w:t>
                  </w:r>
                </w:p>
              </w:tc>
            </w:tr>
            <w:tr w14:paraId="6997288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noWrap w:val="0"/>
                  <w:vAlign w:val="center"/>
                </w:tcPr>
                <w:p w14:paraId="72106F62">
                  <w:pPr>
                    <w:jc w:val="center"/>
                    <w:rPr>
                      <w:rFonts w:ascii="Times New Roman" w:hAnsi="Times New Roman" w:eastAsia="宋体" w:cs="Times New Roman"/>
                      <w:color w:val="auto"/>
                      <w:spacing w:val="0"/>
                      <w:position w:val="0"/>
                      <w:szCs w:val="21"/>
                      <w:highlight w:val="none"/>
                    </w:rPr>
                  </w:pPr>
                </w:p>
              </w:tc>
              <w:tc>
                <w:tcPr>
                  <w:tcW w:w="642" w:type="pct"/>
                  <w:vMerge w:val="continue"/>
                  <w:tcBorders>
                    <w:tl2br w:val="nil"/>
                    <w:tr2bl w:val="nil"/>
                  </w:tcBorders>
                  <w:noWrap w:val="0"/>
                  <w:vAlign w:val="center"/>
                </w:tcPr>
                <w:p w14:paraId="06A50D9A">
                  <w:pPr>
                    <w:jc w:val="center"/>
                    <w:rPr>
                      <w:rFonts w:ascii="Times New Roman" w:hAnsi="Times New Roman" w:eastAsia="宋体" w:cs="Times New Roman"/>
                      <w:color w:val="auto"/>
                      <w:spacing w:val="0"/>
                      <w:position w:val="0"/>
                      <w:szCs w:val="21"/>
                      <w:highlight w:val="none"/>
                    </w:rPr>
                  </w:pPr>
                </w:p>
              </w:tc>
              <w:tc>
                <w:tcPr>
                  <w:tcW w:w="916" w:type="pct"/>
                  <w:tcBorders>
                    <w:tl2br w:val="nil"/>
                    <w:tr2bl w:val="nil"/>
                  </w:tcBorders>
                  <w:noWrap w:val="0"/>
                  <w:vAlign w:val="center"/>
                </w:tcPr>
                <w:p w14:paraId="6FD0E48E">
                  <w:pPr>
                    <w:jc w:val="center"/>
                    <w:rPr>
                      <w:rFonts w:hint="eastAsia" w:ascii="Times New Roman" w:hAnsi="Times New Roman" w:eastAsia="宋体" w:cs="Times New Roman"/>
                      <w:color w:val="auto"/>
                      <w:spacing w:val="0"/>
                      <w:position w:val="0"/>
                      <w:szCs w:val="21"/>
                      <w:highlight w:val="none"/>
                    </w:rPr>
                  </w:pPr>
                  <w:r>
                    <w:rPr>
                      <w:rFonts w:hint="eastAsia" w:ascii="Times New Roman" w:hAnsi="Times New Roman" w:eastAsia="宋体" w:cs="Times New Roman"/>
                      <w:color w:val="auto"/>
                      <w:spacing w:val="0"/>
                      <w:position w:val="0"/>
                      <w:szCs w:val="21"/>
                      <w:highlight w:val="none"/>
                    </w:rPr>
                    <w:t>总氮</w:t>
                  </w:r>
                </w:p>
              </w:tc>
              <w:tc>
                <w:tcPr>
                  <w:tcW w:w="1731" w:type="pct"/>
                  <w:vMerge w:val="continue"/>
                  <w:tcBorders>
                    <w:tl2br w:val="nil"/>
                    <w:tr2bl w:val="nil"/>
                  </w:tcBorders>
                  <w:noWrap w:val="0"/>
                  <w:vAlign w:val="center"/>
                </w:tcPr>
                <w:p w14:paraId="75A88628">
                  <w:pPr>
                    <w:jc w:val="center"/>
                    <w:rPr>
                      <w:rFonts w:ascii="Times New Roman" w:hAnsi="Times New Roman" w:eastAsia="宋体" w:cs="Times New Roman"/>
                      <w:color w:val="auto"/>
                      <w:spacing w:val="0"/>
                      <w:position w:val="0"/>
                      <w:szCs w:val="21"/>
                      <w:highlight w:val="none"/>
                    </w:rPr>
                  </w:pPr>
                </w:p>
              </w:tc>
              <w:tc>
                <w:tcPr>
                  <w:tcW w:w="1158" w:type="pct"/>
                  <w:tcBorders>
                    <w:tl2br w:val="nil"/>
                    <w:tr2bl w:val="nil"/>
                  </w:tcBorders>
                  <w:noWrap w:val="0"/>
                  <w:vAlign w:val="center"/>
                </w:tcPr>
                <w:p w14:paraId="3355646E">
                  <w:pPr>
                    <w:jc w:val="center"/>
                    <w:rPr>
                      <w:rFonts w:hint="eastAsia" w:ascii="Times New Roman" w:hAnsi="Times New Roman" w:eastAsia="宋体" w:cs="Times New Roman"/>
                      <w:color w:val="auto"/>
                      <w:spacing w:val="0"/>
                      <w:position w:val="0"/>
                      <w:szCs w:val="21"/>
                      <w:highlight w:val="none"/>
                    </w:rPr>
                  </w:pPr>
                  <w:r>
                    <w:rPr>
                      <w:rFonts w:hint="eastAsia" w:ascii="Times New Roman" w:hAnsi="Times New Roman" w:eastAsia="宋体" w:cs="Times New Roman"/>
                      <w:color w:val="auto"/>
                      <w:spacing w:val="0"/>
                      <w:position w:val="0"/>
                      <w:szCs w:val="21"/>
                      <w:highlight w:val="none"/>
                    </w:rPr>
                    <w:t>70</w:t>
                  </w:r>
                </w:p>
              </w:tc>
            </w:tr>
          </w:tbl>
          <w:p w14:paraId="5A6DF65E">
            <w:pPr>
              <w:pStyle w:val="17"/>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color w:val="auto"/>
                <w:spacing w:val="0"/>
                <w:position w:val="0"/>
                <w:sz w:val="24"/>
                <w:szCs w:val="24"/>
                <w:highlight w:val="none"/>
              </w:rPr>
            </w:pPr>
            <w:r>
              <w:rPr>
                <w:rFonts w:ascii="Times New Roman" w:hAnsi="Times New Roman" w:eastAsia="宋体" w:cs="Times New Roman"/>
                <w:b/>
                <w:bCs/>
                <w:color w:val="auto"/>
                <w:spacing w:val="0"/>
                <w:position w:val="0"/>
                <w:sz w:val="24"/>
                <w:szCs w:val="24"/>
                <w:highlight w:val="none"/>
              </w:rPr>
              <w:t>4.</w:t>
            </w:r>
            <w:r>
              <w:rPr>
                <w:rFonts w:hint="eastAsia" w:ascii="Times New Roman" w:hAnsi="Times New Roman" w:eastAsia="宋体" w:cs="Times New Roman"/>
                <w:b/>
                <w:bCs/>
                <w:color w:val="auto"/>
                <w:spacing w:val="0"/>
                <w:position w:val="0"/>
                <w:sz w:val="24"/>
                <w:szCs w:val="24"/>
                <w:highlight w:val="none"/>
              </w:rPr>
              <w:t>2</w:t>
            </w:r>
            <w:r>
              <w:rPr>
                <w:rFonts w:ascii="Times New Roman" w:hAnsi="Times New Roman" w:eastAsia="宋体" w:cs="Times New Roman"/>
                <w:b/>
                <w:bCs/>
                <w:color w:val="auto"/>
                <w:spacing w:val="0"/>
                <w:position w:val="0"/>
                <w:sz w:val="24"/>
                <w:szCs w:val="24"/>
                <w:highlight w:val="none"/>
              </w:rPr>
              <w:t>.</w:t>
            </w:r>
            <w:r>
              <w:rPr>
                <w:rFonts w:hint="eastAsia" w:ascii="Times New Roman" w:hAnsi="Times New Roman" w:eastAsia="宋体" w:cs="Times New Roman"/>
                <w:b/>
                <w:bCs/>
                <w:color w:val="auto"/>
                <w:spacing w:val="0"/>
                <w:position w:val="0"/>
                <w:sz w:val="24"/>
                <w:szCs w:val="24"/>
                <w:highlight w:val="none"/>
              </w:rPr>
              <w:t>2</w:t>
            </w:r>
            <w:r>
              <w:rPr>
                <w:rFonts w:ascii="Times New Roman" w:hAnsi="Times New Roman" w:eastAsia="宋体" w:cs="Times New Roman"/>
                <w:b/>
                <w:bCs/>
                <w:color w:val="auto"/>
                <w:spacing w:val="0"/>
                <w:position w:val="0"/>
                <w:sz w:val="24"/>
                <w:szCs w:val="24"/>
                <w:highlight w:val="none"/>
              </w:rPr>
              <w:t>废水监测要求</w:t>
            </w:r>
          </w:p>
          <w:p w14:paraId="6CDAFBEB">
            <w:pPr>
              <w:spacing w:line="360" w:lineRule="auto"/>
              <w:ind w:firstLine="480" w:firstLineChars="200"/>
              <w:rPr>
                <w:rFonts w:ascii="Times New Roman" w:hAnsi="Times New Roman" w:eastAsia="宋体" w:cs="Times New Roman"/>
                <w:b/>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项目生活污水经化粪池预处理后排入市政管网，送往</w:t>
            </w:r>
            <w:r>
              <w:rPr>
                <w:rFonts w:hint="eastAsia" w:cs="Times New Roman"/>
                <w:color w:val="auto"/>
                <w:spacing w:val="0"/>
                <w:position w:val="0"/>
                <w:sz w:val="24"/>
                <w:szCs w:val="24"/>
                <w:highlight w:val="none"/>
                <w:lang w:val="en-US" w:eastAsia="zh-CN"/>
              </w:rPr>
              <w:t>闽侯县城关污水处理厂</w:t>
            </w:r>
            <w:r>
              <w:rPr>
                <w:rFonts w:hint="eastAsia" w:ascii="Times New Roman" w:hAnsi="Times New Roman" w:eastAsia="宋体" w:cs="Times New Roman"/>
                <w:color w:val="auto"/>
                <w:spacing w:val="0"/>
                <w:position w:val="0"/>
                <w:sz w:val="24"/>
                <w:szCs w:val="24"/>
                <w:highlight w:val="none"/>
              </w:rPr>
              <w:t>集中处理，属于间接排放，根据《排污单位自行监测技术指南 总则》（HJ 819-2017）及《排污单位自行监测技术指南 涂装》（HJ 1086-2020）</w:t>
            </w:r>
            <w:r>
              <w:rPr>
                <w:rFonts w:hint="eastAsia" w:cs="Times New Roman"/>
                <w:color w:val="auto"/>
                <w:spacing w:val="0"/>
                <w:position w:val="0"/>
                <w:sz w:val="24"/>
                <w:szCs w:val="24"/>
                <w:highlight w:val="none"/>
                <w:lang w:eastAsia="zh-CN"/>
              </w:rPr>
              <w:t>、</w:t>
            </w:r>
            <w:r>
              <w:rPr>
                <w:rFonts w:hint="eastAsia" w:ascii="Times New Roman" w:hAnsi="Times New Roman" w:eastAsia="宋体" w:cs="Times New Roman"/>
                <w:b w:val="0"/>
                <w:bCs w:val="0"/>
                <w:color w:val="auto"/>
                <w:sz w:val="24"/>
                <w:szCs w:val="24"/>
                <w:highlight w:val="none"/>
                <w:shd w:val="clear" w:color="auto" w:fill="auto"/>
                <w:lang w:eastAsia="zh-CN"/>
              </w:rPr>
              <w:t>《排污许可证申请与核发技术规范 家具制造工业》（HJ 1027-2019）</w:t>
            </w:r>
            <w:r>
              <w:rPr>
                <w:rFonts w:hint="eastAsia" w:ascii="Times New Roman" w:hAnsi="Times New Roman" w:eastAsia="宋体" w:cs="Times New Roman"/>
                <w:color w:val="auto"/>
                <w:spacing w:val="0"/>
                <w:position w:val="0"/>
                <w:sz w:val="24"/>
                <w:szCs w:val="24"/>
                <w:highlight w:val="none"/>
              </w:rPr>
              <w:t>相关技术规范的要求制定监测计划，项目废水污染物自行监测要求</w:t>
            </w:r>
            <w:r>
              <w:rPr>
                <w:rFonts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kern w:val="0"/>
                <w:position w:val="0"/>
                <w:sz w:val="24"/>
                <w:szCs w:val="24"/>
                <w:highlight w:val="none"/>
              </w:rPr>
              <w:t>详见表4</w:t>
            </w:r>
            <w:r>
              <w:rPr>
                <w:rFonts w:hint="eastAsia" w:ascii="Times New Roman" w:hAnsi="Times New Roman" w:eastAsia="宋体" w:cs="Times New Roman"/>
                <w:color w:val="auto"/>
                <w:spacing w:val="0"/>
                <w:kern w:val="0"/>
                <w:position w:val="0"/>
                <w:sz w:val="24"/>
                <w:szCs w:val="24"/>
                <w:highlight w:val="none"/>
                <w:lang w:val="en-US" w:eastAsia="zh-CN"/>
              </w:rPr>
              <w:t>.2-</w:t>
            </w:r>
            <w:r>
              <w:rPr>
                <w:rFonts w:hint="eastAsia" w:cs="Times New Roman"/>
                <w:color w:val="auto"/>
                <w:spacing w:val="0"/>
                <w:kern w:val="0"/>
                <w:position w:val="0"/>
                <w:sz w:val="24"/>
                <w:szCs w:val="24"/>
                <w:highlight w:val="none"/>
                <w:lang w:val="en-US" w:eastAsia="zh-CN"/>
              </w:rPr>
              <w:t>6</w:t>
            </w:r>
            <w:r>
              <w:rPr>
                <w:rFonts w:ascii="Times New Roman" w:hAnsi="Times New Roman" w:eastAsia="宋体" w:cs="Times New Roman"/>
                <w:color w:val="auto"/>
                <w:spacing w:val="0"/>
                <w:position w:val="0"/>
                <w:sz w:val="24"/>
                <w:szCs w:val="24"/>
                <w:highlight w:val="none"/>
              </w:rPr>
              <w:t>：</w:t>
            </w:r>
          </w:p>
          <w:p w14:paraId="046337A4">
            <w:pPr>
              <w:pStyle w:val="9"/>
              <w:ind w:firstLine="0"/>
              <w:jc w:val="center"/>
              <w:rPr>
                <w:rFonts w:ascii="Times New Roman" w:hAnsi="Times New Roman" w:eastAsia="宋体" w:cs="Times New Roman"/>
                <w:b/>
                <w:color w:val="auto"/>
                <w:spacing w:val="0"/>
                <w:position w:val="0"/>
                <w:sz w:val="24"/>
                <w:szCs w:val="24"/>
                <w:highlight w:val="none"/>
                <w:lang w:val="zh-CN"/>
              </w:rPr>
            </w:pPr>
            <w:r>
              <w:rPr>
                <w:rFonts w:ascii="Times New Roman" w:hAnsi="Times New Roman" w:eastAsia="宋体" w:cs="Times New Roman"/>
                <w:b/>
                <w:color w:val="auto"/>
                <w:spacing w:val="0"/>
                <w:position w:val="0"/>
                <w:sz w:val="24"/>
                <w:szCs w:val="24"/>
                <w:highlight w:val="none"/>
              </w:rPr>
              <w:t>表4</w:t>
            </w:r>
            <w:r>
              <w:rPr>
                <w:rFonts w:hint="eastAsia" w:ascii="Times New Roman" w:hAnsi="Times New Roman" w:eastAsia="宋体" w:cs="Times New Roman"/>
                <w:b/>
                <w:color w:val="auto"/>
                <w:spacing w:val="0"/>
                <w:position w:val="0"/>
                <w:sz w:val="24"/>
                <w:szCs w:val="24"/>
                <w:highlight w:val="none"/>
                <w:lang w:val="en-US" w:eastAsia="zh-CN"/>
              </w:rPr>
              <w:t>.2-</w:t>
            </w:r>
            <w:r>
              <w:rPr>
                <w:rFonts w:hint="eastAsia" w:cs="Times New Roman"/>
                <w:b/>
                <w:color w:val="auto"/>
                <w:spacing w:val="0"/>
                <w:position w:val="0"/>
                <w:sz w:val="24"/>
                <w:szCs w:val="24"/>
                <w:highlight w:val="none"/>
                <w:lang w:val="en-US" w:eastAsia="zh-CN"/>
              </w:rPr>
              <w:t>6</w:t>
            </w:r>
            <w:r>
              <w:rPr>
                <w:rFonts w:ascii="Times New Roman" w:hAnsi="Times New Roman" w:eastAsia="宋体" w:cs="Times New Roman"/>
                <w:b/>
                <w:color w:val="auto"/>
                <w:spacing w:val="0"/>
                <w:position w:val="0"/>
                <w:sz w:val="24"/>
                <w:szCs w:val="24"/>
                <w:highlight w:val="none"/>
              </w:rPr>
              <w:t xml:space="preserve">  废水</w:t>
            </w:r>
            <w:r>
              <w:rPr>
                <w:rFonts w:ascii="Times New Roman" w:hAnsi="Times New Roman" w:eastAsia="宋体" w:cs="Times New Roman"/>
                <w:b/>
                <w:color w:val="auto"/>
                <w:spacing w:val="0"/>
                <w:position w:val="0"/>
                <w:sz w:val="24"/>
                <w:szCs w:val="24"/>
                <w:highlight w:val="none"/>
                <w:lang w:val="zh-CN"/>
              </w:rPr>
              <w:t>监测计划一览表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671"/>
              <w:gridCol w:w="1097"/>
              <w:gridCol w:w="1761"/>
              <w:gridCol w:w="1134"/>
              <w:gridCol w:w="4153"/>
            </w:tblGrid>
            <w:tr w14:paraId="5EC7E17F">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blHeader/>
                <w:jc w:val="center"/>
              </w:trPr>
              <w:tc>
                <w:tcPr>
                  <w:tcW w:w="671" w:type="dxa"/>
                  <w:tcBorders>
                    <w:tl2br w:val="nil"/>
                    <w:tr2bl w:val="nil"/>
                  </w:tcBorders>
                  <w:noWrap w:val="0"/>
                  <w:vAlign w:val="center"/>
                </w:tcPr>
                <w:p w14:paraId="1D8C8E5F">
                  <w:pPr>
                    <w:pStyle w:val="119"/>
                    <w:spacing w:line="240" w:lineRule="auto"/>
                    <w:ind w:firstLine="0" w:firstLineChars="0"/>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类别</w:t>
                  </w:r>
                </w:p>
              </w:tc>
              <w:tc>
                <w:tcPr>
                  <w:tcW w:w="1097" w:type="dxa"/>
                  <w:tcBorders>
                    <w:tl2br w:val="nil"/>
                    <w:tr2bl w:val="nil"/>
                  </w:tcBorders>
                  <w:noWrap w:val="0"/>
                  <w:vAlign w:val="center"/>
                </w:tcPr>
                <w:p w14:paraId="2A5554BF">
                  <w:pPr>
                    <w:pStyle w:val="119"/>
                    <w:spacing w:line="240" w:lineRule="auto"/>
                    <w:ind w:firstLine="0" w:firstLineChars="0"/>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监测点位</w:t>
                  </w:r>
                </w:p>
              </w:tc>
              <w:tc>
                <w:tcPr>
                  <w:tcW w:w="1761" w:type="dxa"/>
                  <w:tcBorders>
                    <w:tl2br w:val="nil"/>
                    <w:tr2bl w:val="nil"/>
                  </w:tcBorders>
                  <w:noWrap w:val="0"/>
                  <w:vAlign w:val="center"/>
                </w:tcPr>
                <w:p w14:paraId="71C7D8FB">
                  <w:pPr>
                    <w:pStyle w:val="119"/>
                    <w:spacing w:line="240" w:lineRule="auto"/>
                    <w:ind w:firstLine="0" w:firstLineChars="0"/>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监测因子</w:t>
                  </w:r>
                </w:p>
              </w:tc>
              <w:tc>
                <w:tcPr>
                  <w:tcW w:w="1134" w:type="dxa"/>
                  <w:tcBorders>
                    <w:tl2br w:val="nil"/>
                    <w:tr2bl w:val="nil"/>
                  </w:tcBorders>
                  <w:noWrap w:val="0"/>
                  <w:vAlign w:val="center"/>
                </w:tcPr>
                <w:p w14:paraId="2E28C81D">
                  <w:pPr>
                    <w:pStyle w:val="119"/>
                    <w:spacing w:line="240" w:lineRule="auto"/>
                    <w:ind w:firstLine="0" w:firstLineChars="0"/>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监测频率</w:t>
                  </w:r>
                </w:p>
              </w:tc>
              <w:tc>
                <w:tcPr>
                  <w:tcW w:w="4153" w:type="dxa"/>
                  <w:tcBorders>
                    <w:tl2br w:val="nil"/>
                    <w:tr2bl w:val="nil"/>
                  </w:tcBorders>
                  <w:noWrap w:val="0"/>
                  <w:vAlign w:val="center"/>
                </w:tcPr>
                <w:p w14:paraId="1B93BE8A">
                  <w:pPr>
                    <w:pStyle w:val="119"/>
                    <w:spacing w:line="240" w:lineRule="auto"/>
                    <w:ind w:firstLine="0" w:firstLineChars="0"/>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执行标准</w:t>
                  </w:r>
                </w:p>
              </w:tc>
            </w:tr>
            <w:tr w14:paraId="39013987">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blHeader/>
                <w:jc w:val="center"/>
              </w:trPr>
              <w:tc>
                <w:tcPr>
                  <w:tcW w:w="671" w:type="dxa"/>
                  <w:vMerge w:val="restart"/>
                  <w:tcBorders>
                    <w:tl2br w:val="nil"/>
                    <w:tr2bl w:val="nil"/>
                  </w:tcBorders>
                  <w:noWrap w:val="0"/>
                  <w:vAlign w:val="center"/>
                </w:tcPr>
                <w:p w14:paraId="46C1C706">
                  <w:pPr>
                    <w:jc w:val="center"/>
                    <w:rPr>
                      <w:rFonts w:hint="eastAsia" w:ascii="Times New Roman" w:hAnsi="Times New Roman" w:eastAsia="宋体" w:cs="Times New Roman"/>
                      <w:color w:val="auto"/>
                      <w:spacing w:val="0"/>
                      <w:position w:val="0"/>
                      <w:szCs w:val="21"/>
                      <w:highlight w:val="none"/>
                      <w:lang w:eastAsia="zh-CN"/>
                    </w:rPr>
                  </w:pPr>
                  <w:r>
                    <w:rPr>
                      <w:rFonts w:hint="eastAsia" w:ascii="Times New Roman" w:hAnsi="Times New Roman" w:eastAsia="宋体" w:cs="Times New Roman"/>
                      <w:color w:val="auto"/>
                      <w:spacing w:val="0"/>
                      <w:position w:val="0"/>
                      <w:szCs w:val="21"/>
                      <w:highlight w:val="none"/>
                      <w:lang w:val="en-US" w:eastAsia="zh-CN"/>
                    </w:rPr>
                    <w:t>水质</w:t>
                  </w:r>
                </w:p>
              </w:tc>
              <w:tc>
                <w:tcPr>
                  <w:tcW w:w="1097" w:type="dxa"/>
                  <w:tcBorders>
                    <w:tl2br w:val="nil"/>
                    <w:tr2bl w:val="nil"/>
                  </w:tcBorders>
                  <w:noWrap w:val="0"/>
                  <w:vAlign w:val="center"/>
                </w:tcPr>
                <w:p w14:paraId="462285B8">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生活污水排放口</w:t>
                  </w:r>
                </w:p>
              </w:tc>
              <w:tc>
                <w:tcPr>
                  <w:tcW w:w="1761" w:type="dxa"/>
                  <w:tcBorders>
                    <w:tl2br w:val="nil"/>
                    <w:tr2bl w:val="nil"/>
                  </w:tcBorders>
                  <w:noWrap w:val="0"/>
                  <w:vAlign w:val="center"/>
                </w:tcPr>
                <w:p w14:paraId="58F63A3A">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bCs/>
                      <w:color w:val="auto"/>
                      <w:spacing w:val="0"/>
                      <w:position w:val="0"/>
                      <w:szCs w:val="21"/>
                      <w:highlight w:val="none"/>
                    </w:rPr>
                    <w:t>pH、COD</w:t>
                  </w:r>
                  <w:r>
                    <w:rPr>
                      <w:rFonts w:ascii="Times New Roman" w:hAnsi="Times New Roman" w:eastAsia="宋体" w:cs="Times New Roman"/>
                      <w:color w:val="auto"/>
                      <w:spacing w:val="0"/>
                      <w:position w:val="0"/>
                      <w:szCs w:val="21"/>
                      <w:highlight w:val="none"/>
                      <w:vertAlign w:val="subscript"/>
                    </w:rPr>
                    <w:t>Cr</w:t>
                  </w:r>
                  <w:r>
                    <w:rPr>
                      <w:rFonts w:ascii="Times New Roman" w:hAnsi="Times New Roman" w:eastAsia="宋体" w:cs="Times New Roman"/>
                      <w:bCs/>
                      <w:color w:val="auto"/>
                      <w:spacing w:val="0"/>
                      <w:position w:val="0"/>
                      <w:szCs w:val="21"/>
                      <w:highlight w:val="none"/>
                    </w:rPr>
                    <w:t>、BOD</w:t>
                  </w:r>
                  <w:r>
                    <w:rPr>
                      <w:rFonts w:ascii="Times New Roman" w:hAnsi="Times New Roman" w:eastAsia="宋体" w:cs="Times New Roman"/>
                      <w:bCs/>
                      <w:color w:val="auto"/>
                      <w:spacing w:val="0"/>
                      <w:position w:val="0"/>
                      <w:szCs w:val="21"/>
                      <w:highlight w:val="none"/>
                      <w:vertAlign w:val="subscript"/>
                    </w:rPr>
                    <w:t>5</w:t>
                  </w:r>
                  <w:r>
                    <w:rPr>
                      <w:rFonts w:ascii="Times New Roman" w:hAnsi="Times New Roman" w:eastAsia="宋体" w:cs="Times New Roman"/>
                      <w:bCs/>
                      <w:color w:val="auto"/>
                      <w:spacing w:val="0"/>
                      <w:position w:val="0"/>
                      <w:szCs w:val="21"/>
                      <w:highlight w:val="none"/>
                    </w:rPr>
                    <w:t>、SS、</w:t>
                  </w:r>
                  <w:r>
                    <w:rPr>
                      <w:rFonts w:hint="eastAsia" w:ascii="Times New Roman" w:hAnsi="Times New Roman" w:eastAsia="宋体" w:cs="Times New Roman"/>
                      <w:color w:val="auto"/>
                      <w:spacing w:val="0"/>
                      <w:position w:val="0"/>
                      <w:szCs w:val="21"/>
                      <w:highlight w:val="none"/>
                    </w:rPr>
                    <w:t>氨氮</w:t>
                  </w:r>
                  <w:r>
                    <w:rPr>
                      <w:rFonts w:hint="eastAsia" w:ascii="Times New Roman" w:hAnsi="Times New Roman" w:eastAsia="宋体" w:cs="Times New Roman"/>
                      <w:bCs/>
                      <w:color w:val="auto"/>
                      <w:spacing w:val="0"/>
                      <w:position w:val="0"/>
                      <w:szCs w:val="21"/>
                      <w:highlight w:val="none"/>
                    </w:rPr>
                    <w:t>、总磷、总氮</w:t>
                  </w:r>
                </w:p>
              </w:tc>
              <w:tc>
                <w:tcPr>
                  <w:tcW w:w="1134" w:type="dxa"/>
                  <w:tcBorders>
                    <w:tl2br w:val="nil"/>
                    <w:tr2bl w:val="nil"/>
                  </w:tcBorders>
                  <w:noWrap w:val="0"/>
                  <w:vAlign w:val="center"/>
                </w:tcPr>
                <w:p w14:paraId="32B9FB62">
                  <w:pPr>
                    <w:jc w:val="center"/>
                    <w:rPr>
                      <w:rFonts w:hint="eastAsia" w:cs="Times New Roman"/>
                      <w:color w:val="auto"/>
                      <w:spacing w:val="0"/>
                      <w:position w:val="0"/>
                      <w:szCs w:val="21"/>
                      <w:highlight w:val="none"/>
                      <w:lang w:val="en-US" w:eastAsia="zh-CN"/>
                    </w:rPr>
                  </w:pPr>
                  <w:r>
                    <w:rPr>
                      <w:rFonts w:hint="eastAsia" w:cs="Times New Roman"/>
                      <w:color w:val="auto"/>
                      <w:spacing w:val="0"/>
                      <w:position w:val="0"/>
                      <w:szCs w:val="21"/>
                      <w:highlight w:val="none"/>
                      <w:lang w:val="en-US" w:eastAsia="zh-CN"/>
                    </w:rPr>
                    <w:t>间接排放，无需</w:t>
                  </w:r>
                </w:p>
                <w:p w14:paraId="6AD4DC56">
                  <w:pPr>
                    <w:jc w:val="center"/>
                    <w:rPr>
                      <w:rFonts w:hint="default" w:ascii="Times New Roman" w:hAnsi="Times New Roman" w:eastAsia="宋体" w:cs="Times New Roman"/>
                      <w:color w:val="auto"/>
                      <w:spacing w:val="0"/>
                      <w:position w:val="0"/>
                      <w:szCs w:val="21"/>
                      <w:highlight w:val="none"/>
                      <w:lang w:val="en-US" w:eastAsia="zh-CN"/>
                    </w:rPr>
                  </w:pPr>
                  <w:r>
                    <w:rPr>
                      <w:rFonts w:hint="eastAsia" w:cs="Times New Roman"/>
                      <w:color w:val="auto"/>
                      <w:spacing w:val="0"/>
                      <w:position w:val="0"/>
                      <w:szCs w:val="21"/>
                      <w:highlight w:val="none"/>
                      <w:lang w:val="en-US" w:eastAsia="zh-CN"/>
                    </w:rPr>
                    <w:t>监测</w:t>
                  </w:r>
                </w:p>
              </w:tc>
              <w:tc>
                <w:tcPr>
                  <w:tcW w:w="4153" w:type="dxa"/>
                  <w:tcBorders>
                    <w:tl2br w:val="nil"/>
                    <w:tr2bl w:val="nil"/>
                  </w:tcBorders>
                  <w:noWrap w:val="0"/>
                  <w:vAlign w:val="center"/>
                </w:tcPr>
                <w:p w14:paraId="4930E1C6">
                  <w:pPr>
                    <w:jc w:val="center"/>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《污水综合排放标准》（GB8978-1996）</w:t>
                  </w:r>
                </w:p>
                <w:p w14:paraId="26D9DEBC">
                  <w:pPr>
                    <w:jc w:val="both"/>
                    <w:rPr>
                      <w:rFonts w:ascii="Times New Roman" w:hAnsi="Times New Roman" w:eastAsia="宋体" w:cs="Times New Roman"/>
                      <w:color w:val="auto"/>
                      <w:spacing w:val="0"/>
                      <w:position w:val="0"/>
                      <w:szCs w:val="21"/>
                      <w:highlight w:val="none"/>
                    </w:rPr>
                  </w:pPr>
                  <w:r>
                    <w:rPr>
                      <w:rFonts w:ascii="Times New Roman" w:hAnsi="Times New Roman" w:eastAsia="宋体" w:cs="Times New Roman"/>
                      <w:color w:val="auto"/>
                      <w:spacing w:val="0"/>
                      <w:position w:val="0"/>
                      <w:szCs w:val="21"/>
                      <w:highlight w:val="none"/>
                    </w:rPr>
                    <w:t>表4三级标准</w:t>
                  </w:r>
                  <w:r>
                    <w:rPr>
                      <w:rFonts w:hint="eastAsia" w:ascii="Times New Roman" w:hAnsi="Times New Roman" w:eastAsia="宋体" w:cs="Times New Roman"/>
                      <w:color w:val="auto"/>
                      <w:spacing w:val="0"/>
                      <w:position w:val="0"/>
                      <w:szCs w:val="21"/>
                      <w:highlight w:val="none"/>
                    </w:rPr>
                    <w:t>，其中氨氮、总磷、总氮参照执行</w:t>
                  </w:r>
                  <w:r>
                    <w:rPr>
                      <w:rFonts w:ascii="Times New Roman" w:hAnsi="Times New Roman" w:eastAsia="宋体" w:cs="Times New Roman"/>
                      <w:color w:val="auto"/>
                      <w:spacing w:val="0"/>
                      <w:position w:val="0"/>
                      <w:szCs w:val="21"/>
                      <w:highlight w:val="none"/>
                    </w:rPr>
                    <w:t>《污水排入城镇下水道水质标准》（GB/T31962-2015）表1中B级标准</w:t>
                  </w:r>
                </w:p>
              </w:tc>
            </w:tr>
            <w:tr w14:paraId="58D0B0A2">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blHeader/>
                <w:jc w:val="center"/>
              </w:trPr>
              <w:tc>
                <w:tcPr>
                  <w:tcW w:w="671" w:type="dxa"/>
                  <w:vMerge w:val="continue"/>
                  <w:tcBorders>
                    <w:tl2br w:val="nil"/>
                    <w:tr2bl w:val="nil"/>
                  </w:tcBorders>
                  <w:noWrap w:val="0"/>
                  <w:vAlign w:val="center"/>
                </w:tcPr>
                <w:p w14:paraId="29F0E727">
                  <w:pPr>
                    <w:jc w:val="center"/>
                    <w:rPr>
                      <w:rFonts w:ascii="Times New Roman" w:hAnsi="Times New Roman" w:eastAsia="宋体" w:cs="Times New Roman"/>
                      <w:color w:val="auto"/>
                      <w:spacing w:val="0"/>
                      <w:position w:val="0"/>
                      <w:szCs w:val="21"/>
                      <w:highlight w:val="none"/>
                    </w:rPr>
                  </w:pPr>
                </w:p>
              </w:tc>
              <w:tc>
                <w:tcPr>
                  <w:tcW w:w="1097" w:type="dxa"/>
                  <w:tcBorders>
                    <w:tl2br w:val="nil"/>
                    <w:tr2bl w:val="nil"/>
                  </w:tcBorders>
                  <w:noWrap w:val="0"/>
                  <w:vAlign w:val="center"/>
                </w:tcPr>
                <w:p w14:paraId="44EB5CD5">
                  <w:pPr>
                    <w:jc w:val="center"/>
                    <w:rPr>
                      <w:rFonts w:hint="default" w:ascii="Times New Roman" w:hAnsi="Times New Roman" w:eastAsia="宋体" w:cs="Times New Roman"/>
                      <w:color w:val="auto"/>
                      <w:spacing w:val="0"/>
                      <w:position w:val="0"/>
                      <w:szCs w:val="21"/>
                      <w:highlight w:val="none"/>
                      <w:lang w:val="en-US" w:eastAsia="zh-CN"/>
                    </w:rPr>
                  </w:pPr>
                  <w:r>
                    <w:rPr>
                      <w:rFonts w:hint="eastAsia" w:ascii="Times New Roman" w:hAnsi="Times New Roman" w:eastAsia="宋体" w:cs="Times New Roman"/>
                      <w:color w:val="auto"/>
                      <w:spacing w:val="0"/>
                      <w:position w:val="0"/>
                      <w:szCs w:val="21"/>
                      <w:highlight w:val="none"/>
                      <w:lang w:val="en-US" w:eastAsia="zh-CN"/>
                    </w:rPr>
                    <w:t>雨水排放口</w:t>
                  </w:r>
                </w:p>
              </w:tc>
              <w:tc>
                <w:tcPr>
                  <w:tcW w:w="1761" w:type="dxa"/>
                  <w:tcBorders>
                    <w:tl2br w:val="nil"/>
                    <w:tr2bl w:val="nil"/>
                  </w:tcBorders>
                  <w:noWrap w:val="0"/>
                  <w:vAlign w:val="center"/>
                </w:tcPr>
                <w:p w14:paraId="0225ABF9">
                  <w:pPr>
                    <w:jc w:val="center"/>
                    <w:rPr>
                      <w:rFonts w:hint="eastAsia" w:ascii="Times New Roman" w:hAnsi="Times New Roman" w:eastAsia="宋体" w:cs="Times New Roman"/>
                      <w:bCs/>
                      <w:color w:val="auto"/>
                      <w:spacing w:val="0"/>
                      <w:position w:val="0"/>
                      <w:szCs w:val="21"/>
                      <w:highlight w:val="none"/>
                    </w:rPr>
                  </w:pPr>
                  <w:r>
                    <w:rPr>
                      <w:rFonts w:ascii="Times New Roman" w:hAnsi="Times New Roman" w:eastAsia="宋体" w:cs="Times New Roman"/>
                      <w:bCs/>
                      <w:color w:val="auto"/>
                      <w:spacing w:val="0"/>
                      <w:position w:val="0"/>
                      <w:szCs w:val="21"/>
                      <w:highlight w:val="none"/>
                    </w:rPr>
                    <w:t>pH、COD</w:t>
                  </w:r>
                  <w:r>
                    <w:rPr>
                      <w:rFonts w:ascii="Times New Roman" w:hAnsi="Times New Roman" w:eastAsia="宋体" w:cs="Times New Roman"/>
                      <w:color w:val="auto"/>
                      <w:spacing w:val="0"/>
                      <w:position w:val="0"/>
                      <w:szCs w:val="21"/>
                      <w:highlight w:val="none"/>
                      <w:vertAlign w:val="subscript"/>
                    </w:rPr>
                    <w:t>Cr</w:t>
                  </w:r>
                  <w:r>
                    <w:rPr>
                      <w:rFonts w:ascii="Times New Roman" w:hAnsi="Times New Roman" w:eastAsia="宋体" w:cs="Times New Roman"/>
                      <w:bCs/>
                      <w:color w:val="auto"/>
                      <w:spacing w:val="0"/>
                      <w:position w:val="0"/>
                      <w:szCs w:val="21"/>
                      <w:highlight w:val="none"/>
                    </w:rPr>
                    <w:t>、SS</w:t>
                  </w:r>
                </w:p>
              </w:tc>
              <w:tc>
                <w:tcPr>
                  <w:tcW w:w="1134" w:type="dxa"/>
                  <w:tcBorders>
                    <w:tl2br w:val="nil"/>
                    <w:tr2bl w:val="nil"/>
                  </w:tcBorders>
                  <w:noWrap w:val="0"/>
                  <w:vAlign w:val="center"/>
                </w:tcPr>
                <w:p w14:paraId="23FCBF4A">
                  <w:pPr>
                    <w:spacing w:line="240" w:lineRule="auto"/>
                    <w:ind w:firstLine="0" w:firstLineChars="0"/>
                    <w:jc w:val="center"/>
                    <w:rPr>
                      <w:rFonts w:hint="eastAsia" w:ascii="Times New Roman" w:hAnsi="Times New Roman" w:eastAsia="宋体" w:cs="Times New Roman"/>
                      <w:color w:val="auto"/>
                      <w:spacing w:val="0"/>
                      <w:position w:val="0"/>
                      <w:szCs w:val="21"/>
                      <w:highlight w:val="none"/>
                    </w:rPr>
                  </w:pPr>
                  <w:r>
                    <w:rPr>
                      <w:rFonts w:ascii="Times New Roman" w:hAnsi="Times New Roman" w:eastAsia="宋体" w:cs="Times New Roman"/>
                      <w:b w:val="0"/>
                      <w:bCs w:val="0"/>
                      <w:color w:val="auto"/>
                      <w:spacing w:val="0"/>
                      <w:position w:val="0"/>
                      <w:sz w:val="21"/>
                      <w:szCs w:val="21"/>
                      <w:highlight w:val="none"/>
                    </w:rPr>
                    <w:t>1次/</w:t>
                  </w:r>
                  <w:r>
                    <w:rPr>
                      <w:rFonts w:hint="eastAsia" w:ascii="Times New Roman" w:hAnsi="Times New Roman" w:eastAsia="宋体" w:cs="Times New Roman"/>
                      <w:b w:val="0"/>
                      <w:bCs w:val="0"/>
                      <w:color w:val="auto"/>
                      <w:spacing w:val="0"/>
                      <w:position w:val="0"/>
                      <w:sz w:val="21"/>
                      <w:szCs w:val="21"/>
                      <w:highlight w:val="none"/>
                    </w:rPr>
                    <w:t>日</w:t>
                  </w:r>
                  <w:r>
                    <w:rPr>
                      <w:rFonts w:hint="eastAsia" w:ascii="Times New Roman" w:hAnsi="Times New Roman" w:eastAsia="宋体" w:cs="Times New Roman"/>
                      <w:b w:val="0"/>
                      <w:bCs w:val="0"/>
                      <w:color w:val="auto"/>
                      <w:spacing w:val="0"/>
                      <w:position w:val="0"/>
                      <w:sz w:val="21"/>
                      <w:szCs w:val="21"/>
                      <w:highlight w:val="none"/>
                      <w:vertAlign w:val="superscript"/>
                    </w:rPr>
                    <w:t>*</w:t>
                  </w:r>
                </w:p>
              </w:tc>
              <w:tc>
                <w:tcPr>
                  <w:tcW w:w="4153" w:type="dxa"/>
                  <w:tcBorders>
                    <w:tl2br w:val="nil"/>
                    <w:tr2bl w:val="nil"/>
                  </w:tcBorders>
                  <w:noWrap w:val="0"/>
                  <w:vAlign w:val="center"/>
                </w:tcPr>
                <w:p w14:paraId="206F1EB9">
                  <w:pPr>
                    <w:spacing w:line="240" w:lineRule="auto"/>
                    <w:ind w:firstLine="0" w:firstLineChars="0"/>
                    <w:jc w:val="center"/>
                    <w:rPr>
                      <w:rFonts w:ascii="Times New Roman" w:hAnsi="Times New Roman" w:eastAsia="宋体" w:cs="Times New Roman"/>
                      <w:color w:val="auto"/>
                      <w:spacing w:val="0"/>
                      <w:position w:val="0"/>
                      <w:szCs w:val="21"/>
                      <w:highlight w:val="none"/>
                    </w:rPr>
                  </w:pPr>
                  <w:r>
                    <w:rPr>
                      <w:rFonts w:hint="eastAsia" w:ascii="Times New Roman" w:hAnsi="Times New Roman" w:eastAsia="宋体" w:cs="Times New Roman"/>
                      <w:b w:val="0"/>
                      <w:bCs w:val="0"/>
                      <w:color w:val="auto"/>
                      <w:spacing w:val="0"/>
                      <w:position w:val="0"/>
                      <w:sz w:val="21"/>
                      <w:szCs w:val="21"/>
                      <w:highlight w:val="none"/>
                    </w:rPr>
                    <w:t>/</w:t>
                  </w:r>
                </w:p>
              </w:tc>
            </w:tr>
            <w:tr w14:paraId="75579F14">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blHeader/>
                <w:jc w:val="center"/>
              </w:trPr>
              <w:tc>
                <w:tcPr>
                  <w:tcW w:w="8816" w:type="dxa"/>
                  <w:gridSpan w:val="5"/>
                  <w:tcBorders>
                    <w:tl2br w:val="nil"/>
                    <w:tr2bl w:val="nil"/>
                  </w:tcBorders>
                  <w:noWrap w:val="0"/>
                  <w:vAlign w:val="center"/>
                </w:tcPr>
                <w:p w14:paraId="020950E5">
                  <w:pPr>
                    <w:rPr>
                      <w:rFonts w:ascii="Times New Roman" w:hAnsi="Times New Roman" w:eastAsia="宋体" w:cs="Times New Roman"/>
                      <w:color w:val="auto"/>
                      <w:spacing w:val="0"/>
                      <w:position w:val="0"/>
                      <w:szCs w:val="21"/>
                      <w:highlight w:val="none"/>
                    </w:rPr>
                  </w:pPr>
                  <w:r>
                    <w:rPr>
                      <w:rFonts w:hint="eastAsia" w:ascii="Times New Roman" w:hAnsi="Times New Roman" w:eastAsia="宋体" w:cs="Times New Roman"/>
                      <w:b w:val="0"/>
                      <w:bCs w:val="0"/>
                      <w:color w:val="auto"/>
                      <w:spacing w:val="0"/>
                      <w:position w:val="0"/>
                      <w:sz w:val="21"/>
                      <w:szCs w:val="21"/>
                      <w:highlight w:val="none"/>
                    </w:rPr>
                    <w:t>备注：</w:t>
                  </w:r>
                  <w:r>
                    <w:rPr>
                      <w:rFonts w:hint="eastAsia" w:ascii="Times New Roman" w:hAnsi="Times New Roman" w:eastAsia="宋体" w:cs="Times New Roman"/>
                      <w:b w:val="0"/>
                      <w:bCs w:val="0"/>
                      <w:color w:val="auto"/>
                      <w:spacing w:val="0"/>
                      <w:position w:val="0"/>
                      <w:sz w:val="21"/>
                      <w:szCs w:val="21"/>
                      <w:highlight w:val="none"/>
                      <w:vertAlign w:val="superscript"/>
                    </w:rPr>
                    <w:t>*</w:t>
                  </w:r>
                  <w:r>
                    <w:rPr>
                      <w:rFonts w:hint="eastAsia" w:ascii="Times New Roman" w:hAnsi="Times New Roman" w:eastAsia="宋体" w:cs="Times New Roman"/>
                      <w:b w:val="0"/>
                      <w:bCs w:val="0"/>
                      <w:color w:val="auto"/>
                      <w:spacing w:val="0"/>
                      <w:kern w:val="0"/>
                      <w:position w:val="0"/>
                      <w:sz w:val="21"/>
                      <w:szCs w:val="21"/>
                      <w:highlight w:val="none"/>
                      <w:lang w:bidi="ar"/>
                    </w:rPr>
                    <w:t>排放口有流动水排放时开展监测，排放期间按日监测，如监测一年无异常情况，每季度第一次有流动水排放时开展按日监测</w:t>
                  </w:r>
                  <w:r>
                    <w:rPr>
                      <w:rFonts w:hint="eastAsia" w:ascii="Times New Roman" w:hAnsi="Times New Roman" w:eastAsia="宋体" w:cs="Times New Roman"/>
                      <w:b w:val="0"/>
                      <w:bCs w:val="0"/>
                      <w:color w:val="auto"/>
                      <w:spacing w:val="0"/>
                      <w:position w:val="0"/>
                      <w:sz w:val="21"/>
                      <w:szCs w:val="21"/>
                      <w:highlight w:val="none"/>
                    </w:rPr>
                    <w:t>。实施机构：委托有资质单位监测。</w:t>
                  </w:r>
                </w:p>
              </w:tc>
            </w:tr>
          </w:tbl>
          <w:p w14:paraId="3A383240">
            <w:pPr>
              <w:pStyle w:val="17"/>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color w:val="auto"/>
                <w:spacing w:val="0"/>
                <w:position w:val="0"/>
                <w:sz w:val="24"/>
                <w:szCs w:val="24"/>
                <w:highlight w:val="none"/>
              </w:rPr>
            </w:pPr>
            <w:r>
              <w:rPr>
                <w:rFonts w:ascii="Times New Roman" w:hAnsi="Times New Roman" w:eastAsia="宋体" w:cs="Times New Roman"/>
                <w:b/>
                <w:bCs/>
                <w:color w:val="auto"/>
                <w:spacing w:val="0"/>
                <w:position w:val="0"/>
                <w:sz w:val="24"/>
                <w:szCs w:val="24"/>
                <w:highlight w:val="none"/>
              </w:rPr>
              <w:t>4.</w:t>
            </w:r>
            <w:r>
              <w:rPr>
                <w:rFonts w:hint="eastAsia" w:ascii="Times New Roman" w:hAnsi="Times New Roman" w:eastAsia="宋体" w:cs="Times New Roman"/>
                <w:b/>
                <w:bCs/>
                <w:color w:val="auto"/>
                <w:spacing w:val="0"/>
                <w:position w:val="0"/>
                <w:sz w:val="24"/>
                <w:szCs w:val="24"/>
                <w:highlight w:val="none"/>
              </w:rPr>
              <w:t>2</w:t>
            </w:r>
            <w:r>
              <w:rPr>
                <w:rFonts w:ascii="Times New Roman" w:hAnsi="Times New Roman" w:eastAsia="宋体" w:cs="Times New Roman"/>
                <w:b/>
                <w:bCs/>
                <w:color w:val="auto"/>
                <w:spacing w:val="0"/>
                <w:position w:val="0"/>
                <w:sz w:val="24"/>
                <w:szCs w:val="24"/>
                <w:highlight w:val="none"/>
              </w:rPr>
              <w:t>.</w:t>
            </w:r>
            <w:r>
              <w:rPr>
                <w:rFonts w:hint="eastAsia" w:ascii="Times New Roman" w:hAnsi="Times New Roman" w:eastAsia="宋体" w:cs="Times New Roman"/>
                <w:b/>
                <w:bCs/>
                <w:color w:val="auto"/>
                <w:spacing w:val="0"/>
                <w:position w:val="0"/>
                <w:sz w:val="24"/>
                <w:szCs w:val="24"/>
                <w:highlight w:val="none"/>
              </w:rPr>
              <w:t>3</w:t>
            </w:r>
            <w:r>
              <w:rPr>
                <w:rFonts w:ascii="Times New Roman" w:hAnsi="Times New Roman" w:eastAsia="宋体" w:cs="Times New Roman"/>
                <w:b/>
                <w:bCs/>
                <w:color w:val="auto"/>
                <w:spacing w:val="0"/>
                <w:position w:val="0"/>
                <w:sz w:val="24"/>
                <w:szCs w:val="24"/>
                <w:highlight w:val="none"/>
              </w:rPr>
              <w:t>达标性及环境影响分析</w:t>
            </w:r>
          </w:p>
          <w:p w14:paraId="4CC5B33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cs="Times New Roman"/>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根据表4</w:t>
            </w:r>
            <w:r>
              <w:rPr>
                <w:rFonts w:hint="eastAsia" w:ascii="Times New Roman" w:hAnsi="Times New Roman" w:eastAsia="宋体" w:cs="Times New Roman"/>
                <w:color w:val="auto"/>
                <w:spacing w:val="0"/>
                <w:position w:val="0"/>
                <w:sz w:val="24"/>
                <w:szCs w:val="24"/>
                <w:highlight w:val="none"/>
                <w:lang w:val="en-US" w:eastAsia="zh-CN"/>
              </w:rPr>
              <w:t>.2-1</w:t>
            </w:r>
            <w:r>
              <w:rPr>
                <w:rFonts w:ascii="Times New Roman" w:hAnsi="Times New Roman" w:eastAsia="宋体" w:cs="Times New Roman"/>
                <w:color w:val="auto"/>
                <w:spacing w:val="0"/>
                <w:position w:val="0"/>
                <w:sz w:val="24"/>
                <w:szCs w:val="24"/>
                <w:highlight w:val="none"/>
              </w:rPr>
              <w:t>，项目生活污水经</w:t>
            </w:r>
            <w:r>
              <w:rPr>
                <w:rFonts w:hint="eastAsia" w:ascii="Times New Roman" w:hAnsi="Times New Roman" w:eastAsia="宋体" w:cs="Times New Roman"/>
                <w:color w:val="auto"/>
                <w:spacing w:val="0"/>
                <w:position w:val="0"/>
                <w:sz w:val="24"/>
                <w:szCs w:val="24"/>
                <w:highlight w:val="none"/>
              </w:rPr>
              <w:t>出租方</w:t>
            </w:r>
            <w:r>
              <w:rPr>
                <w:rFonts w:ascii="Times New Roman" w:hAnsi="Times New Roman" w:eastAsia="宋体" w:cs="Times New Roman"/>
                <w:color w:val="auto"/>
                <w:spacing w:val="0"/>
                <w:position w:val="0"/>
                <w:sz w:val="24"/>
                <w:szCs w:val="24"/>
                <w:highlight w:val="none"/>
              </w:rPr>
              <w:t>化粪池预处理后，可以达到《污水综合排放标准》（GB8978-1996）表4中三级标准</w:t>
            </w:r>
            <w:r>
              <w:rPr>
                <w:rFonts w:hint="eastAsia" w:ascii="Times New Roman" w:hAnsi="Times New Roman" w:eastAsia="宋体" w:cs="Times New Roman"/>
                <w:color w:val="auto"/>
                <w:spacing w:val="0"/>
                <w:position w:val="0"/>
                <w:sz w:val="24"/>
                <w:szCs w:val="24"/>
                <w:highlight w:val="none"/>
              </w:rPr>
              <w:t>；其中</w:t>
            </w:r>
            <w:r>
              <w:rPr>
                <w:rFonts w:ascii="Times New Roman" w:hAnsi="Times New Roman" w:eastAsia="宋体" w:cs="Times New Roman"/>
                <w:color w:val="auto"/>
                <w:spacing w:val="0"/>
                <w:position w:val="0"/>
                <w:sz w:val="24"/>
                <w:szCs w:val="24"/>
                <w:highlight w:val="none"/>
              </w:rPr>
              <w:t>氨氮</w:t>
            </w:r>
            <w:r>
              <w:rPr>
                <w:rFonts w:hint="eastAsia" w:ascii="Times New Roman" w:hAnsi="Times New Roman" w:eastAsia="宋体" w:cs="Times New Roman"/>
                <w:color w:val="auto"/>
                <w:spacing w:val="0"/>
                <w:position w:val="0"/>
                <w:sz w:val="24"/>
                <w:szCs w:val="24"/>
                <w:highlight w:val="none"/>
              </w:rPr>
              <w:t>、总磷、总氮达到</w:t>
            </w:r>
            <w:r>
              <w:rPr>
                <w:rFonts w:ascii="Times New Roman" w:hAnsi="Times New Roman" w:eastAsia="宋体" w:cs="Times New Roman"/>
                <w:color w:val="auto"/>
                <w:spacing w:val="0"/>
                <w:position w:val="0"/>
                <w:sz w:val="24"/>
                <w:szCs w:val="24"/>
                <w:highlight w:val="none"/>
              </w:rPr>
              <w:t>《污水排入城镇下水道水质标准》（GB/T 31962-2015）表1中的B级标准）要求。项目生活污水预处理达标后再排入</w:t>
            </w:r>
            <w:r>
              <w:rPr>
                <w:rFonts w:hint="eastAsia" w:cs="Times New Roman"/>
                <w:color w:val="auto"/>
                <w:spacing w:val="0"/>
                <w:position w:val="0"/>
                <w:sz w:val="24"/>
                <w:szCs w:val="24"/>
                <w:highlight w:val="none"/>
                <w:lang w:val="en-US" w:eastAsia="zh-CN"/>
              </w:rPr>
              <w:t>闽侯县城关污水处理厂</w:t>
            </w:r>
            <w:r>
              <w:rPr>
                <w:rFonts w:ascii="Times New Roman" w:hAnsi="Times New Roman" w:eastAsia="宋体" w:cs="Times New Roman"/>
                <w:color w:val="auto"/>
                <w:spacing w:val="0"/>
                <w:position w:val="0"/>
                <w:sz w:val="24"/>
                <w:szCs w:val="24"/>
                <w:highlight w:val="none"/>
              </w:rPr>
              <w:t>集中处理，对其影响较小。</w:t>
            </w:r>
          </w:p>
          <w:p w14:paraId="0BF34DF9">
            <w:pPr>
              <w:pStyle w:val="2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ascii="Times New Roman" w:hAnsi="Times New Roman" w:eastAsia="宋体" w:cs="Times New Roman"/>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项目生活污水</w:t>
            </w:r>
            <w:r>
              <w:rPr>
                <w:rFonts w:ascii="Times New Roman" w:hAnsi="Times New Roman" w:eastAsia="宋体" w:cs="Times New Roman"/>
                <w:color w:val="auto"/>
                <w:spacing w:val="0"/>
                <w:position w:val="0"/>
                <w:sz w:val="24"/>
                <w:szCs w:val="24"/>
                <w:highlight w:val="none"/>
                <w:lang w:bidi="ar"/>
              </w:rPr>
              <w:t>经</w:t>
            </w:r>
            <w:r>
              <w:rPr>
                <w:rFonts w:hint="eastAsia" w:cs="Times New Roman"/>
                <w:color w:val="auto"/>
                <w:spacing w:val="0"/>
                <w:position w:val="0"/>
                <w:sz w:val="24"/>
                <w:szCs w:val="24"/>
                <w:highlight w:val="none"/>
                <w:lang w:val="en-US" w:eastAsia="zh-CN"/>
              </w:rPr>
              <w:t>闽侯县城关污水处理厂</w:t>
            </w:r>
            <w:r>
              <w:rPr>
                <w:rFonts w:ascii="Times New Roman" w:hAnsi="Times New Roman" w:eastAsia="宋体" w:cs="Times New Roman"/>
                <w:color w:val="auto"/>
                <w:spacing w:val="0"/>
                <w:position w:val="0"/>
                <w:sz w:val="24"/>
                <w:szCs w:val="24"/>
                <w:highlight w:val="none"/>
                <w:lang w:bidi="ar"/>
              </w:rPr>
              <w:t>，</w:t>
            </w:r>
            <w:r>
              <w:rPr>
                <w:rFonts w:ascii="Times New Roman" w:hAnsi="Times New Roman" w:eastAsia="宋体" w:cs="Times New Roman"/>
                <w:color w:val="auto"/>
                <w:spacing w:val="0"/>
                <w:position w:val="0"/>
                <w:sz w:val="24"/>
                <w:szCs w:val="24"/>
                <w:highlight w:val="none"/>
              </w:rPr>
              <w:t>尾水</w:t>
            </w:r>
            <w:r>
              <w:rPr>
                <w:rFonts w:hint="eastAsia" w:ascii="Times New Roman" w:hAnsi="Times New Roman" w:eastAsia="宋体" w:cs="Times New Roman"/>
                <w:color w:val="auto"/>
                <w:spacing w:val="0"/>
                <w:position w:val="0"/>
                <w:sz w:val="24"/>
                <w:szCs w:val="24"/>
                <w:highlight w:val="none"/>
              </w:rPr>
              <w:t>经污水处理厂处理后尾水水质可达</w:t>
            </w:r>
            <w:r>
              <w:rPr>
                <w:rFonts w:hint="eastAsia" w:cs="Times New Roman"/>
                <w:color w:val="auto"/>
                <w:spacing w:val="0"/>
                <w:kern w:val="0"/>
                <w:position w:val="0"/>
                <w:sz w:val="24"/>
                <w:szCs w:val="24"/>
                <w:highlight w:val="none"/>
                <w:lang w:val="en-US" w:eastAsia="zh-CN" w:bidi="ar"/>
              </w:rPr>
              <w:t>《城镇污水处理厂污染物排放标准》（GB18918-2002）表1中“基本控制项目最高允许排放浓度（日均值）”一级A标准及其修改单表4中“基本控制项目最高允许排放浓度（瞬时值）”一级A标准</w:t>
            </w:r>
            <w:r>
              <w:rPr>
                <w:rFonts w:hint="eastAsia" w:ascii="Times New Roman" w:hAnsi="Times New Roman" w:eastAsia="宋体" w:cs="Times New Roman"/>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lang w:bidi="ar"/>
              </w:rPr>
              <w:t>对周边水环境影响较小</w:t>
            </w:r>
            <w:r>
              <w:rPr>
                <w:rFonts w:ascii="Times New Roman" w:hAnsi="Times New Roman" w:eastAsia="宋体" w:cs="Times New Roman"/>
                <w:color w:val="auto"/>
                <w:spacing w:val="0"/>
                <w:position w:val="0"/>
                <w:sz w:val="24"/>
                <w:szCs w:val="24"/>
                <w:highlight w:val="none"/>
              </w:rPr>
              <w:t>。</w:t>
            </w:r>
          </w:p>
          <w:p w14:paraId="62F17346">
            <w:pPr>
              <w:pStyle w:val="17"/>
              <w:spacing w:line="360" w:lineRule="auto"/>
              <w:rPr>
                <w:rFonts w:ascii="Times New Roman" w:hAnsi="Times New Roman" w:eastAsia="宋体" w:cs="Times New Roman"/>
                <w:color w:val="auto"/>
                <w:spacing w:val="0"/>
                <w:position w:val="0"/>
                <w:sz w:val="24"/>
                <w:szCs w:val="24"/>
                <w:highlight w:val="none"/>
              </w:rPr>
            </w:pPr>
            <w:r>
              <w:rPr>
                <w:rFonts w:ascii="Times New Roman" w:hAnsi="Times New Roman" w:eastAsia="宋体" w:cs="Times New Roman"/>
                <w:b/>
                <w:bCs/>
                <w:color w:val="auto"/>
                <w:spacing w:val="0"/>
                <w:position w:val="0"/>
                <w:sz w:val="24"/>
                <w:szCs w:val="24"/>
                <w:highlight w:val="none"/>
              </w:rPr>
              <w:t>4.</w:t>
            </w:r>
            <w:r>
              <w:rPr>
                <w:rFonts w:hint="eastAsia" w:ascii="Times New Roman" w:hAnsi="Times New Roman" w:eastAsia="宋体" w:cs="Times New Roman"/>
                <w:b/>
                <w:bCs/>
                <w:color w:val="auto"/>
                <w:spacing w:val="0"/>
                <w:position w:val="0"/>
                <w:sz w:val="24"/>
                <w:szCs w:val="24"/>
                <w:highlight w:val="none"/>
              </w:rPr>
              <w:t>2</w:t>
            </w:r>
            <w:r>
              <w:rPr>
                <w:rFonts w:ascii="Times New Roman" w:hAnsi="Times New Roman" w:eastAsia="宋体" w:cs="Times New Roman"/>
                <w:b/>
                <w:bCs/>
                <w:color w:val="auto"/>
                <w:spacing w:val="0"/>
                <w:position w:val="0"/>
                <w:sz w:val="24"/>
                <w:szCs w:val="24"/>
                <w:highlight w:val="none"/>
              </w:rPr>
              <w:t>.</w:t>
            </w:r>
            <w:r>
              <w:rPr>
                <w:rFonts w:hint="eastAsia" w:ascii="Times New Roman" w:hAnsi="Times New Roman" w:eastAsia="宋体" w:cs="Times New Roman"/>
                <w:b/>
                <w:bCs/>
                <w:color w:val="auto"/>
                <w:spacing w:val="0"/>
                <w:position w:val="0"/>
                <w:sz w:val="24"/>
                <w:szCs w:val="24"/>
                <w:highlight w:val="none"/>
              </w:rPr>
              <w:t>4</w:t>
            </w:r>
            <w:r>
              <w:rPr>
                <w:rFonts w:ascii="Times New Roman" w:hAnsi="Times New Roman" w:eastAsia="宋体" w:cs="Times New Roman"/>
                <w:b/>
                <w:bCs/>
                <w:color w:val="auto"/>
                <w:spacing w:val="0"/>
                <w:position w:val="0"/>
                <w:sz w:val="24"/>
                <w:szCs w:val="24"/>
                <w:highlight w:val="none"/>
              </w:rPr>
              <w:t>废水治理措施可行性</w:t>
            </w:r>
          </w:p>
          <w:p w14:paraId="3CF60EB7">
            <w:pPr>
              <w:pStyle w:val="17"/>
              <w:spacing w:line="360" w:lineRule="auto"/>
              <w:rPr>
                <w:rFonts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b/>
                <w:bCs/>
                <w:color w:val="auto"/>
                <w:spacing w:val="0"/>
                <w:position w:val="0"/>
                <w:sz w:val="24"/>
                <w:szCs w:val="24"/>
                <w:highlight w:val="none"/>
              </w:rPr>
              <w:t xml:space="preserve">   （1）</w:t>
            </w:r>
            <w:r>
              <w:rPr>
                <w:rFonts w:ascii="Times New Roman" w:hAnsi="Times New Roman" w:eastAsia="宋体" w:cs="Times New Roman"/>
                <w:b/>
                <w:bCs/>
                <w:color w:val="auto"/>
                <w:spacing w:val="0"/>
                <w:position w:val="0"/>
                <w:sz w:val="24"/>
                <w:szCs w:val="24"/>
                <w:highlight w:val="none"/>
              </w:rPr>
              <w:t>生活污水治理措施可行性</w:t>
            </w:r>
          </w:p>
          <w:p w14:paraId="06C5881D">
            <w:pPr>
              <w:snapToGrid w:val="0"/>
              <w:spacing w:line="360" w:lineRule="auto"/>
              <w:ind w:firstLine="480" w:firstLineChars="200"/>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项目生活污水水质较为简单，经化粪池处理后基本能够达到《污水综合排放标准》（GB8978-1996）表4三级标准</w:t>
            </w:r>
            <w:r>
              <w:rPr>
                <w:rFonts w:hint="eastAsia" w:ascii="Times New Roman" w:hAnsi="Times New Roman" w:eastAsia="宋体" w:cs="Times New Roman"/>
                <w:color w:val="auto"/>
                <w:spacing w:val="0"/>
                <w:position w:val="0"/>
                <w:sz w:val="24"/>
                <w:highlight w:val="none"/>
              </w:rPr>
              <w:t>；其中</w:t>
            </w:r>
            <w:r>
              <w:rPr>
                <w:rFonts w:ascii="Times New Roman" w:hAnsi="Times New Roman" w:eastAsia="宋体" w:cs="Times New Roman"/>
                <w:color w:val="auto"/>
                <w:spacing w:val="0"/>
                <w:position w:val="0"/>
                <w:sz w:val="24"/>
                <w:highlight w:val="none"/>
              </w:rPr>
              <w:t>氨氮</w:t>
            </w:r>
            <w:r>
              <w:rPr>
                <w:rFonts w:hint="eastAsia" w:ascii="Times New Roman" w:hAnsi="Times New Roman" w:eastAsia="宋体" w:cs="Times New Roman"/>
                <w:color w:val="auto"/>
                <w:spacing w:val="0"/>
                <w:position w:val="0"/>
                <w:sz w:val="24"/>
                <w:highlight w:val="none"/>
              </w:rPr>
              <w:t>、总磷、总氮</w:t>
            </w:r>
            <w:r>
              <w:rPr>
                <w:rFonts w:ascii="Times New Roman" w:hAnsi="Times New Roman" w:eastAsia="宋体" w:cs="Times New Roman"/>
                <w:color w:val="auto"/>
                <w:spacing w:val="0"/>
                <w:position w:val="0"/>
                <w:sz w:val="24"/>
                <w:highlight w:val="none"/>
              </w:rPr>
              <w:t>指标达到《污水排入城镇下水道水质标准》（GB/T31962-2015）表1中B级标准，能满足环境保护的要求。</w:t>
            </w:r>
          </w:p>
          <w:p w14:paraId="4BBFCEE9">
            <w:pPr>
              <w:pStyle w:val="63"/>
              <w:ind w:firstLine="480"/>
              <w:rPr>
                <w:rFonts w:ascii="Times New Roman" w:hAnsi="Times New Roman" w:eastAsia="宋体" w:cs="Times New Roman"/>
                <w:color w:val="auto"/>
                <w:spacing w:val="0"/>
                <w:position w:val="0"/>
                <w:szCs w:val="24"/>
                <w:highlight w:val="none"/>
              </w:rPr>
            </w:pPr>
            <w:r>
              <w:rPr>
                <w:rFonts w:ascii="Times New Roman" w:hAnsi="Times New Roman" w:eastAsia="宋体" w:cs="Times New Roman"/>
                <w:color w:val="auto"/>
                <w:spacing w:val="0"/>
                <w:position w:val="0"/>
                <w:szCs w:val="24"/>
                <w:highlight w:val="none"/>
              </w:rPr>
              <w:t>化粪池工作原理：三格化粪池由相联的三个池子组成，中间由过粪管联通，主要是利用厌氧发酵、中层过粪和寄生虫卵比重大于一般混合液比重而易于沉淀原理，粪便在池内经过30天以上的发酵分解，中层粪液依次由1池流至3池，以达到沉淀或杀灭粪便中寄生虫卵和肠道致病菌的目的，第3池粪液成为优质化肥。新鲜粪便由进粪口进入第一池，池内粪便开始发酵分解、因比重不同粪液可自然分为三层，上层为糊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p>
          <w:p w14:paraId="44BD90AE">
            <w:pPr>
              <w:spacing w:line="360" w:lineRule="auto"/>
              <w:ind w:firstLine="480" w:firstLineChars="200"/>
              <w:rPr>
                <w:rFonts w:hint="eastAsia" w:ascii="Times New Roman" w:hAnsi="Times New Roman" w:eastAsia="宋体" w:cs="Times New Roman"/>
                <w:color w:val="auto"/>
                <w:spacing w:val="0"/>
                <w:position w:val="0"/>
                <w:sz w:val="24"/>
                <w:highlight w:val="none"/>
              </w:rPr>
            </w:pPr>
            <w:r>
              <w:rPr>
                <w:rFonts w:hint="eastAsia" w:ascii="Times New Roman" w:hAnsi="Times New Roman" w:eastAsia="宋体" w:cs="Times New Roman"/>
                <w:color w:val="auto"/>
                <w:spacing w:val="0"/>
                <w:position w:val="0"/>
                <w:sz w:val="24"/>
                <w:highlight w:val="none"/>
              </w:rPr>
              <w:t>项目生活污水依托出租方化粪池进行处理，出租方厂区内实行雨污分流、污水入管制，生活污水由单独密闭管道接入化粪池，经处理后排入市政污水管。本项目生活污水产生量</w:t>
            </w:r>
            <w:r>
              <w:rPr>
                <w:rFonts w:hint="eastAsia" w:cs="Times New Roman"/>
                <w:color w:val="auto"/>
                <w:spacing w:val="0"/>
                <w:position w:val="0"/>
                <w:sz w:val="24"/>
                <w:highlight w:val="none"/>
                <w:lang w:val="en-US" w:eastAsia="zh-CN"/>
              </w:rPr>
              <w:t>0.8</w:t>
            </w:r>
            <w:r>
              <w:rPr>
                <w:rFonts w:hint="eastAsia" w:ascii="Times New Roman" w:hAnsi="Times New Roman" w:eastAsia="宋体" w:cs="Times New Roman"/>
                <w:color w:val="auto"/>
                <w:spacing w:val="0"/>
                <w:position w:val="0"/>
                <w:sz w:val="24"/>
                <w:highlight w:val="none"/>
              </w:rPr>
              <w:t>m</w:t>
            </w:r>
            <w:r>
              <w:rPr>
                <w:rFonts w:hint="eastAsia" w:ascii="Times New Roman" w:hAnsi="Times New Roman" w:eastAsia="宋体" w:cs="Times New Roman"/>
                <w:color w:val="auto"/>
                <w:spacing w:val="0"/>
                <w:position w:val="0"/>
                <w:sz w:val="24"/>
                <w:highlight w:val="none"/>
                <w:vertAlign w:val="superscript"/>
              </w:rPr>
              <w:t>3</w:t>
            </w:r>
            <w:r>
              <w:rPr>
                <w:rFonts w:hint="eastAsia" w:ascii="Times New Roman" w:hAnsi="Times New Roman" w:eastAsia="宋体" w:cs="Times New Roman"/>
                <w:color w:val="auto"/>
                <w:spacing w:val="0"/>
                <w:position w:val="0"/>
                <w:sz w:val="24"/>
                <w:highlight w:val="none"/>
              </w:rPr>
              <w:t>/d。根据出租方介绍化粪池处理量约为</w:t>
            </w:r>
            <w:r>
              <w:rPr>
                <w:rFonts w:hint="eastAsia" w:cs="Times New Roman"/>
                <w:color w:val="auto"/>
                <w:spacing w:val="0"/>
                <w:position w:val="0"/>
                <w:sz w:val="24"/>
                <w:highlight w:val="none"/>
                <w:lang w:val="en-US" w:eastAsia="zh-CN"/>
              </w:rPr>
              <w:t>25</w:t>
            </w:r>
            <w:r>
              <w:rPr>
                <w:rFonts w:hint="eastAsia" w:ascii="Times New Roman" w:hAnsi="Times New Roman" w:eastAsia="宋体" w:cs="Times New Roman"/>
                <w:color w:val="auto"/>
                <w:spacing w:val="0"/>
                <w:position w:val="0"/>
                <w:sz w:val="24"/>
                <w:highlight w:val="none"/>
              </w:rPr>
              <w:t>m</w:t>
            </w:r>
            <w:r>
              <w:rPr>
                <w:rFonts w:hint="eastAsia" w:ascii="Times New Roman" w:hAnsi="Times New Roman" w:eastAsia="宋体" w:cs="Times New Roman"/>
                <w:color w:val="auto"/>
                <w:spacing w:val="0"/>
                <w:position w:val="0"/>
                <w:sz w:val="24"/>
                <w:highlight w:val="none"/>
                <w:vertAlign w:val="superscript"/>
              </w:rPr>
              <w:t>3</w:t>
            </w:r>
            <w:r>
              <w:rPr>
                <w:rFonts w:hint="eastAsia" w:ascii="Times New Roman" w:hAnsi="Times New Roman" w:eastAsia="宋体" w:cs="Times New Roman"/>
                <w:color w:val="auto"/>
                <w:spacing w:val="0"/>
                <w:position w:val="0"/>
                <w:sz w:val="24"/>
                <w:highlight w:val="none"/>
              </w:rPr>
              <w:t>/d，目前尚余</w:t>
            </w:r>
            <w:r>
              <w:rPr>
                <w:rFonts w:hint="eastAsia" w:cs="Times New Roman"/>
                <w:color w:val="auto"/>
                <w:spacing w:val="0"/>
                <w:position w:val="0"/>
                <w:sz w:val="24"/>
                <w:highlight w:val="none"/>
                <w:lang w:val="en-US" w:eastAsia="zh-CN"/>
              </w:rPr>
              <w:t>13</w:t>
            </w:r>
            <w:r>
              <w:rPr>
                <w:rFonts w:hint="eastAsia" w:ascii="Times New Roman" w:hAnsi="Times New Roman" w:eastAsia="宋体" w:cs="Times New Roman"/>
                <w:color w:val="auto"/>
                <w:spacing w:val="0"/>
                <w:position w:val="0"/>
                <w:sz w:val="24"/>
                <w:highlight w:val="none"/>
              </w:rPr>
              <w:t>m</w:t>
            </w:r>
            <w:r>
              <w:rPr>
                <w:rFonts w:hint="eastAsia" w:ascii="Times New Roman" w:hAnsi="Times New Roman" w:eastAsia="宋体" w:cs="Times New Roman"/>
                <w:color w:val="auto"/>
                <w:spacing w:val="0"/>
                <w:position w:val="0"/>
                <w:sz w:val="24"/>
                <w:highlight w:val="none"/>
                <w:vertAlign w:val="superscript"/>
              </w:rPr>
              <w:t>3</w:t>
            </w:r>
            <w:r>
              <w:rPr>
                <w:rFonts w:hint="eastAsia" w:ascii="Times New Roman" w:hAnsi="Times New Roman" w:eastAsia="宋体" w:cs="Times New Roman"/>
                <w:color w:val="auto"/>
                <w:spacing w:val="0"/>
                <w:position w:val="0"/>
                <w:sz w:val="24"/>
                <w:highlight w:val="none"/>
              </w:rPr>
              <w:t>/d的处理量，项目每日生活污水排放量小于化粪池处理余量。因此，出租方化粪池可容纳本项目的生活污水。</w:t>
            </w:r>
          </w:p>
          <w:p w14:paraId="41262938">
            <w:pPr>
              <w:pStyle w:val="63"/>
              <w:ind w:firstLine="480"/>
              <w:rPr>
                <w:rFonts w:hint="eastAsia" w:ascii="Times New Roman" w:hAnsi="Times New Roman" w:eastAsia="宋体" w:cs="Times New Roman"/>
                <w:color w:val="auto"/>
                <w:spacing w:val="0"/>
                <w:position w:val="0"/>
                <w:szCs w:val="24"/>
                <w:highlight w:val="none"/>
              </w:rPr>
            </w:pPr>
            <w:r>
              <w:rPr>
                <w:rFonts w:hint="eastAsia" w:ascii="Times New Roman" w:hAnsi="Times New Roman" w:eastAsia="宋体" w:cs="Times New Roman"/>
                <w:color w:val="auto"/>
                <w:spacing w:val="0"/>
                <w:position w:val="0"/>
                <w:szCs w:val="24"/>
                <w:highlight w:val="none"/>
              </w:rPr>
              <w:t>综上，项目生活污水依托出租方化粪池处理是可行的。</w:t>
            </w:r>
          </w:p>
          <w:p w14:paraId="3AB31F53">
            <w:pPr>
              <w:pStyle w:val="17"/>
              <w:spacing w:line="360" w:lineRule="auto"/>
              <w:ind w:firstLine="482" w:firstLineChars="200"/>
              <w:rPr>
                <w:rFonts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b/>
                <w:bCs/>
                <w:color w:val="auto"/>
                <w:spacing w:val="0"/>
                <w:position w:val="0"/>
                <w:sz w:val="24"/>
                <w:szCs w:val="24"/>
                <w:highlight w:val="none"/>
              </w:rPr>
              <w:t>（2）</w:t>
            </w:r>
            <w:r>
              <w:rPr>
                <w:rFonts w:ascii="Times New Roman" w:hAnsi="Times New Roman" w:eastAsia="宋体" w:cs="Times New Roman"/>
                <w:b/>
                <w:bCs/>
                <w:color w:val="auto"/>
                <w:spacing w:val="0"/>
                <w:position w:val="0"/>
                <w:sz w:val="24"/>
                <w:szCs w:val="24"/>
                <w:highlight w:val="none"/>
              </w:rPr>
              <w:t>依托污水处理厂的环境可行性分析</w:t>
            </w:r>
          </w:p>
          <w:p w14:paraId="60239F91">
            <w:pPr>
              <w:pStyle w:val="145"/>
              <w:rPr>
                <w:rFonts w:hint="default" w:ascii="Times New Roman" w:hAnsi="Times New Roman" w:cs="Times New Roman"/>
                <w:color w:val="auto"/>
                <w:highlight w:val="none"/>
                <w:lang w:val="en-US" w:eastAsia="zh-CN"/>
              </w:rPr>
            </w:pPr>
            <w:r>
              <w:rPr>
                <w:rFonts w:hint="eastAsia" w:ascii="Times New Roman" w:hAnsi="Times New Roman" w:eastAsia="宋体" w:cs="Times New Roman"/>
                <w:color w:val="auto"/>
                <w:sz w:val="24"/>
                <w:highlight w:val="none"/>
                <w:lang w:eastAsia="zh-CN"/>
              </w:rPr>
              <w:t>闽侯县城关污水处理厂基本情况</w:t>
            </w:r>
          </w:p>
          <w:p w14:paraId="5F7AD400">
            <w:pPr>
              <w:pStyle w:val="145"/>
              <w:rPr>
                <w:rFonts w:hint="default" w:ascii="Times New Roman" w:hAnsi="Times New Roman" w:cs="Times New Roman"/>
                <w:color w:val="auto"/>
                <w:highlight w:val="none"/>
                <w:lang w:val="en-US" w:eastAsia="zh-CN"/>
              </w:rPr>
            </w:pPr>
            <w:r>
              <w:rPr>
                <w:rFonts w:hint="eastAsia" w:ascii="Times New Roman" w:hAnsi="Times New Roman" w:cs="Times New Roman"/>
                <w:color w:val="auto"/>
                <w:sz w:val="24"/>
                <w:highlight w:val="none"/>
                <w:lang w:eastAsia="zh-CN"/>
              </w:rPr>
              <w:t>①设计出水水质</w:t>
            </w:r>
          </w:p>
          <w:p w14:paraId="694F4A6E">
            <w:pPr>
              <w:bidi w:val="0"/>
              <w:spacing w:line="36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根据《</w:t>
            </w:r>
            <w:r>
              <w:rPr>
                <w:rFonts w:hint="eastAsia" w:ascii="Times New Roman" w:hAnsi="Times New Roman" w:eastAsia="宋体" w:cs="Times New Roman"/>
                <w:color w:val="auto"/>
                <w:sz w:val="24"/>
                <w:highlight w:val="none"/>
                <w:lang w:eastAsia="zh-CN"/>
              </w:rPr>
              <w:t>城关污水厂三期扩建工程</w:t>
            </w:r>
            <w:r>
              <w:rPr>
                <w:rFonts w:hint="default" w:ascii="Times New Roman" w:hAnsi="Times New Roman" w:eastAsia="宋体" w:cs="Times New Roman"/>
                <w:color w:val="auto"/>
                <w:sz w:val="24"/>
                <w:highlight w:val="none"/>
              </w:rPr>
              <w:t>环境影响报告表</w:t>
            </w:r>
            <w:r>
              <w:rPr>
                <w:rFonts w:hint="default" w:ascii="Times New Roman" w:hAnsi="Times New Roman" w:eastAsia="宋体" w:cs="Times New Roman"/>
                <w:color w:val="auto"/>
                <w:sz w:val="24"/>
                <w:szCs w:val="22"/>
                <w:highlight w:val="none"/>
              </w:rPr>
              <w:t>》可知，</w:t>
            </w:r>
            <w:r>
              <w:rPr>
                <w:rFonts w:hint="eastAsia" w:ascii="Times New Roman" w:hAnsi="Times New Roman" w:eastAsia="宋体" w:cs="Times New Roman"/>
                <w:color w:val="auto"/>
                <w:sz w:val="24"/>
                <w:highlight w:val="none"/>
                <w:lang w:eastAsia="zh-CN"/>
              </w:rPr>
              <w:t>闽侯县城关污水处理厂</w:t>
            </w:r>
            <w:r>
              <w:rPr>
                <w:rFonts w:hint="default" w:ascii="Times New Roman" w:hAnsi="Times New Roman" w:eastAsia="宋体" w:cs="Times New Roman"/>
                <w:color w:val="auto"/>
                <w:sz w:val="24"/>
                <w:szCs w:val="22"/>
                <w:highlight w:val="none"/>
              </w:rPr>
              <w:t>出水水质见表</w:t>
            </w:r>
            <w:r>
              <w:rPr>
                <w:rFonts w:hint="eastAsia" w:ascii="Times New Roman" w:hAnsi="Times New Roman" w:eastAsia="宋体" w:cs="Times New Roman"/>
                <w:color w:val="auto"/>
                <w:sz w:val="24"/>
                <w:szCs w:val="22"/>
                <w:highlight w:val="none"/>
                <w:lang w:val="en-US" w:eastAsia="zh-CN"/>
              </w:rPr>
              <w:t>4.</w:t>
            </w:r>
            <w:r>
              <w:rPr>
                <w:rFonts w:hint="eastAsia" w:cs="Times New Roman"/>
                <w:color w:val="auto"/>
                <w:sz w:val="24"/>
                <w:szCs w:val="22"/>
                <w:highlight w:val="none"/>
                <w:lang w:val="en-US" w:eastAsia="zh-CN"/>
              </w:rPr>
              <w:t>2</w:t>
            </w:r>
            <w:r>
              <w:rPr>
                <w:rFonts w:hint="eastAsia" w:ascii="Times New Roman" w:hAnsi="Times New Roman" w:eastAsia="宋体" w:cs="Times New Roman"/>
                <w:color w:val="auto"/>
                <w:sz w:val="24"/>
                <w:szCs w:val="22"/>
                <w:highlight w:val="none"/>
                <w:lang w:val="en-US" w:eastAsia="zh-CN"/>
              </w:rPr>
              <w:t>-</w:t>
            </w:r>
            <w:r>
              <w:rPr>
                <w:rFonts w:hint="eastAsia" w:cs="Times New Roman"/>
                <w:color w:val="auto"/>
                <w:sz w:val="24"/>
                <w:szCs w:val="22"/>
                <w:highlight w:val="none"/>
                <w:lang w:val="en-US" w:eastAsia="zh-CN"/>
              </w:rPr>
              <w:t>7</w:t>
            </w:r>
            <w:r>
              <w:rPr>
                <w:rFonts w:hint="default" w:ascii="Times New Roman" w:hAnsi="Times New Roman" w:eastAsia="宋体" w:cs="Times New Roman"/>
                <w:color w:val="auto"/>
                <w:sz w:val="24"/>
                <w:szCs w:val="22"/>
                <w:highlight w:val="none"/>
              </w:rPr>
              <w:t>。</w:t>
            </w:r>
          </w:p>
          <w:p w14:paraId="0BA141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表4.</w:t>
            </w:r>
            <w:r>
              <w:rPr>
                <w:rFonts w:hint="eastAsia" w:ascii="Times New Roman" w:hAnsi="Times New Roman" w:eastAsia="宋体" w:cs="Times New Roman"/>
                <w:b/>
                <w:bCs/>
                <w:color w:val="auto"/>
                <w:sz w:val="24"/>
                <w:szCs w:val="22"/>
                <w:highlight w:val="none"/>
                <w:lang w:val="en-US" w:eastAsia="zh-CN"/>
              </w:rPr>
              <w:t>2-7</w:t>
            </w:r>
            <w:r>
              <w:rPr>
                <w:rFonts w:hint="default" w:ascii="Times New Roman" w:hAnsi="Times New Roman" w:eastAsia="宋体" w:cs="Times New Roman"/>
                <w:b/>
                <w:bCs/>
                <w:color w:val="auto"/>
                <w:sz w:val="24"/>
                <w:szCs w:val="22"/>
                <w:highlight w:val="none"/>
                <w:lang w:val="en-US" w:eastAsia="zh-CN"/>
              </w:rPr>
              <w:t xml:space="preserve"> </w:t>
            </w:r>
            <w:r>
              <w:rPr>
                <w:rFonts w:hint="eastAsia" w:ascii="Times New Roman" w:hAnsi="Times New Roman" w:eastAsia="宋体" w:cs="Times New Roman"/>
                <w:b/>
                <w:bCs/>
                <w:color w:val="auto"/>
                <w:sz w:val="24"/>
                <w:szCs w:val="22"/>
                <w:highlight w:val="none"/>
                <w:lang w:val="en-US" w:eastAsia="zh-CN"/>
              </w:rPr>
              <w:t>污水处理厂</w:t>
            </w:r>
            <w:r>
              <w:rPr>
                <w:rFonts w:hint="default" w:ascii="Times New Roman" w:hAnsi="Times New Roman" w:eastAsia="宋体" w:cs="Times New Roman"/>
                <w:b/>
                <w:bCs/>
                <w:color w:val="auto"/>
                <w:sz w:val="24"/>
                <w:szCs w:val="22"/>
                <w:highlight w:val="none"/>
                <w:lang w:val="en-US" w:eastAsia="zh-CN"/>
              </w:rPr>
              <w:t>出水水质标准</w:t>
            </w:r>
            <w:r>
              <w:rPr>
                <w:rFonts w:hint="eastAsia" w:ascii="Times New Roman" w:hAnsi="Times New Roman" w:eastAsia="宋体" w:cs="Times New Roman"/>
                <w:b/>
                <w:bCs/>
                <w:color w:val="auto"/>
                <w:sz w:val="24"/>
                <w:szCs w:val="22"/>
                <w:highlight w:val="none"/>
                <w:lang w:val="en-US" w:eastAsia="zh-CN"/>
              </w:rPr>
              <w:t>(</w:t>
            </w:r>
            <w:r>
              <w:rPr>
                <w:rFonts w:hint="default" w:ascii="Times New Roman" w:hAnsi="Times New Roman" w:eastAsia="宋体" w:cs="Times New Roman"/>
                <w:b/>
                <w:bCs/>
                <w:color w:val="auto"/>
                <w:sz w:val="24"/>
                <w:szCs w:val="22"/>
                <w:highlight w:val="none"/>
                <w:lang w:val="en-US" w:eastAsia="zh-CN"/>
              </w:rPr>
              <w:t>mg/L</w:t>
            </w:r>
            <w:r>
              <w:rPr>
                <w:rFonts w:hint="eastAsia" w:ascii="Times New Roman" w:hAnsi="Times New Roman" w:eastAsia="宋体" w:cs="Times New Roman"/>
                <w:b/>
                <w:bCs/>
                <w:color w:val="auto"/>
                <w:sz w:val="24"/>
                <w:szCs w:val="22"/>
                <w:highlight w:val="none"/>
                <w:lang w:val="en-US" w:eastAsia="zh-CN"/>
              </w:rPr>
              <w:t xml:space="preserve">  pH除外)</w:t>
            </w:r>
          </w:p>
          <w:tbl>
            <w:tblPr>
              <w:tblStyle w:val="14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58"/>
              <w:gridCol w:w="1410"/>
              <w:gridCol w:w="1147"/>
              <w:gridCol w:w="1037"/>
              <w:gridCol w:w="990"/>
              <w:gridCol w:w="1071"/>
              <w:gridCol w:w="1090"/>
              <w:gridCol w:w="913"/>
            </w:tblGrid>
            <w:tr w14:paraId="64B6CA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tcBorders>
                    <w:tl2br w:val="nil"/>
                    <w:tr2bl w:val="nil"/>
                  </w:tcBorders>
                  <w:noWrap w:val="0"/>
                  <w:vAlign w:val="center"/>
                </w:tcPr>
                <w:p w14:paraId="08CEE02A">
                  <w:pPr>
                    <w:widowControl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水质指标</w:t>
                  </w:r>
                </w:p>
              </w:tc>
              <w:tc>
                <w:tcPr>
                  <w:tcW w:w="799" w:type="pct"/>
                  <w:tcBorders>
                    <w:tl2br w:val="nil"/>
                    <w:tr2bl w:val="nil"/>
                  </w:tcBorders>
                  <w:noWrap w:val="0"/>
                  <w:vAlign w:val="center"/>
                </w:tcPr>
                <w:p w14:paraId="0FDB3308">
                  <w:pPr>
                    <w:widowControl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pH</w:t>
                  </w:r>
                </w:p>
              </w:tc>
              <w:tc>
                <w:tcPr>
                  <w:tcW w:w="650" w:type="pct"/>
                  <w:tcBorders>
                    <w:tl2br w:val="nil"/>
                    <w:tr2bl w:val="nil"/>
                  </w:tcBorders>
                  <w:noWrap w:val="0"/>
                  <w:vAlign w:val="center"/>
                </w:tcPr>
                <w:p w14:paraId="3AFE9EEE">
                  <w:pPr>
                    <w:widowControl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spacing w:val="0"/>
                      <w:position w:val="0"/>
                      <w:szCs w:val="21"/>
                      <w:highlight w:val="none"/>
                    </w:rPr>
                    <w:t>COD</w:t>
                  </w:r>
                  <w:r>
                    <w:rPr>
                      <w:rFonts w:ascii="Times New Roman" w:hAnsi="Times New Roman" w:eastAsia="宋体" w:cs="Times New Roman"/>
                      <w:b/>
                      <w:bCs/>
                      <w:color w:val="auto"/>
                      <w:spacing w:val="0"/>
                      <w:position w:val="0"/>
                      <w:szCs w:val="21"/>
                      <w:highlight w:val="none"/>
                      <w:vertAlign w:val="subscript"/>
                    </w:rPr>
                    <w:t>Cr</w:t>
                  </w:r>
                </w:p>
              </w:tc>
              <w:tc>
                <w:tcPr>
                  <w:tcW w:w="588" w:type="pct"/>
                  <w:tcBorders>
                    <w:tl2br w:val="nil"/>
                    <w:tr2bl w:val="nil"/>
                  </w:tcBorders>
                  <w:noWrap w:val="0"/>
                  <w:vAlign w:val="center"/>
                </w:tcPr>
                <w:p w14:paraId="6FD98F9B">
                  <w:pPr>
                    <w:widowControl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BOD</w:t>
                  </w:r>
                  <w:r>
                    <w:rPr>
                      <w:rFonts w:hint="default" w:ascii="Times New Roman" w:hAnsi="Times New Roman" w:eastAsia="宋体" w:cs="Times New Roman"/>
                      <w:b/>
                      <w:bCs/>
                      <w:color w:val="auto"/>
                      <w:kern w:val="2"/>
                      <w:sz w:val="21"/>
                      <w:szCs w:val="21"/>
                      <w:highlight w:val="none"/>
                      <w:vertAlign w:val="subscript"/>
                      <w:lang w:val="en-US" w:eastAsia="zh-CN" w:bidi="ar-SA"/>
                    </w:rPr>
                    <w:t>5</w:t>
                  </w:r>
                </w:p>
              </w:tc>
              <w:tc>
                <w:tcPr>
                  <w:tcW w:w="561" w:type="pct"/>
                  <w:tcBorders>
                    <w:tl2br w:val="nil"/>
                    <w:tr2bl w:val="nil"/>
                  </w:tcBorders>
                  <w:noWrap w:val="0"/>
                  <w:vAlign w:val="center"/>
                </w:tcPr>
                <w:p w14:paraId="43E2899B">
                  <w:pPr>
                    <w:widowControl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SS</w:t>
                  </w:r>
                </w:p>
              </w:tc>
              <w:tc>
                <w:tcPr>
                  <w:tcW w:w="607" w:type="pct"/>
                  <w:tcBorders>
                    <w:tl2br w:val="nil"/>
                    <w:tr2bl w:val="nil"/>
                  </w:tcBorders>
                  <w:noWrap w:val="0"/>
                  <w:vAlign w:val="center"/>
                </w:tcPr>
                <w:p w14:paraId="756B9766">
                  <w:pPr>
                    <w:widowControl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NH</w:t>
                  </w:r>
                  <w:r>
                    <w:rPr>
                      <w:rFonts w:hint="default" w:ascii="Times New Roman" w:hAnsi="Times New Roman" w:eastAsia="宋体" w:cs="Times New Roman"/>
                      <w:b/>
                      <w:bCs/>
                      <w:color w:val="auto"/>
                      <w:kern w:val="2"/>
                      <w:sz w:val="21"/>
                      <w:szCs w:val="21"/>
                      <w:highlight w:val="none"/>
                      <w:vertAlign w:val="subscript"/>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-N</w:t>
                  </w:r>
                </w:p>
              </w:tc>
              <w:tc>
                <w:tcPr>
                  <w:tcW w:w="618" w:type="pct"/>
                  <w:tcBorders>
                    <w:tl2br w:val="nil"/>
                    <w:tr2bl w:val="nil"/>
                  </w:tcBorders>
                  <w:noWrap w:val="0"/>
                  <w:vAlign w:val="center"/>
                </w:tcPr>
                <w:p w14:paraId="75DEE249">
                  <w:pPr>
                    <w:widowControl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TN</w:t>
                  </w:r>
                </w:p>
              </w:tc>
              <w:tc>
                <w:tcPr>
                  <w:tcW w:w="518" w:type="pct"/>
                  <w:tcBorders>
                    <w:tl2br w:val="nil"/>
                    <w:tr2bl w:val="nil"/>
                  </w:tcBorders>
                  <w:noWrap w:val="0"/>
                  <w:vAlign w:val="center"/>
                </w:tcPr>
                <w:p w14:paraId="38583AF6">
                  <w:pPr>
                    <w:widowControl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TP</w:t>
                  </w:r>
                </w:p>
              </w:tc>
            </w:tr>
            <w:tr w14:paraId="1D336B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tcBorders>
                    <w:tl2br w:val="nil"/>
                    <w:tr2bl w:val="nil"/>
                  </w:tcBorders>
                  <w:noWrap w:val="0"/>
                  <w:vAlign w:val="center"/>
                </w:tcPr>
                <w:p w14:paraId="4DB6FACC">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进水水质</w:t>
                  </w:r>
                </w:p>
              </w:tc>
              <w:tc>
                <w:tcPr>
                  <w:tcW w:w="799" w:type="pct"/>
                  <w:tcBorders>
                    <w:tl2br w:val="nil"/>
                    <w:tr2bl w:val="nil"/>
                  </w:tcBorders>
                  <w:noWrap w:val="0"/>
                  <w:vAlign w:val="center"/>
                </w:tcPr>
                <w:p w14:paraId="0446151B">
                  <w:pPr>
                    <w:widowControl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6~9(无量纲)</w:t>
                  </w:r>
                </w:p>
              </w:tc>
              <w:tc>
                <w:tcPr>
                  <w:tcW w:w="650" w:type="pct"/>
                  <w:tcBorders>
                    <w:tl2br w:val="nil"/>
                    <w:tr2bl w:val="nil"/>
                  </w:tcBorders>
                  <w:noWrap w:val="0"/>
                  <w:vAlign w:val="center"/>
                </w:tcPr>
                <w:p w14:paraId="63745C95">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300</w:t>
                  </w:r>
                </w:p>
              </w:tc>
              <w:tc>
                <w:tcPr>
                  <w:tcW w:w="588" w:type="pct"/>
                  <w:tcBorders>
                    <w:tl2br w:val="nil"/>
                    <w:tr2bl w:val="nil"/>
                  </w:tcBorders>
                  <w:noWrap w:val="0"/>
                  <w:vAlign w:val="center"/>
                </w:tcPr>
                <w:p w14:paraId="489EEE2C">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150</w:t>
                  </w:r>
                </w:p>
              </w:tc>
              <w:tc>
                <w:tcPr>
                  <w:tcW w:w="561" w:type="pct"/>
                  <w:tcBorders>
                    <w:tl2br w:val="nil"/>
                    <w:tr2bl w:val="nil"/>
                  </w:tcBorders>
                  <w:noWrap w:val="0"/>
                  <w:vAlign w:val="center"/>
                </w:tcPr>
                <w:p w14:paraId="57FDD7F6">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200</w:t>
                  </w:r>
                </w:p>
              </w:tc>
              <w:tc>
                <w:tcPr>
                  <w:tcW w:w="607" w:type="pct"/>
                  <w:tcBorders>
                    <w:tl2br w:val="nil"/>
                    <w:tr2bl w:val="nil"/>
                  </w:tcBorders>
                  <w:noWrap w:val="0"/>
                  <w:vAlign w:val="center"/>
                </w:tcPr>
                <w:p w14:paraId="35D935DF">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30</w:t>
                  </w:r>
                </w:p>
              </w:tc>
              <w:tc>
                <w:tcPr>
                  <w:tcW w:w="618" w:type="pct"/>
                  <w:tcBorders>
                    <w:tl2br w:val="nil"/>
                    <w:tr2bl w:val="nil"/>
                  </w:tcBorders>
                  <w:noWrap w:val="0"/>
                  <w:vAlign w:val="center"/>
                </w:tcPr>
                <w:p w14:paraId="27463809">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40</w:t>
                  </w:r>
                </w:p>
              </w:tc>
              <w:tc>
                <w:tcPr>
                  <w:tcW w:w="518" w:type="pct"/>
                  <w:tcBorders>
                    <w:tl2br w:val="nil"/>
                    <w:tr2bl w:val="nil"/>
                  </w:tcBorders>
                  <w:noWrap w:val="0"/>
                  <w:vAlign w:val="center"/>
                </w:tcPr>
                <w:p w14:paraId="5C8E8962">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5.0</w:t>
                  </w:r>
                </w:p>
              </w:tc>
            </w:tr>
            <w:tr w14:paraId="03D199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tcBorders>
                    <w:tl2br w:val="nil"/>
                    <w:tr2bl w:val="nil"/>
                  </w:tcBorders>
                  <w:noWrap w:val="0"/>
                  <w:vAlign w:val="center"/>
                </w:tcPr>
                <w:p w14:paraId="25D32DCF">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出水标准</w:t>
                  </w:r>
                </w:p>
              </w:tc>
              <w:tc>
                <w:tcPr>
                  <w:tcW w:w="799" w:type="pct"/>
                  <w:tcBorders>
                    <w:tl2br w:val="nil"/>
                    <w:tr2bl w:val="nil"/>
                  </w:tcBorders>
                  <w:noWrap w:val="0"/>
                  <w:vAlign w:val="center"/>
                </w:tcPr>
                <w:p w14:paraId="44FE1F1A">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6~9(无量纲)</w:t>
                  </w:r>
                </w:p>
              </w:tc>
              <w:tc>
                <w:tcPr>
                  <w:tcW w:w="650" w:type="pct"/>
                  <w:tcBorders>
                    <w:tl2br w:val="nil"/>
                    <w:tr2bl w:val="nil"/>
                  </w:tcBorders>
                  <w:noWrap w:val="0"/>
                  <w:vAlign w:val="center"/>
                </w:tcPr>
                <w:p w14:paraId="5FED4777">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w:t>
                  </w:r>
                </w:p>
              </w:tc>
              <w:tc>
                <w:tcPr>
                  <w:tcW w:w="588" w:type="pct"/>
                  <w:tcBorders>
                    <w:tl2br w:val="nil"/>
                    <w:tr2bl w:val="nil"/>
                  </w:tcBorders>
                  <w:noWrap w:val="0"/>
                  <w:vAlign w:val="center"/>
                </w:tcPr>
                <w:p w14:paraId="64F5EE4D">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561" w:type="pct"/>
                  <w:tcBorders>
                    <w:tl2br w:val="nil"/>
                    <w:tr2bl w:val="nil"/>
                  </w:tcBorders>
                  <w:noWrap w:val="0"/>
                  <w:vAlign w:val="center"/>
                </w:tcPr>
                <w:p w14:paraId="03EFE63E">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607" w:type="pct"/>
                  <w:tcBorders>
                    <w:tl2br w:val="nil"/>
                    <w:tr2bl w:val="nil"/>
                  </w:tcBorders>
                  <w:noWrap w:val="0"/>
                  <w:vAlign w:val="center"/>
                </w:tcPr>
                <w:p w14:paraId="64305293">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r>
                    <w:rPr>
                      <w:rFonts w:hint="eastAsia" w:cs="Times New Roman"/>
                      <w:color w:val="auto"/>
                      <w:kern w:val="2"/>
                      <w:sz w:val="21"/>
                      <w:szCs w:val="21"/>
                      <w:highlight w:val="none"/>
                      <w:lang w:val="en-US" w:eastAsia="zh-CN" w:bidi="ar-SA"/>
                    </w:rPr>
                    <w:t>（8）</w:t>
                  </w:r>
                </w:p>
              </w:tc>
              <w:tc>
                <w:tcPr>
                  <w:tcW w:w="618" w:type="pct"/>
                  <w:tcBorders>
                    <w:tl2br w:val="nil"/>
                    <w:tr2bl w:val="nil"/>
                  </w:tcBorders>
                  <w:noWrap w:val="0"/>
                  <w:vAlign w:val="center"/>
                </w:tcPr>
                <w:p w14:paraId="700EDBF3">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w:t>
                  </w:r>
                </w:p>
              </w:tc>
              <w:tc>
                <w:tcPr>
                  <w:tcW w:w="518" w:type="pct"/>
                  <w:tcBorders>
                    <w:tl2br w:val="nil"/>
                    <w:tr2bl w:val="nil"/>
                  </w:tcBorders>
                  <w:noWrap w:val="0"/>
                  <w:vAlign w:val="center"/>
                </w:tcPr>
                <w:p w14:paraId="094FFB44">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0.5</w:t>
                  </w:r>
                </w:p>
              </w:tc>
            </w:tr>
          </w:tbl>
          <w:p w14:paraId="4BAB556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lang w:val="en-US" w:eastAsia="zh-CN"/>
              </w:rPr>
              <w:t>②</w:t>
            </w:r>
            <w:r>
              <w:rPr>
                <w:rFonts w:hint="default" w:ascii="Times New Roman" w:hAnsi="Times New Roman" w:eastAsia="宋体" w:cs="Times New Roman"/>
                <w:color w:val="auto"/>
                <w:sz w:val="24"/>
                <w:szCs w:val="22"/>
                <w:highlight w:val="none"/>
              </w:rPr>
              <w:t>处理工艺</w:t>
            </w:r>
          </w:p>
          <w:p w14:paraId="66CDC943">
            <w:pPr>
              <w:spacing w:line="36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highlight w:val="none"/>
              </w:rPr>
              <w:t>污水处理工艺流程详见图</w:t>
            </w:r>
            <w:r>
              <w:rPr>
                <w:rFonts w:hint="eastAsia" w:cs="Times New Roman"/>
                <w:color w:val="auto"/>
                <w:sz w:val="24"/>
                <w:highlight w:val="none"/>
                <w:lang w:val="en-US" w:eastAsia="zh-CN"/>
              </w:rPr>
              <w:t>4.2-1</w:t>
            </w:r>
            <w:r>
              <w:rPr>
                <w:rFonts w:hint="default" w:ascii="Times New Roman" w:hAnsi="Times New Roman" w:eastAsia="宋体" w:cs="Times New Roman"/>
                <w:color w:val="auto"/>
                <w:sz w:val="24"/>
                <w:szCs w:val="22"/>
                <w:highlight w:val="none"/>
              </w:rPr>
              <w:t>。</w:t>
            </w:r>
          </w:p>
          <w:p w14:paraId="6F848E1D">
            <w:pPr>
              <w:pStyle w:val="2"/>
              <w:jc w:val="center"/>
              <w:rPr>
                <w:rFonts w:hint="eastAsia" w:ascii="Times New Roman" w:hAnsi="Times New Roman" w:eastAsia="黑体" w:cs="Times New Roman"/>
                <w:color w:val="auto"/>
                <w:highlight w:val="none"/>
                <w:lang w:eastAsia="zh-CN"/>
              </w:rPr>
            </w:pPr>
            <w:r>
              <w:rPr>
                <w:rFonts w:hint="default"/>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988060</wp:posOffset>
                      </wp:positionH>
                      <wp:positionV relativeFrom="paragraph">
                        <wp:posOffset>3252470</wp:posOffset>
                      </wp:positionV>
                      <wp:extent cx="3516630" cy="309245"/>
                      <wp:effectExtent l="0" t="0" r="0" b="0"/>
                      <wp:wrapNone/>
                      <wp:docPr id="7" name="文本框 7"/>
                      <wp:cNvGraphicFramePr/>
                      <a:graphic xmlns:a="http://schemas.openxmlformats.org/drawingml/2006/main">
                        <a:graphicData uri="http://schemas.microsoft.com/office/word/2010/wordprocessingShape">
                          <wps:wsp>
                            <wps:cNvSpPr txBox="1"/>
                            <wps:spPr>
                              <a:xfrm>
                                <a:off x="0" y="0"/>
                                <a:ext cx="3516630" cy="309245"/>
                              </a:xfrm>
                              <a:prstGeom prst="rect">
                                <a:avLst/>
                              </a:prstGeom>
                              <a:noFill/>
                              <a:ln w="15875">
                                <a:noFill/>
                              </a:ln>
                            </wps:spPr>
                            <wps:txbx>
                              <w:txbxContent>
                                <w:p w14:paraId="3BCAAD5E">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w:t>
                                  </w:r>
                                  <w:r>
                                    <w:rPr>
                                      <w:rFonts w:hint="eastAsia" w:ascii="Times New Roman" w:hAnsi="Times New Roman" w:eastAsia="宋体" w:cs="Times New Roman"/>
                                      <w:b/>
                                      <w:bCs/>
                                      <w:sz w:val="24"/>
                                      <w:szCs w:val="24"/>
                                      <w:lang w:val="en-US" w:eastAsia="zh-CN"/>
                                    </w:rPr>
                                    <w:t>4.</w:t>
                                  </w:r>
                                  <w:r>
                                    <w:rPr>
                                      <w:rFonts w:hint="eastAsia" w:eastAsia="宋体" w:cs="Times New Roman"/>
                                      <w:b/>
                                      <w:bCs/>
                                      <w:sz w:val="24"/>
                                      <w:szCs w:val="24"/>
                                      <w:lang w:val="en-US" w:eastAsia="zh-CN"/>
                                    </w:rPr>
                                    <w:t>2</w:t>
                                  </w:r>
                                  <w:r>
                                    <w:rPr>
                                      <w:rFonts w:hint="eastAsia" w:ascii="Times New Roman" w:hAnsi="Times New Roman" w:eastAsia="宋体" w:cs="Times New Roman"/>
                                      <w:b/>
                                      <w:bCs/>
                                      <w:sz w:val="24"/>
                                      <w:szCs w:val="24"/>
                                      <w:lang w:val="en-US" w:eastAsia="zh-CN"/>
                                    </w:rPr>
                                    <w:t xml:space="preserve">-1  </w:t>
                                  </w:r>
                                  <w:r>
                                    <w:rPr>
                                      <w:rFonts w:hint="default" w:ascii="Times New Roman" w:hAnsi="Times New Roman" w:eastAsia="宋体" w:cs="Times New Roman"/>
                                      <w:b/>
                                      <w:bCs/>
                                      <w:sz w:val="24"/>
                                      <w:szCs w:val="24"/>
                                    </w:rPr>
                                    <w:t>污水处理厂处理工艺流程图</w:t>
                                  </w:r>
                                </w:p>
                              </w:txbxContent>
                            </wps:txbx>
                            <wps:bodyPr upright="1"/>
                          </wps:wsp>
                        </a:graphicData>
                      </a:graphic>
                    </wp:anchor>
                  </w:drawing>
                </mc:Choice>
                <mc:Fallback>
                  <w:pict>
                    <v:shape id="_x0000_s1026" o:spid="_x0000_s1026" o:spt="202" type="#_x0000_t202" style="position:absolute;left:0pt;margin-left:77.8pt;margin-top:256.1pt;height:24.35pt;width:276.9pt;z-index:251665408;mso-width-relative:page;mso-height-relative:page;" filled="f" stroked="f" coordsize="21600,21600" o:gfxdata="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2eAD3QAAAAsBAAAPAAAAAAAAAAEAIAAAACIAAABkcnMvZG93bnJldi54bWxQSwEC&#10;FAAUAAAACACHTuJACaAESbYBAABYAwAADgAAAAAAAAABACAAAAAsAQAAZHJzL2Uyb0RvYy54bWxQ&#10;SwUGAAAAAAYABgBZAQAAVAUAAAAA&#10;">
                      <v:fill on="f" focussize="0,0"/>
                      <v:stroke on="f" weight="1.25pt"/>
                      <v:imagedata o:title=""/>
                      <o:lock v:ext="edit" aspectratio="f"/>
                      <v:textbox>
                        <w:txbxContent>
                          <w:p w14:paraId="3BCAAD5E">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w:t>
                            </w:r>
                            <w:r>
                              <w:rPr>
                                <w:rFonts w:hint="eastAsia" w:ascii="Times New Roman" w:hAnsi="Times New Roman" w:eastAsia="宋体" w:cs="Times New Roman"/>
                                <w:b/>
                                <w:bCs/>
                                <w:sz w:val="24"/>
                                <w:szCs w:val="24"/>
                                <w:lang w:val="en-US" w:eastAsia="zh-CN"/>
                              </w:rPr>
                              <w:t>4.</w:t>
                            </w:r>
                            <w:r>
                              <w:rPr>
                                <w:rFonts w:hint="eastAsia" w:eastAsia="宋体" w:cs="Times New Roman"/>
                                <w:b/>
                                <w:bCs/>
                                <w:sz w:val="24"/>
                                <w:szCs w:val="24"/>
                                <w:lang w:val="en-US" w:eastAsia="zh-CN"/>
                              </w:rPr>
                              <w:t>2</w:t>
                            </w:r>
                            <w:r>
                              <w:rPr>
                                <w:rFonts w:hint="eastAsia" w:ascii="Times New Roman" w:hAnsi="Times New Roman" w:eastAsia="宋体" w:cs="Times New Roman"/>
                                <w:b/>
                                <w:bCs/>
                                <w:sz w:val="24"/>
                                <w:szCs w:val="24"/>
                                <w:lang w:val="en-US" w:eastAsia="zh-CN"/>
                              </w:rPr>
                              <w:t xml:space="preserve">-1  </w:t>
                            </w:r>
                            <w:r>
                              <w:rPr>
                                <w:rFonts w:hint="default" w:ascii="Times New Roman" w:hAnsi="Times New Roman" w:eastAsia="宋体" w:cs="Times New Roman"/>
                                <w:b/>
                                <w:bCs/>
                                <w:sz w:val="24"/>
                                <w:szCs w:val="24"/>
                              </w:rPr>
                              <w:t>污水处理厂处理工艺流程图</w:t>
                            </w:r>
                          </w:p>
                        </w:txbxContent>
                      </v:textbox>
                    </v:shape>
                  </w:pict>
                </mc:Fallback>
              </mc:AlternateContent>
            </w:r>
            <w:r>
              <w:rPr>
                <w:color w:val="auto"/>
                <w:highlight w:val="none"/>
              </w:rPr>
              <w:drawing>
                <wp:inline distT="0" distB="0" distL="114300" distR="114300">
                  <wp:extent cx="5594985" cy="3249930"/>
                  <wp:effectExtent l="0" t="0" r="5715" b="7620"/>
                  <wp:docPr id="4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
                          <pic:cNvPicPr>
                            <a:picLocks noChangeAspect="1"/>
                          </pic:cNvPicPr>
                        </pic:nvPicPr>
                        <pic:blipFill>
                          <a:blip r:embed="rId18"/>
                          <a:stretch>
                            <a:fillRect/>
                          </a:stretch>
                        </pic:blipFill>
                        <pic:spPr>
                          <a:xfrm>
                            <a:off x="0" y="0"/>
                            <a:ext cx="5594985" cy="3249930"/>
                          </a:xfrm>
                          <a:prstGeom prst="rect">
                            <a:avLst/>
                          </a:prstGeom>
                          <a:noFill/>
                          <a:ln>
                            <a:noFill/>
                          </a:ln>
                        </pic:spPr>
                      </pic:pic>
                    </a:graphicData>
                  </a:graphic>
                </wp:inline>
              </w:drawing>
            </w:r>
          </w:p>
          <w:p w14:paraId="5F04770D">
            <w:pPr>
              <w:pStyle w:val="147"/>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lang w:val="en-US" w:eastAsia="zh-CN" w:bidi="he-IL"/>
              </w:rPr>
            </w:pPr>
            <w:r>
              <w:rPr>
                <w:rFonts w:hint="eastAsia" w:ascii="Times New Roman" w:hAnsi="Times New Roman" w:cs="Times New Roman"/>
                <w:color w:val="auto"/>
                <w:highlight w:val="none"/>
                <w:lang w:val="en-US" w:eastAsia="zh-CN" w:bidi="he-IL"/>
              </w:rPr>
              <w:t>依托可行性分析</w:t>
            </w:r>
          </w:p>
          <w:p w14:paraId="6C909B31">
            <w:pPr>
              <w:pStyle w:val="147"/>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lang w:val="en-US" w:eastAsia="zh-CN" w:bidi="he-IL"/>
              </w:rPr>
            </w:pPr>
            <w:r>
              <w:rPr>
                <w:rFonts w:hint="default" w:ascii="Times New Roman" w:hAnsi="Times New Roman" w:cs="Times New Roman"/>
                <w:b w:val="0"/>
                <w:bCs w:val="0"/>
                <w:color w:val="auto"/>
                <w:highlight w:val="none"/>
                <w:lang w:eastAsia="zh-CN" w:bidi="he-IL"/>
              </w:rPr>
              <w:t>①接管可行性</w:t>
            </w:r>
          </w:p>
          <w:p w14:paraId="19AFAC41">
            <w:pPr>
              <w:pStyle w:val="145"/>
              <w:rPr>
                <w:rFonts w:hint="default" w:ascii="Times New Roman" w:hAnsi="Times New Roman" w:cs="Times New Roman"/>
                <w:color w:val="auto"/>
                <w:highlight w:val="none"/>
                <w:lang w:eastAsia="zh-CN"/>
              </w:rPr>
            </w:pPr>
            <w:r>
              <w:rPr>
                <w:rFonts w:hint="eastAsia" w:ascii="Times New Roman" w:hAnsi="Times New Roman" w:cs="Times New Roman"/>
                <w:color w:val="auto"/>
                <w:sz w:val="24"/>
                <w:highlight w:val="none"/>
                <w:lang w:eastAsia="zh-CN"/>
              </w:rPr>
              <w:t>闽侯县城关污水处理厂</w:t>
            </w:r>
            <w:r>
              <w:rPr>
                <w:rFonts w:hint="default" w:ascii="Times New Roman" w:hAnsi="Times New Roman" w:cs="Times New Roman"/>
                <w:color w:val="auto"/>
                <w:highlight w:val="none"/>
                <w:lang w:bidi="he-IL"/>
              </w:rPr>
              <w:t>主要负责</w:t>
            </w:r>
            <w:r>
              <w:rPr>
                <w:rFonts w:hint="default" w:ascii="Times New Roman" w:hAnsi="Times New Roman" w:eastAsia="宋体" w:cs="Times New Roman"/>
                <w:color w:val="auto"/>
                <w:sz w:val="24"/>
                <w:highlight w:val="none"/>
              </w:rPr>
              <w:t>现状服务范围为甘蔗片区</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闽侯县城区及</w:t>
            </w:r>
            <w:r>
              <w:rPr>
                <w:rFonts w:hint="default" w:ascii="Times New Roman" w:hAnsi="Times New Roman" w:cs="Times New Roman"/>
                <w:color w:val="auto"/>
                <w:sz w:val="24"/>
                <w:highlight w:val="none"/>
                <w:lang w:eastAsia="zh-CN"/>
              </w:rPr>
              <w:t>闽侯县甘蔗街道闽侯经济技术开发区</w:t>
            </w:r>
            <w:r>
              <w:rPr>
                <w:rFonts w:hint="default" w:ascii="Times New Roman" w:hAnsi="Times New Roman" w:eastAsia="宋体" w:cs="Times New Roman"/>
                <w:color w:val="auto"/>
                <w:sz w:val="24"/>
                <w:highlight w:val="none"/>
              </w:rPr>
              <w:t>一、二期废水</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，本项目位于</w:t>
            </w:r>
            <w:r>
              <w:rPr>
                <w:rFonts w:hint="default" w:ascii="Times New Roman" w:hAnsi="Times New Roman" w:cs="Times New Roman"/>
                <w:color w:val="auto"/>
                <w:sz w:val="24"/>
                <w:highlight w:val="none"/>
                <w:lang w:eastAsia="zh-CN"/>
              </w:rPr>
              <w:t>闽侯经济技术开发区</w:t>
            </w:r>
            <w:r>
              <w:rPr>
                <w:rFonts w:hint="eastAsia" w:ascii="Times New Roman" w:hAnsi="Times New Roman" w:cs="Times New Roman"/>
                <w:color w:val="auto"/>
                <w:sz w:val="24"/>
                <w:highlight w:val="none"/>
                <w:lang w:val="en-US" w:eastAsia="zh-CN"/>
              </w:rPr>
              <w:t>一期延伸区内</w:t>
            </w:r>
            <w:r>
              <w:rPr>
                <w:rFonts w:hint="default" w:ascii="Times New Roman" w:hAnsi="Times New Roman" w:cs="Times New Roman"/>
                <w:color w:val="auto"/>
                <w:sz w:val="24"/>
                <w:highlight w:val="none"/>
                <w:lang w:eastAsia="zh-CN"/>
              </w:rPr>
              <w:t>，属于</w:t>
            </w:r>
            <w:r>
              <w:rPr>
                <w:rFonts w:hint="eastAsia" w:ascii="Times New Roman" w:hAnsi="Times New Roman" w:cs="Times New Roman"/>
                <w:color w:val="auto"/>
                <w:sz w:val="24"/>
                <w:highlight w:val="none"/>
                <w:lang w:eastAsia="zh-CN"/>
              </w:rPr>
              <w:t>闽侯县城关污水处理厂</w:t>
            </w:r>
            <w:r>
              <w:rPr>
                <w:rFonts w:hint="default" w:ascii="Times New Roman" w:hAnsi="Times New Roman" w:cs="Times New Roman"/>
                <w:color w:val="auto"/>
                <w:sz w:val="24"/>
                <w:highlight w:val="none"/>
                <w:lang w:eastAsia="zh-CN"/>
              </w:rPr>
              <w:t>服务范围内，</w:t>
            </w:r>
            <w:r>
              <w:rPr>
                <w:rFonts w:hint="default" w:ascii="Times New Roman" w:hAnsi="Times New Roman" w:cs="Times New Roman"/>
                <w:color w:val="auto"/>
                <w:highlight w:val="none"/>
                <w:lang w:bidi="he-IL"/>
              </w:rPr>
              <w:t>根据现场勘查</w:t>
            </w:r>
            <w:r>
              <w:rPr>
                <w:rFonts w:hint="default" w:ascii="Times New Roman" w:hAnsi="Times New Roman" w:cs="Times New Roman"/>
                <w:color w:val="auto"/>
                <w:highlight w:val="none"/>
                <w:lang w:eastAsia="zh-CN" w:bidi="he-IL"/>
              </w:rPr>
              <w:t>，目前市政污水管网已经铺设完成并已经投入正常运行</w:t>
            </w:r>
            <w:r>
              <w:rPr>
                <w:rFonts w:hint="default" w:ascii="Times New Roman" w:hAnsi="Times New Roman" w:cs="Times New Roman"/>
                <w:color w:val="auto"/>
                <w:highlight w:val="none"/>
                <w:lang w:eastAsia="zh-CN"/>
              </w:rPr>
              <w:t>。</w:t>
            </w:r>
          </w:p>
          <w:p w14:paraId="5C7D767B">
            <w:pPr>
              <w:pStyle w:val="14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w:t>
            </w:r>
            <w:r>
              <w:rPr>
                <w:rFonts w:hint="eastAsia" w:ascii="Times New Roman" w:hAnsi="Times New Roman" w:cs="Times New Roman"/>
                <w:color w:val="auto"/>
                <w:highlight w:val="none"/>
                <w:lang w:eastAsia="zh-CN"/>
              </w:rPr>
              <w:t>水质负荷</w:t>
            </w:r>
          </w:p>
          <w:p w14:paraId="11987893">
            <w:pPr>
              <w:pStyle w:val="145"/>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根据</w:t>
            </w:r>
            <w:r>
              <w:rPr>
                <w:rFonts w:hint="eastAsia" w:ascii="Times New Roman" w:hAnsi="Times New Roman" w:cs="Times New Roman"/>
                <w:color w:val="auto"/>
                <w:highlight w:val="none"/>
                <w:lang w:val="en-US" w:eastAsia="zh-CN"/>
              </w:rPr>
              <w:t>前文</w:t>
            </w:r>
            <w:r>
              <w:rPr>
                <w:rFonts w:hint="default" w:ascii="Times New Roman" w:hAnsi="Times New Roman" w:cs="Times New Roman"/>
                <w:color w:val="auto"/>
                <w:highlight w:val="none"/>
                <w:lang w:eastAsia="zh-CN"/>
              </w:rPr>
              <w:t>预测可知，项目</w:t>
            </w:r>
            <w:r>
              <w:rPr>
                <w:rFonts w:hint="eastAsia" w:ascii="Times New Roman" w:hAnsi="Times New Roman" w:cs="Times New Roman"/>
                <w:color w:val="auto"/>
                <w:highlight w:val="none"/>
                <w:lang w:val="en-US" w:eastAsia="zh-CN"/>
              </w:rPr>
              <w:t>生活污水</w:t>
            </w:r>
            <w:r>
              <w:rPr>
                <w:rFonts w:hint="default" w:ascii="Times New Roman" w:hAnsi="Times New Roman" w:cs="Times New Roman"/>
                <w:color w:val="auto"/>
                <w:highlight w:val="none"/>
                <w:lang w:eastAsia="zh-CN"/>
              </w:rPr>
              <w:t>经预处理后</w:t>
            </w:r>
            <w:r>
              <w:rPr>
                <w:rFonts w:hint="eastAsia" w:ascii="Times New Roman" w:hAnsi="Times New Roman" w:cs="Times New Roman"/>
                <w:color w:val="auto"/>
                <w:highlight w:val="none"/>
                <w:lang w:eastAsia="zh-CN"/>
              </w:rPr>
              <w:t>排入厂区污水管网</w:t>
            </w:r>
            <w:r>
              <w:rPr>
                <w:rFonts w:hint="eastAsia" w:ascii="Times New Roman" w:hAnsi="Times New Roman" w:cs="Times New Roman"/>
                <w:color w:val="auto"/>
                <w:highlight w:val="none"/>
                <w:lang w:val="en-US" w:eastAsia="zh-CN"/>
              </w:rPr>
              <w:t>各主要</w:t>
            </w:r>
            <w:r>
              <w:rPr>
                <w:rFonts w:hint="default" w:ascii="Times New Roman" w:hAnsi="Times New Roman" w:cs="Times New Roman"/>
                <w:color w:val="auto"/>
                <w:highlight w:val="none"/>
                <w:lang w:eastAsia="zh-CN"/>
              </w:rPr>
              <w:t>污染物排放浓度情况表</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2-8</w:t>
            </w:r>
            <w:r>
              <w:rPr>
                <w:rFonts w:hint="default" w:ascii="Times New Roman" w:hAnsi="Times New Roman" w:cs="Times New Roman"/>
                <w:color w:val="auto"/>
                <w:highlight w:val="none"/>
                <w:lang w:eastAsia="zh-CN"/>
              </w:rPr>
              <w:t>。</w:t>
            </w:r>
          </w:p>
          <w:p w14:paraId="1EFBC37D">
            <w:pPr>
              <w:pStyle w:val="1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val="en-US" w:eastAsia="zh-CN"/>
              </w:rPr>
              <w:t>表</w:t>
            </w:r>
            <w:r>
              <w:rPr>
                <w:rFonts w:hint="eastAsia"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2-8</w:t>
            </w:r>
            <w:r>
              <w:rPr>
                <w:rFonts w:hint="default" w:ascii="Times New Roman" w:hAnsi="Times New Roman" w:eastAsia="宋体" w:cs="Times New Roman"/>
                <w:b/>
                <w:bCs/>
                <w:color w:val="auto"/>
                <w:highlight w:val="none"/>
                <w:lang w:eastAsia="zh-CN"/>
              </w:rPr>
              <w:t xml:space="preserve">  本项目</w:t>
            </w:r>
            <w:r>
              <w:rPr>
                <w:rFonts w:hint="eastAsia" w:ascii="Times New Roman" w:hAnsi="Times New Roman" w:eastAsia="宋体" w:cs="Times New Roman"/>
                <w:b/>
                <w:bCs/>
                <w:color w:val="auto"/>
                <w:highlight w:val="none"/>
                <w:lang w:val="en-US" w:eastAsia="zh-CN"/>
              </w:rPr>
              <w:t>生活污水</w:t>
            </w:r>
            <w:r>
              <w:rPr>
                <w:rFonts w:hint="default" w:ascii="Times New Roman" w:hAnsi="Times New Roman" w:eastAsia="宋体" w:cs="Times New Roman"/>
                <w:b/>
                <w:bCs/>
                <w:color w:val="auto"/>
                <w:highlight w:val="none"/>
                <w:lang w:eastAsia="zh-CN"/>
              </w:rPr>
              <w:t xml:space="preserve">排放情况一览表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eastAsia="zh-CN"/>
              </w:rPr>
              <w:t>单位：mg/L(</w:t>
            </w:r>
            <w:r>
              <w:rPr>
                <w:rFonts w:hint="default" w:ascii="Times New Roman" w:hAnsi="Times New Roman" w:eastAsia="宋体" w:cs="Times New Roman"/>
                <w:b/>
                <w:bCs/>
                <w:color w:val="auto"/>
                <w:highlight w:val="none"/>
                <w:lang w:val="en-US" w:eastAsia="zh-CN"/>
              </w:rPr>
              <w:t>pH</w:t>
            </w:r>
            <w:r>
              <w:rPr>
                <w:rFonts w:hint="default" w:ascii="Times New Roman" w:hAnsi="Times New Roman" w:eastAsia="宋体" w:cs="Times New Roman"/>
                <w:b/>
                <w:bCs/>
                <w:color w:val="auto"/>
                <w:highlight w:val="none"/>
                <w:lang w:eastAsia="zh-CN"/>
              </w:rPr>
              <w:t>除外)</w:t>
            </w:r>
          </w:p>
          <w:tbl>
            <w:tblPr>
              <w:tblStyle w:val="2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131"/>
              <w:gridCol w:w="1261"/>
              <w:gridCol w:w="1196"/>
              <w:gridCol w:w="1392"/>
              <w:gridCol w:w="1230"/>
              <w:gridCol w:w="1062"/>
            </w:tblGrid>
            <w:tr w14:paraId="74A8CA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pct"/>
                  <w:tcBorders>
                    <w:tl2br w:val="nil"/>
                    <w:tr2bl w:val="nil"/>
                  </w:tcBorders>
                  <w:noWrap w:val="0"/>
                  <w:vAlign w:val="center"/>
                </w:tcPr>
                <w:p w14:paraId="18DC1EAD">
                  <w:pPr>
                    <w:keepNext w:val="0"/>
                    <w:keepLines w:val="0"/>
                    <w:pageBreakBefore w:val="0"/>
                    <w:widowControl/>
                    <w:kinsoku/>
                    <w:wordWrap/>
                    <w:overflowPunct/>
                    <w:topLinePunct w:val="0"/>
                    <w:autoSpaceDE w:val="0"/>
                    <w:autoSpaceDN w:val="0"/>
                    <w:bidi w:val="0"/>
                    <w:adjustRightInd w:val="0"/>
                    <w:snapToGrid w:val="0"/>
                    <w:spacing w:line="240" w:lineRule="auto"/>
                    <w:jc w:val="right"/>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 xml:space="preserve">  </w:t>
                  </w:r>
                  <w:r>
                    <w:rPr>
                      <w:rFonts w:hint="default" w:ascii="Times New Roman" w:hAnsi="Times New Roman" w:eastAsia="宋体" w:cs="Times New Roman"/>
                      <w:b/>
                      <w:bCs/>
                      <w:color w:val="auto"/>
                      <w:kern w:val="0"/>
                      <w:sz w:val="21"/>
                      <w:szCs w:val="21"/>
                      <w:highlight w:val="none"/>
                    </w:rPr>
                    <w:t>项目</w:t>
                  </w:r>
                </w:p>
                <w:p w14:paraId="0318E2E8">
                  <w:pPr>
                    <w:keepNext w:val="0"/>
                    <w:keepLines w:val="0"/>
                    <w:pageBreakBefore w:val="0"/>
                    <w:widowControl/>
                    <w:kinsoku/>
                    <w:wordWrap/>
                    <w:overflowPunct/>
                    <w:topLinePunct w:val="0"/>
                    <w:autoSpaceDE w:val="0"/>
                    <w:autoSpaceDN w:val="0"/>
                    <w:bidi w:val="0"/>
                    <w:adjustRightInd w:val="0"/>
                    <w:snapToGrid w:val="0"/>
                    <w:spacing w:line="240" w:lineRule="auto"/>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w:t>
                  </w:r>
                </w:p>
              </w:tc>
              <w:tc>
                <w:tcPr>
                  <w:tcW w:w="641" w:type="pct"/>
                  <w:tcBorders>
                    <w:tl2br w:val="nil"/>
                    <w:tr2bl w:val="nil"/>
                  </w:tcBorders>
                  <w:noWrap w:val="0"/>
                  <w:vAlign w:val="center"/>
                </w:tcPr>
                <w:p w14:paraId="6094D41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eastAsia="zh-CN"/>
                    </w:rPr>
                    <w:t>污水</w:t>
                  </w:r>
                  <w:r>
                    <w:rPr>
                      <w:rFonts w:hint="default" w:ascii="Times New Roman" w:hAnsi="Times New Roman" w:eastAsia="宋体" w:cs="Times New Roman"/>
                      <w:b/>
                      <w:bCs/>
                      <w:color w:val="auto"/>
                      <w:kern w:val="0"/>
                      <w:sz w:val="21"/>
                      <w:szCs w:val="21"/>
                      <w:highlight w:val="none"/>
                    </w:rPr>
                    <w:t>排</w:t>
                  </w:r>
                </w:p>
                <w:p w14:paraId="5078527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放量</w:t>
                  </w:r>
                </w:p>
              </w:tc>
              <w:tc>
                <w:tcPr>
                  <w:tcW w:w="715" w:type="pct"/>
                  <w:tcBorders>
                    <w:tl2br w:val="nil"/>
                    <w:tr2bl w:val="nil"/>
                  </w:tcBorders>
                  <w:noWrap w:val="0"/>
                  <w:vAlign w:val="center"/>
                </w:tcPr>
                <w:p w14:paraId="2AB6104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污水产生</w:t>
                  </w:r>
                </w:p>
                <w:p w14:paraId="0B01319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浓度</w:t>
                  </w:r>
                </w:p>
              </w:tc>
              <w:tc>
                <w:tcPr>
                  <w:tcW w:w="678" w:type="pct"/>
                  <w:tcBorders>
                    <w:tl2br w:val="nil"/>
                    <w:tr2bl w:val="nil"/>
                  </w:tcBorders>
                  <w:noWrap w:val="0"/>
                  <w:vAlign w:val="center"/>
                </w:tcPr>
                <w:p w14:paraId="4B0374E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eastAsia="zh-CN"/>
                    </w:rPr>
                    <w:t>污水排放浓</w:t>
                  </w:r>
                  <w:r>
                    <w:rPr>
                      <w:rFonts w:hint="default" w:ascii="Times New Roman" w:hAnsi="Times New Roman" w:eastAsia="宋体" w:cs="Times New Roman"/>
                      <w:b/>
                      <w:bCs/>
                      <w:color w:val="auto"/>
                      <w:kern w:val="0"/>
                      <w:sz w:val="21"/>
                      <w:szCs w:val="21"/>
                      <w:highlight w:val="none"/>
                    </w:rPr>
                    <w:t>度</w:t>
                  </w:r>
                </w:p>
              </w:tc>
              <w:tc>
                <w:tcPr>
                  <w:tcW w:w="789" w:type="pct"/>
                  <w:tcBorders>
                    <w:tl2br w:val="nil"/>
                    <w:tr2bl w:val="nil"/>
                  </w:tcBorders>
                  <w:noWrap w:val="0"/>
                  <w:vAlign w:val="center"/>
                </w:tcPr>
                <w:p w14:paraId="0066875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污水处理厂进水水质</w:t>
                  </w:r>
                </w:p>
              </w:tc>
              <w:tc>
                <w:tcPr>
                  <w:tcW w:w="697" w:type="pct"/>
                  <w:tcBorders>
                    <w:tl2br w:val="nil"/>
                    <w:tr2bl w:val="nil"/>
                  </w:tcBorders>
                  <w:noWrap w:val="0"/>
                  <w:vAlign w:val="center"/>
                </w:tcPr>
                <w:p w14:paraId="549F4CE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排放标准</w:t>
                  </w:r>
                </w:p>
                <w:p w14:paraId="31B60ED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限值</w:t>
                  </w:r>
                </w:p>
              </w:tc>
              <w:tc>
                <w:tcPr>
                  <w:tcW w:w="602" w:type="pct"/>
                  <w:tcBorders>
                    <w:tl2br w:val="nil"/>
                    <w:tr2bl w:val="nil"/>
                  </w:tcBorders>
                  <w:noWrap w:val="0"/>
                  <w:vAlign w:val="center"/>
                </w:tcPr>
                <w:p w14:paraId="5A80EBF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达标</w:t>
                  </w:r>
                </w:p>
                <w:p w14:paraId="485542A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情况</w:t>
                  </w:r>
                </w:p>
              </w:tc>
            </w:tr>
            <w:tr w14:paraId="4AFC28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pct"/>
                  <w:tcBorders>
                    <w:tl2br w:val="nil"/>
                    <w:tr2bl w:val="nil"/>
                  </w:tcBorders>
                  <w:noWrap w:val="0"/>
                  <w:vAlign w:val="center"/>
                </w:tcPr>
                <w:p w14:paraId="063979AE">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pH(无量纲)</w:t>
                  </w:r>
                </w:p>
              </w:tc>
              <w:tc>
                <w:tcPr>
                  <w:tcW w:w="641" w:type="pct"/>
                  <w:vMerge w:val="restart"/>
                  <w:tcBorders>
                    <w:tl2br w:val="nil"/>
                    <w:tr2bl w:val="nil"/>
                  </w:tcBorders>
                  <w:noWrap w:val="0"/>
                  <w:vAlign w:val="center"/>
                </w:tcPr>
                <w:p w14:paraId="02A886A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0.8</w:t>
                  </w:r>
                  <w:r>
                    <w:rPr>
                      <w:rFonts w:hint="default" w:ascii="Times New Roman" w:hAnsi="Times New Roman" w:eastAsia="宋体" w:cs="Times New Roman"/>
                      <w:color w:val="auto"/>
                      <w:kern w:val="0"/>
                      <w:sz w:val="21"/>
                      <w:szCs w:val="21"/>
                      <w:highlight w:val="none"/>
                      <w:lang w:val="en-US" w:eastAsia="zh-CN"/>
                    </w:rPr>
                    <w:t>t/d</w:t>
                  </w:r>
                </w:p>
              </w:tc>
              <w:tc>
                <w:tcPr>
                  <w:tcW w:w="715" w:type="pct"/>
                  <w:tcBorders>
                    <w:tl2br w:val="nil"/>
                    <w:tr2bl w:val="nil"/>
                  </w:tcBorders>
                  <w:noWrap w:val="0"/>
                  <w:vAlign w:val="center"/>
                </w:tcPr>
                <w:p w14:paraId="2A844EC4">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6～9</w:t>
                  </w:r>
                </w:p>
              </w:tc>
              <w:tc>
                <w:tcPr>
                  <w:tcW w:w="678" w:type="pct"/>
                  <w:tcBorders>
                    <w:tl2br w:val="nil"/>
                    <w:tr2bl w:val="nil"/>
                  </w:tcBorders>
                  <w:noWrap w:val="0"/>
                  <w:vAlign w:val="center"/>
                </w:tcPr>
                <w:p w14:paraId="091BC7B5">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6～9</w:t>
                  </w:r>
                </w:p>
              </w:tc>
              <w:tc>
                <w:tcPr>
                  <w:tcW w:w="789" w:type="pct"/>
                  <w:tcBorders>
                    <w:tl2br w:val="nil"/>
                    <w:tr2bl w:val="nil"/>
                  </w:tcBorders>
                  <w:noWrap w:val="0"/>
                  <w:vAlign w:val="center"/>
                </w:tcPr>
                <w:p w14:paraId="54E72F5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6～9</w:t>
                  </w:r>
                </w:p>
              </w:tc>
              <w:tc>
                <w:tcPr>
                  <w:tcW w:w="697" w:type="pct"/>
                  <w:tcBorders>
                    <w:tl2br w:val="nil"/>
                    <w:tr2bl w:val="nil"/>
                  </w:tcBorders>
                  <w:noWrap w:val="0"/>
                  <w:vAlign w:val="center"/>
                </w:tcPr>
                <w:p w14:paraId="414820D2">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6～9</w:t>
                  </w:r>
                </w:p>
              </w:tc>
              <w:tc>
                <w:tcPr>
                  <w:tcW w:w="602" w:type="pct"/>
                  <w:tcBorders>
                    <w:tl2br w:val="nil"/>
                    <w:tr2bl w:val="nil"/>
                  </w:tcBorders>
                  <w:noWrap w:val="0"/>
                  <w:vAlign w:val="center"/>
                </w:tcPr>
                <w:p w14:paraId="7231944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达标</w:t>
                  </w:r>
                </w:p>
              </w:tc>
            </w:tr>
            <w:tr w14:paraId="1B2D40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pct"/>
                  <w:tcBorders>
                    <w:tl2br w:val="nil"/>
                    <w:tr2bl w:val="nil"/>
                  </w:tcBorders>
                  <w:noWrap w:val="0"/>
                  <w:vAlign w:val="center"/>
                </w:tcPr>
                <w:p w14:paraId="4C280064">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COD</w:t>
                  </w:r>
                  <w:r>
                    <w:rPr>
                      <w:rFonts w:hint="eastAsia" w:cs="Times New Roman"/>
                      <w:color w:val="auto"/>
                      <w:sz w:val="21"/>
                      <w:szCs w:val="21"/>
                      <w:highlight w:val="none"/>
                      <w:vertAlign w:val="subscript"/>
                      <w:lang w:val="en-US" w:eastAsia="zh-CN"/>
                    </w:rPr>
                    <w:t>Cr</w:t>
                  </w:r>
                </w:p>
              </w:tc>
              <w:tc>
                <w:tcPr>
                  <w:tcW w:w="641" w:type="pct"/>
                  <w:vMerge w:val="continue"/>
                  <w:tcBorders>
                    <w:tl2br w:val="nil"/>
                    <w:tr2bl w:val="nil"/>
                  </w:tcBorders>
                  <w:noWrap w:val="0"/>
                  <w:vAlign w:val="center"/>
                </w:tcPr>
                <w:p w14:paraId="634185B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rPr>
                  </w:pPr>
                </w:p>
              </w:tc>
              <w:tc>
                <w:tcPr>
                  <w:tcW w:w="715" w:type="pct"/>
                  <w:tcBorders>
                    <w:tl2br w:val="nil"/>
                    <w:tr2bl w:val="nil"/>
                  </w:tcBorders>
                  <w:noWrap w:val="0"/>
                  <w:vAlign w:val="center"/>
                </w:tcPr>
                <w:p w14:paraId="2CC4CDE8">
                  <w:pPr>
                    <w:keepNext/>
                    <w:keepLines/>
                    <w:pageBreakBefore w:val="0"/>
                    <w:widowControl/>
                    <w:suppressLineNumbers w:val="0"/>
                    <w:kinsoku/>
                    <w:wordWrap w:val="0"/>
                    <w:overflowPunct/>
                    <w:topLinePunct/>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340</w:t>
                  </w:r>
                </w:p>
              </w:tc>
              <w:tc>
                <w:tcPr>
                  <w:tcW w:w="1196" w:type="dxa"/>
                  <w:tcBorders>
                    <w:tl2br w:val="nil"/>
                    <w:tr2bl w:val="nil"/>
                  </w:tcBorders>
                  <w:noWrap w:val="0"/>
                  <w:vAlign w:val="center"/>
                </w:tcPr>
                <w:p w14:paraId="35C938D3">
                  <w:pPr>
                    <w:keepNext/>
                    <w:keepLines/>
                    <w:pageBreakBefore w:val="0"/>
                    <w:widowControl/>
                    <w:suppressLineNumbers w:val="0"/>
                    <w:kinsoku/>
                    <w:wordWrap w:val="0"/>
                    <w:overflowPunct/>
                    <w:topLinePunct/>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136</w:t>
                  </w:r>
                </w:p>
              </w:tc>
              <w:tc>
                <w:tcPr>
                  <w:tcW w:w="789" w:type="pct"/>
                  <w:tcBorders>
                    <w:tl2br w:val="nil"/>
                    <w:tr2bl w:val="nil"/>
                  </w:tcBorders>
                  <w:noWrap w:val="0"/>
                  <w:vAlign w:val="center"/>
                </w:tcPr>
                <w:p w14:paraId="159A5F74">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697" w:type="pct"/>
                  <w:tcBorders>
                    <w:tl2br w:val="nil"/>
                    <w:tr2bl w:val="nil"/>
                  </w:tcBorders>
                  <w:noWrap w:val="0"/>
                  <w:vAlign w:val="center"/>
                </w:tcPr>
                <w:p w14:paraId="5B0ECDD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500</w:t>
                  </w:r>
                </w:p>
              </w:tc>
              <w:tc>
                <w:tcPr>
                  <w:tcW w:w="602" w:type="pct"/>
                  <w:tcBorders>
                    <w:tl2br w:val="nil"/>
                    <w:tr2bl w:val="nil"/>
                  </w:tcBorders>
                  <w:noWrap w:val="0"/>
                  <w:vAlign w:val="center"/>
                </w:tcPr>
                <w:p w14:paraId="78A07CF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3433DD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pct"/>
                  <w:tcBorders>
                    <w:tl2br w:val="nil"/>
                    <w:tr2bl w:val="nil"/>
                  </w:tcBorders>
                  <w:noWrap w:val="0"/>
                  <w:vAlign w:val="center"/>
                </w:tcPr>
                <w:p w14:paraId="24470641">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641" w:type="pct"/>
                  <w:vMerge w:val="continue"/>
                  <w:tcBorders>
                    <w:tl2br w:val="nil"/>
                    <w:tr2bl w:val="nil"/>
                  </w:tcBorders>
                  <w:noWrap w:val="0"/>
                  <w:vAlign w:val="center"/>
                </w:tcPr>
                <w:p w14:paraId="42CD09C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rPr>
                  </w:pPr>
                </w:p>
              </w:tc>
              <w:tc>
                <w:tcPr>
                  <w:tcW w:w="715" w:type="pct"/>
                  <w:tcBorders>
                    <w:tl2br w:val="nil"/>
                    <w:tr2bl w:val="nil"/>
                  </w:tcBorders>
                  <w:noWrap w:val="0"/>
                  <w:vAlign w:val="center"/>
                </w:tcPr>
                <w:p w14:paraId="4082B58F">
                  <w:pPr>
                    <w:keepNext/>
                    <w:keepLines/>
                    <w:pageBreakBefore w:val="0"/>
                    <w:widowControl/>
                    <w:suppressLineNumbers w:val="0"/>
                    <w:kinsoku/>
                    <w:wordWrap w:val="0"/>
                    <w:overflowPunct/>
                    <w:topLinePunct/>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177</w:t>
                  </w:r>
                </w:p>
              </w:tc>
              <w:tc>
                <w:tcPr>
                  <w:tcW w:w="1196" w:type="dxa"/>
                  <w:tcBorders>
                    <w:tl2br w:val="nil"/>
                    <w:tr2bl w:val="nil"/>
                  </w:tcBorders>
                  <w:noWrap w:val="0"/>
                  <w:vAlign w:val="center"/>
                </w:tcPr>
                <w:p w14:paraId="117A34B2">
                  <w:pPr>
                    <w:keepNext/>
                    <w:keepLines/>
                    <w:pageBreakBefore w:val="0"/>
                    <w:widowControl/>
                    <w:suppressLineNumbers w:val="0"/>
                    <w:kinsoku/>
                    <w:wordWrap w:val="0"/>
                    <w:overflowPunct/>
                    <w:topLinePunct/>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bidi="ar"/>
                    </w:rPr>
                    <w:t>70.8</w:t>
                  </w:r>
                </w:p>
              </w:tc>
              <w:tc>
                <w:tcPr>
                  <w:tcW w:w="789" w:type="pct"/>
                  <w:tcBorders>
                    <w:tl2br w:val="nil"/>
                    <w:tr2bl w:val="nil"/>
                  </w:tcBorders>
                  <w:noWrap w:val="0"/>
                  <w:vAlign w:val="center"/>
                </w:tcPr>
                <w:p w14:paraId="513CE0D5">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c>
                <w:tcPr>
                  <w:tcW w:w="697" w:type="pct"/>
                  <w:tcBorders>
                    <w:tl2br w:val="nil"/>
                    <w:tr2bl w:val="nil"/>
                  </w:tcBorders>
                  <w:noWrap w:val="0"/>
                  <w:vAlign w:val="center"/>
                </w:tcPr>
                <w:p w14:paraId="7A567903">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300</w:t>
                  </w:r>
                </w:p>
              </w:tc>
              <w:tc>
                <w:tcPr>
                  <w:tcW w:w="602" w:type="pct"/>
                  <w:tcBorders>
                    <w:tl2br w:val="nil"/>
                    <w:tr2bl w:val="nil"/>
                  </w:tcBorders>
                  <w:noWrap w:val="0"/>
                  <w:vAlign w:val="center"/>
                </w:tcPr>
                <w:p w14:paraId="4526A21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037DBB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pct"/>
                  <w:tcBorders>
                    <w:tl2br w:val="nil"/>
                    <w:tr2bl w:val="nil"/>
                  </w:tcBorders>
                  <w:noWrap w:val="0"/>
                  <w:vAlign w:val="center"/>
                </w:tcPr>
                <w:p w14:paraId="6349BACC">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SS</w:t>
                  </w:r>
                </w:p>
              </w:tc>
              <w:tc>
                <w:tcPr>
                  <w:tcW w:w="641" w:type="pct"/>
                  <w:vMerge w:val="continue"/>
                  <w:tcBorders>
                    <w:tl2br w:val="nil"/>
                    <w:tr2bl w:val="nil"/>
                  </w:tcBorders>
                  <w:noWrap w:val="0"/>
                  <w:vAlign w:val="center"/>
                </w:tcPr>
                <w:p w14:paraId="776CD3F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rPr>
                  </w:pPr>
                </w:p>
              </w:tc>
              <w:tc>
                <w:tcPr>
                  <w:tcW w:w="715" w:type="pct"/>
                  <w:tcBorders>
                    <w:tl2br w:val="nil"/>
                    <w:tr2bl w:val="nil"/>
                  </w:tcBorders>
                  <w:noWrap w:val="0"/>
                  <w:vAlign w:val="center"/>
                </w:tcPr>
                <w:p w14:paraId="33FA6CA6">
                  <w:pPr>
                    <w:keepNext/>
                    <w:keepLines/>
                    <w:pageBreakBefore w:val="0"/>
                    <w:widowControl/>
                    <w:suppressLineNumbers w:val="0"/>
                    <w:kinsoku/>
                    <w:wordWrap w:val="0"/>
                    <w:overflowPunct/>
                    <w:topLinePunct/>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260</w:t>
                  </w:r>
                </w:p>
              </w:tc>
              <w:tc>
                <w:tcPr>
                  <w:tcW w:w="1196" w:type="dxa"/>
                  <w:tcBorders>
                    <w:tl2br w:val="nil"/>
                    <w:tr2bl w:val="nil"/>
                  </w:tcBorders>
                  <w:noWrap w:val="0"/>
                  <w:vAlign w:val="center"/>
                </w:tcPr>
                <w:p w14:paraId="5B94B5DE">
                  <w:pPr>
                    <w:keepNext/>
                    <w:keepLines/>
                    <w:pageBreakBefore w:val="0"/>
                    <w:widowControl/>
                    <w:suppressLineNumbers w:val="0"/>
                    <w:kinsoku/>
                    <w:wordWrap w:val="0"/>
                    <w:overflowPunct/>
                    <w:topLinePunct/>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52</w:t>
                  </w:r>
                </w:p>
              </w:tc>
              <w:tc>
                <w:tcPr>
                  <w:tcW w:w="789" w:type="pct"/>
                  <w:tcBorders>
                    <w:tl2br w:val="nil"/>
                    <w:tr2bl w:val="nil"/>
                  </w:tcBorders>
                  <w:noWrap w:val="0"/>
                  <w:vAlign w:val="center"/>
                </w:tcPr>
                <w:p w14:paraId="4FF6D26C">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697" w:type="pct"/>
                  <w:tcBorders>
                    <w:tl2br w:val="nil"/>
                    <w:tr2bl w:val="nil"/>
                  </w:tcBorders>
                  <w:noWrap w:val="0"/>
                  <w:vAlign w:val="center"/>
                </w:tcPr>
                <w:p w14:paraId="5847B2E2">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400</w:t>
                  </w:r>
                </w:p>
              </w:tc>
              <w:tc>
                <w:tcPr>
                  <w:tcW w:w="602" w:type="pct"/>
                  <w:tcBorders>
                    <w:tl2br w:val="nil"/>
                    <w:tr2bl w:val="nil"/>
                  </w:tcBorders>
                  <w:noWrap w:val="0"/>
                  <w:vAlign w:val="center"/>
                </w:tcPr>
                <w:p w14:paraId="6E61859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334C5C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pct"/>
                  <w:tcBorders>
                    <w:tl2br w:val="nil"/>
                    <w:tr2bl w:val="nil"/>
                  </w:tcBorders>
                  <w:noWrap w:val="0"/>
                  <w:vAlign w:val="center"/>
                </w:tcPr>
                <w:p w14:paraId="2B0547F9">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氨氮</w:t>
                  </w:r>
                </w:p>
              </w:tc>
              <w:tc>
                <w:tcPr>
                  <w:tcW w:w="641" w:type="pct"/>
                  <w:vMerge w:val="continue"/>
                  <w:tcBorders>
                    <w:tl2br w:val="nil"/>
                    <w:tr2bl w:val="nil"/>
                  </w:tcBorders>
                  <w:noWrap w:val="0"/>
                  <w:vAlign w:val="top"/>
                </w:tcPr>
                <w:p w14:paraId="0BB8429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rPr>
                  </w:pPr>
                </w:p>
              </w:tc>
              <w:tc>
                <w:tcPr>
                  <w:tcW w:w="715" w:type="pct"/>
                  <w:tcBorders>
                    <w:tl2br w:val="nil"/>
                    <w:tr2bl w:val="nil"/>
                  </w:tcBorders>
                  <w:noWrap w:val="0"/>
                  <w:vAlign w:val="center"/>
                </w:tcPr>
                <w:p w14:paraId="1A537B18">
                  <w:pPr>
                    <w:keepNext/>
                    <w:keepLines/>
                    <w:pageBreakBefore w:val="0"/>
                    <w:widowControl/>
                    <w:suppressLineNumbers w:val="0"/>
                    <w:kinsoku/>
                    <w:wordWrap w:val="0"/>
                    <w:overflowPunct/>
                    <w:topLinePunct/>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26.2</w:t>
                  </w:r>
                </w:p>
              </w:tc>
              <w:tc>
                <w:tcPr>
                  <w:tcW w:w="1196" w:type="dxa"/>
                  <w:tcBorders>
                    <w:tl2br w:val="nil"/>
                    <w:tr2bl w:val="nil"/>
                  </w:tcBorders>
                  <w:noWrap w:val="0"/>
                  <w:vAlign w:val="center"/>
                </w:tcPr>
                <w:p w14:paraId="65580E09">
                  <w:pPr>
                    <w:keepNext/>
                    <w:keepLines/>
                    <w:pageBreakBefore w:val="0"/>
                    <w:widowControl/>
                    <w:suppressLineNumbers w:val="0"/>
                    <w:kinsoku/>
                    <w:wordWrap w:val="0"/>
                    <w:overflowPunct/>
                    <w:topLinePunct/>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bidi="ar"/>
                    </w:rPr>
                    <w:t>25.4</w:t>
                  </w:r>
                </w:p>
              </w:tc>
              <w:tc>
                <w:tcPr>
                  <w:tcW w:w="789" w:type="pct"/>
                  <w:tcBorders>
                    <w:tl2br w:val="nil"/>
                    <w:tr2bl w:val="nil"/>
                  </w:tcBorders>
                  <w:noWrap w:val="0"/>
                  <w:vAlign w:val="center"/>
                </w:tcPr>
                <w:p w14:paraId="4B723E94">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697" w:type="pct"/>
                  <w:tcBorders>
                    <w:tl2br w:val="nil"/>
                    <w:tr2bl w:val="nil"/>
                  </w:tcBorders>
                  <w:noWrap w:val="0"/>
                  <w:vAlign w:val="center"/>
                </w:tcPr>
                <w:p w14:paraId="7C03D285">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45</w:t>
                  </w:r>
                </w:p>
              </w:tc>
              <w:tc>
                <w:tcPr>
                  <w:tcW w:w="602" w:type="pct"/>
                  <w:tcBorders>
                    <w:tl2br w:val="nil"/>
                    <w:tr2bl w:val="nil"/>
                  </w:tcBorders>
                  <w:noWrap w:val="0"/>
                  <w:vAlign w:val="center"/>
                </w:tcPr>
                <w:p w14:paraId="537713B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7595CE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4" w:type="dxa"/>
                  <w:tcBorders>
                    <w:tl2br w:val="nil"/>
                    <w:tr2bl w:val="nil"/>
                  </w:tcBorders>
                  <w:noWrap w:val="0"/>
                  <w:vAlign w:val="center"/>
                </w:tcPr>
                <w:p w14:paraId="2C16297E">
                  <w:pPr>
                    <w:pStyle w:val="37"/>
                    <w:pageBreakBefore w:val="0"/>
                    <w:kinsoku/>
                    <w:overflowPunct/>
                    <w:bidi w:val="0"/>
                    <w:spacing w:after="0"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0"/>
                      <w:position w:val="0"/>
                      <w:sz w:val="21"/>
                      <w:szCs w:val="21"/>
                      <w:highlight w:val="none"/>
                    </w:rPr>
                    <w:t>总氮</w:t>
                  </w:r>
                </w:p>
              </w:tc>
              <w:tc>
                <w:tcPr>
                  <w:tcW w:w="641" w:type="pct"/>
                  <w:vMerge w:val="continue"/>
                  <w:tcBorders>
                    <w:tl2br w:val="nil"/>
                    <w:tr2bl w:val="nil"/>
                  </w:tcBorders>
                  <w:noWrap w:val="0"/>
                  <w:vAlign w:val="top"/>
                </w:tcPr>
                <w:p w14:paraId="4F08C6A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rPr>
                  </w:pPr>
                </w:p>
              </w:tc>
              <w:tc>
                <w:tcPr>
                  <w:tcW w:w="715" w:type="pct"/>
                  <w:tcBorders>
                    <w:tl2br w:val="nil"/>
                    <w:tr2bl w:val="nil"/>
                  </w:tcBorders>
                  <w:noWrap w:val="0"/>
                  <w:vAlign w:val="center"/>
                </w:tcPr>
                <w:p w14:paraId="7F65D014">
                  <w:pPr>
                    <w:keepNext/>
                    <w:keepLines/>
                    <w:pageBreakBefore w:val="0"/>
                    <w:widowControl/>
                    <w:suppressLineNumbers w:val="0"/>
                    <w:kinsoku/>
                    <w:wordWrap w:val="0"/>
                    <w:overflowPunct/>
                    <w:topLinePunct/>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44.8</w:t>
                  </w:r>
                </w:p>
              </w:tc>
              <w:tc>
                <w:tcPr>
                  <w:tcW w:w="1196" w:type="dxa"/>
                  <w:tcBorders>
                    <w:tl2br w:val="nil"/>
                    <w:tr2bl w:val="nil"/>
                  </w:tcBorders>
                  <w:noWrap w:val="0"/>
                  <w:vAlign w:val="center"/>
                </w:tcPr>
                <w:p w14:paraId="2E95C09F">
                  <w:pPr>
                    <w:keepNext/>
                    <w:keepLines/>
                    <w:pageBreakBefore w:val="0"/>
                    <w:widowControl/>
                    <w:suppressLineNumbers w:val="0"/>
                    <w:kinsoku/>
                    <w:wordWrap w:val="0"/>
                    <w:overflowPunct/>
                    <w:topLinePunct/>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bidi="ar"/>
                    </w:rPr>
                    <w:t>16</w:t>
                  </w:r>
                </w:p>
              </w:tc>
              <w:tc>
                <w:tcPr>
                  <w:tcW w:w="789" w:type="pct"/>
                  <w:tcBorders>
                    <w:tl2br w:val="nil"/>
                    <w:tr2bl w:val="nil"/>
                  </w:tcBorders>
                  <w:noWrap w:val="0"/>
                  <w:vAlign w:val="center"/>
                </w:tcPr>
                <w:p w14:paraId="53A8F1B3">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697" w:type="pct"/>
                  <w:tcBorders>
                    <w:tl2br w:val="nil"/>
                    <w:tr2bl w:val="nil"/>
                  </w:tcBorders>
                  <w:noWrap w:val="0"/>
                  <w:vAlign w:val="center"/>
                </w:tcPr>
                <w:p w14:paraId="4BDF156C">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602" w:type="pct"/>
                  <w:tcBorders>
                    <w:tl2br w:val="nil"/>
                    <w:tr2bl w:val="nil"/>
                  </w:tcBorders>
                  <w:noWrap w:val="0"/>
                  <w:vAlign w:val="center"/>
                </w:tcPr>
                <w:p w14:paraId="7253414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041494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4" w:type="dxa"/>
                  <w:tcBorders>
                    <w:tl2br w:val="nil"/>
                    <w:tr2bl w:val="nil"/>
                  </w:tcBorders>
                  <w:noWrap w:val="0"/>
                  <w:vAlign w:val="center"/>
                </w:tcPr>
                <w:p w14:paraId="7056A048">
                  <w:pPr>
                    <w:pStyle w:val="37"/>
                    <w:pageBreakBefore w:val="0"/>
                    <w:kinsoku/>
                    <w:overflowPunct/>
                    <w:bidi w:val="0"/>
                    <w:spacing w:after="0"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0"/>
                      <w:position w:val="0"/>
                      <w:sz w:val="21"/>
                      <w:szCs w:val="21"/>
                      <w:highlight w:val="none"/>
                    </w:rPr>
                    <w:t>总磷</w:t>
                  </w:r>
                </w:p>
              </w:tc>
              <w:tc>
                <w:tcPr>
                  <w:tcW w:w="641" w:type="pct"/>
                  <w:vMerge w:val="continue"/>
                  <w:tcBorders>
                    <w:tl2br w:val="nil"/>
                    <w:tr2bl w:val="nil"/>
                  </w:tcBorders>
                  <w:noWrap w:val="0"/>
                  <w:vAlign w:val="top"/>
                </w:tcPr>
                <w:p w14:paraId="27D188E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rPr>
                  </w:pPr>
                </w:p>
              </w:tc>
              <w:tc>
                <w:tcPr>
                  <w:tcW w:w="715" w:type="pct"/>
                  <w:tcBorders>
                    <w:tl2br w:val="nil"/>
                    <w:tr2bl w:val="nil"/>
                  </w:tcBorders>
                  <w:noWrap w:val="0"/>
                  <w:vAlign w:val="center"/>
                </w:tcPr>
                <w:p w14:paraId="216003FF">
                  <w:pPr>
                    <w:keepNext/>
                    <w:keepLines/>
                    <w:pageBreakBefore w:val="0"/>
                    <w:widowControl/>
                    <w:suppressLineNumbers w:val="0"/>
                    <w:kinsoku/>
                    <w:wordWrap w:val="0"/>
                    <w:overflowPunct/>
                    <w:topLinePunct/>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4.27</w:t>
                  </w:r>
                </w:p>
              </w:tc>
              <w:tc>
                <w:tcPr>
                  <w:tcW w:w="1196" w:type="dxa"/>
                  <w:tcBorders>
                    <w:tl2br w:val="nil"/>
                    <w:tr2bl w:val="nil"/>
                  </w:tcBorders>
                  <w:noWrap w:val="0"/>
                  <w:vAlign w:val="center"/>
                </w:tcPr>
                <w:p w14:paraId="7C780AA9">
                  <w:pPr>
                    <w:keepNext/>
                    <w:keepLines/>
                    <w:pageBreakBefore w:val="0"/>
                    <w:widowControl/>
                    <w:suppressLineNumbers w:val="0"/>
                    <w:kinsoku/>
                    <w:wordWrap w:val="0"/>
                    <w:overflowPunct/>
                    <w:topLinePunct/>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bidi="ar"/>
                    </w:rPr>
                    <w:t>3.1</w:t>
                  </w:r>
                </w:p>
              </w:tc>
              <w:tc>
                <w:tcPr>
                  <w:tcW w:w="789" w:type="pct"/>
                  <w:tcBorders>
                    <w:tl2br w:val="nil"/>
                    <w:tr2bl w:val="nil"/>
                  </w:tcBorders>
                  <w:noWrap w:val="0"/>
                  <w:vAlign w:val="center"/>
                </w:tcPr>
                <w:p w14:paraId="6058025B">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697" w:type="pct"/>
                  <w:tcBorders>
                    <w:tl2br w:val="nil"/>
                    <w:tr2bl w:val="nil"/>
                  </w:tcBorders>
                  <w:noWrap w:val="0"/>
                  <w:vAlign w:val="center"/>
                </w:tcPr>
                <w:p w14:paraId="68D80E4B">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602" w:type="pct"/>
                  <w:tcBorders>
                    <w:tl2br w:val="nil"/>
                    <w:tr2bl w:val="nil"/>
                  </w:tcBorders>
                  <w:noWrap w:val="0"/>
                  <w:vAlign w:val="center"/>
                </w:tcPr>
                <w:p w14:paraId="786DF0C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bl>
          <w:p w14:paraId="1306B050">
            <w:pPr>
              <w:pStyle w:val="145"/>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根据上表所列数据，本项目</w:t>
            </w:r>
            <w:r>
              <w:rPr>
                <w:rFonts w:hint="eastAsia" w:ascii="Times New Roman" w:hAnsi="Times New Roman" w:cs="Times New Roman"/>
                <w:color w:val="auto"/>
                <w:highlight w:val="none"/>
                <w:lang w:val="en-US" w:eastAsia="zh-CN"/>
              </w:rPr>
              <w:t>生活污水各</w:t>
            </w:r>
            <w:r>
              <w:rPr>
                <w:rFonts w:hint="default" w:ascii="Times New Roman" w:hAnsi="Times New Roman" w:cs="Times New Roman"/>
                <w:color w:val="auto"/>
                <w:highlight w:val="none"/>
                <w:lang w:eastAsia="zh-CN"/>
              </w:rPr>
              <w:t>主要污染物排放浓度均能满足《污水综合排放标准》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GB8978-1996</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表4三级标准及《污水排入城镇下水道水质标准》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GB/T 31962-2015</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表1中B级标准限值</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也符合污水处理厂进水水质要求</w:t>
            </w:r>
            <w:r>
              <w:rPr>
                <w:rFonts w:hint="eastAsia" w:ascii="Times New Roman" w:hAnsi="Times New Roman" w:cs="Times New Roman"/>
                <w:color w:val="auto"/>
                <w:highlight w:val="none"/>
                <w:lang w:eastAsia="zh-CN"/>
              </w:rPr>
              <w:t>。</w:t>
            </w:r>
          </w:p>
          <w:p w14:paraId="22397874">
            <w:pPr>
              <w:pStyle w:val="145"/>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项目</w:t>
            </w:r>
            <w:r>
              <w:rPr>
                <w:rFonts w:hint="eastAsia" w:ascii="Times New Roman" w:hAnsi="Times New Roman" w:cs="Times New Roman"/>
                <w:color w:val="auto"/>
                <w:highlight w:val="none"/>
                <w:lang w:val="en-US" w:eastAsia="zh-CN"/>
              </w:rPr>
              <w:t>生活污水</w:t>
            </w:r>
            <w:r>
              <w:rPr>
                <w:rFonts w:hint="default" w:ascii="Times New Roman" w:hAnsi="Times New Roman" w:cs="Times New Roman"/>
                <w:color w:val="auto"/>
                <w:highlight w:val="none"/>
                <w:lang w:eastAsia="zh-CN"/>
              </w:rPr>
              <w:t>不涉及有毒有害污染物，不涉及持久性、重金属，也不含有腐蚀成分，因此，从水质方面分析，项目</w:t>
            </w:r>
            <w:r>
              <w:rPr>
                <w:rFonts w:hint="eastAsia" w:ascii="Times New Roman" w:hAnsi="Times New Roman" w:cs="Times New Roman"/>
                <w:color w:val="auto"/>
                <w:highlight w:val="none"/>
                <w:lang w:eastAsia="zh-CN"/>
              </w:rPr>
              <w:t>生活污水</w:t>
            </w:r>
            <w:r>
              <w:rPr>
                <w:rFonts w:hint="default" w:ascii="Times New Roman" w:hAnsi="Times New Roman" w:cs="Times New Roman"/>
                <w:color w:val="auto"/>
                <w:highlight w:val="none"/>
                <w:lang w:eastAsia="zh-CN"/>
              </w:rPr>
              <w:t>经处理达标后，</w:t>
            </w:r>
            <w:r>
              <w:rPr>
                <w:rFonts w:hint="eastAsia" w:ascii="Times New Roman" w:hAnsi="Times New Roman" w:cs="Times New Roman"/>
                <w:color w:val="auto"/>
                <w:highlight w:val="none"/>
                <w:lang w:eastAsia="zh-CN"/>
              </w:rPr>
              <w:t>闽侯县城关污水处理厂</w:t>
            </w:r>
            <w:r>
              <w:rPr>
                <w:rFonts w:hint="default" w:ascii="Times New Roman" w:hAnsi="Times New Roman" w:cs="Times New Roman"/>
                <w:color w:val="auto"/>
                <w:highlight w:val="none"/>
                <w:lang w:eastAsia="zh-CN"/>
              </w:rPr>
              <w:t>可接纳项目</w:t>
            </w:r>
            <w:r>
              <w:rPr>
                <w:rFonts w:hint="eastAsia" w:ascii="Times New Roman" w:hAnsi="Times New Roman" w:cs="Times New Roman"/>
                <w:color w:val="auto"/>
                <w:highlight w:val="none"/>
                <w:lang w:eastAsia="zh-CN"/>
              </w:rPr>
              <w:t>污水</w:t>
            </w:r>
            <w:r>
              <w:rPr>
                <w:rFonts w:hint="default" w:ascii="Times New Roman" w:hAnsi="Times New Roman" w:cs="Times New Roman"/>
                <w:color w:val="auto"/>
                <w:highlight w:val="none"/>
                <w:lang w:eastAsia="zh-CN"/>
              </w:rPr>
              <w:t>水质，不会对</w:t>
            </w:r>
            <w:r>
              <w:rPr>
                <w:rFonts w:hint="eastAsia" w:ascii="Times New Roman" w:hAnsi="Times New Roman" w:cs="Times New Roman"/>
                <w:color w:val="auto"/>
                <w:highlight w:val="none"/>
                <w:lang w:eastAsia="zh-CN"/>
              </w:rPr>
              <w:t>污水处理厂</w:t>
            </w:r>
            <w:r>
              <w:rPr>
                <w:rFonts w:hint="default" w:ascii="Times New Roman" w:hAnsi="Times New Roman" w:cs="Times New Roman"/>
                <w:color w:val="auto"/>
                <w:highlight w:val="none"/>
                <w:lang w:eastAsia="zh-CN"/>
              </w:rPr>
              <w:t>水质负荷造成冲击。</w:t>
            </w:r>
          </w:p>
          <w:p w14:paraId="380D20D4">
            <w:pPr>
              <w:pStyle w:val="145"/>
              <w:rPr>
                <w:rFonts w:hint="eastAsia" w:ascii="Times New Roman" w:hAnsi="Times New Roman" w:cs="Times New Roman"/>
                <w:color w:val="auto"/>
                <w:highlight w:val="none"/>
                <w:lang w:val="en-US" w:eastAsia="zh-CN" w:bidi="he-IL"/>
              </w:rPr>
            </w:pPr>
            <w:r>
              <w:rPr>
                <w:rFonts w:hint="default" w:ascii="Times New Roman" w:hAnsi="Times New Roman" w:cs="Times New Roman"/>
                <w:color w:val="auto"/>
                <w:highlight w:val="none"/>
                <w:lang w:val="en-US" w:eastAsia="zh-CN" w:bidi="he-IL"/>
              </w:rPr>
              <w:t>③</w:t>
            </w:r>
            <w:r>
              <w:rPr>
                <w:rFonts w:hint="eastAsia" w:ascii="Times New Roman" w:hAnsi="Times New Roman" w:cs="Times New Roman"/>
                <w:color w:val="auto"/>
                <w:highlight w:val="none"/>
                <w:lang w:val="en-US" w:eastAsia="zh-CN" w:bidi="he-IL"/>
              </w:rPr>
              <w:t>水量负荷</w:t>
            </w:r>
          </w:p>
          <w:p w14:paraId="38386816">
            <w:pPr>
              <w:pStyle w:val="63"/>
              <w:spacing w:line="360" w:lineRule="auto"/>
              <w:ind w:firstLine="480" w:firstLineChars="200"/>
              <w:rPr>
                <w:rFonts w:hint="default" w:ascii="Times New Roman" w:hAnsi="Times New Roman" w:eastAsia="宋体" w:cs="Times New Roman"/>
                <w:snapToGrid w:val="0"/>
                <w:color w:val="auto"/>
                <w:spacing w:val="0"/>
                <w:kern w:val="0"/>
                <w:position w:val="0"/>
                <w:sz w:val="24"/>
                <w:szCs w:val="24"/>
                <w:highlight w:val="none"/>
              </w:rPr>
            </w:pPr>
            <w:r>
              <w:rPr>
                <w:rFonts w:hint="eastAsia" w:ascii="Times New Roman" w:hAnsi="Times New Roman" w:cs="Times New Roman"/>
                <w:color w:val="auto"/>
                <w:highlight w:val="none"/>
                <w:lang w:eastAsia="zh-CN"/>
              </w:rPr>
              <w:t>闽侯县城关污水处理厂始建于2008年7月，分三期建设，一期设计处理规模为1.5万吨/日，2008年12月通水运行，二期设计处理规模为1.5万吨/日，2014年9月通水运行。2018年2月启动一二期提标改造，同年6月通水运行，三期工程于2023年4月动工，土建按远期5.0万吨/日规模一次建成，设备按2.5万吨/日规模安装，2024年12月通水运行。一二期采用“卡鲁塞尔改良型氧化沟+高效沉淀池+纤维转盘滤池”工艺，三期采用“A</w:t>
            </w:r>
            <w:r>
              <w:rPr>
                <w:rFonts w:hint="eastAsia" w:ascii="Times New Roman" w:hAnsi="Times New Roman" w:cs="Times New Roman"/>
                <w:color w:val="auto"/>
                <w:highlight w:val="none"/>
                <w:vertAlign w:val="superscript"/>
                <w:lang w:eastAsia="zh-CN"/>
              </w:rPr>
              <w:t>2</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O</w:t>
            </w:r>
            <w:r>
              <w:rPr>
                <w:rFonts w:hint="eastAsia" w:ascii="Times New Roman" w:hAnsi="Times New Roman" w:cs="Times New Roman"/>
                <w:color w:val="auto"/>
                <w:highlight w:val="none"/>
                <w:lang w:eastAsia="zh-CN"/>
              </w:rPr>
              <w:t>+高效沉淀池+纤维转盘滤池”工艺，全厂总设计处理量达到5.5万吨/日。出水水质执行《城镇污水处理厂污染物排放标准》</w:t>
            </w:r>
            <w:r>
              <w:rPr>
                <w:rFonts w:hint="eastAsia" w:cs="Times New Roman"/>
                <w:color w:val="auto"/>
                <w:highlight w:val="none"/>
                <w:lang w:eastAsia="zh-CN"/>
              </w:rPr>
              <w:t>（</w:t>
            </w:r>
            <w:r>
              <w:rPr>
                <w:rFonts w:hint="eastAsia" w:ascii="Times New Roman" w:hAnsi="Times New Roman" w:cs="Times New Roman"/>
                <w:color w:val="auto"/>
                <w:highlight w:val="none"/>
                <w:lang w:eastAsia="zh-CN"/>
              </w:rPr>
              <w:t>GB18918-2002）</w:t>
            </w:r>
            <w:r>
              <w:rPr>
                <w:rFonts w:hint="eastAsia" w:ascii="Times New Roman" w:hAnsi="Times New Roman" w:cs="Times New Roman"/>
                <w:color w:val="auto"/>
                <w:highlight w:val="none"/>
                <w:lang w:val="en-US" w:eastAsia="zh-CN"/>
              </w:rPr>
              <w:t>及其修改单</w:t>
            </w:r>
            <w:r>
              <w:rPr>
                <w:rFonts w:hint="eastAsia" w:ascii="Times New Roman" w:hAnsi="Times New Roman" w:cs="Times New Roman"/>
                <w:color w:val="auto"/>
                <w:highlight w:val="none"/>
                <w:lang w:eastAsia="zh-CN"/>
              </w:rPr>
              <w:t>一级</w:t>
            </w:r>
            <w:r>
              <w:rPr>
                <w:rFonts w:hint="eastAsia" w:ascii="Times New Roman" w:hAnsi="Times New Roman" w:cs="Times New Roman"/>
                <w:color w:val="auto"/>
                <w:highlight w:val="none"/>
                <w:lang w:val="en-US" w:eastAsia="zh-CN"/>
              </w:rPr>
              <w:t>标准</w:t>
            </w:r>
            <w:r>
              <w:rPr>
                <w:rFonts w:hint="eastAsia" w:ascii="Times New Roman" w:hAnsi="Times New Roman" w:cs="Times New Roman"/>
                <w:color w:val="auto"/>
                <w:highlight w:val="none"/>
                <w:lang w:eastAsia="zh-CN"/>
              </w:rPr>
              <w:t>A标准。</w:t>
            </w:r>
            <w:r>
              <w:rPr>
                <w:rFonts w:hint="eastAsia" w:ascii="Times New Roman" w:hAnsi="Times New Roman" w:cs="Times New Roman"/>
                <w:color w:val="auto"/>
                <w:highlight w:val="none"/>
                <w:lang w:val="en-US" w:eastAsia="zh-CN"/>
              </w:rPr>
              <w:t>根据福建省污染源监测信息综合发布平台</w:t>
            </w:r>
            <w:r>
              <w:rPr>
                <w:rFonts w:hint="default" w:ascii="Times New Roman" w:hAnsi="Times New Roman" w:cs="Times New Roman"/>
                <w:color w:val="auto"/>
                <w:highlight w:val="none"/>
              </w:rPr>
              <w:t>闽侯县城关污水处理厂自行监测情况年度报告</w:t>
            </w:r>
            <w:r>
              <w:rPr>
                <w:rFonts w:hint="eastAsia" w:ascii="Times New Roman" w:hAnsi="Times New Roman" w:cs="Times New Roman"/>
                <w:color w:val="auto"/>
                <w:highlight w:val="none"/>
                <w:lang w:val="en-US" w:eastAsia="zh-CN"/>
              </w:rPr>
              <w:t>可知，</w:t>
            </w:r>
            <w:r>
              <w:rPr>
                <w:rFonts w:hint="default" w:ascii="Times New Roman" w:hAnsi="Times New Roman" w:cs="Times New Roman"/>
                <w:color w:val="auto"/>
                <w:highlight w:val="none"/>
              </w:rPr>
              <w:t>目前</w:t>
            </w:r>
            <w:r>
              <w:rPr>
                <w:rFonts w:hint="eastAsia" w:ascii="Times New Roman" w:hAnsi="Times New Roman" w:cs="Times New Roman"/>
                <w:color w:val="auto"/>
                <w:highlight w:val="none"/>
                <w:lang w:eastAsia="zh-CN"/>
              </w:rPr>
              <w:t>闽侯县城关污水处理厂</w:t>
            </w:r>
            <w:r>
              <w:rPr>
                <w:rFonts w:hint="eastAsia" w:ascii="Times New Roman" w:hAnsi="Times New Roman" w:cs="Times New Roman"/>
                <w:color w:val="auto"/>
                <w:highlight w:val="none"/>
                <w:lang w:val="en-US" w:eastAsia="zh-CN"/>
              </w:rPr>
              <w:t>日</w:t>
            </w:r>
            <w:r>
              <w:rPr>
                <w:rFonts w:hint="default" w:ascii="Times New Roman" w:hAnsi="Times New Roman" w:cs="Times New Roman"/>
                <w:color w:val="auto"/>
                <w:highlight w:val="none"/>
                <w:lang w:eastAsia="zh-CN"/>
              </w:rPr>
              <w:t>平均</w:t>
            </w:r>
            <w:r>
              <w:rPr>
                <w:rFonts w:hint="eastAsia" w:ascii="Times New Roman" w:hAnsi="Times New Roman" w:cs="Times New Roman"/>
                <w:color w:val="auto"/>
                <w:highlight w:val="none"/>
                <w:lang w:val="en-US" w:eastAsia="zh-CN"/>
              </w:rPr>
              <w:t>处理规模约为2.77万t/d，剩余处理规模2.73万t/d，</w:t>
            </w:r>
            <w:r>
              <w:rPr>
                <w:rFonts w:hint="eastAsia" w:ascii="Times New Roman" w:hAnsi="Times New Roman" w:cs="Times New Roman"/>
                <w:color w:val="auto"/>
                <w:highlight w:val="none"/>
                <w:lang w:eastAsia="zh-CN"/>
              </w:rPr>
              <w:t>本</w:t>
            </w:r>
            <w:r>
              <w:rPr>
                <w:rFonts w:hint="default" w:ascii="Times New Roman" w:hAnsi="Times New Roman" w:cs="Times New Roman"/>
                <w:color w:val="auto"/>
                <w:highlight w:val="none"/>
              </w:rPr>
              <w:t>项目</w:t>
            </w:r>
            <w:r>
              <w:rPr>
                <w:rFonts w:hint="eastAsia" w:ascii="Times New Roman" w:hAnsi="Times New Roman" w:cs="Times New Roman"/>
                <w:color w:val="auto"/>
                <w:highlight w:val="none"/>
                <w:lang w:val="en-US" w:eastAsia="zh-CN"/>
              </w:rPr>
              <w:t>生活污水</w:t>
            </w:r>
            <w:r>
              <w:rPr>
                <w:rFonts w:hint="default" w:ascii="Times New Roman" w:hAnsi="Times New Roman" w:cs="Times New Roman"/>
                <w:color w:val="auto"/>
                <w:highlight w:val="none"/>
              </w:rPr>
              <w:t>排放量</w:t>
            </w:r>
            <w:r>
              <w:rPr>
                <w:rFonts w:hint="eastAsia" w:cs="Times New Roman"/>
                <w:color w:val="auto"/>
                <w:highlight w:val="none"/>
                <w:lang w:val="en-US" w:eastAsia="zh-CN"/>
              </w:rPr>
              <w:t>0.8</w:t>
            </w:r>
            <w:r>
              <w:rPr>
                <w:rFonts w:hint="default" w:ascii="Times New Roman" w:hAnsi="Times New Roman" w:cs="Times New Roman"/>
                <w:color w:val="auto"/>
                <w:highlight w:val="none"/>
              </w:rPr>
              <w:t>t/d，仅占</w:t>
            </w:r>
            <w:r>
              <w:rPr>
                <w:rFonts w:hint="eastAsia" w:ascii="Times New Roman" w:hAnsi="Times New Roman" w:cs="Times New Roman"/>
                <w:color w:val="auto"/>
                <w:highlight w:val="none"/>
                <w:lang w:eastAsia="zh-CN"/>
              </w:rPr>
              <w:t>闽侯县城关污水处理厂</w:t>
            </w:r>
            <w:r>
              <w:rPr>
                <w:rFonts w:hint="default" w:ascii="Times New Roman" w:hAnsi="Times New Roman" w:cs="Times New Roman"/>
                <w:color w:val="auto"/>
                <w:highlight w:val="none"/>
              </w:rPr>
              <w:t>处理</w:t>
            </w:r>
            <w:r>
              <w:rPr>
                <w:rFonts w:hint="eastAsia" w:ascii="Times New Roman" w:hAnsi="Times New Roman" w:cs="Times New Roman"/>
                <w:color w:val="auto"/>
                <w:highlight w:val="none"/>
                <w:lang w:eastAsia="zh-CN"/>
              </w:rPr>
              <w:t>规模</w:t>
            </w:r>
            <w:r>
              <w:rPr>
                <w:rFonts w:hint="default" w:ascii="Times New Roman" w:hAnsi="Times New Roman" w:cs="Times New Roman"/>
                <w:color w:val="auto"/>
                <w:highlight w:val="none"/>
              </w:rPr>
              <w:t>的</w:t>
            </w:r>
            <w:r>
              <w:rPr>
                <w:rFonts w:hint="default" w:ascii="Times New Roman" w:hAnsi="Times New Roman" w:cs="Times New Roman"/>
                <w:color w:val="auto"/>
                <w:highlight w:val="none"/>
                <w:lang w:val="en-US" w:eastAsia="zh-CN"/>
              </w:rPr>
              <w:t>0.</w:t>
            </w:r>
            <w:r>
              <w:rPr>
                <w:rFonts w:hint="eastAsia" w:ascii="Times New Roman" w:hAnsi="Times New Roman" w:cs="Times New Roman"/>
                <w:color w:val="auto"/>
                <w:highlight w:val="none"/>
                <w:lang w:val="en-US" w:eastAsia="zh-CN"/>
              </w:rPr>
              <w:t>00</w:t>
            </w:r>
            <w:r>
              <w:rPr>
                <w:rFonts w:hint="eastAsia" w:cs="Times New Roman"/>
                <w:color w:val="auto"/>
                <w:highlight w:val="none"/>
                <w:lang w:val="en-US" w:eastAsia="zh-CN"/>
              </w:rPr>
              <w:t>29</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污水处理厂采用Carrousel氧化沟处理工艺，属于城镇污水处理厂通用工艺，因此，从处理能力及处理工艺分析</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闽侯县城关污水处理厂</w:t>
            </w:r>
            <w:r>
              <w:rPr>
                <w:rFonts w:hint="default" w:ascii="Times New Roman" w:hAnsi="Times New Roman" w:cs="Times New Roman"/>
                <w:color w:val="auto"/>
                <w:highlight w:val="none"/>
                <w:lang w:eastAsia="zh-CN"/>
              </w:rPr>
              <w:t>可</w:t>
            </w:r>
            <w:r>
              <w:rPr>
                <w:rFonts w:hint="default" w:ascii="Times New Roman" w:hAnsi="Times New Roman" w:cs="Times New Roman"/>
                <w:color w:val="auto"/>
                <w:highlight w:val="none"/>
              </w:rPr>
              <w:t>接纳项目</w:t>
            </w:r>
            <w:r>
              <w:rPr>
                <w:rFonts w:hint="default" w:ascii="Times New Roman" w:hAnsi="Times New Roman" w:cs="Times New Roman"/>
                <w:color w:val="auto"/>
                <w:highlight w:val="none"/>
                <w:lang w:eastAsia="zh-CN"/>
              </w:rPr>
              <w:t>废水排放量，不会对</w:t>
            </w:r>
            <w:r>
              <w:rPr>
                <w:rFonts w:hint="eastAsia" w:ascii="Times New Roman" w:hAnsi="Times New Roman" w:cs="Times New Roman"/>
                <w:color w:val="auto"/>
                <w:highlight w:val="none"/>
                <w:lang w:eastAsia="zh-CN"/>
              </w:rPr>
              <w:t>污水处理厂</w:t>
            </w:r>
            <w:r>
              <w:rPr>
                <w:rFonts w:hint="default" w:ascii="Times New Roman" w:hAnsi="Times New Roman" w:cs="Times New Roman"/>
                <w:color w:val="auto"/>
                <w:highlight w:val="none"/>
                <w:lang w:eastAsia="zh-CN"/>
              </w:rPr>
              <w:t>水量负荷造成冲击</w:t>
            </w:r>
            <w:r>
              <w:rPr>
                <w:rFonts w:hint="default" w:ascii="Times New Roman" w:hAnsi="Times New Roman" w:cs="Times New Roman"/>
                <w:color w:val="auto"/>
                <w:highlight w:val="none"/>
              </w:rPr>
              <w:t>。</w:t>
            </w:r>
          </w:p>
          <w:p w14:paraId="72B02A37">
            <w:pPr>
              <w:pStyle w:val="63"/>
              <w:keepNext w:val="0"/>
              <w:keepLines w:val="0"/>
              <w:pageBreakBefore w:val="0"/>
              <w:numPr>
                <w:ilvl w:val="0"/>
                <w:numId w:val="1"/>
              </w:numPr>
              <w:kinsoku/>
              <w:wordWrap/>
              <w:overflowPunct/>
              <w:topLinePunct w:val="0"/>
              <w:autoSpaceDE/>
              <w:autoSpaceDN/>
              <w:bidi w:val="0"/>
              <w:adjustRightInd/>
              <w:spacing w:line="360" w:lineRule="auto"/>
              <w:ind w:left="148" w:leftChars="0" w:firstLine="482" w:firstLineChars="0"/>
              <w:textAlignment w:val="auto"/>
              <w:rPr>
                <w:rFonts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b/>
                <w:bCs/>
                <w:color w:val="auto"/>
                <w:spacing w:val="0"/>
                <w:position w:val="0"/>
                <w:sz w:val="24"/>
                <w:szCs w:val="24"/>
                <w:highlight w:val="none"/>
                <w:lang w:val="en-US" w:eastAsia="zh-CN"/>
              </w:rPr>
              <w:t>生产废水</w:t>
            </w:r>
            <w:r>
              <w:rPr>
                <w:rFonts w:ascii="Times New Roman" w:hAnsi="Times New Roman" w:eastAsia="宋体" w:cs="Times New Roman"/>
                <w:b/>
                <w:bCs/>
                <w:color w:val="auto"/>
                <w:spacing w:val="0"/>
                <w:position w:val="0"/>
                <w:sz w:val="24"/>
                <w:szCs w:val="24"/>
                <w:highlight w:val="none"/>
              </w:rPr>
              <w:t>治理措施可行性</w:t>
            </w:r>
          </w:p>
          <w:p w14:paraId="24C7AEA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eastAsia" w:ascii="Times New Roman" w:hAnsi="Times New Roman" w:eastAsia="宋体" w:cs="Times New Roman"/>
                <w:color w:val="auto"/>
                <w:spacing w:val="0"/>
                <w:kern w:val="0"/>
                <w:sz w:val="24"/>
                <w:szCs w:val="24"/>
                <w:highlight w:val="none"/>
                <w:lang w:val="en-US" w:eastAsia="zh-CN" w:bidi="ar"/>
              </w:rPr>
              <w:t>项目水帘气旋循环水捞除漆渣后循环使用，定期排入沉淀池处理，并定期更换作为危废。项目</w:t>
            </w:r>
            <w:r>
              <w:rPr>
                <w:rFonts w:hint="eastAsia" w:cs="Times New Roman"/>
                <w:color w:val="auto"/>
                <w:spacing w:val="0"/>
                <w:kern w:val="0"/>
                <w:sz w:val="24"/>
                <w:szCs w:val="24"/>
                <w:highlight w:val="none"/>
                <w:lang w:val="en-US" w:eastAsia="zh-CN" w:bidi="ar"/>
              </w:rPr>
              <w:t>水帘气旋废液</w:t>
            </w:r>
            <w:r>
              <w:rPr>
                <w:rFonts w:hint="eastAsia" w:ascii="Times New Roman" w:hAnsi="Times New Roman" w:eastAsia="宋体" w:cs="Times New Roman"/>
                <w:color w:val="auto"/>
                <w:spacing w:val="0"/>
                <w:kern w:val="0"/>
                <w:sz w:val="24"/>
                <w:szCs w:val="24"/>
                <w:highlight w:val="none"/>
                <w:lang w:val="en-US" w:eastAsia="zh-CN" w:bidi="ar"/>
              </w:rPr>
              <w:t>采用“调节池+絮凝沉淀+压滤+清水池”工艺进行处理</w:t>
            </w:r>
            <w:r>
              <w:rPr>
                <w:rFonts w:hint="eastAsia" w:ascii="Times New Roman" w:hAnsi="Times New Roman" w:eastAsia="宋体" w:cs="Times New Roman"/>
                <w:color w:val="auto"/>
                <w:spacing w:val="0"/>
                <w:position w:val="0"/>
                <w:sz w:val="24"/>
                <w:highlight w:val="none"/>
                <w:lang w:eastAsia="zh-CN"/>
              </w:rPr>
              <w:t>，</w:t>
            </w:r>
            <w:r>
              <w:rPr>
                <w:rFonts w:hint="eastAsia" w:cs="Times New Roman"/>
                <w:color w:val="auto"/>
                <w:spacing w:val="0"/>
                <w:position w:val="0"/>
                <w:sz w:val="24"/>
                <w:highlight w:val="none"/>
                <w:lang w:val="en-US" w:eastAsia="zh-CN"/>
              </w:rPr>
              <w:t>一月处理一次</w:t>
            </w:r>
            <w:r>
              <w:rPr>
                <w:rFonts w:hint="eastAsia" w:ascii="Times New Roman" w:hAnsi="Times New Roman" w:eastAsia="宋体" w:cs="Times New Roman"/>
                <w:color w:val="auto"/>
                <w:spacing w:val="0"/>
                <w:kern w:val="0"/>
                <w:sz w:val="24"/>
                <w:szCs w:val="24"/>
                <w:highlight w:val="none"/>
                <w:lang w:val="en-US" w:eastAsia="zh-CN" w:bidi="ar"/>
              </w:rPr>
              <w:t>，</w:t>
            </w:r>
            <w:r>
              <w:rPr>
                <w:rFonts w:hint="eastAsia" w:cs="Times New Roman"/>
                <w:color w:val="auto"/>
                <w:spacing w:val="0"/>
                <w:kern w:val="0"/>
                <w:sz w:val="24"/>
                <w:szCs w:val="24"/>
                <w:highlight w:val="none"/>
                <w:lang w:val="en-US" w:eastAsia="zh-CN" w:bidi="ar"/>
              </w:rPr>
              <w:t>一次处理5.292t（63.504/a），项目废水处理设施</w:t>
            </w:r>
            <w:r>
              <w:rPr>
                <w:rFonts w:hint="eastAsia" w:ascii="Times New Roman" w:hAnsi="Times New Roman" w:eastAsia="宋体" w:cs="Times New Roman"/>
                <w:color w:val="auto"/>
                <w:spacing w:val="0"/>
                <w:kern w:val="0"/>
                <w:sz w:val="24"/>
                <w:szCs w:val="24"/>
                <w:highlight w:val="none"/>
                <w:lang w:val="en-US" w:eastAsia="zh-CN" w:bidi="ar"/>
              </w:rPr>
              <w:t>处理能力</w:t>
            </w:r>
            <w:r>
              <w:rPr>
                <w:rFonts w:hint="eastAsia" w:cs="Times New Roman"/>
                <w:color w:val="auto"/>
                <w:spacing w:val="0"/>
                <w:kern w:val="0"/>
                <w:sz w:val="24"/>
                <w:szCs w:val="24"/>
                <w:highlight w:val="none"/>
                <w:lang w:val="en-US" w:eastAsia="zh-CN" w:bidi="ar"/>
              </w:rPr>
              <w:t>为10</w:t>
            </w:r>
            <w:r>
              <w:rPr>
                <w:rFonts w:hint="eastAsia" w:ascii="Times New Roman" w:hAnsi="Times New Roman" w:eastAsia="宋体" w:cs="Times New Roman"/>
                <w:color w:val="auto"/>
                <w:spacing w:val="0"/>
                <w:kern w:val="0"/>
                <w:sz w:val="24"/>
                <w:szCs w:val="24"/>
                <w:highlight w:val="none"/>
                <w:lang w:val="en-US" w:eastAsia="zh-CN" w:bidi="ar"/>
              </w:rPr>
              <w:t>m</w:t>
            </w:r>
            <w:r>
              <w:rPr>
                <w:rFonts w:hint="eastAsia" w:cs="Times New Roman"/>
                <w:color w:val="auto"/>
                <w:spacing w:val="0"/>
                <w:kern w:val="0"/>
                <w:sz w:val="24"/>
                <w:szCs w:val="24"/>
                <w:highlight w:val="none"/>
                <w:vertAlign w:val="superscript"/>
                <w:lang w:val="en-US" w:eastAsia="zh-CN" w:bidi="ar"/>
              </w:rPr>
              <w:t>3</w:t>
            </w:r>
            <w:r>
              <w:rPr>
                <w:rFonts w:hint="eastAsia" w:ascii="Times New Roman" w:hAnsi="Times New Roman" w:eastAsia="宋体" w:cs="Times New Roman"/>
                <w:color w:val="auto"/>
                <w:spacing w:val="0"/>
                <w:kern w:val="0"/>
                <w:sz w:val="24"/>
                <w:szCs w:val="24"/>
                <w:highlight w:val="none"/>
                <w:lang w:val="en-US" w:eastAsia="zh-CN" w:bidi="ar"/>
              </w:rPr>
              <w:t>/d。</w:t>
            </w:r>
            <w:r>
              <w:rPr>
                <w:rFonts w:hint="eastAsia" w:cs="Times New Roman"/>
                <w:color w:val="auto"/>
                <w:spacing w:val="0"/>
                <w:kern w:val="0"/>
                <w:sz w:val="24"/>
                <w:szCs w:val="24"/>
                <w:highlight w:val="none"/>
                <w:lang w:val="en-US" w:eastAsia="zh-CN" w:bidi="ar"/>
              </w:rPr>
              <w:t xml:space="preserve"> </w:t>
            </w:r>
          </w:p>
          <w:p w14:paraId="4D14CE8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kern w:val="0"/>
                <w:sz w:val="24"/>
                <w:szCs w:val="24"/>
                <w:highlight w:val="none"/>
                <w:lang w:val="en-US" w:eastAsia="zh-CN" w:bidi="ar"/>
              </w:rPr>
            </w:pPr>
            <w:r>
              <w:rPr>
                <w:rFonts w:hint="eastAsia" w:ascii="Times New Roman" w:hAnsi="Times New Roman" w:eastAsia="宋体" w:cs="Times New Roman"/>
                <w:color w:val="auto"/>
                <w:spacing w:val="0"/>
                <w:kern w:val="0"/>
                <w:sz w:val="24"/>
                <w:szCs w:val="24"/>
                <w:highlight w:val="none"/>
                <w:lang w:val="en-US" w:eastAsia="zh-CN" w:bidi="ar"/>
              </w:rPr>
              <w:t>污水处理工艺流程见图4.2-</w:t>
            </w:r>
            <w:r>
              <w:rPr>
                <w:rFonts w:hint="eastAsia" w:cs="Times New Roman"/>
                <w:color w:val="auto"/>
                <w:spacing w:val="0"/>
                <w:kern w:val="0"/>
                <w:sz w:val="24"/>
                <w:szCs w:val="24"/>
                <w:highlight w:val="none"/>
                <w:lang w:val="en-US" w:eastAsia="zh-CN" w:bidi="ar"/>
              </w:rPr>
              <w:t>2</w:t>
            </w:r>
            <w:r>
              <w:rPr>
                <w:rFonts w:hint="eastAsia" w:ascii="Times New Roman" w:hAnsi="Times New Roman" w:eastAsia="宋体" w:cs="Times New Roman"/>
                <w:color w:val="auto"/>
                <w:spacing w:val="0"/>
                <w:kern w:val="0"/>
                <w:sz w:val="24"/>
                <w:szCs w:val="24"/>
                <w:highlight w:val="none"/>
                <w:lang w:val="en-US" w:eastAsia="zh-CN" w:bidi="ar"/>
              </w:rPr>
              <w:t>。</w:t>
            </w:r>
          </w:p>
          <w:p w14:paraId="1F6A8E1D">
            <w:pPr>
              <w:pStyle w:val="27"/>
              <w:rPr>
                <w:rFonts w:hint="eastAsia" w:ascii="Times New Roman" w:hAnsi="Times New Roman" w:eastAsia="宋体" w:cs="Times New Roman"/>
                <w:color w:val="auto"/>
                <w:spacing w:val="0"/>
                <w:kern w:val="0"/>
                <w:sz w:val="21"/>
                <w:szCs w:val="21"/>
                <w:highlight w:val="none"/>
                <w:lang w:val="en-US" w:eastAsia="zh-CN" w:bidi="ar"/>
              </w:rPr>
            </w:pPr>
          </w:p>
          <w:p w14:paraId="2FA7C1DE">
            <w:pPr>
              <w:pStyle w:val="27"/>
              <w:rPr>
                <w:rFonts w:hint="eastAsia" w:ascii="Times New Roman" w:hAnsi="Times New Roman" w:eastAsia="宋体" w:cs="Times New Roman"/>
                <w:color w:val="auto"/>
                <w:spacing w:val="0"/>
                <w:kern w:val="0"/>
                <w:sz w:val="21"/>
                <w:szCs w:val="21"/>
                <w:highlight w:val="none"/>
                <w:lang w:val="en-US" w:eastAsia="zh-CN" w:bidi="ar"/>
              </w:rPr>
            </w:pPr>
          </w:p>
          <w:p w14:paraId="47E5A2AE">
            <w:pPr>
              <w:rPr>
                <w:rFonts w:hint="eastAsia" w:ascii="Times New Roman" w:hAnsi="Times New Roman" w:eastAsia="宋体" w:cs="Times New Roman"/>
                <w:color w:val="auto"/>
                <w:spacing w:val="0"/>
                <w:kern w:val="0"/>
                <w:sz w:val="21"/>
                <w:szCs w:val="21"/>
                <w:highlight w:val="none"/>
                <w:lang w:val="en-US" w:eastAsia="zh-CN" w:bidi="ar"/>
              </w:rPr>
            </w:pPr>
          </w:p>
          <w:p w14:paraId="4C119053">
            <w:pPr>
              <w:rPr>
                <w:rFonts w:hint="eastAsia" w:ascii="Times New Roman" w:hAnsi="Times New Roman" w:eastAsia="宋体" w:cs="Times New Roman"/>
                <w:color w:val="auto"/>
                <w:spacing w:val="0"/>
                <w:kern w:val="0"/>
                <w:sz w:val="21"/>
                <w:szCs w:val="21"/>
                <w:highlight w:val="none"/>
                <w:lang w:val="en-US" w:eastAsia="zh-CN" w:bidi="ar"/>
              </w:rPr>
            </w:pPr>
          </w:p>
          <w:p w14:paraId="3CF7FCF6">
            <w:pPr>
              <w:rPr>
                <w:rFonts w:hint="eastAsia" w:ascii="Times New Roman" w:hAnsi="Times New Roman" w:eastAsia="宋体" w:cs="Times New Roman"/>
                <w:color w:val="auto"/>
                <w:spacing w:val="0"/>
                <w:kern w:val="0"/>
                <w:sz w:val="21"/>
                <w:szCs w:val="21"/>
                <w:highlight w:val="none"/>
                <w:lang w:val="en-US" w:eastAsia="zh-CN" w:bidi="ar"/>
              </w:rPr>
            </w:pPr>
          </w:p>
          <w:p w14:paraId="4C401AA6">
            <w:pPr>
              <w:rPr>
                <w:rFonts w:hint="eastAsia" w:ascii="Times New Roman" w:hAnsi="Times New Roman" w:eastAsia="宋体" w:cs="Times New Roman"/>
                <w:color w:val="auto"/>
                <w:spacing w:val="0"/>
                <w:kern w:val="0"/>
                <w:sz w:val="21"/>
                <w:szCs w:val="21"/>
                <w:highlight w:val="none"/>
                <w:lang w:val="en-US" w:eastAsia="zh-CN" w:bidi="ar"/>
              </w:rPr>
            </w:pPr>
          </w:p>
          <w:p w14:paraId="0F67B89D">
            <w:pPr>
              <w:rPr>
                <w:rFonts w:hint="eastAsia" w:ascii="Times New Roman" w:hAnsi="Times New Roman" w:eastAsia="宋体" w:cs="Times New Roman"/>
                <w:color w:val="auto"/>
                <w:spacing w:val="0"/>
                <w:kern w:val="0"/>
                <w:sz w:val="21"/>
                <w:szCs w:val="21"/>
                <w:highlight w:val="none"/>
                <w:lang w:val="en-US" w:eastAsia="zh-CN" w:bidi="ar"/>
              </w:rPr>
            </w:pPr>
          </w:p>
          <w:p w14:paraId="2473651A">
            <w:pPr>
              <w:pStyle w:val="27"/>
              <w:rPr>
                <w:rFonts w:hint="eastAsia" w:ascii="Times New Roman" w:hAnsi="Times New Roman" w:eastAsia="宋体" w:cs="Times New Roman"/>
                <w:color w:val="auto"/>
                <w:spacing w:val="0"/>
                <w:kern w:val="0"/>
                <w:sz w:val="21"/>
                <w:szCs w:val="21"/>
                <w:highlight w:val="none"/>
                <w:lang w:val="en-US" w:eastAsia="zh-CN" w:bidi="ar"/>
              </w:rPr>
            </w:pPr>
          </w:p>
          <w:p w14:paraId="421786AA">
            <w:pPr>
              <w:pStyle w:val="27"/>
              <w:rPr>
                <w:rFonts w:hint="eastAsia" w:ascii="Times New Roman" w:hAnsi="Times New Roman" w:eastAsia="宋体" w:cs="Times New Roman"/>
                <w:color w:val="auto"/>
                <w:spacing w:val="0"/>
                <w:kern w:val="0"/>
                <w:sz w:val="21"/>
                <w:szCs w:val="21"/>
                <w:highlight w:val="none"/>
                <w:lang w:val="en-US" w:eastAsia="zh-CN" w:bidi="ar"/>
              </w:rPr>
            </w:pPr>
            <w:r>
              <w:rPr>
                <w:color w:val="auto"/>
                <w:sz w:val="21"/>
                <w:highlight w:val="none"/>
              </w:rPr>
              <mc:AlternateContent>
                <mc:Choice Requires="wpg">
                  <w:drawing>
                    <wp:anchor distT="0" distB="0" distL="114300" distR="114300" simplePos="0" relativeHeight="251662336" behindDoc="0" locked="0" layoutInCell="1" allowOverlap="1">
                      <wp:simplePos x="0" y="0"/>
                      <wp:positionH relativeFrom="column">
                        <wp:posOffset>936625</wp:posOffset>
                      </wp:positionH>
                      <wp:positionV relativeFrom="paragraph">
                        <wp:posOffset>95885</wp:posOffset>
                      </wp:positionV>
                      <wp:extent cx="3200400" cy="2392680"/>
                      <wp:effectExtent l="0" t="0" r="0" b="0"/>
                      <wp:wrapNone/>
                      <wp:docPr id="203" name="组合 203"/>
                      <wp:cNvGraphicFramePr/>
                      <a:graphic xmlns:a="http://schemas.openxmlformats.org/drawingml/2006/main">
                        <a:graphicData uri="http://schemas.microsoft.com/office/word/2010/wordprocessingGroup">
                          <wpg:wgp>
                            <wpg:cNvGrpSpPr/>
                            <wpg:grpSpPr>
                              <a:xfrm>
                                <a:off x="0" y="0"/>
                                <a:ext cx="3200400" cy="2392680"/>
                                <a:chOff x="3713" y="1229079"/>
                                <a:chExt cx="5040" cy="3768"/>
                              </a:xfrm>
                            </wpg:grpSpPr>
                            <wps:wsp>
                              <wps:cNvPr id="267" name="文本框 267"/>
                              <wps:cNvSpPr txBox="1"/>
                              <wps:spPr>
                                <a:xfrm>
                                  <a:off x="5361" y="1229079"/>
                                  <a:ext cx="2085" cy="495"/>
                                </a:xfrm>
                                <a:prstGeom prst="rect">
                                  <a:avLst/>
                                </a:prstGeom>
                                <a:noFill/>
                                <a:ln w="6350">
                                  <a:solidFill>
                                    <a:schemeClr val="tx1"/>
                                  </a:solidFill>
                                </a:ln>
                                <a:effectLst/>
                              </wps:spPr>
                              <wps:txbx>
                                <w:txbxContent>
                                  <w:p w14:paraId="63809EAE">
                                    <w:pPr>
                                      <w:jc w:val="center"/>
                                      <w:rPr>
                                        <w:rFonts w:hint="default" w:eastAsia="宋体"/>
                                        <w:sz w:val="21"/>
                                        <w:szCs w:val="21"/>
                                        <w:lang w:val="en-US" w:eastAsia="zh-CN"/>
                                      </w:rPr>
                                    </w:pPr>
                                    <w:r>
                                      <w:rPr>
                                        <w:rFonts w:hint="eastAsia" w:ascii="宋体" w:hAnsi="宋体" w:eastAsia="宋体" w:cs="宋体"/>
                                        <w:color w:val="000000"/>
                                        <w:kern w:val="0"/>
                                        <w:sz w:val="21"/>
                                        <w:szCs w:val="21"/>
                                        <w:lang w:val="en-US" w:eastAsia="zh-CN" w:bidi="ar"/>
                                      </w:rPr>
                                      <w:t>水帘气旋</w:t>
                                    </w:r>
                                    <w:r>
                                      <w:rPr>
                                        <w:rFonts w:hint="eastAsia" w:ascii="宋体" w:hAnsi="宋体" w:cs="宋体"/>
                                        <w:color w:val="000000"/>
                                        <w:kern w:val="0"/>
                                        <w:sz w:val="21"/>
                                        <w:szCs w:val="21"/>
                                        <w:lang w:val="en-US" w:eastAsia="zh-CN" w:bidi="ar"/>
                                      </w:rPr>
                                      <w:t>废</w:t>
                                    </w:r>
                                    <w:r>
                                      <w:rPr>
                                        <w:rFonts w:hint="eastAsia" w:ascii="宋体" w:hAnsi="宋体" w:eastAsia="宋体" w:cs="宋体"/>
                                        <w:color w:val="000000"/>
                                        <w:kern w:val="0"/>
                                        <w:sz w:val="21"/>
                                        <w:szCs w:val="21"/>
                                        <w:lang w:val="en-US" w:eastAsia="zh-CN" w:bidi="ar"/>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6" name="下箭头 326"/>
                              <wps:cNvSpPr/>
                              <wps:spPr>
                                <a:xfrm>
                                  <a:off x="6318" y="1230407"/>
                                  <a:ext cx="170" cy="340"/>
                                </a:xfrm>
                                <a:prstGeom prst="downArrow">
                                  <a:avLst/>
                                </a:prstGeom>
                                <a:noFill/>
                                <a:ln w="12700" cap="flat" cmpd="sng" algn="ctr">
                                  <a:solidFill>
                                    <a:schemeClr val="tx1"/>
                                  </a:solidFill>
                                  <a:prstDash val="solid"/>
                                </a:ln>
                                <a:effectLst/>
                              </wps:spPr>
                              <wps:txbx>
                                <w:txbxContent>
                                  <w:p w14:paraId="6BB1E564"/>
                                  <w:p w14:paraId="446E945D">
                                    <w:pPr>
                                      <w:pStyle w:val="27"/>
                                    </w:pPr>
                                  </w:p>
                                  <w:p w14:paraId="20837904"/>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7" name="文本框 327"/>
                              <wps:cNvSpPr txBox="1"/>
                              <wps:spPr>
                                <a:xfrm>
                                  <a:off x="5408" y="1229932"/>
                                  <a:ext cx="1990" cy="439"/>
                                </a:xfrm>
                                <a:prstGeom prst="rect">
                                  <a:avLst/>
                                </a:prstGeom>
                                <a:noFill/>
                                <a:ln w="6350">
                                  <a:solidFill>
                                    <a:schemeClr val="tx1"/>
                                  </a:solidFill>
                                </a:ln>
                                <a:effectLst/>
                              </wps:spPr>
                              <wps:txbx>
                                <w:txbxContent>
                                  <w:p w14:paraId="1A01E186">
                                    <w:pPr>
                                      <w:jc w:val="center"/>
                                      <w:rPr>
                                        <w:rFonts w:hint="default" w:eastAsia="宋体"/>
                                        <w:lang w:val="en-US" w:eastAsia="zh-CN"/>
                                      </w:rPr>
                                    </w:pPr>
                                    <w:r>
                                      <w:rPr>
                                        <w:rFonts w:hint="eastAsia"/>
                                        <w:lang w:val="en-US" w:eastAsia="zh-CN"/>
                                      </w:rPr>
                                      <w:t>调节池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 name="下箭头 281"/>
                              <wps:cNvSpPr/>
                              <wps:spPr>
                                <a:xfrm>
                                  <a:off x="6318" y="1229602"/>
                                  <a:ext cx="170" cy="340"/>
                                </a:xfrm>
                                <a:prstGeom prst="downArrow">
                                  <a:avLst/>
                                </a:prstGeom>
                                <a:noFill/>
                                <a:ln w="12700" cap="flat" cmpd="sng" algn="ctr">
                                  <a:solidFill>
                                    <a:schemeClr val="tx1"/>
                                  </a:solidFill>
                                  <a:prstDash val="solid"/>
                                </a:ln>
                                <a:effectLst/>
                              </wps:spPr>
                              <wps:txbx>
                                <w:txbxContent>
                                  <w:p w14:paraId="0E69A2E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0" name="文本框 300"/>
                              <wps:cNvSpPr txBox="1"/>
                              <wps:spPr>
                                <a:xfrm>
                                  <a:off x="5408" y="1230744"/>
                                  <a:ext cx="1990" cy="439"/>
                                </a:xfrm>
                                <a:prstGeom prst="rect">
                                  <a:avLst/>
                                </a:prstGeom>
                                <a:noFill/>
                                <a:ln w="6350">
                                  <a:solidFill>
                                    <a:schemeClr val="tx1"/>
                                  </a:solidFill>
                                </a:ln>
                                <a:effectLst/>
                              </wps:spPr>
                              <wps:txbx>
                                <w:txbxContent>
                                  <w:p w14:paraId="01058C67">
                                    <w:pPr>
                                      <w:jc w:val="center"/>
                                      <w:rPr>
                                        <w:rFonts w:hint="default" w:eastAsia="宋体"/>
                                        <w:lang w:val="en-US" w:eastAsia="zh-CN"/>
                                      </w:rPr>
                                    </w:pPr>
                                    <w:r>
                                      <w:rPr>
                                        <w:rFonts w:hint="eastAsia"/>
                                        <w:lang w:val="en-US" w:eastAsia="zh-CN"/>
                                      </w:rPr>
                                      <w:t>处理一体机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9" name="直接箭头连接符 279"/>
                              <wps:cNvCnPr/>
                              <wps:spPr>
                                <a:xfrm flipH="1">
                                  <a:off x="4949" y="1230964"/>
                                  <a:ext cx="460" cy="0"/>
                                </a:xfrm>
                                <a:prstGeom prst="straightConnector1">
                                  <a:avLst/>
                                </a:prstGeom>
                                <a:noFill/>
                                <a:ln w="25400" cap="flat" cmpd="sng" algn="ctr">
                                  <a:solidFill>
                                    <a:srgbClr val="000000">
                                      <a:shade val="95000"/>
                                      <a:satMod val="105000"/>
                                    </a:srgbClr>
                                  </a:solidFill>
                                  <a:prstDash val="solid"/>
                                  <a:tailEnd type="stealth" w="med" len="med"/>
                                </a:ln>
                                <a:effectLst/>
                              </wps:spPr>
                              <wps:bodyPr/>
                            </wps:wsp>
                            <wps:wsp>
                              <wps:cNvPr id="278" name="直接箭头连接符 278"/>
                              <wps:cNvCnPr/>
                              <wps:spPr>
                                <a:xfrm flipH="1">
                                  <a:off x="7403" y="1230964"/>
                                  <a:ext cx="460" cy="0"/>
                                </a:xfrm>
                                <a:prstGeom prst="straightConnector1">
                                  <a:avLst/>
                                </a:prstGeom>
                                <a:noFill/>
                                <a:ln w="25400" cap="flat" cmpd="sng" algn="ctr">
                                  <a:solidFill>
                                    <a:srgbClr val="000000">
                                      <a:shade val="95000"/>
                                      <a:satMod val="105000"/>
                                    </a:srgbClr>
                                  </a:solidFill>
                                  <a:prstDash val="solid"/>
                                  <a:headEnd type="none"/>
                                  <a:tailEnd type="stealth" w="med" len="med"/>
                                </a:ln>
                                <a:effectLst/>
                              </wps:spPr>
                              <wps:bodyPr/>
                            </wps:wsp>
                            <wps:wsp>
                              <wps:cNvPr id="247" name="文本框 247"/>
                              <wps:cNvSpPr txBox="1"/>
                              <wps:spPr>
                                <a:xfrm>
                                  <a:off x="7857" y="1230744"/>
                                  <a:ext cx="897" cy="439"/>
                                </a:xfrm>
                                <a:prstGeom prst="rect">
                                  <a:avLst/>
                                </a:prstGeom>
                                <a:noFill/>
                                <a:ln w="6350">
                                  <a:solidFill>
                                    <a:schemeClr val="tx1"/>
                                  </a:solidFill>
                                </a:ln>
                                <a:effectLst/>
                              </wps:spPr>
                              <wps:txbx>
                                <w:txbxContent>
                                  <w:p w14:paraId="56863933">
                                    <w:pPr>
                                      <w:jc w:val="center"/>
                                      <w:rPr>
                                        <w:rFonts w:hint="default" w:eastAsia="宋体"/>
                                        <w:lang w:val="en-US" w:eastAsia="zh-CN"/>
                                      </w:rPr>
                                    </w:pPr>
                                    <w:r>
                                      <w:rPr>
                                        <w:rFonts w:hint="eastAsia"/>
                                        <w:lang w:val="en-US" w:eastAsia="zh-CN"/>
                                      </w:rPr>
                                      <w:t>药剂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4" name="文本框 274"/>
                              <wps:cNvSpPr txBox="1"/>
                              <wps:spPr>
                                <a:xfrm>
                                  <a:off x="3758" y="1230744"/>
                                  <a:ext cx="1183" cy="439"/>
                                </a:xfrm>
                                <a:prstGeom prst="rect">
                                  <a:avLst/>
                                </a:prstGeom>
                                <a:noFill/>
                                <a:ln w="6350">
                                  <a:solidFill>
                                    <a:schemeClr val="tx1"/>
                                  </a:solidFill>
                                </a:ln>
                                <a:effectLst/>
                              </wps:spPr>
                              <wps:txbx>
                                <w:txbxContent>
                                  <w:p w14:paraId="44148333">
                                    <w:pPr>
                                      <w:jc w:val="center"/>
                                      <w:rPr>
                                        <w:rFonts w:hint="default" w:eastAsia="宋体"/>
                                        <w:lang w:val="en-US" w:eastAsia="zh-CN"/>
                                      </w:rPr>
                                    </w:pPr>
                                    <w:r>
                                      <w:rPr>
                                        <w:rFonts w:hint="eastAsia"/>
                                        <w:lang w:val="en-US" w:eastAsia="zh-CN"/>
                                      </w:rPr>
                                      <w:t>沉淀污泥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4" name="下箭头 324"/>
                              <wps:cNvSpPr/>
                              <wps:spPr>
                                <a:xfrm>
                                  <a:off x="6318" y="1231197"/>
                                  <a:ext cx="170" cy="340"/>
                                </a:xfrm>
                                <a:prstGeom prst="downArrow">
                                  <a:avLst/>
                                </a:prstGeom>
                                <a:noFill/>
                                <a:ln w="12700" cap="flat" cmpd="sng" algn="ctr">
                                  <a:solidFill>
                                    <a:schemeClr val="tx1"/>
                                  </a:solidFill>
                                  <a:prstDash val="solid"/>
                                </a:ln>
                                <a:effectLst/>
                              </wps:spPr>
                              <wps:txbx>
                                <w:txbxContent>
                                  <w:p w14:paraId="13887734">
                                    <w:pPr>
                                      <w:jc w:val="center"/>
                                    </w:pPr>
                                  </w:p>
                                  <w:p w14:paraId="13C42945"/>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3" name="文本框 263"/>
                              <wps:cNvSpPr txBox="1"/>
                              <wps:spPr>
                                <a:xfrm>
                                  <a:off x="5408" y="1231538"/>
                                  <a:ext cx="1990" cy="439"/>
                                </a:xfrm>
                                <a:prstGeom prst="rect">
                                  <a:avLst/>
                                </a:prstGeom>
                                <a:noFill/>
                                <a:ln w="6350">
                                  <a:solidFill>
                                    <a:schemeClr val="tx1"/>
                                  </a:solidFill>
                                </a:ln>
                                <a:effectLst/>
                              </wps:spPr>
                              <wps:txbx>
                                <w:txbxContent>
                                  <w:p w14:paraId="44D185CE">
                                    <w:pPr>
                                      <w:jc w:val="center"/>
                                      <w:rPr>
                                        <w:rFonts w:hint="default" w:eastAsia="宋体"/>
                                        <w:lang w:val="en-US" w:eastAsia="zh-CN"/>
                                      </w:rPr>
                                    </w:pPr>
                                    <w:r>
                                      <w:rPr>
                                        <w:rFonts w:hint="eastAsia"/>
                                        <w:lang w:val="en-US" w:eastAsia="zh-CN"/>
                                      </w:rPr>
                                      <w:t>清水池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5" name="下箭头 325"/>
                              <wps:cNvSpPr/>
                              <wps:spPr>
                                <a:xfrm>
                                  <a:off x="6318" y="1231992"/>
                                  <a:ext cx="170" cy="340"/>
                                </a:xfrm>
                                <a:prstGeom prst="downArrow">
                                  <a:avLst/>
                                </a:prstGeom>
                                <a:noFill/>
                                <a:ln w="12700" cap="flat" cmpd="sng" algn="ctr">
                                  <a:solidFill>
                                    <a:schemeClr val="tx1"/>
                                  </a:solidFill>
                                  <a:prstDash val="solid"/>
                                </a:ln>
                                <a:effectLst/>
                              </wps:spPr>
                              <wps:txbx>
                                <w:txbxContent>
                                  <w:p w14:paraId="5FB05634">
                                    <w:pPr>
                                      <w:jc w:val="center"/>
                                    </w:pPr>
                                  </w:p>
                                  <w:p w14:paraId="7546B6B8"/>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5" name="文本框 265"/>
                              <wps:cNvSpPr txBox="1"/>
                              <wps:spPr>
                                <a:xfrm>
                                  <a:off x="5408" y="1232338"/>
                                  <a:ext cx="1990" cy="439"/>
                                </a:xfrm>
                                <a:prstGeom prst="rect">
                                  <a:avLst/>
                                </a:prstGeom>
                                <a:noFill/>
                                <a:ln w="6350">
                                  <a:solidFill>
                                    <a:schemeClr val="tx1"/>
                                  </a:solidFill>
                                </a:ln>
                                <a:effectLst/>
                              </wps:spPr>
                              <wps:txbx>
                                <w:txbxContent>
                                  <w:p w14:paraId="36BDEEED">
                                    <w:pPr>
                                      <w:jc w:val="center"/>
                                      <w:rPr>
                                        <w:rFonts w:hint="default" w:eastAsia="宋体"/>
                                        <w:color w:val="000000"/>
                                        <w:lang w:val="en-US" w:eastAsia="zh-CN"/>
                                      </w:rPr>
                                    </w:pPr>
                                    <w:r>
                                      <w:rPr>
                                        <w:rFonts w:hint="eastAsia"/>
                                        <w:color w:val="000000"/>
                                        <w:lang w:val="en-US" w:eastAsia="zh-CN"/>
                                      </w:rPr>
                                      <w:t>回用生产</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直接箭头连接符 58"/>
                              <wps:cNvCnPr/>
                              <wps:spPr>
                                <a:xfrm flipH="1">
                                  <a:off x="4320" y="1231189"/>
                                  <a:ext cx="1" cy="398"/>
                                </a:xfrm>
                                <a:prstGeom prst="straightConnector1">
                                  <a:avLst/>
                                </a:prstGeom>
                                <a:noFill/>
                                <a:ln w="25400" cap="flat" cmpd="sng" algn="ctr">
                                  <a:solidFill>
                                    <a:srgbClr val="000000">
                                      <a:shade val="95000"/>
                                      <a:satMod val="105000"/>
                                    </a:srgbClr>
                                  </a:solidFill>
                                  <a:prstDash val="solid"/>
                                  <a:tailEnd type="stealth" w="med" len="med"/>
                                </a:ln>
                                <a:effectLst/>
                              </wps:spPr>
                              <wps:bodyPr/>
                            </wps:wsp>
                            <wps:wsp>
                              <wps:cNvPr id="89" name="文本框 89"/>
                              <wps:cNvSpPr txBox="1"/>
                              <wps:spPr>
                                <a:xfrm>
                                  <a:off x="3713" y="1231569"/>
                                  <a:ext cx="1152" cy="439"/>
                                </a:xfrm>
                                <a:prstGeom prst="rect">
                                  <a:avLst/>
                                </a:prstGeom>
                                <a:noFill/>
                                <a:ln w="6350">
                                  <a:solidFill>
                                    <a:schemeClr val="tx1"/>
                                  </a:solidFill>
                                </a:ln>
                                <a:effectLst/>
                              </wps:spPr>
                              <wps:txbx>
                                <w:txbxContent>
                                  <w:p w14:paraId="0AAA3242">
                                    <w:pPr>
                                      <w:rPr>
                                        <w:rFonts w:hint="default"/>
                                        <w:sz w:val="21"/>
                                        <w:szCs w:val="21"/>
                                        <w:lang w:val="en-US" w:eastAsia="zh-CN"/>
                                      </w:rPr>
                                    </w:pPr>
                                    <w:r>
                                      <w:rPr>
                                        <w:rFonts w:hint="eastAsia" w:cs="Times New Roman"/>
                                        <w:color w:val="000000" w:themeColor="text1"/>
                                        <w:spacing w:val="0"/>
                                        <w:kern w:val="0"/>
                                        <w:sz w:val="21"/>
                                        <w:szCs w:val="21"/>
                                        <w:highlight w:val="none"/>
                                        <w:lang w:val="en-US" w:eastAsia="zh-CN" w:bidi="ar"/>
                                        <w14:textFill>
                                          <w14:solidFill>
                                            <w14:schemeClr w14:val="tx1"/>
                                          </w14:solidFill>
                                        </w14:textFill>
                                      </w:rPr>
                                      <w:t>板框压滤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直接箭头连接符 91"/>
                              <wps:cNvCnPr/>
                              <wps:spPr>
                                <a:xfrm flipH="1">
                                  <a:off x="4305" y="1232029"/>
                                  <a:ext cx="1" cy="398"/>
                                </a:xfrm>
                                <a:prstGeom prst="straightConnector1">
                                  <a:avLst/>
                                </a:prstGeom>
                                <a:noFill/>
                                <a:ln w="25400" cap="flat" cmpd="sng" algn="ctr">
                                  <a:solidFill>
                                    <a:srgbClr val="000000">
                                      <a:shade val="95000"/>
                                      <a:satMod val="105000"/>
                                    </a:srgbClr>
                                  </a:solidFill>
                                  <a:prstDash val="solid"/>
                                  <a:tailEnd type="stealth" w="med" len="med"/>
                                </a:ln>
                                <a:effectLst/>
                              </wps:spPr>
                              <wps:bodyPr/>
                            </wps:wsp>
                            <wps:wsp>
                              <wps:cNvPr id="106" name="文本框 106"/>
                              <wps:cNvSpPr txBox="1"/>
                              <wps:spPr>
                                <a:xfrm>
                                  <a:off x="3743" y="1232409"/>
                                  <a:ext cx="1152" cy="439"/>
                                </a:xfrm>
                                <a:prstGeom prst="rect">
                                  <a:avLst/>
                                </a:prstGeom>
                                <a:noFill/>
                                <a:ln w="6350">
                                  <a:solidFill>
                                    <a:schemeClr val="tx1"/>
                                  </a:solidFill>
                                </a:ln>
                                <a:effectLst/>
                              </wps:spPr>
                              <wps:txbx>
                                <w:txbxContent>
                                  <w:p w14:paraId="1C4CE789">
                                    <w:pPr>
                                      <w:rPr>
                                        <w:rFonts w:hint="default"/>
                                        <w:sz w:val="21"/>
                                        <w:szCs w:val="21"/>
                                        <w:lang w:val="en-US" w:eastAsia="zh-CN"/>
                                      </w:rPr>
                                    </w:pPr>
                                    <w:r>
                                      <w:rPr>
                                        <w:rFonts w:hint="eastAsia" w:cs="Times New Roman"/>
                                        <w:color w:val="000000" w:themeColor="text1"/>
                                        <w:spacing w:val="0"/>
                                        <w:kern w:val="0"/>
                                        <w:sz w:val="21"/>
                                        <w:szCs w:val="21"/>
                                        <w:highlight w:val="none"/>
                                        <w:lang w:val="en-US" w:eastAsia="zh-CN" w:bidi="ar"/>
                                        <w14:textFill>
                                          <w14:solidFill>
                                            <w14:schemeClr w14:val="tx1"/>
                                          </w14:solidFill>
                                        </w14:textFill>
                                      </w:rPr>
                                      <w:t>当作危废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3.75pt;margin-top:7.55pt;height:188.4pt;width:252pt;z-index:251662336;mso-width-relative:page;mso-height-relative:page;" coordorigin="3713,1229079" coordsize="5040,3768" o:gfxdata="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">
                      <o:lock v:ext="edit" aspectratio="f"/>
                      <v:shape id="_x0000_s1026" o:spid="_x0000_s1026" o:spt="202" type="#_x0000_t202" style="position:absolute;left:5361;top:1229079;height:495;width:2085;" filled="f" stroked="t" coordsize="21600,21600" o:gfxdata="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oDzP&#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63809EAE">
                              <w:pPr>
                                <w:jc w:val="center"/>
                                <w:rPr>
                                  <w:rFonts w:hint="default" w:eastAsia="宋体"/>
                                  <w:sz w:val="21"/>
                                  <w:szCs w:val="21"/>
                                  <w:lang w:val="en-US" w:eastAsia="zh-CN"/>
                                </w:rPr>
                              </w:pPr>
                              <w:r>
                                <w:rPr>
                                  <w:rFonts w:hint="eastAsia" w:ascii="宋体" w:hAnsi="宋体" w:eastAsia="宋体" w:cs="宋体"/>
                                  <w:color w:val="000000"/>
                                  <w:kern w:val="0"/>
                                  <w:sz w:val="21"/>
                                  <w:szCs w:val="21"/>
                                  <w:lang w:val="en-US" w:eastAsia="zh-CN" w:bidi="ar"/>
                                </w:rPr>
                                <w:t>水帘气旋</w:t>
                              </w:r>
                              <w:r>
                                <w:rPr>
                                  <w:rFonts w:hint="eastAsia" w:ascii="宋体" w:hAnsi="宋体" w:cs="宋体"/>
                                  <w:color w:val="000000"/>
                                  <w:kern w:val="0"/>
                                  <w:sz w:val="21"/>
                                  <w:szCs w:val="21"/>
                                  <w:lang w:val="en-US" w:eastAsia="zh-CN" w:bidi="ar"/>
                                </w:rPr>
                                <w:t>废</w:t>
                              </w:r>
                              <w:r>
                                <w:rPr>
                                  <w:rFonts w:hint="eastAsia" w:ascii="宋体" w:hAnsi="宋体" w:eastAsia="宋体" w:cs="宋体"/>
                                  <w:color w:val="000000"/>
                                  <w:kern w:val="0"/>
                                  <w:sz w:val="21"/>
                                  <w:szCs w:val="21"/>
                                  <w:lang w:val="en-US" w:eastAsia="zh-CN" w:bidi="ar"/>
                                </w:rPr>
                                <w:t>水</w:t>
                              </w:r>
                            </w:p>
                          </w:txbxContent>
                        </v:textbox>
                      </v:shape>
                      <v:shape id="_x0000_s1026" o:spid="_x0000_s1026" o:spt="67" type="#_x0000_t67" style="position:absolute;left:6318;top:1230407;height:340;width:170;v-text-anchor:middle;" filled="f" stroked="t" coordsize="21600,21600" o:gfxdata="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IX8XvQAA&#10;ANwAAAAPAAAAAAAAAAEAIAAAACIAAABkcnMvZG93bnJldi54bWxQSwECFAAUAAAACACHTuJAMy8F&#10;njsAAAA5AAAAEAAAAAAAAAABACAAAAAMAQAAZHJzL3NoYXBleG1sLnhtbFBLBQYAAAAABgAGAFsB&#10;AAC2AwAAAAA=&#10;" adj="16200,5400">
                        <v:fill on="f" focussize="0,0"/>
                        <v:stroke weight="1pt" color="#000000 [3213]" joinstyle="round"/>
                        <v:imagedata o:title=""/>
                        <o:lock v:ext="edit" aspectratio="f"/>
                        <v:textbox>
                          <w:txbxContent>
                            <w:p w14:paraId="6BB1E564"/>
                            <w:p w14:paraId="446E945D">
                              <w:pPr>
                                <w:pStyle w:val="27"/>
                              </w:pPr>
                            </w:p>
                            <w:p w14:paraId="20837904"/>
                          </w:txbxContent>
                        </v:textbox>
                      </v:shape>
                      <v:shape id="_x0000_s1026" o:spid="_x0000_s1026" o:spt="202" type="#_x0000_t202" style="position:absolute;left:5408;top:1229932;height:439;width:1990;" filled="f" stroked="t" coordsize="21600,21600" o:gfxdata="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K4qS&#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1A01E186">
                              <w:pPr>
                                <w:jc w:val="center"/>
                                <w:rPr>
                                  <w:rFonts w:hint="default" w:eastAsia="宋体"/>
                                  <w:lang w:val="en-US" w:eastAsia="zh-CN"/>
                                </w:rPr>
                              </w:pPr>
                              <w:r>
                                <w:rPr>
                                  <w:rFonts w:hint="eastAsia"/>
                                  <w:lang w:val="en-US" w:eastAsia="zh-CN"/>
                                </w:rPr>
                                <w:t>调节池</w:t>
                              </w:r>
                            </w:p>
                          </w:txbxContent>
                        </v:textbox>
                      </v:shape>
                      <v:shape id="_x0000_s1026" o:spid="_x0000_s1026" o:spt="67" type="#_x0000_t67" style="position:absolute;left:6318;top:1229602;height:340;width:170;v-text-anchor:middle;" filled="f" stroked="t" coordsize="21600,21600" o:gfxdata="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xL4A&#10;AADcAAAADwAAAAAAAAABACAAAAAiAAAAZHJzL2Rvd25yZXYueG1sUEsBAhQAFAAAAAgAh07iQDMv&#10;BZ47AAAAOQAAABAAAAAAAAAAAQAgAAAADQEAAGRycy9zaGFwZXhtbC54bWxQSwUGAAAAAAYABgBb&#10;AQAAtwMAAAAA&#10;" adj="16200,5400">
                        <v:fill on="f" focussize="0,0"/>
                        <v:stroke weight="1pt" color="#000000 [3213]" joinstyle="round"/>
                        <v:imagedata o:title=""/>
                        <o:lock v:ext="edit" aspectratio="f"/>
                        <v:textbox>
                          <w:txbxContent>
                            <w:p w14:paraId="0E69A2E6">
                              <w:pPr>
                                <w:jc w:val="center"/>
                              </w:pPr>
                            </w:p>
                          </w:txbxContent>
                        </v:textbox>
                      </v:shape>
                      <v:shape id="_x0000_s1026" o:spid="_x0000_s1026" o:spt="202" type="#_x0000_t202" style="position:absolute;left:5408;top:1230744;height:439;width:1990;" filled="f" stroked="t" coordsize="21600,21600" o:gfxdata="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3Toa8AAAA&#10;3AAAAA8AAAAAAAAAAQAgAAAAIgAAAGRycy9kb3ducmV2LnhtbFBLAQIUABQAAAAIAIdO4kAzLwWe&#10;OwAAADkAAAAQAAAAAAAAAAEAIAAAAAsBAABkcnMvc2hhcGV4bWwueG1sUEsFBgAAAAAGAAYAWwEA&#10;ALUDAAAAAA==&#10;">
                        <v:fill on="f" focussize="0,0"/>
                        <v:stroke weight="0.5pt" color="#000000 [3213]" joinstyle="round"/>
                        <v:imagedata o:title=""/>
                        <o:lock v:ext="edit" aspectratio="f"/>
                        <v:textbox>
                          <w:txbxContent>
                            <w:p w14:paraId="01058C67">
                              <w:pPr>
                                <w:jc w:val="center"/>
                                <w:rPr>
                                  <w:rFonts w:hint="default" w:eastAsia="宋体"/>
                                  <w:lang w:val="en-US" w:eastAsia="zh-CN"/>
                                </w:rPr>
                              </w:pPr>
                              <w:r>
                                <w:rPr>
                                  <w:rFonts w:hint="eastAsia"/>
                                  <w:lang w:val="en-US" w:eastAsia="zh-CN"/>
                                </w:rPr>
                                <w:t>处理一体机</w:t>
                              </w:r>
                            </w:p>
                          </w:txbxContent>
                        </v:textbox>
                      </v:shape>
                      <v:shape id="_x0000_s1026" o:spid="_x0000_s1026" o:spt="32" type="#_x0000_t32" style="position:absolute;left:4949;top:1230964;flip:x;height:0;width:460;" filled="f" stroked="t" coordsize="21600,21600" o:gfxdata="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5YK&#10;wAAAANwAAAAPAAAAAAAAAAEAIAAAACIAAABkcnMvZG93bnJldi54bWxQSwECFAAUAAAACACHTuJA&#10;My8FnjsAAAA5AAAAEAAAAAAAAAABACAAAAAPAQAAZHJzL3NoYXBleG1sLnhtbFBLBQYAAAAABgAG&#10;AFsBAAC5AwAAAAA=&#10;">
                        <v:fill on="f" focussize="0,0"/>
                        <v:stroke weight="2pt" color="#000000" joinstyle="round" endarrow="classic"/>
                        <v:imagedata o:title=""/>
                        <o:lock v:ext="edit" aspectratio="f"/>
                      </v:shape>
                      <v:shape id="_x0000_s1026" o:spid="_x0000_s1026" o:spt="32" type="#_x0000_t32" style="position:absolute;left:7403;top:1230964;flip:x;height:0;width:460;" filled="f" stroked="t" coordsize="21600,21600" o:gfxdata="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tzORvQAA&#10;ANwAAAAPAAAAAAAAAAEAIAAAACIAAABkcnMvZG93bnJldi54bWxQSwECFAAUAAAACACHTuJAMy8F&#10;njsAAAA5AAAAEAAAAAAAAAABACAAAAAMAQAAZHJzL3NoYXBleG1sLnhtbFBLBQYAAAAABgAGAFsB&#10;AAC2AwAAAAA=&#10;">
                        <v:fill on="f" focussize="0,0"/>
                        <v:stroke weight="2pt" color="#000000" joinstyle="round" endarrow="classic"/>
                        <v:imagedata o:title=""/>
                        <o:lock v:ext="edit" aspectratio="f"/>
                      </v:shape>
                      <v:shape id="_x0000_s1026" o:spid="_x0000_s1026" o:spt="202" type="#_x0000_t202" style="position:absolute;left:7857;top:1230744;height:439;width:897;" filled="f" stroked="t" coordsize="21600,21600" o:gfxdata="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FWCv&#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56863933">
                              <w:pPr>
                                <w:jc w:val="center"/>
                                <w:rPr>
                                  <w:rFonts w:hint="default" w:eastAsia="宋体"/>
                                  <w:lang w:val="en-US" w:eastAsia="zh-CN"/>
                                </w:rPr>
                              </w:pPr>
                              <w:r>
                                <w:rPr>
                                  <w:rFonts w:hint="eastAsia"/>
                                  <w:lang w:val="en-US" w:eastAsia="zh-CN"/>
                                </w:rPr>
                                <w:t>药剂</w:t>
                              </w:r>
                            </w:p>
                          </w:txbxContent>
                        </v:textbox>
                      </v:shape>
                      <v:shape id="_x0000_s1026" o:spid="_x0000_s1026" o:spt="202" type="#_x0000_t202" style="position:absolute;left:3758;top:1230744;height:439;width:1183;" filled="f" stroked="t" coordsize="21600,21600" o:gfxdata="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zRl&#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44148333">
                              <w:pPr>
                                <w:jc w:val="center"/>
                                <w:rPr>
                                  <w:rFonts w:hint="default" w:eastAsia="宋体"/>
                                  <w:lang w:val="en-US" w:eastAsia="zh-CN"/>
                                </w:rPr>
                              </w:pPr>
                              <w:r>
                                <w:rPr>
                                  <w:rFonts w:hint="eastAsia"/>
                                  <w:lang w:val="en-US" w:eastAsia="zh-CN"/>
                                </w:rPr>
                                <w:t>沉淀污泥</w:t>
                              </w:r>
                            </w:p>
                          </w:txbxContent>
                        </v:textbox>
                      </v:shape>
                      <v:shape id="_x0000_s1026" o:spid="_x0000_s1026" o:spt="67" type="#_x0000_t67" style="position:absolute;left:6318;top:1231197;height:340;width:170;v-text-anchor:middle;" filled="f" stroked="t" coordsize="21600,21600" o:gfxdata="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9E+74A&#10;AADcAAAADwAAAAAAAAABACAAAAAiAAAAZHJzL2Rvd25yZXYueG1sUEsBAhQAFAAAAAgAh07iQDMv&#10;BZ47AAAAOQAAABAAAAAAAAAAAQAgAAAADQEAAGRycy9zaGFwZXhtbC54bWxQSwUGAAAAAAYABgBb&#10;AQAAtwMAAAAA&#10;" adj="16200,5400">
                        <v:fill on="f" focussize="0,0"/>
                        <v:stroke weight="1pt" color="#000000 [3213]" joinstyle="round"/>
                        <v:imagedata o:title=""/>
                        <o:lock v:ext="edit" aspectratio="f"/>
                        <v:textbox>
                          <w:txbxContent>
                            <w:p w14:paraId="13887734">
                              <w:pPr>
                                <w:jc w:val="center"/>
                              </w:pPr>
                            </w:p>
                            <w:p w14:paraId="13C42945"/>
                          </w:txbxContent>
                        </v:textbox>
                      </v:shape>
                      <v:shape id="_x0000_s1026" o:spid="_x0000_s1026" o:spt="202" type="#_x0000_t202" style="position:absolute;left:5408;top:1231538;height:439;width:1990;" filled="f" stroked="t" coordsize="21600,21600" o:gfxdata="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mzrM&#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44D185CE">
                              <w:pPr>
                                <w:jc w:val="center"/>
                                <w:rPr>
                                  <w:rFonts w:hint="default" w:eastAsia="宋体"/>
                                  <w:lang w:val="en-US" w:eastAsia="zh-CN"/>
                                </w:rPr>
                              </w:pPr>
                              <w:r>
                                <w:rPr>
                                  <w:rFonts w:hint="eastAsia"/>
                                  <w:lang w:val="en-US" w:eastAsia="zh-CN"/>
                                </w:rPr>
                                <w:t>清水池</w:t>
                              </w:r>
                            </w:p>
                          </w:txbxContent>
                        </v:textbox>
                      </v:shape>
                      <v:shape id="_x0000_s1026" o:spid="_x0000_s1026" o:spt="67" type="#_x0000_t67" style="position:absolute;left:6318;top:1231992;height:340;width:170;v-text-anchor:middle;" filled="f" stroked="t" coordsize="21600,21600" o:gfxdata="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PhYL4A&#10;AADcAAAADwAAAAAAAAABACAAAAAiAAAAZHJzL2Rvd25yZXYueG1sUEsBAhQAFAAAAAgAh07iQDMv&#10;BZ47AAAAOQAAABAAAAAAAAAAAQAgAAAADQEAAGRycy9zaGFwZXhtbC54bWxQSwUGAAAAAAYABgBb&#10;AQAAtwMAAAAA&#10;" adj="16200,5400">
                        <v:fill on="f" focussize="0,0"/>
                        <v:stroke weight="1pt" color="#000000 [3213]" joinstyle="round"/>
                        <v:imagedata o:title=""/>
                        <o:lock v:ext="edit" aspectratio="f"/>
                        <v:textbox>
                          <w:txbxContent>
                            <w:p w14:paraId="5FB05634">
                              <w:pPr>
                                <w:jc w:val="center"/>
                              </w:pPr>
                            </w:p>
                            <w:p w14:paraId="7546B6B8"/>
                          </w:txbxContent>
                        </v:textbox>
                      </v:shape>
                      <v:shape id="_x0000_s1026" o:spid="_x0000_s1026" o:spt="202" type="#_x0000_t202" style="position:absolute;left:5408;top:1232338;height:439;width:1990;" filled="f" stroked="t" coordsize="21600,21600" o:gfxdata="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Pgcj&#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36BDEEED">
                              <w:pPr>
                                <w:jc w:val="center"/>
                                <w:rPr>
                                  <w:rFonts w:hint="default" w:eastAsia="宋体"/>
                                  <w:color w:val="000000"/>
                                  <w:lang w:val="en-US" w:eastAsia="zh-CN"/>
                                </w:rPr>
                              </w:pPr>
                              <w:r>
                                <w:rPr>
                                  <w:rFonts w:hint="eastAsia"/>
                                  <w:color w:val="000000"/>
                                  <w:lang w:val="en-US" w:eastAsia="zh-CN"/>
                                </w:rPr>
                                <w:t>回用生产</w:t>
                              </w:r>
                            </w:p>
                          </w:txbxContent>
                        </v:textbox>
                      </v:shape>
                      <v:shape id="_x0000_s1026" o:spid="_x0000_s1026" o:spt="32" type="#_x0000_t32" style="position:absolute;left:4320;top:1231189;flip:x;height:398;width:1;" filled="f" stroked="t" coordsize="21600,21600" o:gfxdata="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1JPRvQAA&#10;ANsAAAAPAAAAAAAAAAEAIAAAACIAAABkcnMvZG93bnJldi54bWxQSwECFAAUAAAACACHTuJAMy8F&#10;njsAAAA5AAAAEAAAAAAAAAABACAAAAAMAQAAZHJzL3NoYXBleG1sLnhtbFBLBQYAAAAABgAGAFsB&#10;AAC2AwAAAAA=&#10;">
                        <v:fill on="f" focussize="0,0"/>
                        <v:stroke weight="2pt" color="#000000" joinstyle="round" endarrow="classic"/>
                        <v:imagedata o:title=""/>
                        <o:lock v:ext="edit" aspectratio="f"/>
                      </v:shape>
                      <v:shape id="_x0000_s1026" o:spid="_x0000_s1026" o:spt="202" type="#_x0000_t202" style="position:absolute;left:3713;top:1231569;height:439;width:1152;" filled="f" stroked="t" coordsize="21600,21600" o:gfxdata="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3qdS/&#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14:paraId="0AAA3242">
                              <w:pPr>
                                <w:rPr>
                                  <w:rFonts w:hint="default"/>
                                  <w:sz w:val="21"/>
                                  <w:szCs w:val="21"/>
                                  <w:lang w:val="en-US" w:eastAsia="zh-CN"/>
                                </w:rPr>
                              </w:pPr>
                              <w:r>
                                <w:rPr>
                                  <w:rFonts w:hint="eastAsia" w:cs="Times New Roman"/>
                                  <w:color w:val="000000" w:themeColor="text1"/>
                                  <w:spacing w:val="0"/>
                                  <w:kern w:val="0"/>
                                  <w:sz w:val="21"/>
                                  <w:szCs w:val="21"/>
                                  <w:highlight w:val="none"/>
                                  <w:lang w:val="en-US" w:eastAsia="zh-CN" w:bidi="ar"/>
                                  <w14:textFill>
                                    <w14:solidFill>
                                      <w14:schemeClr w14:val="tx1"/>
                                    </w14:solidFill>
                                  </w14:textFill>
                                </w:rPr>
                                <w:t>板框压滤</w:t>
                              </w:r>
                            </w:p>
                          </w:txbxContent>
                        </v:textbox>
                      </v:shape>
                      <v:shape id="_x0000_s1026" o:spid="_x0000_s1026" o:spt="32" type="#_x0000_t32" style="position:absolute;left:4305;top:1232029;flip:x;height:398;width:1;" filled="f" stroked="t" coordsize="21600,21600" o:gfxdata="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XgNa/&#10;AAAA2wAAAA8AAAAAAAAAAQAgAAAAIgAAAGRycy9kb3ducmV2LnhtbFBLAQIUABQAAAAIAIdO4kAz&#10;LwWeOwAAADkAAAAQAAAAAAAAAAEAIAAAAA4BAABkcnMvc2hhcGV4bWwueG1sUEsFBgAAAAAGAAYA&#10;WwEAALgDAAAAAA==&#10;">
                        <v:fill on="f" focussize="0,0"/>
                        <v:stroke weight="2pt" color="#000000" joinstyle="round" endarrow="classic"/>
                        <v:imagedata o:title=""/>
                        <o:lock v:ext="edit" aspectratio="f"/>
                      </v:shape>
                      <v:shape id="_x0000_s1026" o:spid="_x0000_s1026" o:spt="202" type="#_x0000_t202" style="position:absolute;left:3743;top:1232409;height:439;width:1152;" filled="f" stroked="t" coordsize="21600,21600" o:gfxdata="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h2I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14:paraId="1C4CE789">
                              <w:pPr>
                                <w:rPr>
                                  <w:rFonts w:hint="default"/>
                                  <w:sz w:val="21"/>
                                  <w:szCs w:val="21"/>
                                  <w:lang w:val="en-US" w:eastAsia="zh-CN"/>
                                </w:rPr>
                              </w:pPr>
                              <w:r>
                                <w:rPr>
                                  <w:rFonts w:hint="eastAsia" w:cs="Times New Roman"/>
                                  <w:color w:val="000000" w:themeColor="text1"/>
                                  <w:spacing w:val="0"/>
                                  <w:kern w:val="0"/>
                                  <w:sz w:val="21"/>
                                  <w:szCs w:val="21"/>
                                  <w:highlight w:val="none"/>
                                  <w:lang w:val="en-US" w:eastAsia="zh-CN" w:bidi="ar"/>
                                  <w14:textFill>
                                    <w14:solidFill>
                                      <w14:schemeClr w14:val="tx1"/>
                                    </w14:solidFill>
                                  </w14:textFill>
                                </w:rPr>
                                <w:t>当作危废</w:t>
                              </w:r>
                            </w:p>
                          </w:txbxContent>
                        </v:textbox>
                      </v:shape>
                    </v:group>
                  </w:pict>
                </mc:Fallback>
              </mc:AlternateContent>
            </w:r>
          </w:p>
          <w:p w14:paraId="105A6595">
            <w:pPr>
              <w:rPr>
                <w:rFonts w:hint="eastAsia" w:ascii="Times New Roman" w:hAnsi="Times New Roman" w:eastAsia="宋体" w:cs="Times New Roman"/>
                <w:color w:val="auto"/>
                <w:spacing w:val="0"/>
                <w:highlight w:val="none"/>
                <w:lang w:val="en-US" w:eastAsia="zh-CN"/>
              </w:rPr>
            </w:pPr>
          </w:p>
          <w:p w14:paraId="7F5C10BF">
            <w:pPr>
              <w:keepNext w:val="0"/>
              <w:keepLines w:val="0"/>
              <w:widowControl/>
              <w:suppressLineNumbers w:val="0"/>
              <w:jc w:val="both"/>
              <w:rPr>
                <w:rFonts w:hint="eastAsia" w:ascii="Times New Roman" w:hAnsi="Times New Roman" w:eastAsia="宋体" w:cs="Times New Roman"/>
                <w:b/>
                <w:bCs/>
                <w:color w:val="auto"/>
                <w:spacing w:val="0"/>
                <w:sz w:val="21"/>
                <w:szCs w:val="21"/>
                <w:highlight w:val="none"/>
                <w:lang w:eastAsia="zh-CN"/>
              </w:rPr>
            </w:pPr>
          </w:p>
          <w:p w14:paraId="1C294BA9">
            <w:pPr>
              <w:keepNext w:val="0"/>
              <w:keepLines w:val="0"/>
              <w:widowControl/>
              <w:suppressLineNumbers w:val="0"/>
              <w:jc w:val="center"/>
              <w:rPr>
                <w:rFonts w:hint="eastAsia" w:ascii="Times New Roman" w:hAnsi="Times New Roman" w:eastAsia="宋体" w:cs="Times New Roman"/>
                <w:b/>
                <w:bCs/>
                <w:color w:val="auto"/>
                <w:spacing w:val="0"/>
                <w:sz w:val="21"/>
                <w:szCs w:val="21"/>
                <w:highlight w:val="none"/>
                <w:lang w:eastAsia="zh-CN"/>
              </w:rPr>
            </w:pPr>
          </w:p>
          <w:p w14:paraId="44B54082">
            <w:pPr>
              <w:pStyle w:val="27"/>
              <w:rPr>
                <w:rFonts w:hint="eastAsia" w:ascii="Times New Roman" w:hAnsi="Times New Roman" w:eastAsia="宋体" w:cs="Times New Roman"/>
                <w:color w:val="auto"/>
                <w:spacing w:val="0"/>
                <w:highlight w:val="none"/>
                <w:lang w:eastAsia="zh-CN"/>
              </w:rPr>
            </w:pPr>
          </w:p>
          <w:p w14:paraId="33F84BCC">
            <w:pPr>
              <w:keepNext w:val="0"/>
              <w:keepLines w:val="0"/>
              <w:widowControl/>
              <w:suppressLineNumbers w:val="0"/>
              <w:jc w:val="center"/>
              <w:rPr>
                <w:rFonts w:hint="eastAsia" w:ascii="Times New Roman" w:hAnsi="Times New Roman" w:eastAsia="宋体" w:cs="Times New Roman"/>
                <w:b/>
                <w:bCs/>
                <w:color w:val="auto"/>
                <w:spacing w:val="0"/>
                <w:sz w:val="21"/>
                <w:szCs w:val="21"/>
                <w:highlight w:val="none"/>
                <w:lang w:eastAsia="zh-CN"/>
              </w:rPr>
            </w:pPr>
          </w:p>
          <w:p w14:paraId="601CD29C">
            <w:pPr>
              <w:keepNext w:val="0"/>
              <w:keepLines w:val="0"/>
              <w:widowControl/>
              <w:suppressLineNumbers w:val="0"/>
              <w:jc w:val="center"/>
              <w:rPr>
                <w:rFonts w:hint="eastAsia" w:ascii="Times New Roman" w:hAnsi="Times New Roman" w:eastAsia="宋体" w:cs="Times New Roman"/>
                <w:b/>
                <w:bCs/>
                <w:color w:val="auto"/>
                <w:spacing w:val="0"/>
                <w:sz w:val="21"/>
                <w:szCs w:val="21"/>
                <w:highlight w:val="none"/>
                <w:lang w:eastAsia="zh-CN"/>
              </w:rPr>
            </w:pPr>
          </w:p>
          <w:p w14:paraId="34D7F966">
            <w:pPr>
              <w:keepNext w:val="0"/>
              <w:keepLines w:val="0"/>
              <w:widowControl/>
              <w:suppressLineNumbers w:val="0"/>
              <w:jc w:val="center"/>
              <w:rPr>
                <w:rFonts w:hint="eastAsia" w:ascii="Times New Roman" w:hAnsi="Times New Roman" w:eastAsia="宋体" w:cs="Times New Roman"/>
                <w:b/>
                <w:bCs/>
                <w:color w:val="auto"/>
                <w:spacing w:val="0"/>
                <w:sz w:val="21"/>
                <w:szCs w:val="21"/>
                <w:highlight w:val="none"/>
                <w:lang w:eastAsia="zh-CN"/>
              </w:rPr>
            </w:pPr>
          </w:p>
          <w:p w14:paraId="6AA9C2B9">
            <w:pPr>
              <w:keepNext w:val="0"/>
              <w:keepLines w:val="0"/>
              <w:widowControl/>
              <w:suppressLineNumbers w:val="0"/>
              <w:jc w:val="center"/>
              <w:rPr>
                <w:rFonts w:hint="eastAsia" w:ascii="Times New Roman" w:hAnsi="Times New Roman" w:eastAsia="宋体" w:cs="Times New Roman"/>
                <w:b/>
                <w:bCs/>
                <w:color w:val="auto"/>
                <w:spacing w:val="0"/>
                <w:sz w:val="21"/>
                <w:szCs w:val="21"/>
                <w:highlight w:val="none"/>
                <w:lang w:eastAsia="zh-CN"/>
              </w:rPr>
            </w:pPr>
          </w:p>
          <w:p w14:paraId="5A82230D">
            <w:pPr>
              <w:keepNext w:val="0"/>
              <w:keepLines w:val="0"/>
              <w:widowControl/>
              <w:suppressLineNumbers w:val="0"/>
              <w:jc w:val="center"/>
              <w:rPr>
                <w:rFonts w:hint="eastAsia" w:ascii="Times New Roman" w:hAnsi="Times New Roman" w:eastAsia="宋体" w:cs="Times New Roman"/>
                <w:b/>
                <w:bCs/>
                <w:color w:val="auto"/>
                <w:spacing w:val="0"/>
                <w:sz w:val="21"/>
                <w:szCs w:val="21"/>
                <w:highlight w:val="none"/>
                <w:lang w:eastAsia="zh-CN"/>
              </w:rPr>
            </w:pPr>
          </w:p>
          <w:p w14:paraId="59921965">
            <w:pPr>
              <w:keepNext w:val="0"/>
              <w:keepLines w:val="0"/>
              <w:widowControl/>
              <w:suppressLineNumbers w:val="0"/>
              <w:jc w:val="center"/>
              <w:rPr>
                <w:rFonts w:hint="eastAsia" w:ascii="Times New Roman" w:hAnsi="Times New Roman" w:eastAsia="宋体" w:cs="Times New Roman"/>
                <w:b/>
                <w:bCs/>
                <w:color w:val="auto"/>
                <w:spacing w:val="0"/>
                <w:sz w:val="21"/>
                <w:szCs w:val="21"/>
                <w:highlight w:val="none"/>
                <w:lang w:eastAsia="zh-CN"/>
              </w:rPr>
            </w:pPr>
          </w:p>
          <w:p w14:paraId="262A8029">
            <w:pPr>
              <w:keepNext w:val="0"/>
              <w:keepLines w:val="0"/>
              <w:widowControl/>
              <w:suppressLineNumbers w:val="0"/>
              <w:jc w:val="center"/>
              <w:rPr>
                <w:rFonts w:hint="eastAsia" w:ascii="Times New Roman" w:hAnsi="Times New Roman" w:eastAsia="宋体" w:cs="Times New Roman"/>
                <w:b/>
                <w:bCs/>
                <w:color w:val="auto"/>
                <w:spacing w:val="0"/>
                <w:sz w:val="21"/>
                <w:szCs w:val="21"/>
                <w:highlight w:val="none"/>
                <w:lang w:eastAsia="zh-CN"/>
              </w:rPr>
            </w:pPr>
          </w:p>
          <w:p w14:paraId="56B1E94F">
            <w:pPr>
              <w:keepNext w:val="0"/>
              <w:keepLines w:val="0"/>
              <w:widowControl/>
              <w:suppressLineNumbers w:val="0"/>
              <w:jc w:val="center"/>
              <w:rPr>
                <w:rFonts w:hint="eastAsia" w:ascii="Times New Roman" w:hAnsi="Times New Roman" w:eastAsia="宋体" w:cs="Times New Roman"/>
                <w:b/>
                <w:bCs/>
                <w:color w:val="auto"/>
                <w:spacing w:val="0"/>
                <w:sz w:val="21"/>
                <w:szCs w:val="21"/>
                <w:highlight w:val="none"/>
                <w:lang w:eastAsia="zh-CN"/>
              </w:rPr>
            </w:pPr>
          </w:p>
          <w:p w14:paraId="1FD6C781">
            <w:pPr>
              <w:keepNext w:val="0"/>
              <w:keepLines w:val="0"/>
              <w:widowControl/>
              <w:suppressLineNumbers w:val="0"/>
              <w:jc w:val="center"/>
              <w:rPr>
                <w:rFonts w:hint="eastAsia" w:ascii="Times New Roman" w:hAnsi="Times New Roman" w:eastAsia="宋体" w:cs="Times New Roman"/>
                <w:b/>
                <w:bCs/>
                <w:color w:val="auto"/>
                <w:spacing w:val="0"/>
                <w:sz w:val="21"/>
                <w:szCs w:val="21"/>
                <w:highlight w:val="none"/>
                <w:lang w:eastAsia="zh-CN"/>
              </w:rPr>
            </w:pPr>
          </w:p>
          <w:p w14:paraId="1EC76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4"/>
                <w:szCs w:val="24"/>
                <w:highlight w:val="none"/>
                <w:lang w:eastAsia="zh-CN"/>
              </w:rPr>
              <w:t>图</w:t>
            </w:r>
            <w:r>
              <w:rPr>
                <w:rFonts w:hint="eastAsia" w:ascii="Times New Roman" w:hAnsi="Times New Roman" w:eastAsia="宋体" w:cs="Times New Roman"/>
                <w:b/>
                <w:bCs/>
                <w:color w:val="auto"/>
                <w:spacing w:val="0"/>
                <w:sz w:val="24"/>
                <w:szCs w:val="24"/>
                <w:highlight w:val="none"/>
                <w:lang w:val="en-US" w:eastAsia="zh-CN"/>
              </w:rPr>
              <w:t>4.2-</w:t>
            </w:r>
            <w:r>
              <w:rPr>
                <w:rFonts w:hint="eastAsia" w:cs="Times New Roman"/>
                <w:b/>
                <w:bCs/>
                <w:color w:val="auto"/>
                <w:spacing w:val="0"/>
                <w:sz w:val="24"/>
                <w:szCs w:val="24"/>
                <w:highlight w:val="none"/>
                <w:lang w:val="en-US" w:eastAsia="zh-CN"/>
              </w:rPr>
              <w:t>2</w:t>
            </w:r>
            <w:r>
              <w:rPr>
                <w:rFonts w:hint="eastAsia" w:ascii="Times New Roman" w:hAnsi="Times New Roman" w:eastAsia="宋体" w:cs="Times New Roman"/>
                <w:b/>
                <w:bCs/>
                <w:color w:val="auto"/>
                <w:spacing w:val="0"/>
                <w:sz w:val="24"/>
                <w:szCs w:val="24"/>
                <w:highlight w:val="none"/>
                <w:lang w:val="en-US" w:eastAsia="zh-CN"/>
              </w:rPr>
              <w:t xml:space="preserve"> 生产废水处理工艺流程图</w:t>
            </w:r>
          </w:p>
          <w:p w14:paraId="67C0E2B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0"/>
                <w:sz w:val="24"/>
                <w:szCs w:val="24"/>
                <w:highlight w:val="none"/>
                <w:lang w:bidi="ar"/>
              </w:rPr>
              <w:t>本工艺利用物化法处理生产废水，废水经提升泵提升进入调节池进行调节混匀后进入</w:t>
            </w:r>
            <w:r>
              <w:rPr>
                <w:rFonts w:hint="eastAsia" w:cs="Times New Roman"/>
                <w:color w:val="auto"/>
                <w:kern w:val="0"/>
                <w:sz w:val="24"/>
                <w:szCs w:val="24"/>
                <w:highlight w:val="none"/>
                <w:lang w:val="en-US" w:eastAsia="zh-CN" w:bidi="ar"/>
              </w:rPr>
              <w:t>絮凝沉淀</w:t>
            </w:r>
            <w:r>
              <w:rPr>
                <w:rFonts w:hint="eastAsia" w:ascii="Times New Roman" w:hAnsi="Times New Roman" w:eastAsia="宋体"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加药剂</w:t>
            </w:r>
            <w:r>
              <w:rPr>
                <w:rFonts w:hint="eastAsia" w:ascii="Times New Roman" w:hAnsi="Times New Roman" w:eastAsia="宋体" w:cs="Times New Roman"/>
                <w:color w:val="auto"/>
                <w:kern w:val="0"/>
                <w:sz w:val="24"/>
                <w:szCs w:val="24"/>
                <w:highlight w:val="none"/>
                <w:lang w:val="en-US" w:eastAsia="zh-CN" w:bidi="ar"/>
              </w:rPr>
              <w:t>处理后，上清液进入清水池，沉淀污泥经</w:t>
            </w:r>
            <w:r>
              <w:rPr>
                <w:rFonts w:ascii="Times New Roman" w:hAnsi="Times New Roman" w:eastAsia="宋体" w:cs="Times New Roman"/>
                <w:color w:val="auto"/>
                <w:sz w:val="24"/>
                <w:szCs w:val="24"/>
                <w:highlight w:val="none"/>
                <w:shd w:val="clear" w:color="auto" w:fill="FFFFFF"/>
              </w:rPr>
              <w:t>压滤后的含水率</w:t>
            </w:r>
            <w:r>
              <w:rPr>
                <w:rFonts w:hint="eastAsia" w:ascii="Times New Roman" w:hAnsi="Times New Roman" w:eastAsia="宋体" w:cs="Times New Roman"/>
                <w:color w:val="auto"/>
                <w:sz w:val="24"/>
                <w:szCs w:val="24"/>
                <w:highlight w:val="none"/>
                <w:shd w:val="clear" w:color="auto" w:fill="FFFFFF"/>
              </w:rPr>
              <w:t>约</w:t>
            </w:r>
            <w:r>
              <w:rPr>
                <w:rFonts w:hint="eastAsia" w:cs="Times New Roman"/>
                <w:color w:val="auto"/>
                <w:sz w:val="24"/>
                <w:szCs w:val="24"/>
                <w:highlight w:val="none"/>
                <w:shd w:val="clear" w:color="auto" w:fill="FFFFFF"/>
                <w:lang w:eastAsia="zh-CN"/>
              </w:rPr>
              <w:t>60%</w:t>
            </w:r>
            <w:r>
              <w:rPr>
                <w:rFonts w:hint="eastAsia" w:cs="Times New Roman"/>
                <w:color w:val="auto"/>
                <w:sz w:val="24"/>
                <w:szCs w:val="24"/>
                <w:highlight w:val="none"/>
                <w:shd w:val="clear" w:color="auto" w:fill="FFFFFF"/>
                <w:lang w:val="en-US" w:eastAsia="zh-CN"/>
              </w:rPr>
              <w:t>~</w:t>
            </w:r>
            <w:r>
              <w:rPr>
                <w:rFonts w:hint="eastAsia" w:cs="Times New Roman"/>
                <w:color w:val="auto"/>
                <w:sz w:val="24"/>
                <w:szCs w:val="24"/>
                <w:highlight w:val="none"/>
                <w:shd w:val="clear" w:color="auto" w:fill="FFFFFF"/>
                <w:lang w:eastAsia="zh-CN"/>
              </w:rPr>
              <w:t>70%</w:t>
            </w:r>
            <w:r>
              <w:rPr>
                <w:rFonts w:hint="eastAsia" w:ascii="Times New Roman" w:hAnsi="Times New Roman" w:eastAsia="宋体" w:cs="Times New Roman"/>
                <w:color w:val="auto"/>
                <w:sz w:val="24"/>
                <w:szCs w:val="24"/>
                <w:highlight w:val="none"/>
                <w:shd w:val="clear" w:color="auto" w:fill="FFFFFF"/>
                <w:lang w:eastAsia="zh-CN"/>
              </w:rPr>
              <w:t>，</w:t>
            </w:r>
            <w:r>
              <w:rPr>
                <w:rFonts w:ascii="Times New Roman" w:hAnsi="Times New Roman" w:eastAsia="宋体" w:cs="Times New Roman"/>
                <w:color w:val="auto"/>
                <w:sz w:val="24"/>
                <w:szCs w:val="24"/>
                <w:highlight w:val="none"/>
                <w:shd w:val="clear" w:color="auto" w:fill="FFFFFF"/>
              </w:rPr>
              <w:t>在静置过程中要定期清理污泥池，防止污泥过厚，导致反应不良</w:t>
            </w:r>
            <w:r>
              <w:rPr>
                <w:rFonts w:hint="eastAsia" w:ascii="Times New Roman" w:hAnsi="Times New Roman" w:eastAsia="宋体" w:cs="Times New Roman"/>
                <w:color w:val="auto"/>
                <w:sz w:val="24"/>
                <w:szCs w:val="24"/>
                <w:highlight w:val="none"/>
                <w:shd w:val="clear" w:color="auto" w:fill="FFFFFF"/>
              </w:rPr>
              <w:t>，</w:t>
            </w:r>
            <w:r>
              <w:rPr>
                <w:rFonts w:hint="eastAsia" w:ascii="Times New Roman" w:hAnsi="Times New Roman" w:eastAsia="宋体" w:cs="Times New Roman"/>
                <w:color w:val="auto"/>
                <w:kern w:val="0"/>
                <w:sz w:val="24"/>
                <w:szCs w:val="24"/>
                <w:highlight w:val="none"/>
                <w:lang w:bidi="ar"/>
              </w:rPr>
              <w:t xml:space="preserve">压滤后的污泥为块状结构，方便收集、暂存和外运，污泥装入密闭桶中并暂存于危废暂存间，定期委托有资质单位处理。 </w:t>
            </w:r>
          </w:p>
          <w:p w14:paraId="17ABF96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bidi="ar"/>
              </w:rPr>
            </w:pPr>
            <w:r>
              <w:rPr>
                <w:rFonts w:hint="eastAsia" w:ascii="Times New Roman" w:hAnsi="Times New Roman" w:eastAsia="宋体" w:cs="Times New Roman"/>
                <w:color w:val="auto"/>
                <w:kern w:val="0"/>
                <w:sz w:val="24"/>
                <w:szCs w:val="24"/>
                <w:highlight w:val="none"/>
                <w:lang w:bidi="ar"/>
              </w:rPr>
              <w:t>项目使用的混凝剂、絮凝剂主要为</w:t>
            </w:r>
            <w:r>
              <w:rPr>
                <w:rFonts w:ascii="Times New Roman" w:hAnsi="Times New Roman" w:eastAsia="宋体" w:cs="Times New Roman"/>
                <w:color w:val="auto"/>
                <w:kern w:val="0"/>
                <w:sz w:val="24"/>
                <w:szCs w:val="24"/>
                <w:highlight w:val="none"/>
                <w:lang w:bidi="ar"/>
              </w:rPr>
              <w:t>PAC</w:t>
            </w:r>
            <w:r>
              <w:rPr>
                <w:rFonts w:hint="eastAsia" w:ascii="Times New Roman" w:hAnsi="Times New Roman" w:eastAsia="宋体" w:cs="Times New Roman"/>
                <w:color w:val="auto"/>
                <w:kern w:val="0"/>
                <w:sz w:val="24"/>
                <w:szCs w:val="24"/>
                <w:highlight w:val="none"/>
                <w:lang w:bidi="ar"/>
              </w:rPr>
              <w:t>、</w:t>
            </w:r>
            <w:r>
              <w:rPr>
                <w:rFonts w:ascii="Times New Roman" w:hAnsi="Times New Roman" w:eastAsia="宋体" w:cs="Times New Roman"/>
                <w:color w:val="auto"/>
                <w:kern w:val="0"/>
                <w:sz w:val="24"/>
                <w:szCs w:val="24"/>
                <w:highlight w:val="none"/>
                <w:lang w:bidi="ar"/>
              </w:rPr>
              <w:t>PAM</w:t>
            </w:r>
            <w:r>
              <w:rPr>
                <w:rFonts w:hint="eastAsia" w:ascii="Times New Roman" w:hAnsi="Times New Roman" w:eastAsia="宋体" w:cs="Times New Roman"/>
                <w:color w:val="auto"/>
                <w:kern w:val="0"/>
                <w:sz w:val="24"/>
                <w:szCs w:val="24"/>
                <w:highlight w:val="none"/>
                <w:lang w:bidi="ar"/>
              </w:rPr>
              <w:t>。</w:t>
            </w:r>
            <w:r>
              <w:rPr>
                <w:rFonts w:ascii="Times New Roman" w:hAnsi="Times New Roman" w:eastAsia="宋体" w:cs="Times New Roman"/>
                <w:color w:val="auto"/>
                <w:kern w:val="0"/>
                <w:sz w:val="24"/>
                <w:szCs w:val="24"/>
                <w:highlight w:val="none"/>
                <w:lang w:bidi="ar"/>
              </w:rPr>
              <w:t>PAC</w:t>
            </w:r>
            <w:r>
              <w:rPr>
                <w:rFonts w:hint="eastAsia" w:ascii="Times New Roman" w:hAnsi="Times New Roman" w:eastAsia="宋体" w:cs="Times New Roman"/>
                <w:color w:val="auto"/>
                <w:kern w:val="0"/>
                <w:sz w:val="24"/>
                <w:szCs w:val="24"/>
                <w:highlight w:val="none"/>
                <w:lang w:bidi="ar"/>
              </w:rPr>
              <w:t>（聚合氯化铝）是常用的无机盐混凝剂，分子量</w:t>
            </w:r>
            <w:r>
              <w:rPr>
                <w:rFonts w:hint="eastAsia" w:cs="Times New Roman"/>
                <w:color w:val="auto"/>
                <w:kern w:val="0"/>
                <w:sz w:val="24"/>
                <w:szCs w:val="24"/>
                <w:highlight w:val="none"/>
                <w:lang w:eastAsia="zh-CN" w:bidi="ar"/>
              </w:rPr>
              <w:t>150万</w:t>
            </w:r>
            <w:r>
              <w:rPr>
                <w:rFonts w:hint="eastAsia" w:cs="Times New Roman"/>
                <w:color w:val="auto"/>
                <w:kern w:val="0"/>
                <w:sz w:val="24"/>
                <w:szCs w:val="24"/>
                <w:highlight w:val="none"/>
                <w:lang w:val="en-US" w:eastAsia="zh-CN" w:bidi="ar"/>
              </w:rPr>
              <w:t>~</w:t>
            </w:r>
            <w:r>
              <w:rPr>
                <w:rFonts w:hint="eastAsia" w:cs="Times New Roman"/>
                <w:color w:val="auto"/>
                <w:kern w:val="0"/>
                <w:sz w:val="24"/>
                <w:szCs w:val="24"/>
                <w:highlight w:val="none"/>
                <w:lang w:eastAsia="zh-CN" w:bidi="ar"/>
              </w:rPr>
              <w:t>900万</w:t>
            </w:r>
            <w:r>
              <w:rPr>
                <w:rFonts w:hint="eastAsia" w:ascii="Times New Roman" w:hAnsi="Times New Roman" w:eastAsia="宋体" w:cs="Times New Roman"/>
                <w:color w:val="auto"/>
                <w:kern w:val="0"/>
                <w:sz w:val="24"/>
                <w:szCs w:val="24"/>
                <w:highlight w:val="none"/>
                <w:lang w:bidi="ar"/>
              </w:rPr>
              <w:t>，商品浓度一般为</w:t>
            </w:r>
            <w:r>
              <w:rPr>
                <w:rFonts w:ascii="Times New Roman" w:hAnsi="Times New Roman" w:eastAsia="宋体" w:cs="Times New Roman"/>
                <w:color w:val="auto"/>
                <w:kern w:val="0"/>
                <w:sz w:val="24"/>
                <w:szCs w:val="24"/>
                <w:highlight w:val="none"/>
                <w:lang w:bidi="ar"/>
              </w:rPr>
              <w:t>8</w:t>
            </w:r>
            <w:r>
              <w:rPr>
                <w:rFonts w:ascii="Times New Roman" w:hAnsi="Times New Roman" w:eastAsia="宋体" w:cs="Times New Roman"/>
                <w:color w:val="auto"/>
                <w:sz w:val="24"/>
                <w:szCs w:val="24"/>
                <w:highlight w:val="none"/>
                <w:shd w:val="clear" w:color="auto" w:fill="FFFFFF"/>
              </w:rPr>
              <w:t>%</w:t>
            </w:r>
            <w:r>
              <w:rPr>
                <w:rFonts w:hint="eastAsia" w:ascii="Times New Roman" w:hAnsi="Times New Roman" w:eastAsia="宋体" w:cs="Times New Roman"/>
                <w:color w:val="auto"/>
                <w:kern w:val="0"/>
                <w:sz w:val="24"/>
                <w:szCs w:val="24"/>
                <w:highlight w:val="none"/>
                <w:lang w:bidi="ar"/>
              </w:rPr>
              <w:t>。其作用是通过它或者它的水解产物的压缩双电层、电性中和、卷带网捕以及吸附桥连等四个方面的作用完成的，将能被氧化剂氧化造成</w:t>
            </w:r>
            <w:r>
              <w:rPr>
                <w:rFonts w:ascii="Times New Roman" w:hAnsi="Times New Roman" w:eastAsia="宋体" w:cs="Times New Roman"/>
                <w:color w:val="auto"/>
                <w:kern w:val="0"/>
                <w:sz w:val="24"/>
                <w:szCs w:val="24"/>
                <w:highlight w:val="none"/>
                <w:lang w:bidi="ar"/>
              </w:rPr>
              <w:t>COD</w:t>
            </w:r>
            <w:r>
              <w:rPr>
                <w:rFonts w:hint="eastAsia" w:ascii="Times New Roman" w:hAnsi="Times New Roman" w:eastAsia="宋体" w:cs="Times New Roman"/>
                <w:color w:val="auto"/>
                <w:kern w:val="0"/>
                <w:sz w:val="24"/>
                <w:szCs w:val="24"/>
                <w:highlight w:val="none"/>
                <w:vertAlign w:val="subscript"/>
                <w:lang w:val="en-US" w:eastAsia="zh-CN" w:bidi="ar"/>
              </w:rPr>
              <w:t>Cr</w:t>
            </w:r>
            <w:r>
              <w:rPr>
                <w:rFonts w:hint="eastAsia" w:ascii="Times New Roman" w:hAnsi="Times New Roman" w:eastAsia="宋体" w:cs="Times New Roman"/>
                <w:color w:val="auto"/>
                <w:kern w:val="0"/>
                <w:sz w:val="24"/>
                <w:szCs w:val="24"/>
                <w:highlight w:val="none"/>
                <w:lang w:bidi="ar"/>
              </w:rPr>
              <w:t>降低的颗粒物质沉淀下来过滤掉，从而降低了</w:t>
            </w:r>
            <w:r>
              <w:rPr>
                <w:rFonts w:ascii="Times New Roman" w:hAnsi="Times New Roman" w:eastAsia="宋体" w:cs="Times New Roman"/>
                <w:color w:val="auto"/>
                <w:kern w:val="0"/>
                <w:sz w:val="24"/>
                <w:szCs w:val="24"/>
                <w:highlight w:val="none"/>
                <w:lang w:bidi="ar"/>
              </w:rPr>
              <w:t>COD</w:t>
            </w:r>
            <w:r>
              <w:rPr>
                <w:rFonts w:hint="eastAsia" w:ascii="Times New Roman" w:hAnsi="Times New Roman" w:eastAsia="宋体" w:cs="Times New Roman"/>
                <w:color w:val="auto"/>
                <w:kern w:val="0"/>
                <w:sz w:val="24"/>
                <w:szCs w:val="24"/>
                <w:highlight w:val="none"/>
                <w:vertAlign w:val="subscript"/>
                <w:lang w:val="en-US" w:eastAsia="zh-CN" w:bidi="ar"/>
              </w:rPr>
              <w:t>Cr</w:t>
            </w:r>
            <w:r>
              <w:rPr>
                <w:rFonts w:hint="eastAsia" w:ascii="Times New Roman" w:hAnsi="Times New Roman" w:eastAsia="宋体" w:cs="Times New Roman"/>
                <w:color w:val="auto"/>
                <w:kern w:val="0"/>
                <w:sz w:val="24"/>
                <w:szCs w:val="24"/>
                <w:highlight w:val="none"/>
                <w:lang w:bidi="ar"/>
              </w:rPr>
              <w:t>，颗粒物质的沉淀，</w:t>
            </w:r>
            <w:r>
              <w:rPr>
                <w:rFonts w:hint="eastAsia" w:cs="Times New Roman"/>
                <w:color w:val="auto"/>
                <w:kern w:val="0"/>
                <w:sz w:val="24"/>
                <w:szCs w:val="24"/>
                <w:highlight w:val="none"/>
                <w:lang w:val="en-US" w:eastAsia="zh-CN" w:bidi="ar"/>
              </w:rPr>
              <w:t>也</w:t>
            </w:r>
            <w:r>
              <w:rPr>
                <w:rFonts w:hint="eastAsia" w:ascii="Times New Roman" w:hAnsi="Times New Roman" w:eastAsia="宋体" w:cs="Times New Roman"/>
                <w:color w:val="auto"/>
                <w:kern w:val="0"/>
                <w:sz w:val="24"/>
                <w:szCs w:val="24"/>
                <w:highlight w:val="none"/>
                <w:lang w:bidi="ar"/>
              </w:rPr>
              <w:t>降低了</w:t>
            </w:r>
            <w:r>
              <w:rPr>
                <w:rFonts w:ascii="Times New Roman" w:hAnsi="Times New Roman" w:eastAsia="宋体" w:cs="Times New Roman"/>
                <w:color w:val="auto"/>
                <w:kern w:val="0"/>
                <w:sz w:val="24"/>
                <w:szCs w:val="24"/>
                <w:highlight w:val="none"/>
                <w:lang w:bidi="ar"/>
              </w:rPr>
              <w:t>SS</w:t>
            </w:r>
            <w:r>
              <w:rPr>
                <w:rFonts w:hint="eastAsia" w:cs="Times New Roman"/>
                <w:color w:val="auto"/>
                <w:kern w:val="0"/>
                <w:sz w:val="24"/>
                <w:szCs w:val="24"/>
                <w:highlight w:val="none"/>
                <w:lang w:val="en-US" w:eastAsia="zh-CN" w:bidi="ar"/>
              </w:rPr>
              <w:t>的含量</w:t>
            </w:r>
            <w:r>
              <w:rPr>
                <w:rFonts w:hint="eastAsia" w:ascii="Times New Roman" w:hAnsi="Times New Roman" w:eastAsia="宋体" w:cs="Times New Roman"/>
                <w:color w:val="auto"/>
                <w:kern w:val="0"/>
                <w:sz w:val="24"/>
                <w:szCs w:val="24"/>
                <w:highlight w:val="none"/>
                <w:lang w:bidi="ar"/>
              </w:rPr>
              <w:t>；</w:t>
            </w:r>
            <w:r>
              <w:rPr>
                <w:rFonts w:ascii="Times New Roman" w:hAnsi="Times New Roman" w:eastAsia="宋体" w:cs="Times New Roman"/>
                <w:color w:val="auto"/>
                <w:kern w:val="0"/>
                <w:sz w:val="24"/>
                <w:szCs w:val="24"/>
                <w:highlight w:val="none"/>
                <w:lang w:bidi="ar"/>
              </w:rPr>
              <w:t>PAM</w:t>
            </w:r>
            <w:r>
              <w:rPr>
                <w:rFonts w:hint="eastAsia" w:ascii="Times New Roman" w:hAnsi="Times New Roman" w:eastAsia="宋体" w:cs="Times New Roman"/>
                <w:color w:val="auto"/>
                <w:kern w:val="0"/>
                <w:sz w:val="24"/>
                <w:szCs w:val="24"/>
                <w:highlight w:val="none"/>
                <w:lang w:bidi="ar"/>
              </w:rPr>
              <w:t xml:space="preserve">（聚丙烯酰胺）是高分絮凝剂，有机高分子絮凝剂具有在颗粒间形成更大的絮体由此产生的宏大表面吸附作用，降低水中的各项指标的原理同上。 </w:t>
            </w:r>
          </w:p>
          <w:p w14:paraId="7CABF42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shd w:val="clear" w:color="auto" w:fill="auto"/>
                <w:lang w:val="en-US"/>
              </w:rPr>
            </w:pPr>
            <w:r>
              <w:rPr>
                <w:rFonts w:hint="eastAsia" w:ascii="Times New Roman" w:hAnsi="Times New Roman" w:eastAsia="宋体" w:cs="Times New Roman"/>
                <w:color w:val="auto"/>
                <w:sz w:val="24"/>
                <w:highlight w:val="none"/>
                <w:shd w:val="clear" w:color="auto" w:fill="auto"/>
              </w:rPr>
              <w:t>项目</w:t>
            </w:r>
            <w:r>
              <w:rPr>
                <w:rFonts w:hint="eastAsia" w:ascii="Times New Roman" w:hAnsi="Times New Roman" w:eastAsia="宋体" w:cs="Times New Roman"/>
                <w:color w:val="auto"/>
                <w:sz w:val="24"/>
                <w:highlight w:val="none"/>
                <w:shd w:val="clear" w:color="auto" w:fill="auto"/>
                <w:lang w:val="en-US" w:eastAsia="zh-CN"/>
              </w:rPr>
              <w:t>水</w:t>
            </w:r>
            <w:r>
              <w:rPr>
                <w:rFonts w:hint="eastAsia" w:ascii="Times New Roman" w:hAnsi="Times New Roman" w:eastAsia="宋体" w:cs="Times New Roman"/>
                <w:color w:val="auto"/>
                <w:sz w:val="24"/>
                <w:highlight w:val="none"/>
                <w:shd w:val="clear" w:color="auto" w:fill="auto"/>
              </w:rPr>
              <w:t>污染治理设施可行技术参</w:t>
            </w:r>
            <w:r>
              <w:rPr>
                <w:rFonts w:hint="eastAsia" w:ascii="Times New Roman" w:hAnsi="Times New Roman" w:eastAsia="宋体" w:cs="Times New Roman"/>
                <w:color w:val="auto"/>
                <w:sz w:val="24"/>
                <w:highlight w:val="none"/>
                <w:shd w:val="clear" w:color="auto" w:fill="auto"/>
                <w:lang w:val="en-US" w:eastAsia="zh-CN"/>
              </w:rPr>
              <w:t>照</w:t>
            </w:r>
            <w:r>
              <w:rPr>
                <w:rFonts w:hint="eastAsia"/>
                <w:color w:val="auto"/>
                <w:sz w:val="24"/>
                <w:szCs w:val="24"/>
                <w:highlight w:val="none"/>
                <w:lang w:eastAsia="zh-CN"/>
              </w:rPr>
              <w:t>《</w:t>
            </w:r>
            <w:r>
              <w:rPr>
                <w:rFonts w:hint="eastAsia"/>
                <w:color w:val="auto"/>
                <w:sz w:val="24"/>
                <w:szCs w:val="24"/>
                <w:highlight w:val="none"/>
              </w:rPr>
              <w:t>排污许可证申请与核发技术规范</w:t>
            </w:r>
            <w:r>
              <w:rPr>
                <w:rFonts w:hint="eastAsia"/>
                <w:color w:val="auto"/>
                <w:sz w:val="24"/>
                <w:szCs w:val="24"/>
                <w:highlight w:val="none"/>
                <w:lang w:val="en-US" w:eastAsia="zh-CN"/>
              </w:rPr>
              <w:t xml:space="preserve"> </w:t>
            </w:r>
            <w:r>
              <w:rPr>
                <w:rFonts w:hint="eastAsia"/>
                <w:color w:val="auto"/>
                <w:sz w:val="24"/>
                <w:szCs w:val="24"/>
                <w:highlight w:val="none"/>
              </w:rPr>
              <w:t>家具制造工业</w:t>
            </w:r>
            <w:r>
              <w:rPr>
                <w:rFonts w:hint="eastAsia"/>
                <w:color w:val="auto"/>
                <w:sz w:val="24"/>
                <w:szCs w:val="24"/>
                <w:highlight w:val="none"/>
                <w:lang w:eastAsia="zh-CN"/>
              </w:rPr>
              <w:t>》（</w:t>
            </w:r>
            <w:r>
              <w:rPr>
                <w:rFonts w:hint="eastAsia"/>
                <w:color w:val="auto"/>
                <w:sz w:val="24"/>
                <w:szCs w:val="24"/>
                <w:highlight w:val="none"/>
              </w:rPr>
              <w:t>HJ1027-2019</w:t>
            </w:r>
            <w:r>
              <w:rPr>
                <w:rFonts w:hint="eastAsia"/>
                <w:color w:val="auto"/>
                <w:sz w:val="24"/>
                <w:szCs w:val="24"/>
                <w:highlight w:val="none"/>
                <w:lang w:eastAsia="zh-CN"/>
              </w:rPr>
              <w:t>）</w:t>
            </w:r>
            <w:r>
              <w:rPr>
                <w:rFonts w:hint="eastAsia"/>
                <w:color w:val="auto"/>
                <w:sz w:val="24"/>
                <w:szCs w:val="24"/>
                <w:highlight w:val="none"/>
                <w:lang w:val="en-US" w:eastAsia="zh-CN"/>
              </w:rPr>
              <w:t>中</w:t>
            </w:r>
            <w:r>
              <w:rPr>
                <w:rFonts w:hint="eastAsia"/>
                <w:color w:val="auto"/>
                <w:sz w:val="24"/>
                <w:szCs w:val="24"/>
                <w:highlight w:val="none"/>
              </w:rPr>
              <w:t>“表</w:t>
            </w:r>
            <w:r>
              <w:rPr>
                <w:rFonts w:hint="eastAsia"/>
                <w:color w:val="auto"/>
                <w:sz w:val="24"/>
                <w:szCs w:val="24"/>
                <w:highlight w:val="none"/>
                <w:lang w:val="en-US" w:eastAsia="zh-CN"/>
              </w:rPr>
              <w:t>7</w:t>
            </w:r>
            <w:r>
              <w:rPr>
                <w:rFonts w:hint="eastAsia"/>
                <w:color w:val="auto"/>
                <w:sz w:val="24"/>
                <w:szCs w:val="24"/>
                <w:highlight w:val="none"/>
              </w:rPr>
              <w:t xml:space="preserve"> 水污染物处理可行技术参照表”</w:t>
            </w:r>
            <w:r>
              <w:rPr>
                <w:rFonts w:hint="eastAsia"/>
                <w:color w:val="auto"/>
                <w:sz w:val="24"/>
                <w:szCs w:val="24"/>
                <w:highlight w:val="none"/>
                <w:lang w:val="en-US" w:eastAsia="zh-CN"/>
              </w:rPr>
              <w:t>及</w:t>
            </w:r>
            <w:r>
              <w:rPr>
                <w:rFonts w:hint="eastAsia" w:ascii="Times New Roman" w:hAnsi="Times New Roman" w:eastAsia="宋体" w:cs="Times New Roman"/>
                <w:color w:val="auto"/>
                <w:sz w:val="24"/>
                <w:highlight w:val="none"/>
                <w:shd w:val="clear" w:color="auto" w:fill="auto"/>
              </w:rPr>
              <w:t>《排污许可证申请与核发技术规范</w:t>
            </w:r>
            <w:r>
              <w:rPr>
                <w:rFonts w:hint="eastAsia" w:cs="Times New Roman"/>
                <w:color w:val="auto"/>
                <w:sz w:val="24"/>
                <w:highlight w:val="none"/>
                <w:shd w:val="clear" w:color="auto" w:fill="auto"/>
                <w:lang w:val="en-US" w:eastAsia="zh-CN"/>
              </w:rPr>
              <w:t xml:space="preserve"> </w:t>
            </w:r>
            <w:r>
              <w:rPr>
                <w:rFonts w:hint="eastAsia" w:ascii="Times New Roman" w:hAnsi="Times New Roman" w:eastAsia="宋体" w:cs="Times New Roman"/>
                <w:color w:val="auto"/>
                <w:sz w:val="24"/>
                <w:highlight w:val="none"/>
                <w:shd w:val="clear" w:color="auto" w:fill="auto"/>
              </w:rPr>
              <w:t>铁路、船舶、航空航天和其他运输设备制造业》（HJ1124-2020）附录</w:t>
            </w:r>
            <w:r>
              <w:rPr>
                <w:rFonts w:hint="eastAsia" w:ascii="Times New Roman" w:hAnsi="Times New Roman" w:eastAsia="宋体" w:cs="Times New Roman"/>
                <w:color w:val="auto"/>
                <w:sz w:val="24"/>
                <w:highlight w:val="none"/>
                <w:shd w:val="clear" w:color="auto" w:fill="auto"/>
                <w:lang w:val="en-US" w:eastAsia="zh-CN"/>
              </w:rPr>
              <w:t>A</w:t>
            </w:r>
            <w:r>
              <w:rPr>
                <w:rFonts w:hint="eastAsia" w:ascii="Times New Roman" w:hAnsi="Times New Roman" w:eastAsia="宋体" w:cs="Times New Roman"/>
                <w:color w:val="auto"/>
                <w:sz w:val="24"/>
                <w:highlight w:val="none"/>
                <w:shd w:val="clear" w:color="auto" w:fill="auto"/>
                <w:lang w:eastAsia="zh-CN"/>
              </w:rPr>
              <w:t xml:space="preserve">“表 </w:t>
            </w:r>
            <w:r>
              <w:rPr>
                <w:rFonts w:hint="eastAsia" w:ascii="Times New Roman" w:hAnsi="Times New Roman" w:eastAsia="宋体" w:cs="Times New Roman"/>
                <w:color w:val="auto"/>
                <w:sz w:val="24"/>
                <w:highlight w:val="none"/>
                <w:shd w:val="clear" w:color="auto" w:fill="auto"/>
                <w:lang w:val="en-US" w:eastAsia="zh-CN"/>
              </w:rPr>
              <w:t>A</w:t>
            </w:r>
            <w:r>
              <w:rPr>
                <w:rFonts w:hint="eastAsia" w:ascii="Times New Roman" w:hAnsi="Times New Roman" w:eastAsia="宋体" w:cs="Times New Roman"/>
                <w:color w:val="auto"/>
                <w:sz w:val="24"/>
                <w:highlight w:val="none"/>
                <w:shd w:val="clear" w:color="auto" w:fill="auto"/>
                <w:lang w:eastAsia="zh-CN"/>
              </w:rPr>
              <w:t>.</w:t>
            </w:r>
            <w:r>
              <w:rPr>
                <w:rFonts w:hint="eastAsia" w:ascii="Times New Roman" w:hAnsi="Times New Roman" w:eastAsia="宋体" w:cs="Times New Roman"/>
                <w:color w:val="auto"/>
                <w:sz w:val="24"/>
                <w:highlight w:val="none"/>
                <w:shd w:val="clear" w:color="auto" w:fill="auto"/>
                <w:lang w:val="en-US" w:eastAsia="zh-CN"/>
              </w:rPr>
              <w:t>7</w:t>
            </w:r>
            <w:r>
              <w:rPr>
                <w:rFonts w:hint="eastAsia" w:ascii="Times New Roman" w:hAnsi="Times New Roman" w:eastAsia="宋体" w:cs="Times New Roman"/>
                <w:color w:val="auto"/>
                <w:sz w:val="24"/>
                <w:highlight w:val="none"/>
                <w:shd w:val="clear" w:color="auto" w:fill="auto"/>
                <w:lang w:eastAsia="zh-CN"/>
              </w:rPr>
              <w:t>表面处理</w:t>
            </w:r>
            <w:r>
              <w:rPr>
                <w:rFonts w:hint="eastAsia"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highlight w:val="none"/>
                <w:shd w:val="clear" w:color="auto" w:fill="auto"/>
                <w:lang w:eastAsia="zh-CN"/>
              </w:rPr>
              <w:t>涂装)排污单位废水污染防治推荐可行技术”</w:t>
            </w:r>
            <w:r>
              <w:rPr>
                <w:rFonts w:hint="eastAsia" w:ascii="Times New Roman" w:hAnsi="Times New Roman" w:eastAsia="宋体" w:cs="Times New Roman"/>
                <w:color w:val="auto"/>
                <w:sz w:val="24"/>
                <w:szCs w:val="24"/>
                <w:highlight w:val="none"/>
                <w:shd w:val="clear" w:color="auto" w:fill="auto"/>
                <w:lang w:val="en-US" w:eastAsia="zh-CN"/>
              </w:rPr>
              <w:t>分析，</w:t>
            </w:r>
            <w:r>
              <w:rPr>
                <w:rFonts w:hint="eastAsia" w:ascii="Times New Roman" w:hAnsi="Times New Roman" w:eastAsia="宋体" w:cs="Times New Roman"/>
                <w:color w:val="auto"/>
                <w:kern w:val="0"/>
                <w:sz w:val="24"/>
                <w:szCs w:val="24"/>
                <w:highlight w:val="none"/>
                <w:shd w:val="clear" w:color="auto" w:fill="auto"/>
                <w:lang w:val="en-US" w:eastAsia="zh-CN" w:bidi="ar"/>
              </w:rPr>
              <w:t>项目生产废水处理工艺属于可行技术，详见表4.2-9。</w:t>
            </w:r>
          </w:p>
          <w:p w14:paraId="456FA817">
            <w:pPr>
              <w:keepNext w:val="0"/>
              <w:keepLines w:val="0"/>
              <w:pageBreakBefore w:val="0"/>
              <w:widowControl/>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表4.2-9  废水治理措施可行性分析一览表</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522"/>
              <w:gridCol w:w="1438"/>
              <w:gridCol w:w="1801"/>
              <w:gridCol w:w="1702"/>
              <w:gridCol w:w="1103"/>
            </w:tblGrid>
            <w:tr w14:paraId="05B806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0" w:type="dxa"/>
                  <w:tcBorders>
                    <w:tl2br w:val="nil"/>
                    <w:tr2bl w:val="nil"/>
                  </w:tcBorders>
                  <w:noWrap w:val="0"/>
                  <w:vAlign w:val="center"/>
                </w:tcPr>
                <w:p w14:paraId="73664D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eastAsia" w:ascii="Times New Roman" w:hAnsi="Times New Roman" w:eastAsia="宋体" w:cs="Times New Roman"/>
                      <w:b/>
                      <w:bCs/>
                      <w:color w:val="auto"/>
                      <w:sz w:val="21"/>
                      <w:szCs w:val="21"/>
                      <w:highlight w:val="none"/>
                      <w:shd w:val="clear" w:color="auto" w:fill="auto"/>
                      <w:vertAlign w:val="baseline"/>
                      <w:lang w:val="en-US" w:eastAsia="zh-CN"/>
                    </w:rPr>
                    <w:t>废水类别</w:t>
                  </w:r>
                </w:p>
              </w:tc>
              <w:tc>
                <w:tcPr>
                  <w:tcW w:w="1534" w:type="dxa"/>
                  <w:tcBorders>
                    <w:tl2br w:val="nil"/>
                    <w:tr2bl w:val="nil"/>
                  </w:tcBorders>
                  <w:noWrap w:val="0"/>
                  <w:vAlign w:val="center"/>
                </w:tcPr>
                <w:p w14:paraId="04EF07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eastAsia" w:ascii="Times New Roman" w:hAnsi="Times New Roman" w:eastAsia="宋体" w:cs="Times New Roman"/>
                      <w:b/>
                      <w:bCs/>
                      <w:color w:val="auto"/>
                      <w:sz w:val="21"/>
                      <w:szCs w:val="21"/>
                      <w:highlight w:val="none"/>
                      <w:shd w:val="clear" w:color="auto" w:fill="auto"/>
                      <w:vertAlign w:val="baseline"/>
                      <w:lang w:val="en-US" w:eastAsia="zh-CN"/>
                    </w:rPr>
                    <w:t>污染控制项目</w:t>
                  </w:r>
                </w:p>
              </w:tc>
              <w:tc>
                <w:tcPr>
                  <w:tcW w:w="1450" w:type="dxa"/>
                  <w:tcBorders>
                    <w:tl2br w:val="nil"/>
                    <w:tr2bl w:val="nil"/>
                  </w:tcBorders>
                  <w:noWrap w:val="0"/>
                  <w:vAlign w:val="center"/>
                </w:tcPr>
                <w:p w14:paraId="4AC451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eastAsia" w:ascii="Times New Roman" w:hAnsi="Times New Roman" w:eastAsia="宋体" w:cs="Times New Roman"/>
                      <w:b/>
                      <w:bCs/>
                      <w:color w:val="auto"/>
                      <w:sz w:val="21"/>
                      <w:szCs w:val="21"/>
                      <w:highlight w:val="none"/>
                      <w:shd w:val="clear" w:color="auto" w:fill="auto"/>
                      <w:vertAlign w:val="baseline"/>
                      <w:lang w:val="en-US" w:eastAsia="zh-CN"/>
                    </w:rPr>
                    <w:t>排放去向</w:t>
                  </w:r>
                </w:p>
              </w:tc>
              <w:tc>
                <w:tcPr>
                  <w:tcW w:w="1816" w:type="dxa"/>
                  <w:tcBorders>
                    <w:tl2br w:val="nil"/>
                    <w:tr2bl w:val="nil"/>
                  </w:tcBorders>
                  <w:noWrap w:val="0"/>
                  <w:vAlign w:val="center"/>
                </w:tcPr>
                <w:p w14:paraId="593EDC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eastAsia" w:ascii="Times New Roman" w:hAnsi="Times New Roman" w:eastAsia="宋体" w:cs="Times New Roman"/>
                      <w:b/>
                      <w:bCs/>
                      <w:color w:val="auto"/>
                      <w:sz w:val="21"/>
                      <w:szCs w:val="21"/>
                      <w:highlight w:val="none"/>
                      <w:shd w:val="clear" w:color="auto" w:fill="auto"/>
                      <w:vertAlign w:val="baseline"/>
                      <w:lang w:val="en-US" w:eastAsia="zh-CN"/>
                    </w:rPr>
                    <w:t>可行技术</w:t>
                  </w:r>
                </w:p>
              </w:tc>
              <w:tc>
                <w:tcPr>
                  <w:tcW w:w="1717" w:type="dxa"/>
                  <w:tcBorders>
                    <w:tl2br w:val="nil"/>
                    <w:tr2bl w:val="nil"/>
                  </w:tcBorders>
                  <w:noWrap w:val="0"/>
                  <w:vAlign w:val="center"/>
                </w:tcPr>
                <w:p w14:paraId="175176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eastAsia" w:ascii="Times New Roman" w:hAnsi="Times New Roman" w:eastAsia="宋体" w:cs="Times New Roman"/>
                      <w:b/>
                      <w:bCs/>
                      <w:color w:val="auto"/>
                      <w:sz w:val="21"/>
                      <w:szCs w:val="21"/>
                      <w:highlight w:val="none"/>
                      <w:shd w:val="clear" w:color="auto" w:fill="auto"/>
                      <w:vertAlign w:val="baseline"/>
                      <w:lang w:val="en-US" w:eastAsia="zh-CN"/>
                    </w:rPr>
                    <w:t>本项目情况</w:t>
                  </w:r>
                </w:p>
              </w:tc>
              <w:tc>
                <w:tcPr>
                  <w:tcW w:w="1112" w:type="dxa"/>
                  <w:tcBorders>
                    <w:tl2br w:val="nil"/>
                    <w:tr2bl w:val="nil"/>
                  </w:tcBorders>
                  <w:noWrap w:val="0"/>
                  <w:vAlign w:val="center"/>
                </w:tcPr>
                <w:p w14:paraId="668CB2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
                      <w:bCs/>
                      <w:color w:val="auto"/>
                      <w:sz w:val="21"/>
                      <w:szCs w:val="21"/>
                      <w:highlight w:val="none"/>
                      <w:shd w:val="clear" w:color="auto" w:fill="auto"/>
                      <w:vertAlign w:val="baseline"/>
                      <w:lang w:val="en-US" w:eastAsia="zh-CN"/>
                    </w:rPr>
                    <w:t>是否为可行技术</w:t>
                  </w:r>
                </w:p>
              </w:tc>
            </w:tr>
            <w:tr w14:paraId="53740E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0" w:type="dxa"/>
                  <w:tcBorders>
                    <w:tl2br w:val="nil"/>
                    <w:tr2bl w:val="nil"/>
                  </w:tcBorders>
                  <w:noWrap w:val="0"/>
                  <w:vAlign w:val="center"/>
                </w:tcPr>
                <w:p w14:paraId="77EAF17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eastAsia" w:ascii="Times New Roman" w:hAnsi="Times New Roman" w:eastAsia="宋体" w:cs="Times New Roman"/>
                      <w:b w:val="0"/>
                      <w:bCs w:val="0"/>
                      <w:color w:val="auto"/>
                      <w:sz w:val="21"/>
                      <w:szCs w:val="21"/>
                      <w:highlight w:val="none"/>
                      <w:shd w:val="clear" w:color="auto" w:fill="auto"/>
                      <w:vertAlign w:val="baseline"/>
                      <w:lang w:val="en-US" w:eastAsia="zh-CN"/>
                    </w:rPr>
                    <w:t>生产废水</w:t>
                  </w:r>
                </w:p>
              </w:tc>
              <w:tc>
                <w:tcPr>
                  <w:tcW w:w="1534" w:type="dxa"/>
                  <w:tcBorders>
                    <w:tl2br w:val="nil"/>
                    <w:tr2bl w:val="nil"/>
                  </w:tcBorders>
                  <w:noWrap w:val="0"/>
                  <w:vAlign w:val="center"/>
                </w:tcPr>
                <w:p w14:paraId="7143707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ascii="Times New Roman" w:hAnsi="Times New Roman" w:eastAsia="宋体" w:cs="Times New Roman"/>
                      <w:bCs/>
                      <w:color w:val="auto"/>
                      <w:sz w:val="21"/>
                      <w:szCs w:val="21"/>
                      <w:highlight w:val="none"/>
                      <w:shd w:val="clear" w:color="auto" w:fill="auto"/>
                    </w:rPr>
                    <w:t>COD</w:t>
                  </w:r>
                  <w:r>
                    <w:rPr>
                      <w:rFonts w:ascii="Times New Roman" w:hAnsi="Times New Roman" w:eastAsia="宋体" w:cs="Times New Roman"/>
                      <w:bCs/>
                      <w:color w:val="auto"/>
                      <w:sz w:val="21"/>
                      <w:szCs w:val="21"/>
                      <w:highlight w:val="none"/>
                      <w:shd w:val="clear" w:color="auto" w:fill="auto"/>
                      <w:vertAlign w:val="subscript"/>
                    </w:rPr>
                    <w:t>Cr</w:t>
                  </w:r>
                  <w:r>
                    <w:rPr>
                      <w:rFonts w:hint="eastAsia" w:ascii="Times New Roman" w:hAnsi="Times New Roman" w:eastAsia="宋体" w:cs="Times New Roman"/>
                      <w:bCs/>
                      <w:color w:val="auto"/>
                      <w:sz w:val="21"/>
                      <w:szCs w:val="21"/>
                      <w:highlight w:val="none"/>
                      <w:shd w:val="clear" w:color="auto" w:fill="auto"/>
                      <w:lang w:eastAsia="zh-CN"/>
                    </w:rPr>
                    <w:t>、</w:t>
                  </w:r>
                  <w:r>
                    <w:rPr>
                      <w:rFonts w:hint="default" w:ascii="Times New Roman" w:hAnsi="Times New Roman" w:eastAsia="宋体" w:cs="Times New Roman"/>
                      <w:bCs/>
                      <w:color w:val="auto"/>
                      <w:sz w:val="21"/>
                      <w:szCs w:val="21"/>
                      <w:highlight w:val="none"/>
                      <w:shd w:val="clear" w:color="auto" w:fill="auto"/>
                      <w:lang w:val="en-US" w:eastAsia="zh-CN"/>
                    </w:rPr>
                    <w:t>BOD</w:t>
                  </w:r>
                  <w:r>
                    <w:rPr>
                      <w:rFonts w:hint="default" w:ascii="Times New Roman" w:hAnsi="Times New Roman" w:eastAsia="宋体" w:cs="Times New Roman"/>
                      <w:bCs/>
                      <w:color w:val="auto"/>
                      <w:sz w:val="21"/>
                      <w:szCs w:val="21"/>
                      <w:highlight w:val="none"/>
                      <w:shd w:val="clear" w:color="auto" w:fill="auto"/>
                      <w:vertAlign w:val="subscript"/>
                      <w:lang w:val="en-US" w:eastAsia="zh-CN"/>
                    </w:rPr>
                    <w:t>5</w:t>
                  </w:r>
                  <w:r>
                    <w:rPr>
                      <w:rFonts w:hint="eastAsia" w:ascii="Times New Roman" w:hAnsi="Times New Roman" w:eastAsia="宋体" w:cs="Times New Roman"/>
                      <w:bCs/>
                      <w:color w:val="auto"/>
                      <w:sz w:val="21"/>
                      <w:szCs w:val="21"/>
                      <w:highlight w:val="none"/>
                      <w:shd w:val="clear" w:color="auto" w:fill="auto"/>
                      <w:vertAlign w:val="subscript"/>
                      <w:lang w:val="en-US" w:eastAsia="zh-CN"/>
                    </w:rPr>
                    <w:t>、</w:t>
                  </w:r>
                  <w:r>
                    <w:rPr>
                      <w:rFonts w:ascii="Times New Roman" w:hAnsi="Times New Roman" w:eastAsia="宋体" w:cs="Times New Roman"/>
                      <w:bCs/>
                      <w:color w:val="auto"/>
                      <w:sz w:val="21"/>
                      <w:szCs w:val="21"/>
                      <w:highlight w:val="none"/>
                      <w:shd w:val="clear" w:color="auto" w:fill="auto"/>
                    </w:rPr>
                    <w:t>SS</w:t>
                  </w:r>
                  <w:r>
                    <w:rPr>
                      <w:rFonts w:hint="eastAsia" w:ascii="Times New Roman" w:hAnsi="Times New Roman" w:eastAsia="宋体" w:cs="Times New Roman"/>
                      <w:bCs/>
                      <w:color w:val="auto"/>
                      <w:sz w:val="21"/>
                      <w:szCs w:val="21"/>
                      <w:highlight w:val="none"/>
                      <w:shd w:val="clear" w:color="auto" w:fill="auto"/>
                      <w:lang w:val="en-US" w:eastAsia="zh-CN"/>
                    </w:rPr>
                    <w:t>、</w:t>
                  </w:r>
                  <w:r>
                    <w:rPr>
                      <w:rFonts w:hint="default" w:ascii="Times New Roman" w:hAnsi="Times New Roman" w:eastAsia="宋体" w:cs="Times New Roman"/>
                      <w:bCs/>
                      <w:color w:val="auto"/>
                      <w:sz w:val="21"/>
                      <w:szCs w:val="21"/>
                      <w:highlight w:val="none"/>
                      <w:shd w:val="clear" w:color="auto" w:fill="auto"/>
                      <w:lang w:val="en-US" w:eastAsia="zh-CN"/>
                    </w:rPr>
                    <w:t>石油类</w:t>
                  </w:r>
                  <w:r>
                    <w:rPr>
                      <w:rFonts w:hint="eastAsia" w:ascii="Times New Roman" w:hAnsi="Times New Roman" w:eastAsia="宋体" w:cs="Times New Roman"/>
                      <w:bCs/>
                      <w:color w:val="auto"/>
                      <w:sz w:val="21"/>
                      <w:szCs w:val="21"/>
                      <w:highlight w:val="none"/>
                      <w:shd w:val="clear" w:color="auto" w:fill="auto"/>
                      <w:lang w:val="en-US" w:eastAsia="zh-CN"/>
                    </w:rPr>
                    <w:t>、色度</w:t>
                  </w:r>
                </w:p>
              </w:tc>
              <w:tc>
                <w:tcPr>
                  <w:tcW w:w="1450" w:type="dxa"/>
                  <w:tcBorders>
                    <w:tl2br w:val="nil"/>
                    <w:tr2bl w:val="nil"/>
                  </w:tcBorders>
                  <w:noWrap w:val="0"/>
                  <w:vAlign w:val="center"/>
                </w:tcPr>
                <w:p w14:paraId="4809E0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shd w:val="clear" w:color="auto" w:fill="auto"/>
                      <w:vertAlign w:val="baseline"/>
                      <w:lang w:val="en-US" w:eastAsia="zh-CN" w:bidi="ar-SA"/>
                    </w:rPr>
                  </w:pPr>
                  <w:r>
                    <w:rPr>
                      <w:rFonts w:hint="eastAsia" w:ascii="Times New Roman" w:hAnsi="Times New Roman" w:eastAsia="宋体" w:cs="Times New Roman"/>
                      <w:b w:val="0"/>
                      <w:bCs w:val="0"/>
                      <w:color w:val="auto"/>
                      <w:kern w:val="2"/>
                      <w:sz w:val="21"/>
                      <w:szCs w:val="21"/>
                      <w:highlight w:val="none"/>
                      <w:shd w:val="clear" w:color="auto" w:fill="auto"/>
                      <w:vertAlign w:val="baseline"/>
                      <w:lang w:val="en-US" w:eastAsia="zh-CN" w:bidi="ar-SA"/>
                    </w:rPr>
                    <w:t>循环使用，不外排，定期更换当危废</w:t>
                  </w:r>
                </w:p>
              </w:tc>
              <w:tc>
                <w:tcPr>
                  <w:tcW w:w="1816" w:type="dxa"/>
                  <w:tcBorders>
                    <w:tl2br w:val="nil"/>
                    <w:tr2bl w:val="nil"/>
                  </w:tcBorders>
                  <w:noWrap w:val="0"/>
                  <w:vAlign w:val="center"/>
                </w:tcPr>
                <w:p w14:paraId="4EE6080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eastAsia" w:ascii="Times New Roman" w:hAnsi="Times New Roman" w:eastAsia="宋体" w:cs="Times New Roman"/>
                      <w:b w:val="0"/>
                      <w:bCs w:val="0"/>
                      <w:color w:val="auto"/>
                      <w:sz w:val="21"/>
                      <w:szCs w:val="21"/>
                      <w:highlight w:val="none"/>
                      <w:shd w:val="clear" w:color="auto" w:fill="auto"/>
                      <w:vertAlign w:val="baseline"/>
                      <w:lang w:val="en-US" w:eastAsia="zh-CN"/>
                    </w:rPr>
                    <w:t>混凝、沉淀/气浮、砂滤、吸附</w:t>
                  </w:r>
                </w:p>
              </w:tc>
              <w:tc>
                <w:tcPr>
                  <w:tcW w:w="1717" w:type="dxa"/>
                  <w:tcBorders>
                    <w:tl2br w:val="nil"/>
                    <w:tr2bl w:val="nil"/>
                  </w:tcBorders>
                  <w:noWrap w:val="0"/>
                  <w:vAlign w:val="center"/>
                </w:tcPr>
                <w:p w14:paraId="3FCCD0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shd w:val="clear" w:color="auto" w:fill="auto"/>
                      <w:vertAlign w:val="baseline"/>
                      <w:lang w:val="en-US" w:eastAsia="zh-CN" w:bidi="ar-SA"/>
                    </w:rPr>
                  </w:pPr>
                  <w:r>
                    <w:rPr>
                      <w:rFonts w:hint="eastAsia" w:ascii="Times New Roman" w:hAnsi="Times New Roman" w:eastAsia="宋体" w:cs="Times New Roman"/>
                      <w:color w:val="auto"/>
                      <w:sz w:val="21"/>
                      <w:szCs w:val="21"/>
                      <w:highlight w:val="none"/>
                      <w:shd w:val="clear" w:color="auto" w:fill="auto"/>
                      <w:lang w:eastAsia="zh-CN"/>
                    </w:rPr>
                    <w:t>调节池+絮凝沉淀+压滤+清水池</w:t>
                  </w:r>
                </w:p>
              </w:tc>
              <w:tc>
                <w:tcPr>
                  <w:tcW w:w="1112" w:type="dxa"/>
                  <w:tcBorders>
                    <w:tl2br w:val="nil"/>
                    <w:tr2bl w:val="nil"/>
                  </w:tcBorders>
                  <w:noWrap w:val="0"/>
                  <w:vAlign w:val="center"/>
                </w:tcPr>
                <w:p w14:paraId="058BB8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shd w:val="clear" w:color="auto" w:fill="auto"/>
                      <w:vertAlign w:val="baseline"/>
                      <w:lang w:val="en-US" w:eastAsia="zh-CN" w:bidi="ar-SA"/>
                    </w:rPr>
                  </w:pPr>
                  <w:r>
                    <w:rPr>
                      <w:rFonts w:hint="eastAsia" w:ascii="Times New Roman" w:hAnsi="Times New Roman" w:eastAsia="宋体" w:cs="Times New Roman"/>
                      <w:b w:val="0"/>
                      <w:bCs w:val="0"/>
                      <w:color w:val="auto"/>
                      <w:kern w:val="2"/>
                      <w:sz w:val="21"/>
                      <w:szCs w:val="21"/>
                      <w:highlight w:val="none"/>
                      <w:shd w:val="clear" w:color="auto" w:fill="auto"/>
                      <w:vertAlign w:val="baseline"/>
                      <w:lang w:val="en-US" w:eastAsia="zh-CN" w:bidi="ar-SA"/>
                    </w:rPr>
                    <w:t>是</w:t>
                  </w:r>
                </w:p>
              </w:tc>
            </w:tr>
          </w:tbl>
          <w:p w14:paraId="3060EB0D">
            <w:pPr>
              <w:pStyle w:val="3"/>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ascii="Times New Roman" w:hAnsi="Times New Roman" w:eastAsia="宋体" w:cs="Times New Roman"/>
                <w:color w:val="auto"/>
                <w:spacing w:val="0"/>
                <w:position w:val="0"/>
                <w:sz w:val="24"/>
                <w:szCs w:val="24"/>
                <w:highlight w:val="none"/>
              </w:rPr>
            </w:pPr>
            <w:bookmarkStart w:id="51" w:name="_Toc31811"/>
            <w:bookmarkStart w:id="52" w:name="_Toc21621"/>
            <w:r>
              <w:rPr>
                <w:rFonts w:ascii="Times New Roman" w:hAnsi="Times New Roman" w:eastAsia="宋体" w:cs="Times New Roman"/>
                <w:color w:val="auto"/>
                <w:spacing w:val="0"/>
                <w:position w:val="0"/>
                <w:sz w:val="24"/>
                <w:szCs w:val="24"/>
                <w:highlight w:val="none"/>
              </w:rPr>
              <w:t>4.</w:t>
            </w:r>
            <w:r>
              <w:rPr>
                <w:rFonts w:hint="eastAsia" w:ascii="Times New Roman" w:hAnsi="Times New Roman" w:eastAsia="宋体" w:cs="Times New Roman"/>
                <w:color w:val="auto"/>
                <w:spacing w:val="0"/>
                <w:position w:val="0"/>
                <w:sz w:val="24"/>
                <w:szCs w:val="24"/>
                <w:highlight w:val="none"/>
              </w:rPr>
              <w:t>3</w:t>
            </w:r>
            <w:r>
              <w:rPr>
                <w:rFonts w:ascii="Times New Roman" w:hAnsi="Times New Roman" w:eastAsia="宋体" w:cs="Times New Roman"/>
                <w:color w:val="auto"/>
                <w:spacing w:val="0"/>
                <w:position w:val="0"/>
                <w:sz w:val="24"/>
                <w:szCs w:val="24"/>
                <w:highlight w:val="none"/>
              </w:rPr>
              <w:t>噪声环境影响及保护措施</w:t>
            </w:r>
            <w:bookmarkEnd w:id="51"/>
            <w:bookmarkEnd w:id="52"/>
            <w:r>
              <w:rPr>
                <w:rFonts w:hint="eastAsia" w:ascii="Times New Roman" w:hAnsi="Times New Roman" w:eastAsia="宋体" w:cs="Times New Roman"/>
                <w:color w:val="auto"/>
                <w:spacing w:val="0"/>
                <w:position w:val="0"/>
                <w:sz w:val="24"/>
                <w:szCs w:val="24"/>
                <w:highlight w:val="none"/>
              </w:rPr>
              <w:t xml:space="preserve">  </w:t>
            </w:r>
          </w:p>
          <w:p w14:paraId="6380F3A5">
            <w:pPr>
              <w:pStyle w:val="4"/>
              <w:pageBreakBefore w:val="0"/>
              <w:kinsoku/>
              <w:wordWrap/>
              <w:overflowPunct/>
              <w:topLinePunct w:val="0"/>
              <w:autoSpaceDE/>
              <w:autoSpaceDN/>
              <w:bidi w:val="0"/>
              <w:adjustRightInd/>
              <w:snapToGrid/>
              <w:spacing w:before="0" w:after="0" w:line="360" w:lineRule="auto"/>
              <w:textAlignment w:val="auto"/>
              <w:rPr>
                <w:rFonts w:ascii="Times New Roman" w:hAnsi="Times New Roman" w:eastAsia="宋体" w:cs="Times New Roman"/>
                <w:b/>
                <w:bCs w:val="0"/>
                <w:color w:val="auto"/>
                <w:spacing w:val="0"/>
                <w:position w:val="0"/>
                <w:sz w:val="24"/>
                <w:szCs w:val="24"/>
                <w:highlight w:val="none"/>
              </w:rPr>
            </w:pPr>
            <w:r>
              <w:rPr>
                <w:rFonts w:ascii="Times New Roman" w:hAnsi="Times New Roman" w:eastAsia="宋体" w:cs="Times New Roman"/>
                <w:b/>
                <w:bCs w:val="0"/>
                <w:color w:val="auto"/>
                <w:spacing w:val="0"/>
                <w:position w:val="0"/>
                <w:sz w:val="24"/>
                <w:szCs w:val="24"/>
                <w:highlight w:val="none"/>
              </w:rPr>
              <w:t>4.</w:t>
            </w:r>
            <w:r>
              <w:rPr>
                <w:rFonts w:hint="eastAsia" w:ascii="Times New Roman" w:hAnsi="Times New Roman" w:eastAsia="宋体" w:cs="Times New Roman"/>
                <w:b/>
                <w:bCs w:val="0"/>
                <w:color w:val="auto"/>
                <w:spacing w:val="0"/>
                <w:position w:val="0"/>
                <w:sz w:val="24"/>
                <w:szCs w:val="24"/>
                <w:highlight w:val="none"/>
              </w:rPr>
              <w:t>3</w:t>
            </w:r>
            <w:r>
              <w:rPr>
                <w:rFonts w:ascii="Times New Roman" w:hAnsi="Times New Roman" w:eastAsia="宋体" w:cs="Times New Roman"/>
                <w:b/>
                <w:bCs w:val="0"/>
                <w:color w:val="auto"/>
                <w:spacing w:val="0"/>
                <w:position w:val="0"/>
                <w:sz w:val="24"/>
                <w:szCs w:val="24"/>
                <w:highlight w:val="none"/>
              </w:rPr>
              <w:t>.1噪声污染源强分析</w:t>
            </w:r>
          </w:p>
          <w:p w14:paraId="3463EA37">
            <w:pPr>
              <w:pStyle w:val="148"/>
              <w:keepNext w:val="0"/>
              <w:keepLines w:val="0"/>
              <w:pageBreakBefore w:val="0"/>
              <w:widowControl w:val="0"/>
              <w:kinsoku/>
              <w:wordWrap/>
              <w:overflowPunct/>
              <w:topLinePunct w:val="0"/>
              <w:autoSpaceDE/>
              <w:autoSpaceDN/>
              <w:bidi w:val="0"/>
              <w:adjustRightInd w:val="0"/>
              <w:snapToGrid w:val="0"/>
              <w:spacing w:before="0" w:beforeLines="0" w:after="0" w:afterLines="0"/>
              <w:ind w:firstLine="480" w:firstLineChars="200"/>
              <w:textAlignment w:val="auto"/>
              <w:outlineLvl w:val="9"/>
              <w:rPr>
                <w:rFonts w:hint="default" w:cs="Times New Roman"/>
                <w:b w:val="0"/>
                <w:bCs w:val="0"/>
                <w:color w:val="auto"/>
                <w:spacing w:val="0"/>
                <w:w w:val="100"/>
                <w:position w:val="0"/>
                <w:highlight w:val="none"/>
                <w:lang w:val="en-US" w:eastAsia="zh-CN"/>
              </w:rPr>
            </w:pPr>
            <w:r>
              <w:rPr>
                <w:rFonts w:hint="default" w:ascii="Times New Roman" w:hAnsi="Times New Roman" w:eastAsia="宋体" w:cs="Times New Roman"/>
                <w:b w:val="0"/>
                <w:bCs w:val="0"/>
                <w:snapToGrid w:val="0"/>
                <w:color w:val="auto"/>
                <w:spacing w:val="0"/>
                <w:kern w:val="0"/>
                <w:sz w:val="24"/>
                <w:szCs w:val="24"/>
                <w:highlight w:val="none"/>
              </w:rPr>
              <w:t>项目噪声源主要为各种机械设备运行时产生的机械噪声，本次评价按照全厂设备进行分析</w:t>
            </w:r>
            <w:r>
              <w:rPr>
                <w:rFonts w:hint="eastAsia" w:ascii="Times New Roman" w:hAnsi="Times New Roman" w:eastAsia="宋体" w:cs="Times New Roman"/>
                <w:b w:val="0"/>
                <w:bCs w:val="0"/>
                <w:snapToGrid w:val="0"/>
                <w:color w:val="auto"/>
                <w:spacing w:val="0"/>
                <w:kern w:val="0"/>
                <w:sz w:val="24"/>
                <w:szCs w:val="24"/>
                <w:highlight w:val="none"/>
                <w:lang w:eastAsia="zh-CN"/>
              </w:rPr>
              <w:t>，</w:t>
            </w:r>
            <w:r>
              <w:rPr>
                <w:rFonts w:hint="eastAsia" w:ascii="Times New Roman" w:hAnsi="Times New Roman" w:eastAsia="宋体" w:cs="Times New Roman"/>
                <w:b w:val="0"/>
                <w:bCs w:val="0"/>
                <w:color w:val="auto"/>
                <w:spacing w:val="0"/>
                <w:w w:val="100"/>
                <w:position w:val="0"/>
                <w:sz w:val="24"/>
                <w:highlight w:val="none"/>
                <w:lang w:val="en-US" w:eastAsia="zh-CN"/>
              </w:rPr>
              <w:t>参考《环境保护实用数据手册》（胡名操，1990）第六章噪声控制技术中噪声控制技术效果一表4.3-1可知，加隔振机座降噪效果为10~25dB（A），本项目“隔声减振”降噪效果取10dB，消声器降噪效果为10~30dB，包覆、安装隔声罩降噪效果为3~30dB</w:t>
            </w:r>
            <w:r>
              <w:rPr>
                <w:rFonts w:hint="eastAsia" w:eastAsia="宋体" w:cs="Times New Roman"/>
                <w:b w:val="0"/>
                <w:bCs w:val="0"/>
                <w:color w:val="auto"/>
                <w:spacing w:val="0"/>
                <w:w w:val="100"/>
                <w:position w:val="0"/>
                <w:sz w:val="24"/>
                <w:highlight w:val="none"/>
                <w:lang w:val="en-US" w:eastAsia="zh-CN"/>
              </w:rPr>
              <w:t>，</w:t>
            </w:r>
            <w:r>
              <w:rPr>
                <w:rFonts w:hint="eastAsia" w:ascii="Times New Roman" w:hAnsi="Times New Roman" w:eastAsia="宋体" w:cs="Times New Roman"/>
                <w:b w:val="0"/>
                <w:bCs w:val="0"/>
                <w:color w:val="auto"/>
                <w:spacing w:val="0"/>
                <w:w w:val="100"/>
                <w:position w:val="0"/>
                <w:sz w:val="24"/>
                <w:highlight w:val="none"/>
                <w:lang w:val="en-US" w:eastAsia="zh-CN"/>
              </w:rPr>
              <w:t>室外风机采用“消声+隔声减振+隔声罩”降噪效果为</w:t>
            </w:r>
            <w:r>
              <w:rPr>
                <w:rFonts w:hint="eastAsia" w:eastAsia="宋体" w:cs="Times New Roman"/>
                <w:b w:val="0"/>
                <w:bCs w:val="0"/>
                <w:color w:val="auto"/>
                <w:spacing w:val="0"/>
                <w:w w:val="100"/>
                <w:position w:val="0"/>
                <w:sz w:val="24"/>
                <w:highlight w:val="none"/>
                <w:lang w:val="en-US" w:eastAsia="zh-CN"/>
              </w:rPr>
              <w:t>20</w:t>
            </w:r>
            <w:r>
              <w:rPr>
                <w:rFonts w:hint="eastAsia" w:ascii="Times New Roman" w:hAnsi="Times New Roman" w:eastAsia="宋体" w:cs="Times New Roman"/>
                <w:b w:val="0"/>
                <w:bCs w:val="0"/>
                <w:color w:val="auto"/>
                <w:spacing w:val="0"/>
                <w:w w:val="100"/>
                <w:position w:val="0"/>
                <w:sz w:val="24"/>
                <w:highlight w:val="none"/>
                <w:lang w:val="en-US" w:eastAsia="zh-CN"/>
              </w:rPr>
              <w:t>dB（A）</w:t>
            </w:r>
            <w:r>
              <w:rPr>
                <w:rFonts w:hint="eastAsia" w:cs="Times New Roman"/>
                <w:b w:val="0"/>
                <w:bCs w:val="0"/>
                <w:color w:val="auto"/>
                <w:spacing w:val="0"/>
                <w:w w:val="100"/>
                <w:position w:val="0"/>
                <w:highlight w:val="none"/>
                <w:lang w:val="en-US" w:eastAsia="zh-CN"/>
              </w:rPr>
              <w:t>。</w:t>
            </w:r>
          </w:p>
          <w:p w14:paraId="0C25D5C6">
            <w:pPr>
              <w:pStyle w:val="1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bCs/>
                <w:color w:val="auto"/>
                <w:spacing w:val="0"/>
                <w:w w:val="100"/>
                <w:position w:val="0"/>
                <w:highlight w:val="none"/>
                <w:lang w:val="en-US" w:eastAsia="zh-CN"/>
              </w:rPr>
            </w:pPr>
            <w:r>
              <w:rPr>
                <w:rFonts w:hint="eastAsia" w:cs="Times New Roman"/>
                <w:b/>
                <w:bCs/>
                <w:color w:val="auto"/>
                <w:spacing w:val="0"/>
                <w:w w:val="100"/>
                <w:position w:val="0"/>
                <w:highlight w:val="none"/>
                <w:lang w:val="en-US" w:eastAsia="zh-CN"/>
              </w:rPr>
              <w:t>表</w:t>
            </w:r>
            <w:r>
              <w:rPr>
                <w:rFonts w:hint="eastAsia" w:ascii="Times New Roman" w:hAnsi="Times New Roman" w:cs="Times New Roman"/>
                <w:b/>
                <w:bCs/>
                <w:color w:val="auto"/>
                <w:spacing w:val="0"/>
                <w:w w:val="100"/>
                <w:position w:val="0"/>
                <w:sz w:val="24"/>
                <w:highlight w:val="none"/>
                <w:lang w:val="en-US" w:eastAsia="zh-CN"/>
              </w:rPr>
              <w:t>4.3-1</w:t>
            </w:r>
            <w:r>
              <w:rPr>
                <w:rFonts w:hint="eastAsia" w:cs="Times New Roman"/>
                <w:b/>
                <w:bCs/>
                <w:color w:val="auto"/>
                <w:spacing w:val="0"/>
                <w:w w:val="100"/>
                <w:position w:val="0"/>
                <w:highlight w:val="none"/>
                <w:lang w:val="en-US" w:eastAsia="zh-CN"/>
              </w:rPr>
              <w:t xml:space="preserve"> 声源控制降噪效果（dB）</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00"/>
              <w:gridCol w:w="4229"/>
              <w:gridCol w:w="1787"/>
            </w:tblGrid>
            <w:tr w14:paraId="46281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8" w:type="dxa"/>
                  <w:tcBorders>
                    <w:top w:val="single" w:color="auto" w:sz="4" w:space="0"/>
                  </w:tcBorders>
                  <w:noWrap w:val="0"/>
                  <w:vAlign w:val="center"/>
                </w:tcPr>
                <w:p w14:paraId="7D67D235">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声源</w:t>
                  </w:r>
                </w:p>
              </w:tc>
              <w:tc>
                <w:tcPr>
                  <w:tcW w:w="3985" w:type="dxa"/>
                  <w:tcBorders>
                    <w:top w:val="single" w:color="auto" w:sz="4" w:space="0"/>
                  </w:tcBorders>
                  <w:noWrap w:val="0"/>
                  <w:vAlign w:val="center"/>
                </w:tcPr>
                <w:p w14:paraId="3BEEB1C6">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控制措施</w:t>
                  </w:r>
                </w:p>
              </w:tc>
              <w:tc>
                <w:tcPr>
                  <w:tcW w:w="1684" w:type="dxa"/>
                  <w:tcBorders>
                    <w:top w:val="single" w:color="auto" w:sz="4" w:space="0"/>
                  </w:tcBorders>
                  <w:noWrap w:val="0"/>
                  <w:vAlign w:val="center"/>
                </w:tcPr>
                <w:p w14:paraId="4EF0EE3D">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降噪效果</w:t>
                  </w:r>
                </w:p>
              </w:tc>
            </w:tr>
            <w:tr w14:paraId="02F0D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8" w:type="dxa"/>
                  <w:noWrap w:val="0"/>
                  <w:vAlign w:val="center"/>
                </w:tcPr>
                <w:p w14:paraId="7985A719">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敲打、撞击</w:t>
                  </w:r>
                </w:p>
              </w:tc>
              <w:tc>
                <w:tcPr>
                  <w:tcW w:w="3985" w:type="dxa"/>
                  <w:noWrap w:val="0"/>
                  <w:vAlign w:val="center"/>
                </w:tcPr>
                <w:p w14:paraId="444A89AE">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加弹性垫等</w:t>
                  </w:r>
                </w:p>
              </w:tc>
              <w:tc>
                <w:tcPr>
                  <w:tcW w:w="1684" w:type="dxa"/>
                  <w:noWrap w:val="0"/>
                  <w:vAlign w:val="center"/>
                </w:tcPr>
                <w:p w14:paraId="07815F82">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10~20</w:t>
                  </w:r>
                </w:p>
              </w:tc>
            </w:tr>
            <w:tr w14:paraId="4740C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8" w:type="dxa"/>
                  <w:noWrap w:val="0"/>
                  <w:vAlign w:val="center"/>
                </w:tcPr>
                <w:p w14:paraId="5CBA7BC5">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机械转动部件动态不平衡</w:t>
                  </w:r>
                </w:p>
              </w:tc>
              <w:tc>
                <w:tcPr>
                  <w:tcW w:w="3985" w:type="dxa"/>
                  <w:noWrap w:val="0"/>
                  <w:vAlign w:val="center"/>
                </w:tcPr>
                <w:p w14:paraId="4B19C0CC">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进行平衡调整</w:t>
                  </w:r>
                </w:p>
              </w:tc>
              <w:tc>
                <w:tcPr>
                  <w:tcW w:w="1684" w:type="dxa"/>
                  <w:noWrap w:val="0"/>
                  <w:vAlign w:val="center"/>
                </w:tcPr>
                <w:p w14:paraId="098E3514">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10~20</w:t>
                  </w:r>
                </w:p>
              </w:tc>
            </w:tr>
            <w:tr w14:paraId="7F2F6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8" w:type="dxa"/>
                  <w:noWrap w:val="0"/>
                  <w:vAlign w:val="center"/>
                </w:tcPr>
                <w:p w14:paraId="45B22BAF">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整机振动</w:t>
                  </w:r>
                </w:p>
              </w:tc>
              <w:tc>
                <w:tcPr>
                  <w:tcW w:w="3985" w:type="dxa"/>
                  <w:noWrap w:val="0"/>
                  <w:vAlign w:val="center"/>
                </w:tcPr>
                <w:p w14:paraId="08A0C067">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加隔振基座（弹性耦合）</w:t>
                  </w:r>
                </w:p>
              </w:tc>
              <w:tc>
                <w:tcPr>
                  <w:tcW w:w="1684" w:type="dxa"/>
                  <w:noWrap w:val="0"/>
                  <w:vAlign w:val="center"/>
                </w:tcPr>
                <w:p w14:paraId="103F2ABA">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10~25</w:t>
                  </w:r>
                </w:p>
              </w:tc>
            </w:tr>
            <w:tr w14:paraId="35664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8" w:type="dxa"/>
                  <w:noWrap w:val="0"/>
                  <w:vAlign w:val="center"/>
                </w:tcPr>
                <w:p w14:paraId="10DF6C19">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机器部件振动</w:t>
                  </w:r>
                </w:p>
              </w:tc>
              <w:tc>
                <w:tcPr>
                  <w:tcW w:w="3985" w:type="dxa"/>
                  <w:noWrap w:val="0"/>
                  <w:vAlign w:val="center"/>
                </w:tcPr>
                <w:p w14:paraId="5CD904FF">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使用阻尼材料</w:t>
                  </w:r>
                </w:p>
              </w:tc>
              <w:tc>
                <w:tcPr>
                  <w:tcW w:w="1684" w:type="dxa"/>
                  <w:noWrap w:val="0"/>
                  <w:vAlign w:val="center"/>
                </w:tcPr>
                <w:p w14:paraId="09AC1962">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3~10</w:t>
                  </w:r>
                </w:p>
              </w:tc>
            </w:tr>
            <w:tr w14:paraId="7548C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8" w:type="dxa"/>
                  <w:noWrap w:val="0"/>
                  <w:vAlign w:val="center"/>
                </w:tcPr>
                <w:p w14:paraId="060EF1DB">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机壳振动</w:t>
                  </w:r>
                </w:p>
              </w:tc>
              <w:tc>
                <w:tcPr>
                  <w:tcW w:w="3985" w:type="dxa"/>
                  <w:noWrap w:val="0"/>
                  <w:vAlign w:val="center"/>
                </w:tcPr>
                <w:p w14:paraId="578389CE">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包覆、安装隔声罩</w:t>
                  </w:r>
                </w:p>
              </w:tc>
              <w:tc>
                <w:tcPr>
                  <w:tcW w:w="1684" w:type="dxa"/>
                  <w:noWrap w:val="0"/>
                  <w:vAlign w:val="center"/>
                </w:tcPr>
                <w:p w14:paraId="248B8E2D">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3~30</w:t>
                  </w:r>
                </w:p>
              </w:tc>
            </w:tr>
            <w:tr w14:paraId="2A735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8" w:type="dxa"/>
                  <w:noWrap w:val="0"/>
                  <w:vAlign w:val="center"/>
                </w:tcPr>
                <w:p w14:paraId="6D79893A">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管道振动</w:t>
                  </w:r>
                </w:p>
              </w:tc>
              <w:tc>
                <w:tcPr>
                  <w:tcW w:w="3985" w:type="dxa"/>
                  <w:noWrap w:val="0"/>
                  <w:vAlign w:val="center"/>
                </w:tcPr>
                <w:p w14:paraId="62A892A4">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包覆、使用阻尼材料</w:t>
                  </w:r>
                </w:p>
              </w:tc>
              <w:tc>
                <w:tcPr>
                  <w:tcW w:w="1684" w:type="dxa"/>
                  <w:noWrap w:val="0"/>
                  <w:vAlign w:val="center"/>
                </w:tcPr>
                <w:p w14:paraId="4552266B">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3~20</w:t>
                  </w:r>
                </w:p>
              </w:tc>
            </w:tr>
            <w:tr w14:paraId="3A563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8" w:type="dxa"/>
                  <w:noWrap w:val="0"/>
                  <w:vAlign w:val="center"/>
                </w:tcPr>
                <w:p w14:paraId="2E303F09">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电机</w:t>
                  </w:r>
                </w:p>
              </w:tc>
              <w:tc>
                <w:tcPr>
                  <w:tcW w:w="3985" w:type="dxa"/>
                  <w:noWrap w:val="0"/>
                  <w:vAlign w:val="center"/>
                </w:tcPr>
                <w:p w14:paraId="14B80E64">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安装隔声罩</w:t>
                  </w:r>
                </w:p>
              </w:tc>
              <w:tc>
                <w:tcPr>
                  <w:tcW w:w="1684" w:type="dxa"/>
                  <w:noWrap w:val="0"/>
                  <w:vAlign w:val="center"/>
                </w:tcPr>
                <w:p w14:paraId="71E1257F">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10~20</w:t>
                  </w:r>
                </w:p>
              </w:tc>
            </w:tr>
            <w:tr w14:paraId="7D9ED3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8" w:type="dxa"/>
                  <w:noWrap w:val="0"/>
                  <w:vAlign w:val="center"/>
                </w:tcPr>
                <w:p w14:paraId="0D219EAF">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烧嘴</w:t>
                  </w:r>
                </w:p>
              </w:tc>
              <w:tc>
                <w:tcPr>
                  <w:tcW w:w="3985" w:type="dxa"/>
                  <w:noWrap w:val="0"/>
                  <w:vAlign w:val="center"/>
                </w:tcPr>
                <w:p w14:paraId="325F2C4F">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安装消声器</w:t>
                  </w:r>
                </w:p>
              </w:tc>
              <w:tc>
                <w:tcPr>
                  <w:tcW w:w="1684" w:type="dxa"/>
                  <w:noWrap w:val="0"/>
                  <w:vAlign w:val="center"/>
                </w:tcPr>
                <w:p w14:paraId="7F751ECE">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10~30</w:t>
                  </w:r>
                </w:p>
              </w:tc>
            </w:tr>
            <w:tr w14:paraId="4FAA4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8" w:type="dxa"/>
                  <w:noWrap w:val="0"/>
                  <w:vAlign w:val="center"/>
                </w:tcPr>
                <w:p w14:paraId="495F68B4">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进气、排气</w:t>
                  </w:r>
                </w:p>
              </w:tc>
              <w:tc>
                <w:tcPr>
                  <w:tcW w:w="3985" w:type="dxa"/>
                  <w:noWrap w:val="0"/>
                  <w:vAlign w:val="center"/>
                </w:tcPr>
                <w:p w14:paraId="769E8C2F">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安装消声器</w:t>
                  </w:r>
                </w:p>
              </w:tc>
              <w:tc>
                <w:tcPr>
                  <w:tcW w:w="1684" w:type="dxa"/>
                  <w:noWrap w:val="0"/>
                  <w:vAlign w:val="center"/>
                </w:tcPr>
                <w:p w14:paraId="281B2D68">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10~30</w:t>
                  </w:r>
                </w:p>
              </w:tc>
            </w:tr>
            <w:tr w14:paraId="6BD61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8" w:type="dxa"/>
                  <w:noWrap w:val="0"/>
                  <w:vAlign w:val="center"/>
                </w:tcPr>
                <w:p w14:paraId="5C84E3EE">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炉膛、风道共振</w:t>
                  </w:r>
                </w:p>
              </w:tc>
              <w:tc>
                <w:tcPr>
                  <w:tcW w:w="3985" w:type="dxa"/>
                  <w:noWrap w:val="0"/>
                  <w:vAlign w:val="center"/>
                </w:tcPr>
                <w:p w14:paraId="1A4A2E89">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用隔板</w:t>
                  </w:r>
                </w:p>
              </w:tc>
              <w:tc>
                <w:tcPr>
                  <w:tcW w:w="1684" w:type="dxa"/>
                  <w:noWrap w:val="0"/>
                  <w:vAlign w:val="center"/>
                </w:tcPr>
                <w:p w14:paraId="29EA0B8A">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10~20</w:t>
                  </w:r>
                </w:p>
              </w:tc>
            </w:tr>
            <w:tr w14:paraId="415B2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8" w:type="dxa"/>
                  <w:noWrap w:val="0"/>
                  <w:vAlign w:val="center"/>
                </w:tcPr>
                <w:p w14:paraId="5659017C">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摩擦</w:t>
                  </w:r>
                </w:p>
              </w:tc>
              <w:tc>
                <w:tcPr>
                  <w:tcW w:w="3985" w:type="dxa"/>
                  <w:noWrap w:val="0"/>
                  <w:vAlign w:val="center"/>
                </w:tcPr>
                <w:p w14:paraId="35EAE752">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用润滑剂、提高光洁度、采用弹性耦合</w:t>
                  </w:r>
                </w:p>
              </w:tc>
              <w:tc>
                <w:tcPr>
                  <w:tcW w:w="1684" w:type="dxa"/>
                  <w:noWrap w:val="0"/>
                  <w:vAlign w:val="center"/>
                </w:tcPr>
                <w:p w14:paraId="52E961CA">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5~20</w:t>
                  </w:r>
                </w:p>
              </w:tc>
            </w:tr>
            <w:tr w14:paraId="4F826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8" w:type="dxa"/>
                  <w:tcBorders>
                    <w:bottom w:val="single" w:color="auto" w:sz="4" w:space="0"/>
                  </w:tcBorders>
                  <w:noWrap w:val="0"/>
                  <w:vAlign w:val="center"/>
                </w:tcPr>
                <w:p w14:paraId="2F7B68F2">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齿轮啮合</w:t>
                  </w:r>
                </w:p>
              </w:tc>
              <w:tc>
                <w:tcPr>
                  <w:tcW w:w="3985" w:type="dxa"/>
                  <w:tcBorders>
                    <w:bottom w:val="single" w:color="auto" w:sz="4" w:space="0"/>
                  </w:tcBorders>
                  <w:noWrap w:val="0"/>
                  <w:vAlign w:val="center"/>
                </w:tcPr>
                <w:p w14:paraId="79A0F6E8">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隔声罩</w:t>
                  </w:r>
                </w:p>
              </w:tc>
              <w:tc>
                <w:tcPr>
                  <w:tcW w:w="1684" w:type="dxa"/>
                  <w:tcBorders>
                    <w:bottom w:val="single" w:color="auto" w:sz="4" w:space="0"/>
                  </w:tcBorders>
                  <w:noWrap w:val="0"/>
                  <w:vAlign w:val="center"/>
                </w:tcPr>
                <w:p w14:paraId="175EA20E">
                  <w:pPr>
                    <w:pStyle w:val="145"/>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10~20</w:t>
                  </w:r>
                </w:p>
              </w:tc>
            </w:tr>
          </w:tbl>
          <w:p w14:paraId="70FCC4DF">
            <w:pPr>
              <w:pStyle w:val="4"/>
              <w:keepNext/>
              <w:keepLines/>
              <w:pageBreakBefore w:val="0"/>
              <w:widowControl w:val="0"/>
              <w:kinsoku/>
              <w:wordWrap/>
              <w:overflowPunct/>
              <w:topLinePunct w:val="0"/>
              <w:autoSpaceDE/>
              <w:autoSpaceDN/>
              <w:bidi w:val="0"/>
              <w:adjustRightInd/>
              <w:snapToGrid/>
              <w:spacing w:before="157" w:beforeLines="50" w:after="0" w:line="360" w:lineRule="auto"/>
              <w:ind w:firstLine="480" w:firstLineChars="200"/>
              <w:textAlignment w:val="auto"/>
              <w:rPr>
                <w:rFonts w:ascii="Times New Roman" w:hAnsi="Times New Roman" w:eastAsia="宋体" w:cs="Times New Roman"/>
                <w:b/>
                <w:bCs w:val="0"/>
                <w:color w:val="auto"/>
                <w:spacing w:val="0"/>
                <w:position w:val="0"/>
                <w:sz w:val="24"/>
                <w:szCs w:val="24"/>
                <w:highlight w:val="none"/>
              </w:rPr>
            </w:pPr>
            <w:r>
              <w:rPr>
                <w:rFonts w:hint="default" w:ascii="Times New Roman" w:hAnsi="Times New Roman" w:eastAsia="宋体" w:cs="Times New Roman"/>
                <w:b w:val="0"/>
                <w:bCs w:val="0"/>
                <w:snapToGrid w:val="0"/>
                <w:color w:val="auto"/>
                <w:spacing w:val="0"/>
                <w:kern w:val="0"/>
                <w:sz w:val="24"/>
                <w:szCs w:val="24"/>
                <w:highlight w:val="none"/>
              </w:rPr>
              <w:t>项目各设备噪声源强排放情况</w:t>
            </w:r>
            <w:r>
              <w:rPr>
                <w:rFonts w:hint="eastAsia" w:ascii="Times New Roman" w:hAnsi="Times New Roman" w:eastAsia="宋体" w:cs="Times New Roman"/>
                <w:b w:val="0"/>
                <w:bCs w:val="0"/>
                <w:snapToGrid w:val="0"/>
                <w:color w:val="auto"/>
                <w:spacing w:val="0"/>
                <w:kern w:val="0"/>
                <w:sz w:val="24"/>
                <w:szCs w:val="24"/>
                <w:highlight w:val="none"/>
                <w:lang w:eastAsia="zh-CN"/>
              </w:rPr>
              <w:t>，详见</w:t>
            </w:r>
            <w:r>
              <w:rPr>
                <w:rFonts w:hint="eastAsia" w:ascii="Times New Roman" w:hAnsi="Times New Roman" w:eastAsia="宋体" w:cs="Times New Roman"/>
                <w:b w:val="0"/>
                <w:bCs w:val="0"/>
                <w:color w:val="auto"/>
                <w:spacing w:val="0"/>
                <w:sz w:val="24"/>
                <w:highlight w:val="none"/>
              </w:rPr>
              <w:t>表</w:t>
            </w:r>
            <w:r>
              <w:rPr>
                <w:rFonts w:hint="eastAsia" w:ascii="Times New Roman" w:hAnsi="Times New Roman" w:eastAsia="宋体" w:cs="Times New Roman"/>
                <w:b w:val="0"/>
                <w:bCs w:val="0"/>
                <w:color w:val="auto"/>
                <w:spacing w:val="0"/>
                <w:sz w:val="24"/>
                <w:highlight w:val="none"/>
                <w:lang w:val="en-US" w:eastAsia="zh-CN"/>
              </w:rPr>
              <w:t>4.3-2、4.3-3</w:t>
            </w:r>
            <w:r>
              <w:rPr>
                <w:rFonts w:hint="eastAsia" w:cs="Times New Roman"/>
                <w:b w:val="0"/>
                <w:bCs w:val="0"/>
                <w:color w:val="auto"/>
                <w:spacing w:val="0"/>
                <w:sz w:val="24"/>
                <w:highlight w:val="none"/>
                <w:lang w:val="en-US" w:eastAsia="zh-CN"/>
              </w:rPr>
              <w:t>、4.3-4</w:t>
            </w:r>
            <w:r>
              <w:rPr>
                <w:rFonts w:hint="eastAsia" w:ascii="Times New Roman" w:hAnsi="Times New Roman" w:eastAsia="宋体" w:cs="Times New Roman"/>
                <w:b w:val="0"/>
                <w:bCs w:val="0"/>
                <w:color w:val="auto"/>
                <w:spacing w:val="0"/>
                <w:sz w:val="24"/>
                <w:highlight w:val="none"/>
                <w:lang w:val="en-US" w:eastAsia="zh-CN"/>
              </w:rPr>
              <w:t>。</w:t>
            </w:r>
          </w:p>
          <w:p w14:paraId="4C38CCB5">
            <w:pPr>
              <w:pStyle w:val="63"/>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pacing w:val="0"/>
                <w:position w:val="0"/>
                <w:highlight w:val="none"/>
                <w:lang w:eastAsia="zh-CN"/>
              </w:rPr>
            </w:pPr>
          </w:p>
        </w:tc>
      </w:tr>
    </w:tbl>
    <w:p w14:paraId="0B6BB59B">
      <w:pPr>
        <w:pStyle w:val="37"/>
        <w:rPr>
          <w:color w:val="auto"/>
          <w:highlight w:val="none"/>
        </w:rPr>
        <w:sectPr>
          <w:pgSz w:w="11905" w:h="16838"/>
          <w:pgMar w:top="1134" w:right="1134" w:bottom="1134" w:left="1134"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224"/>
      </w:tblGrid>
      <w:tr w14:paraId="013B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307ACEA">
            <w:pPr>
              <w:pStyle w:val="37"/>
              <w:rPr>
                <w:color w:val="auto"/>
                <w:highlight w:val="none"/>
                <w:vertAlign w:val="baseline"/>
              </w:rPr>
            </w:pPr>
          </w:p>
        </w:tc>
        <w:tc>
          <w:tcPr>
            <w:tcW w:w="14224" w:type="dxa"/>
          </w:tcPr>
          <w:p w14:paraId="005FF12C">
            <w:pPr>
              <w:pStyle w:val="148"/>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9"/>
              <w:rPr>
                <w:rFonts w:hint="eastAsia" w:ascii="Times New Roman" w:hAnsi="Times New Roman" w:eastAsia="宋体" w:cs="Times New Roman"/>
                <w:b/>
                <w:bCs/>
                <w:color w:val="auto"/>
                <w:spacing w:val="0"/>
                <w:w w:val="100"/>
                <w:position w:val="0"/>
                <w:highlight w:val="none"/>
                <w:lang w:val="en-US" w:eastAsia="zh-CN"/>
              </w:rPr>
            </w:pPr>
            <w:r>
              <w:rPr>
                <w:rFonts w:hint="eastAsia" w:ascii="Times New Roman" w:hAnsi="Times New Roman" w:eastAsia="宋体" w:cs="Times New Roman"/>
                <w:b/>
                <w:bCs/>
                <w:color w:val="auto"/>
                <w:spacing w:val="0"/>
                <w:w w:val="100"/>
                <w:position w:val="0"/>
                <w:highlight w:val="none"/>
                <w:lang w:val="en-US" w:eastAsia="zh-CN"/>
              </w:rPr>
              <w:t>表4.3-2项目全厂噪声污染源强核算表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17"/>
              <w:gridCol w:w="885"/>
              <w:gridCol w:w="922"/>
              <w:gridCol w:w="904"/>
              <w:gridCol w:w="1003"/>
              <w:gridCol w:w="1167"/>
              <w:gridCol w:w="1084"/>
              <w:gridCol w:w="1027"/>
              <w:gridCol w:w="1644"/>
              <w:gridCol w:w="1191"/>
              <w:gridCol w:w="1366"/>
              <w:gridCol w:w="823"/>
            </w:tblGrid>
            <w:tr w14:paraId="2A9FDD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2" w:type="dxa"/>
                  <w:gridSpan w:val="2"/>
                  <w:vMerge w:val="restart"/>
                  <w:tcBorders>
                    <w:tl2br w:val="nil"/>
                    <w:tr2bl w:val="nil"/>
                  </w:tcBorders>
                  <w:noWrap w:val="0"/>
                  <w:vAlign w:val="center"/>
                </w:tcPr>
                <w:p w14:paraId="70C78F9A">
                  <w:pPr>
                    <w:pStyle w:val="24"/>
                    <w:spacing w:before="0" w:beforeAutospacing="0" w:after="0" w:afterAutospacing="0" w:line="240" w:lineRule="auto"/>
                    <w:ind w:firstLine="0" w:firstLineChars="0"/>
                    <w:jc w:val="center"/>
                    <w:rPr>
                      <w:b/>
                      <w:bCs w:val="0"/>
                      <w:color w:val="auto"/>
                      <w:sz w:val="21"/>
                      <w:szCs w:val="21"/>
                      <w:highlight w:val="none"/>
                    </w:rPr>
                  </w:pPr>
                  <w:r>
                    <w:rPr>
                      <w:rFonts w:hint="eastAsia" w:ascii="Times New Roman" w:hAnsi="Times New Roman"/>
                      <w:b/>
                      <w:bCs/>
                      <w:color w:val="auto"/>
                      <w:sz w:val="21"/>
                      <w:szCs w:val="24"/>
                      <w:highlight w:val="none"/>
                    </w:rPr>
                    <w:t>声源名称</w:t>
                  </w:r>
                </w:p>
              </w:tc>
              <w:tc>
                <w:tcPr>
                  <w:tcW w:w="2711" w:type="dxa"/>
                  <w:gridSpan w:val="3"/>
                  <w:tcBorders>
                    <w:tl2br w:val="nil"/>
                    <w:tr2bl w:val="nil"/>
                  </w:tcBorders>
                  <w:noWrap w:val="0"/>
                  <w:vAlign w:val="center"/>
                </w:tcPr>
                <w:p w14:paraId="06D500D6">
                  <w:pPr>
                    <w:widowControl/>
                    <w:jc w:val="center"/>
                    <w:textAlignment w:val="center"/>
                    <w:rPr>
                      <w:b/>
                      <w:bCs w:val="0"/>
                      <w:color w:val="auto"/>
                      <w:kern w:val="0"/>
                      <w:sz w:val="21"/>
                      <w:szCs w:val="21"/>
                      <w:highlight w:val="none"/>
                    </w:rPr>
                  </w:pPr>
                  <w:r>
                    <w:rPr>
                      <w:b/>
                      <w:color w:val="auto"/>
                      <w:sz w:val="21"/>
                      <w:szCs w:val="21"/>
                      <w:highlight w:val="none"/>
                    </w:rPr>
                    <w:t>空间相对位置m</w:t>
                  </w:r>
                </w:p>
              </w:tc>
              <w:tc>
                <w:tcPr>
                  <w:tcW w:w="1003" w:type="dxa"/>
                  <w:vMerge w:val="restart"/>
                  <w:tcBorders>
                    <w:tl2br w:val="nil"/>
                    <w:tr2bl w:val="nil"/>
                  </w:tcBorders>
                  <w:noWrap w:val="0"/>
                  <w:vAlign w:val="center"/>
                </w:tcPr>
                <w:p w14:paraId="681C8CD6">
                  <w:pPr>
                    <w:widowControl/>
                    <w:jc w:val="center"/>
                    <w:textAlignment w:val="center"/>
                    <w:rPr>
                      <w:b/>
                      <w:bCs w:val="0"/>
                      <w:color w:val="auto"/>
                      <w:sz w:val="21"/>
                      <w:szCs w:val="21"/>
                      <w:highlight w:val="none"/>
                    </w:rPr>
                  </w:pPr>
                  <w:r>
                    <w:rPr>
                      <w:b/>
                      <w:bCs w:val="0"/>
                      <w:color w:val="auto"/>
                      <w:kern w:val="0"/>
                      <w:sz w:val="21"/>
                      <w:szCs w:val="21"/>
                      <w:highlight w:val="none"/>
                    </w:rPr>
                    <w:t>数量</w:t>
                  </w:r>
                  <w:r>
                    <w:rPr>
                      <w:rFonts w:hint="eastAsia"/>
                      <w:b/>
                      <w:bCs w:val="0"/>
                      <w:color w:val="auto"/>
                      <w:kern w:val="0"/>
                      <w:sz w:val="21"/>
                      <w:szCs w:val="21"/>
                      <w:highlight w:val="none"/>
                    </w:rPr>
                    <w:t>（台）</w:t>
                  </w:r>
                </w:p>
              </w:tc>
              <w:tc>
                <w:tcPr>
                  <w:tcW w:w="1167" w:type="dxa"/>
                  <w:vMerge w:val="restart"/>
                  <w:tcBorders>
                    <w:tl2br w:val="nil"/>
                    <w:tr2bl w:val="nil"/>
                  </w:tcBorders>
                  <w:noWrap w:val="0"/>
                  <w:vAlign w:val="center"/>
                </w:tcPr>
                <w:p w14:paraId="55A019CF">
                  <w:pPr>
                    <w:pStyle w:val="24"/>
                    <w:spacing w:before="0" w:beforeAutospacing="0" w:after="0" w:afterAutospacing="0" w:line="240" w:lineRule="auto"/>
                    <w:ind w:firstLine="0" w:firstLineChars="0"/>
                    <w:jc w:val="center"/>
                    <w:rPr>
                      <w:b/>
                      <w:bCs w:val="0"/>
                      <w:color w:val="auto"/>
                      <w:sz w:val="21"/>
                      <w:szCs w:val="21"/>
                      <w:highlight w:val="none"/>
                    </w:rPr>
                  </w:pPr>
                  <w:r>
                    <w:rPr>
                      <w:rFonts w:hint="eastAsia" w:ascii="Times New Roman" w:hAnsi="Times New Roman"/>
                      <w:b/>
                      <w:bCs/>
                      <w:color w:val="auto"/>
                      <w:sz w:val="21"/>
                      <w:szCs w:val="24"/>
                      <w:highlight w:val="none"/>
                    </w:rPr>
                    <w:t>声源源强/dB（A）</w:t>
                  </w:r>
                </w:p>
              </w:tc>
              <w:tc>
                <w:tcPr>
                  <w:tcW w:w="1084" w:type="dxa"/>
                  <w:vMerge w:val="restart"/>
                  <w:tcBorders>
                    <w:tl2br w:val="nil"/>
                    <w:tr2bl w:val="nil"/>
                  </w:tcBorders>
                  <w:noWrap w:val="0"/>
                  <w:vAlign w:val="center"/>
                </w:tcPr>
                <w:p w14:paraId="3CDBBA93">
                  <w:pPr>
                    <w:pStyle w:val="24"/>
                    <w:spacing w:before="0" w:beforeAutospacing="0" w:after="0" w:afterAutospacing="0" w:line="240" w:lineRule="auto"/>
                    <w:ind w:firstLine="0" w:firstLineChars="0"/>
                    <w:jc w:val="center"/>
                    <w:rPr>
                      <w:b/>
                      <w:bCs w:val="0"/>
                      <w:color w:val="auto"/>
                      <w:sz w:val="21"/>
                      <w:szCs w:val="21"/>
                      <w:highlight w:val="none"/>
                    </w:rPr>
                  </w:pPr>
                  <w:r>
                    <w:rPr>
                      <w:rFonts w:ascii="Times New Roman" w:hAnsi="Times New Roman"/>
                      <w:b/>
                      <w:bCs/>
                      <w:color w:val="auto"/>
                      <w:sz w:val="21"/>
                      <w:szCs w:val="21"/>
                      <w:highlight w:val="none"/>
                      <w:lang w:bidi="ar"/>
                    </w:rPr>
                    <w:t>叠加后噪声源强dB</w:t>
                  </w:r>
                  <w:r>
                    <w:rPr>
                      <w:rFonts w:hint="eastAsia" w:ascii="Times New Roman" w:hAnsi="Times New Roman"/>
                      <w:b/>
                      <w:bCs/>
                      <w:color w:val="auto"/>
                      <w:sz w:val="21"/>
                      <w:szCs w:val="21"/>
                      <w:highlight w:val="none"/>
                      <w:lang w:eastAsia="zh-CN" w:bidi="ar"/>
                    </w:rPr>
                    <w:t>（</w:t>
                  </w:r>
                  <w:r>
                    <w:rPr>
                      <w:rFonts w:ascii="Times New Roman" w:hAnsi="Times New Roman"/>
                      <w:b/>
                      <w:bCs/>
                      <w:color w:val="auto"/>
                      <w:sz w:val="21"/>
                      <w:szCs w:val="21"/>
                      <w:highlight w:val="none"/>
                      <w:lang w:bidi="ar"/>
                    </w:rPr>
                    <w:t>A</w:t>
                  </w:r>
                  <w:r>
                    <w:rPr>
                      <w:rFonts w:hint="eastAsia" w:ascii="Times New Roman" w:hAnsi="Times New Roman"/>
                      <w:b/>
                      <w:bCs/>
                      <w:color w:val="auto"/>
                      <w:sz w:val="21"/>
                      <w:szCs w:val="21"/>
                      <w:highlight w:val="none"/>
                      <w:lang w:eastAsia="zh-CN" w:bidi="ar"/>
                    </w:rPr>
                    <w:t>）</w:t>
                  </w:r>
                </w:p>
              </w:tc>
              <w:tc>
                <w:tcPr>
                  <w:tcW w:w="1027" w:type="dxa"/>
                  <w:vMerge w:val="restart"/>
                  <w:tcBorders>
                    <w:tl2br w:val="nil"/>
                    <w:tr2bl w:val="nil"/>
                  </w:tcBorders>
                  <w:noWrap w:val="0"/>
                  <w:vAlign w:val="center"/>
                </w:tcPr>
                <w:p w14:paraId="59E989F8">
                  <w:pPr>
                    <w:widowControl/>
                    <w:jc w:val="center"/>
                    <w:textAlignment w:val="center"/>
                    <w:rPr>
                      <w:b/>
                      <w:bCs w:val="0"/>
                      <w:color w:val="auto"/>
                      <w:sz w:val="21"/>
                      <w:szCs w:val="21"/>
                      <w:highlight w:val="none"/>
                    </w:rPr>
                  </w:pPr>
                  <w:r>
                    <w:rPr>
                      <w:b/>
                      <w:bCs w:val="0"/>
                      <w:color w:val="auto"/>
                      <w:sz w:val="21"/>
                      <w:szCs w:val="21"/>
                      <w:highlight w:val="none"/>
                    </w:rPr>
                    <w:t>声源类型</w:t>
                  </w:r>
                </w:p>
              </w:tc>
              <w:tc>
                <w:tcPr>
                  <w:tcW w:w="1644" w:type="dxa"/>
                  <w:vMerge w:val="restart"/>
                  <w:tcBorders>
                    <w:tl2br w:val="nil"/>
                    <w:tr2bl w:val="nil"/>
                  </w:tcBorders>
                  <w:noWrap w:val="0"/>
                  <w:vAlign w:val="center"/>
                </w:tcPr>
                <w:p w14:paraId="432AF430">
                  <w:pPr>
                    <w:pStyle w:val="24"/>
                    <w:spacing w:before="0" w:beforeAutospacing="0" w:after="0" w:afterAutospacing="0" w:line="240" w:lineRule="auto"/>
                    <w:ind w:firstLine="0" w:firstLineChars="0"/>
                    <w:jc w:val="center"/>
                    <w:rPr>
                      <w:b/>
                      <w:bCs w:val="0"/>
                      <w:color w:val="auto"/>
                      <w:sz w:val="21"/>
                      <w:szCs w:val="21"/>
                      <w:highlight w:val="none"/>
                    </w:rPr>
                  </w:pPr>
                  <w:r>
                    <w:rPr>
                      <w:rFonts w:hint="eastAsia" w:ascii="Times New Roman" w:hAnsi="Times New Roman"/>
                      <w:b/>
                      <w:bCs/>
                      <w:color w:val="auto"/>
                      <w:sz w:val="21"/>
                      <w:szCs w:val="24"/>
                      <w:highlight w:val="none"/>
                    </w:rPr>
                    <w:t>声源控制措施</w:t>
                  </w:r>
                </w:p>
              </w:tc>
              <w:tc>
                <w:tcPr>
                  <w:tcW w:w="1191" w:type="dxa"/>
                  <w:vMerge w:val="restart"/>
                  <w:tcBorders>
                    <w:tl2br w:val="nil"/>
                    <w:tr2bl w:val="nil"/>
                  </w:tcBorders>
                  <w:noWrap w:val="0"/>
                  <w:vAlign w:val="center"/>
                </w:tcPr>
                <w:p w14:paraId="5B83C254">
                  <w:pPr>
                    <w:jc w:val="center"/>
                    <w:rPr>
                      <w:b/>
                      <w:color w:val="auto"/>
                      <w:sz w:val="21"/>
                      <w:szCs w:val="21"/>
                      <w:highlight w:val="none"/>
                    </w:rPr>
                  </w:pPr>
                  <w:r>
                    <w:rPr>
                      <w:rFonts w:hint="eastAsia" w:ascii="Times New Roman" w:hAnsi="Times New Roman" w:eastAsia="宋体" w:cs="Times New Roman"/>
                      <w:b/>
                      <w:bCs/>
                      <w:color w:val="auto"/>
                      <w:kern w:val="0"/>
                      <w:sz w:val="21"/>
                      <w:szCs w:val="21"/>
                      <w:highlight w:val="none"/>
                      <w:vertAlign w:val="baseline"/>
                      <w:lang w:val="en-US" w:eastAsia="zh-CN"/>
                    </w:rPr>
                    <w:t>降噪效果</w:t>
                  </w:r>
                  <w:r>
                    <w:rPr>
                      <w:rFonts w:hint="eastAsia" w:ascii="Times New Roman" w:hAnsi="Times New Roman"/>
                      <w:b/>
                      <w:bCs/>
                      <w:color w:val="auto"/>
                      <w:sz w:val="21"/>
                      <w:szCs w:val="24"/>
                      <w:highlight w:val="none"/>
                    </w:rPr>
                    <w:t>/dB（A）</w:t>
                  </w:r>
                </w:p>
              </w:tc>
              <w:tc>
                <w:tcPr>
                  <w:tcW w:w="1366" w:type="dxa"/>
                  <w:vMerge w:val="restart"/>
                  <w:tcBorders>
                    <w:tl2br w:val="nil"/>
                    <w:tr2bl w:val="nil"/>
                  </w:tcBorders>
                  <w:noWrap w:val="0"/>
                  <w:vAlign w:val="center"/>
                </w:tcPr>
                <w:p w14:paraId="1986163B">
                  <w:pPr>
                    <w:jc w:val="center"/>
                    <w:rPr>
                      <w:rFonts w:hint="default" w:eastAsia="宋体"/>
                      <w:b/>
                      <w:bCs w:val="0"/>
                      <w:color w:val="auto"/>
                      <w:sz w:val="21"/>
                      <w:szCs w:val="21"/>
                      <w:highlight w:val="none"/>
                      <w:lang w:val="en-US" w:eastAsia="zh-CN"/>
                    </w:rPr>
                  </w:pPr>
                  <w:r>
                    <w:rPr>
                      <w:rFonts w:hint="eastAsia"/>
                      <w:b/>
                      <w:bCs w:val="0"/>
                      <w:color w:val="auto"/>
                      <w:sz w:val="21"/>
                      <w:szCs w:val="21"/>
                      <w:highlight w:val="none"/>
                      <w:lang w:val="en-US" w:eastAsia="zh-CN"/>
                    </w:rPr>
                    <w:t>降噪后声源源强/dB(A)</w:t>
                  </w:r>
                </w:p>
              </w:tc>
              <w:tc>
                <w:tcPr>
                  <w:tcW w:w="823" w:type="dxa"/>
                  <w:vMerge w:val="restart"/>
                  <w:tcBorders>
                    <w:tl2br w:val="nil"/>
                    <w:tr2bl w:val="nil"/>
                  </w:tcBorders>
                  <w:noWrap w:val="0"/>
                  <w:vAlign w:val="center"/>
                </w:tcPr>
                <w:p w14:paraId="1228A995">
                  <w:pPr>
                    <w:pStyle w:val="24"/>
                    <w:spacing w:before="0" w:beforeAutospacing="0" w:after="0" w:afterAutospacing="0"/>
                    <w:jc w:val="center"/>
                    <w:rPr>
                      <w:b/>
                      <w:bCs w:val="0"/>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运行时段h/a</w:t>
                  </w:r>
                </w:p>
              </w:tc>
            </w:tr>
            <w:tr w14:paraId="5D7FDB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2" w:type="dxa"/>
                  <w:gridSpan w:val="2"/>
                  <w:vMerge w:val="continue"/>
                  <w:tcBorders>
                    <w:tl2br w:val="nil"/>
                    <w:tr2bl w:val="nil"/>
                  </w:tcBorders>
                  <w:noWrap w:val="0"/>
                  <w:vAlign w:val="center"/>
                </w:tcPr>
                <w:p w14:paraId="08855DC1">
                  <w:pPr>
                    <w:widowControl/>
                    <w:jc w:val="center"/>
                    <w:textAlignment w:val="center"/>
                    <w:rPr>
                      <w:b/>
                      <w:bCs w:val="0"/>
                      <w:color w:val="auto"/>
                      <w:kern w:val="0"/>
                      <w:sz w:val="21"/>
                      <w:szCs w:val="21"/>
                      <w:highlight w:val="none"/>
                    </w:rPr>
                  </w:pPr>
                </w:p>
              </w:tc>
              <w:tc>
                <w:tcPr>
                  <w:tcW w:w="885" w:type="dxa"/>
                  <w:tcBorders>
                    <w:tl2br w:val="nil"/>
                    <w:tr2bl w:val="nil"/>
                  </w:tcBorders>
                  <w:noWrap w:val="0"/>
                  <w:vAlign w:val="center"/>
                </w:tcPr>
                <w:p w14:paraId="1B617504">
                  <w:pPr>
                    <w:jc w:val="center"/>
                    <w:rPr>
                      <w:b/>
                      <w:color w:val="auto"/>
                      <w:sz w:val="21"/>
                      <w:szCs w:val="21"/>
                      <w:highlight w:val="none"/>
                    </w:rPr>
                  </w:pPr>
                  <w:r>
                    <w:rPr>
                      <w:b/>
                      <w:color w:val="auto"/>
                      <w:sz w:val="21"/>
                      <w:szCs w:val="21"/>
                      <w:highlight w:val="none"/>
                    </w:rPr>
                    <w:t>X</w:t>
                  </w:r>
                </w:p>
              </w:tc>
              <w:tc>
                <w:tcPr>
                  <w:tcW w:w="922" w:type="dxa"/>
                  <w:tcBorders>
                    <w:tl2br w:val="nil"/>
                    <w:tr2bl w:val="nil"/>
                  </w:tcBorders>
                  <w:noWrap w:val="0"/>
                  <w:vAlign w:val="center"/>
                </w:tcPr>
                <w:p w14:paraId="2B4D50A9">
                  <w:pPr>
                    <w:jc w:val="center"/>
                    <w:rPr>
                      <w:b/>
                      <w:color w:val="auto"/>
                      <w:sz w:val="21"/>
                      <w:szCs w:val="21"/>
                      <w:highlight w:val="none"/>
                    </w:rPr>
                  </w:pPr>
                  <w:r>
                    <w:rPr>
                      <w:b/>
                      <w:color w:val="auto"/>
                      <w:sz w:val="21"/>
                      <w:szCs w:val="21"/>
                      <w:highlight w:val="none"/>
                    </w:rPr>
                    <w:t>Y</w:t>
                  </w:r>
                </w:p>
              </w:tc>
              <w:tc>
                <w:tcPr>
                  <w:tcW w:w="904" w:type="dxa"/>
                  <w:tcBorders>
                    <w:tl2br w:val="nil"/>
                    <w:tr2bl w:val="nil"/>
                  </w:tcBorders>
                  <w:noWrap w:val="0"/>
                  <w:vAlign w:val="center"/>
                </w:tcPr>
                <w:p w14:paraId="0D4F15C7">
                  <w:pPr>
                    <w:jc w:val="center"/>
                    <w:rPr>
                      <w:b/>
                      <w:color w:val="auto"/>
                      <w:sz w:val="21"/>
                      <w:szCs w:val="21"/>
                      <w:highlight w:val="none"/>
                    </w:rPr>
                  </w:pPr>
                  <w:r>
                    <w:rPr>
                      <w:b/>
                      <w:color w:val="auto"/>
                      <w:sz w:val="21"/>
                      <w:szCs w:val="21"/>
                      <w:highlight w:val="none"/>
                    </w:rPr>
                    <w:t>Z</w:t>
                  </w:r>
                </w:p>
              </w:tc>
              <w:tc>
                <w:tcPr>
                  <w:tcW w:w="1003" w:type="dxa"/>
                  <w:vMerge w:val="continue"/>
                  <w:tcBorders>
                    <w:tl2br w:val="nil"/>
                    <w:tr2bl w:val="nil"/>
                  </w:tcBorders>
                  <w:noWrap w:val="0"/>
                  <w:vAlign w:val="center"/>
                </w:tcPr>
                <w:p w14:paraId="4DAA8A1A">
                  <w:pPr>
                    <w:widowControl/>
                    <w:jc w:val="center"/>
                    <w:textAlignment w:val="center"/>
                    <w:rPr>
                      <w:b/>
                      <w:bCs w:val="0"/>
                      <w:color w:val="auto"/>
                      <w:kern w:val="0"/>
                      <w:sz w:val="21"/>
                      <w:szCs w:val="21"/>
                      <w:highlight w:val="none"/>
                    </w:rPr>
                  </w:pPr>
                </w:p>
              </w:tc>
              <w:tc>
                <w:tcPr>
                  <w:tcW w:w="1167" w:type="dxa"/>
                  <w:vMerge w:val="continue"/>
                  <w:tcBorders>
                    <w:tl2br w:val="nil"/>
                    <w:tr2bl w:val="nil"/>
                  </w:tcBorders>
                  <w:noWrap w:val="0"/>
                  <w:vAlign w:val="center"/>
                </w:tcPr>
                <w:p w14:paraId="581A4004">
                  <w:pPr>
                    <w:widowControl/>
                    <w:jc w:val="center"/>
                    <w:textAlignment w:val="center"/>
                    <w:rPr>
                      <w:b/>
                      <w:bCs w:val="0"/>
                      <w:color w:val="auto"/>
                      <w:kern w:val="0"/>
                      <w:sz w:val="21"/>
                      <w:szCs w:val="21"/>
                      <w:highlight w:val="none"/>
                    </w:rPr>
                  </w:pPr>
                </w:p>
              </w:tc>
              <w:tc>
                <w:tcPr>
                  <w:tcW w:w="1084" w:type="dxa"/>
                  <w:vMerge w:val="continue"/>
                  <w:tcBorders>
                    <w:tl2br w:val="nil"/>
                    <w:tr2bl w:val="nil"/>
                  </w:tcBorders>
                  <w:noWrap w:val="0"/>
                  <w:vAlign w:val="center"/>
                </w:tcPr>
                <w:p w14:paraId="72F0956D">
                  <w:pPr>
                    <w:widowControl/>
                    <w:jc w:val="center"/>
                    <w:textAlignment w:val="center"/>
                    <w:rPr>
                      <w:b/>
                      <w:bCs w:val="0"/>
                      <w:color w:val="auto"/>
                      <w:kern w:val="0"/>
                      <w:sz w:val="21"/>
                      <w:szCs w:val="21"/>
                      <w:highlight w:val="none"/>
                    </w:rPr>
                  </w:pPr>
                </w:p>
              </w:tc>
              <w:tc>
                <w:tcPr>
                  <w:tcW w:w="1027" w:type="dxa"/>
                  <w:vMerge w:val="continue"/>
                  <w:tcBorders>
                    <w:tl2br w:val="nil"/>
                    <w:tr2bl w:val="nil"/>
                  </w:tcBorders>
                  <w:noWrap w:val="0"/>
                  <w:vAlign w:val="center"/>
                </w:tcPr>
                <w:p w14:paraId="58AB758B">
                  <w:pPr>
                    <w:widowControl/>
                    <w:jc w:val="center"/>
                    <w:textAlignment w:val="center"/>
                    <w:rPr>
                      <w:b/>
                      <w:bCs w:val="0"/>
                      <w:color w:val="auto"/>
                      <w:sz w:val="21"/>
                      <w:szCs w:val="21"/>
                      <w:highlight w:val="none"/>
                    </w:rPr>
                  </w:pPr>
                </w:p>
              </w:tc>
              <w:tc>
                <w:tcPr>
                  <w:tcW w:w="1644" w:type="dxa"/>
                  <w:vMerge w:val="continue"/>
                  <w:tcBorders>
                    <w:tl2br w:val="nil"/>
                    <w:tr2bl w:val="nil"/>
                  </w:tcBorders>
                  <w:noWrap w:val="0"/>
                  <w:vAlign w:val="center"/>
                </w:tcPr>
                <w:p w14:paraId="3102163D">
                  <w:pPr>
                    <w:widowControl/>
                    <w:jc w:val="center"/>
                    <w:textAlignment w:val="center"/>
                    <w:rPr>
                      <w:b/>
                      <w:bCs w:val="0"/>
                      <w:color w:val="auto"/>
                      <w:sz w:val="21"/>
                      <w:szCs w:val="21"/>
                      <w:highlight w:val="none"/>
                    </w:rPr>
                  </w:pPr>
                </w:p>
              </w:tc>
              <w:tc>
                <w:tcPr>
                  <w:tcW w:w="1191" w:type="dxa"/>
                  <w:vMerge w:val="continue"/>
                  <w:tcBorders>
                    <w:tl2br w:val="nil"/>
                    <w:tr2bl w:val="nil"/>
                  </w:tcBorders>
                  <w:noWrap w:val="0"/>
                  <w:vAlign w:val="center"/>
                </w:tcPr>
                <w:p w14:paraId="6DE58F6D">
                  <w:pPr>
                    <w:widowControl/>
                    <w:jc w:val="center"/>
                    <w:textAlignment w:val="center"/>
                    <w:rPr>
                      <w:b/>
                      <w:bCs w:val="0"/>
                      <w:color w:val="auto"/>
                      <w:sz w:val="21"/>
                      <w:szCs w:val="21"/>
                      <w:highlight w:val="none"/>
                    </w:rPr>
                  </w:pPr>
                </w:p>
              </w:tc>
              <w:tc>
                <w:tcPr>
                  <w:tcW w:w="1366" w:type="dxa"/>
                  <w:vMerge w:val="continue"/>
                  <w:tcBorders>
                    <w:tl2br w:val="nil"/>
                    <w:tr2bl w:val="nil"/>
                  </w:tcBorders>
                  <w:noWrap w:val="0"/>
                  <w:vAlign w:val="center"/>
                </w:tcPr>
                <w:p w14:paraId="0D267953">
                  <w:pPr>
                    <w:widowControl/>
                    <w:jc w:val="center"/>
                    <w:textAlignment w:val="center"/>
                    <w:rPr>
                      <w:b/>
                      <w:bCs w:val="0"/>
                      <w:color w:val="auto"/>
                      <w:sz w:val="21"/>
                      <w:szCs w:val="21"/>
                      <w:highlight w:val="none"/>
                    </w:rPr>
                  </w:pPr>
                </w:p>
              </w:tc>
              <w:tc>
                <w:tcPr>
                  <w:tcW w:w="823" w:type="dxa"/>
                  <w:vMerge w:val="continue"/>
                  <w:tcBorders>
                    <w:tl2br w:val="nil"/>
                    <w:tr2bl w:val="nil"/>
                  </w:tcBorders>
                  <w:noWrap w:val="0"/>
                  <w:vAlign w:val="center"/>
                </w:tcPr>
                <w:p w14:paraId="25F5FE25">
                  <w:pPr>
                    <w:widowControl/>
                    <w:jc w:val="center"/>
                    <w:textAlignment w:val="center"/>
                    <w:rPr>
                      <w:b/>
                      <w:bCs w:val="0"/>
                      <w:color w:val="auto"/>
                      <w:sz w:val="21"/>
                      <w:szCs w:val="21"/>
                      <w:highlight w:val="none"/>
                    </w:rPr>
                  </w:pPr>
                </w:p>
              </w:tc>
            </w:tr>
            <w:tr w14:paraId="13FBBC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noWrap w:val="0"/>
                  <w:vAlign w:val="center"/>
                </w:tcPr>
                <w:p w14:paraId="30859D0A">
                  <w:pPr>
                    <w:widowControl/>
                    <w:spacing w:line="240" w:lineRule="auto"/>
                    <w:jc w:val="center"/>
                    <w:textAlignment w:val="center"/>
                    <w:rPr>
                      <w:rFonts w:hint="eastAsia" w:eastAsia="宋体"/>
                      <w:color w:val="auto"/>
                      <w:kern w:val="0"/>
                      <w:sz w:val="21"/>
                      <w:szCs w:val="21"/>
                      <w:highlight w:val="none"/>
                      <w:lang w:val="en-US" w:eastAsia="zh-CN"/>
                    </w:rPr>
                  </w:pPr>
                </w:p>
              </w:tc>
              <w:tc>
                <w:tcPr>
                  <w:tcW w:w="1317" w:type="dxa"/>
                  <w:tcBorders>
                    <w:tl2br w:val="nil"/>
                    <w:tr2bl w:val="nil"/>
                  </w:tcBorders>
                  <w:noWrap w:val="0"/>
                  <w:vAlign w:val="center"/>
                </w:tcPr>
                <w:p w14:paraId="15AE7DDB">
                  <w:pPr>
                    <w:widowControl/>
                    <w:spacing w:line="240" w:lineRule="auto"/>
                    <w:jc w:val="center"/>
                    <w:textAlignment w:val="center"/>
                    <w:rPr>
                      <w:rFonts w:hint="eastAsia" w:cs="Times New Roman"/>
                      <w:b w:val="0"/>
                      <w:bCs w:val="0"/>
                      <w:color w:val="auto"/>
                      <w:spacing w:val="0"/>
                      <w:kern w:val="0"/>
                      <w:position w:val="0"/>
                      <w:sz w:val="21"/>
                      <w:szCs w:val="21"/>
                      <w:highlight w:val="none"/>
                      <w:lang w:val="en-US" w:eastAsia="zh-CN"/>
                    </w:rPr>
                  </w:pPr>
                </w:p>
              </w:tc>
              <w:tc>
                <w:tcPr>
                  <w:tcW w:w="885" w:type="dxa"/>
                  <w:tcBorders>
                    <w:tl2br w:val="nil"/>
                    <w:tr2bl w:val="nil"/>
                  </w:tcBorders>
                  <w:noWrap w:val="0"/>
                  <w:vAlign w:val="center"/>
                </w:tcPr>
                <w:p w14:paraId="02AD97FD">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sz w:val="21"/>
                      <w:szCs w:val="21"/>
                      <w:highlight w:val="none"/>
                      <w:lang w:val="en-US" w:eastAsia="zh-CN"/>
                    </w:rPr>
                  </w:pPr>
                </w:p>
              </w:tc>
              <w:tc>
                <w:tcPr>
                  <w:tcW w:w="922" w:type="dxa"/>
                  <w:tcBorders>
                    <w:tl2br w:val="nil"/>
                    <w:tr2bl w:val="nil"/>
                  </w:tcBorders>
                  <w:noWrap w:val="0"/>
                  <w:vAlign w:val="center"/>
                </w:tcPr>
                <w:p w14:paraId="5BEF2E33">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sz w:val="21"/>
                      <w:szCs w:val="21"/>
                      <w:highlight w:val="none"/>
                      <w:lang w:val="en-US" w:eastAsia="zh-CN"/>
                    </w:rPr>
                  </w:pPr>
                </w:p>
              </w:tc>
              <w:tc>
                <w:tcPr>
                  <w:tcW w:w="904" w:type="dxa"/>
                  <w:tcBorders>
                    <w:tl2br w:val="nil"/>
                    <w:tr2bl w:val="nil"/>
                  </w:tcBorders>
                  <w:noWrap w:val="0"/>
                  <w:vAlign w:val="center"/>
                </w:tcPr>
                <w:p w14:paraId="691F072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sz w:val="21"/>
                      <w:szCs w:val="21"/>
                      <w:highlight w:val="none"/>
                      <w:lang w:val="en-US" w:eastAsia="zh-CN"/>
                    </w:rPr>
                  </w:pPr>
                </w:p>
              </w:tc>
              <w:tc>
                <w:tcPr>
                  <w:tcW w:w="1003" w:type="dxa"/>
                  <w:tcBorders>
                    <w:tl2br w:val="nil"/>
                    <w:tr2bl w:val="nil"/>
                  </w:tcBorders>
                  <w:noWrap w:val="0"/>
                  <w:vAlign w:val="center"/>
                </w:tcPr>
                <w:p w14:paraId="64AA95CA">
                  <w:pPr>
                    <w:widowControl/>
                    <w:spacing w:line="240" w:lineRule="auto"/>
                    <w:jc w:val="center"/>
                    <w:textAlignment w:val="center"/>
                    <w:rPr>
                      <w:color w:val="auto"/>
                      <w:sz w:val="21"/>
                      <w:szCs w:val="21"/>
                      <w:highlight w:val="none"/>
                    </w:rPr>
                  </w:pPr>
                </w:p>
              </w:tc>
              <w:tc>
                <w:tcPr>
                  <w:tcW w:w="1167" w:type="dxa"/>
                  <w:tcBorders>
                    <w:tl2br w:val="nil"/>
                    <w:tr2bl w:val="nil"/>
                  </w:tcBorders>
                  <w:noWrap w:val="0"/>
                  <w:vAlign w:val="center"/>
                </w:tcPr>
                <w:p w14:paraId="10694BE3">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color w:val="auto"/>
                      <w:kern w:val="0"/>
                      <w:sz w:val="21"/>
                      <w:szCs w:val="21"/>
                      <w:highlight w:val="none"/>
                      <w:lang w:val="en-US"/>
                    </w:rPr>
                  </w:pPr>
                </w:p>
              </w:tc>
              <w:tc>
                <w:tcPr>
                  <w:tcW w:w="1084" w:type="dxa"/>
                  <w:tcBorders>
                    <w:tl2br w:val="nil"/>
                    <w:tr2bl w:val="nil"/>
                  </w:tcBorders>
                  <w:noWrap w:val="0"/>
                  <w:vAlign w:val="center"/>
                </w:tcPr>
                <w:p w14:paraId="06096848">
                  <w:pPr>
                    <w:keepNext w:val="0"/>
                    <w:keepLines w:val="0"/>
                    <w:widowControl/>
                    <w:suppressLineNumbers w:val="0"/>
                    <w:jc w:val="center"/>
                    <w:textAlignment w:val="center"/>
                    <w:rPr>
                      <w:rFonts w:hint="default" w:eastAsia="宋体"/>
                      <w:color w:val="auto"/>
                      <w:sz w:val="21"/>
                      <w:szCs w:val="21"/>
                      <w:highlight w:val="none"/>
                      <w:lang w:val="en-US" w:eastAsia="zh-CN"/>
                    </w:rPr>
                  </w:pPr>
                </w:p>
              </w:tc>
              <w:tc>
                <w:tcPr>
                  <w:tcW w:w="1027" w:type="dxa"/>
                  <w:tcBorders>
                    <w:tl2br w:val="nil"/>
                    <w:tr2bl w:val="nil"/>
                  </w:tcBorders>
                  <w:noWrap w:val="0"/>
                  <w:vAlign w:val="center"/>
                </w:tcPr>
                <w:p w14:paraId="1804AFBA">
                  <w:pPr>
                    <w:widowControl/>
                    <w:jc w:val="center"/>
                    <w:textAlignment w:val="center"/>
                    <w:rPr>
                      <w:color w:val="auto"/>
                      <w:kern w:val="0"/>
                      <w:sz w:val="21"/>
                      <w:szCs w:val="21"/>
                      <w:highlight w:val="none"/>
                    </w:rPr>
                  </w:pPr>
                </w:p>
              </w:tc>
              <w:tc>
                <w:tcPr>
                  <w:tcW w:w="1644" w:type="dxa"/>
                  <w:tcBorders>
                    <w:tl2br w:val="nil"/>
                    <w:tr2bl w:val="nil"/>
                  </w:tcBorders>
                  <w:noWrap w:val="0"/>
                  <w:vAlign w:val="center"/>
                </w:tcPr>
                <w:p w14:paraId="65A0704D">
                  <w:pPr>
                    <w:widowControl/>
                    <w:jc w:val="center"/>
                    <w:textAlignment w:val="center"/>
                    <w:rPr>
                      <w:color w:val="auto"/>
                      <w:kern w:val="0"/>
                      <w:sz w:val="21"/>
                      <w:szCs w:val="21"/>
                      <w:highlight w:val="none"/>
                    </w:rPr>
                  </w:pPr>
                </w:p>
              </w:tc>
              <w:tc>
                <w:tcPr>
                  <w:tcW w:w="1191" w:type="dxa"/>
                  <w:tcBorders>
                    <w:tl2br w:val="nil"/>
                    <w:tr2bl w:val="nil"/>
                  </w:tcBorders>
                  <w:noWrap w:val="0"/>
                  <w:vAlign w:val="center"/>
                </w:tcPr>
                <w:p w14:paraId="7626D756">
                  <w:pPr>
                    <w:widowControl/>
                    <w:jc w:val="center"/>
                    <w:textAlignment w:val="center"/>
                    <w:rPr>
                      <w:rFonts w:hint="default" w:eastAsia="宋体"/>
                      <w:bCs w:val="0"/>
                      <w:color w:val="auto"/>
                      <w:sz w:val="21"/>
                      <w:szCs w:val="21"/>
                      <w:highlight w:val="none"/>
                      <w:lang w:val="en-US" w:eastAsia="zh-CN"/>
                    </w:rPr>
                  </w:pPr>
                </w:p>
              </w:tc>
              <w:tc>
                <w:tcPr>
                  <w:tcW w:w="1366" w:type="dxa"/>
                  <w:tcBorders>
                    <w:tl2br w:val="nil"/>
                    <w:tr2bl w:val="nil"/>
                  </w:tcBorders>
                  <w:noWrap w:val="0"/>
                  <w:vAlign w:val="center"/>
                </w:tcPr>
                <w:p w14:paraId="031B6492">
                  <w:pPr>
                    <w:keepNext w:val="0"/>
                    <w:keepLines w:val="0"/>
                    <w:widowControl/>
                    <w:suppressLineNumbers w:val="0"/>
                    <w:jc w:val="center"/>
                    <w:textAlignment w:val="center"/>
                    <w:rPr>
                      <w:rFonts w:hint="default" w:ascii="Times New Roman" w:hAnsi="Times New Roman" w:eastAsia="宋体" w:cs="Times New Roman"/>
                      <w:bCs w:val="0"/>
                      <w:color w:val="auto"/>
                      <w:sz w:val="21"/>
                      <w:szCs w:val="21"/>
                      <w:highlight w:val="none"/>
                      <w:lang w:val="en-US" w:eastAsia="zh-CN"/>
                    </w:rPr>
                  </w:pPr>
                </w:p>
              </w:tc>
              <w:tc>
                <w:tcPr>
                  <w:tcW w:w="823" w:type="dxa"/>
                  <w:vMerge w:val="restart"/>
                  <w:tcBorders>
                    <w:tl2br w:val="nil"/>
                    <w:tr2bl w:val="nil"/>
                  </w:tcBorders>
                  <w:noWrap w:val="0"/>
                  <w:vAlign w:val="center"/>
                </w:tcPr>
                <w:p w14:paraId="61DFC78D">
                  <w:pPr>
                    <w:keepNext w:val="0"/>
                    <w:keepLines w:val="0"/>
                    <w:pageBreakBefore w:val="0"/>
                    <w:widowControl/>
                    <w:kinsoku w:val="0"/>
                    <w:wordWrap w:val="0"/>
                    <w:overflowPunct/>
                    <w:topLinePunct w:val="0"/>
                    <w:autoSpaceDE w:val="0"/>
                    <w:autoSpaceDN w:val="0"/>
                    <w:bidi w:val="0"/>
                    <w:adjustRightInd w:val="0"/>
                    <w:snapToGrid w:val="0"/>
                    <w:jc w:val="center"/>
                    <w:rPr>
                      <w:rFonts w:hint="default" w:eastAsia="宋体"/>
                      <w:bCs w:val="0"/>
                      <w:color w:val="auto"/>
                      <w:sz w:val="21"/>
                      <w:szCs w:val="21"/>
                      <w:highlight w:val="none"/>
                      <w:lang w:val="en-US" w:eastAsia="zh-CN"/>
                    </w:rPr>
                  </w:pPr>
                  <w:r>
                    <w:rPr>
                      <w:rFonts w:hint="eastAsia"/>
                      <w:bCs w:val="0"/>
                      <w:color w:val="auto"/>
                      <w:sz w:val="21"/>
                      <w:szCs w:val="21"/>
                      <w:highlight w:val="none"/>
                      <w:lang w:val="en-US" w:eastAsia="zh-CN"/>
                    </w:rPr>
                    <w:t>2400</w:t>
                  </w:r>
                </w:p>
              </w:tc>
            </w:tr>
            <w:tr w14:paraId="1C1FA7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noWrap w:val="0"/>
                  <w:vAlign w:val="center"/>
                </w:tcPr>
                <w:p w14:paraId="3E117349">
                  <w:pPr>
                    <w:widowControl/>
                    <w:spacing w:line="240" w:lineRule="auto"/>
                    <w:jc w:val="center"/>
                    <w:textAlignment w:val="center"/>
                    <w:rPr>
                      <w:rFonts w:hint="eastAsia"/>
                      <w:color w:val="auto"/>
                      <w:kern w:val="0"/>
                      <w:sz w:val="21"/>
                      <w:szCs w:val="21"/>
                      <w:highlight w:val="none"/>
                      <w:lang w:val="en-US" w:eastAsia="zh-CN"/>
                    </w:rPr>
                  </w:pPr>
                </w:p>
              </w:tc>
              <w:tc>
                <w:tcPr>
                  <w:tcW w:w="1317" w:type="dxa"/>
                  <w:tcBorders>
                    <w:tl2br w:val="nil"/>
                    <w:tr2bl w:val="nil"/>
                  </w:tcBorders>
                  <w:noWrap w:val="0"/>
                  <w:vAlign w:val="center"/>
                </w:tcPr>
                <w:p w14:paraId="5FA0B677">
                  <w:pPr>
                    <w:widowControl/>
                    <w:spacing w:line="240" w:lineRule="auto"/>
                    <w:jc w:val="center"/>
                    <w:textAlignment w:val="center"/>
                    <w:rPr>
                      <w:rFonts w:hint="eastAsia" w:cs="Times New Roman"/>
                      <w:b w:val="0"/>
                      <w:bCs w:val="0"/>
                      <w:color w:val="auto"/>
                      <w:spacing w:val="0"/>
                      <w:kern w:val="0"/>
                      <w:position w:val="0"/>
                      <w:sz w:val="21"/>
                      <w:szCs w:val="21"/>
                      <w:highlight w:val="none"/>
                      <w:lang w:val="en-US" w:eastAsia="zh-CN"/>
                    </w:rPr>
                  </w:pPr>
                </w:p>
              </w:tc>
              <w:tc>
                <w:tcPr>
                  <w:tcW w:w="885" w:type="dxa"/>
                  <w:tcBorders>
                    <w:tl2br w:val="nil"/>
                    <w:tr2bl w:val="nil"/>
                  </w:tcBorders>
                  <w:noWrap w:val="0"/>
                  <w:vAlign w:val="center"/>
                </w:tcPr>
                <w:p w14:paraId="62C8CCC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val="0"/>
                      <w:color w:val="auto"/>
                      <w:sz w:val="21"/>
                      <w:szCs w:val="21"/>
                      <w:highlight w:val="none"/>
                      <w:lang w:val="en-US" w:eastAsia="zh-CN"/>
                    </w:rPr>
                  </w:pPr>
                </w:p>
              </w:tc>
              <w:tc>
                <w:tcPr>
                  <w:tcW w:w="922" w:type="dxa"/>
                  <w:tcBorders>
                    <w:tl2br w:val="nil"/>
                    <w:tr2bl w:val="nil"/>
                  </w:tcBorders>
                  <w:noWrap w:val="0"/>
                  <w:vAlign w:val="center"/>
                </w:tcPr>
                <w:p w14:paraId="7F312F2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val="0"/>
                      <w:color w:val="auto"/>
                      <w:sz w:val="21"/>
                      <w:szCs w:val="21"/>
                      <w:highlight w:val="none"/>
                      <w:lang w:val="en-US" w:eastAsia="zh-CN"/>
                    </w:rPr>
                  </w:pPr>
                </w:p>
              </w:tc>
              <w:tc>
                <w:tcPr>
                  <w:tcW w:w="904" w:type="dxa"/>
                  <w:tcBorders>
                    <w:tl2br w:val="nil"/>
                    <w:tr2bl w:val="nil"/>
                  </w:tcBorders>
                  <w:noWrap w:val="0"/>
                  <w:vAlign w:val="center"/>
                </w:tcPr>
                <w:p w14:paraId="48CC4F71">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val="0"/>
                      <w:color w:val="auto"/>
                      <w:sz w:val="21"/>
                      <w:szCs w:val="21"/>
                      <w:highlight w:val="none"/>
                      <w:lang w:val="en-US" w:eastAsia="zh-CN"/>
                    </w:rPr>
                  </w:pPr>
                </w:p>
              </w:tc>
              <w:tc>
                <w:tcPr>
                  <w:tcW w:w="1003" w:type="dxa"/>
                  <w:tcBorders>
                    <w:tl2br w:val="nil"/>
                    <w:tr2bl w:val="nil"/>
                  </w:tcBorders>
                  <w:noWrap w:val="0"/>
                  <w:vAlign w:val="center"/>
                </w:tcPr>
                <w:p w14:paraId="4D2F1F68">
                  <w:pPr>
                    <w:widowControl/>
                    <w:spacing w:line="240" w:lineRule="auto"/>
                    <w:jc w:val="center"/>
                    <w:textAlignment w:val="center"/>
                    <w:rPr>
                      <w:rFonts w:hint="default" w:ascii="Times New Roman" w:hAnsi="Times New Roman" w:eastAsia="宋体" w:cs="Times New Roman"/>
                      <w:b w:val="0"/>
                      <w:bCs w:val="0"/>
                      <w:color w:val="auto"/>
                      <w:spacing w:val="0"/>
                      <w:kern w:val="0"/>
                      <w:position w:val="0"/>
                      <w:sz w:val="21"/>
                      <w:szCs w:val="21"/>
                      <w:highlight w:val="none"/>
                      <w:lang w:val="en-US" w:eastAsia="zh-CN"/>
                    </w:rPr>
                  </w:pPr>
                </w:p>
              </w:tc>
              <w:tc>
                <w:tcPr>
                  <w:tcW w:w="1167" w:type="dxa"/>
                  <w:tcBorders>
                    <w:tl2br w:val="nil"/>
                    <w:tr2bl w:val="nil"/>
                  </w:tcBorders>
                  <w:noWrap w:val="0"/>
                  <w:vAlign w:val="center"/>
                </w:tcPr>
                <w:p w14:paraId="28FABEE7">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84" w:type="dxa"/>
                  <w:tcBorders>
                    <w:tl2br w:val="nil"/>
                    <w:tr2bl w:val="nil"/>
                  </w:tcBorders>
                  <w:noWrap w:val="0"/>
                  <w:vAlign w:val="center"/>
                </w:tcPr>
                <w:p w14:paraId="0F90D6E2">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p>
              </w:tc>
              <w:tc>
                <w:tcPr>
                  <w:tcW w:w="1027" w:type="dxa"/>
                  <w:tcBorders>
                    <w:tl2br w:val="nil"/>
                    <w:tr2bl w:val="nil"/>
                  </w:tcBorders>
                  <w:noWrap w:val="0"/>
                  <w:vAlign w:val="center"/>
                </w:tcPr>
                <w:p w14:paraId="4627E3E2">
                  <w:pPr>
                    <w:widowControl/>
                    <w:jc w:val="center"/>
                    <w:textAlignment w:val="center"/>
                    <w:rPr>
                      <w:color w:val="auto"/>
                      <w:kern w:val="0"/>
                      <w:sz w:val="21"/>
                      <w:szCs w:val="21"/>
                      <w:highlight w:val="none"/>
                    </w:rPr>
                  </w:pPr>
                </w:p>
              </w:tc>
              <w:tc>
                <w:tcPr>
                  <w:tcW w:w="1644" w:type="dxa"/>
                  <w:tcBorders>
                    <w:tl2br w:val="nil"/>
                    <w:tr2bl w:val="nil"/>
                  </w:tcBorders>
                  <w:noWrap w:val="0"/>
                  <w:vAlign w:val="center"/>
                </w:tcPr>
                <w:p w14:paraId="1D6ACC11">
                  <w:pPr>
                    <w:widowControl/>
                    <w:jc w:val="center"/>
                    <w:textAlignment w:val="center"/>
                    <w:rPr>
                      <w:rFonts w:hint="eastAsia" w:cs="Times New Roman"/>
                      <w:b w:val="0"/>
                      <w:bCs w:val="0"/>
                      <w:color w:val="auto"/>
                      <w:spacing w:val="0"/>
                      <w:w w:val="100"/>
                      <w:position w:val="0"/>
                      <w:highlight w:val="none"/>
                      <w:lang w:val="en-US" w:eastAsia="zh-CN"/>
                    </w:rPr>
                  </w:pPr>
                </w:p>
              </w:tc>
              <w:tc>
                <w:tcPr>
                  <w:tcW w:w="1191" w:type="dxa"/>
                  <w:tcBorders>
                    <w:tl2br w:val="nil"/>
                    <w:tr2bl w:val="nil"/>
                  </w:tcBorders>
                  <w:noWrap w:val="0"/>
                  <w:vAlign w:val="center"/>
                </w:tcPr>
                <w:p w14:paraId="20354398">
                  <w:pPr>
                    <w:widowControl/>
                    <w:jc w:val="center"/>
                    <w:textAlignment w:val="center"/>
                    <w:rPr>
                      <w:rFonts w:hint="eastAsia"/>
                      <w:bCs w:val="0"/>
                      <w:color w:val="auto"/>
                      <w:sz w:val="21"/>
                      <w:szCs w:val="21"/>
                      <w:highlight w:val="none"/>
                      <w:lang w:val="en-US" w:eastAsia="zh-CN"/>
                    </w:rPr>
                  </w:pPr>
                </w:p>
              </w:tc>
              <w:tc>
                <w:tcPr>
                  <w:tcW w:w="1366" w:type="dxa"/>
                  <w:tcBorders>
                    <w:tl2br w:val="nil"/>
                    <w:tr2bl w:val="nil"/>
                  </w:tcBorders>
                  <w:noWrap w:val="0"/>
                  <w:vAlign w:val="center"/>
                </w:tcPr>
                <w:p w14:paraId="1392355B">
                  <w:pPr>
                    <w:keepNext w:val="0"/>
                    <w:keepLines w:val="0"/>
                    <w:widowControl/>
                    <w:suppressLineNumbers w:val="0"/>
                    <w:jc w:val="center"/>
                    <w:textAlignment w:val="center"/>
                    <w:rPr>
                      <w:rFonts w:hint="default" w:ascii="Times New Roman" w:hAnsi="Times New Roman" w:eastAsia="宋体" w:cs="Times New Roman"/>
                      <w:bCs w:val="0"/>
                      <w:color w:val="auto"/>
                      <w:sz w:val="21"/>
                      <w:szCs w:val="21"/>
                      <w:highlight w:val="none"/>
                      <w:lang w:val="en-US" w:eastAsia="zh-CN"/>
                    </w:rPr>
                  </w:pPr>
                </w:p>
              </w:tc>
              <w:tc>
                <w:tcPr>
                  <w:tcW w:w="823" w:type="dxa"/>
                  <w:vMerge w:val="continue"/>
                  <w:tcBorders>
                    <w:tl2br w:val="nil"/>
                    <w:tr2bl w:val="nil"/>
                  </w:tcBorders>
                  <w:noWrap w:val="0"/>
                  <w:vAlign w:val="center"/>
                </w:tcPr>
                <w:p w14:paraId="16AD0B95">
                  <w:pPr>
                    <w:keepNext w:val="0"/>
                    <w:keepLines w:val="0"/>
                    <w:pageBreakBefore w:val="0"/>
                    <w:widowControl/>
                    <w:kinsoku w:val="0"/>
                    <w:wordWrap w:val="0"/>
                    <w:overflowPunct/>
                    <w:topLinePunct w:val="0"/>
                    <w:autoSpaceDE w:val="0"/>
                    <w:autoSpaceDN w:val="0"/>
                    <w:bidi w:val="0"/>
                    <w:adjustRightInd w:val="0"/>
                    <w:snapToGrid w:val="0"/>
                    <w:jc w:val="center"/>
                    <w:rPr>
                      <w:rFonts w:hint="eastAsia"/>
                      <w:bCs w:val="0"/>
                      <w:color w:val="auto"/>
                      <w:sz w:val="21"/>
                      <w:szCs w:val="21"/>
                      <w:highlight w:val="none"/>
                      <w:lang w:val="en-US" w:eastAsia="zh-CN"/>
                    </w:rPr>
                  </w:pPr>
                </w:p>
              </w:tc>
            </w:tr>
            <w:tr w14:paraId="3BF2DE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noWrap w:val="0"/>
                  <w:vAlign w:val="center"/>
                </w:tcPr>
                <w:p w14:paraId="07479674">
                  <w:pPr>
                    <w:widowControl/>
                    <w:spacing w:line="240" w:lineRule="auto"/>
                    <w:jc w:val="center"/>
                    <w:textAlignment w:val="center"/>
                    <w:rPr>
                      <w:rFonts w:hint="default" w:cs="Times New Roman"/>
                      <w:b w:val="0"/>
                      <w:bCs w:val="0"/>
                      <w:color w:val="auto"/>
                      <w:spacing w:val="0"/>
                      <w:kern w:val="0"/>
                      <w:position w:val="0"/>
                      <w:sz w:val="21"/>
                      <w:szCs w:val="21"/>
                      <w:highlight w:val="none"/>
                      <w:lang w:val="en-US" w:eastAsia="zh-CN"/>
                    </w:rPr>
                  </w:pPr>
                </w:p>
              </w:tc>
              <w:tc>
                <w:tcPr>
                  <w:tcW w:w="1317" w:type="dxa"/>
                  <w:tcBorders>
                    <w:tl2br w:val="nil"/>
                    <w:tr2bl w:val="nil"/>
                  </w:tcBorders>
                  <w:noWrap w:val="0"/>
                  <w:vAlign w:val="center"/>
                </w:tcPr>
                <w:p w14:paraId="7F6C71AE">
                  <w:pPr>
                    <w:widowControl/>
                    <w:spacing w:line="240" w:lineRule="auto"/>
                    <w:jc w:val="center"/>
                    <w:textAlignment w:val="center"/>
                    <w:rPr>
                      <w:rFonts w:hint="eastAsia" w:cs="Times New Roman"/>
                      <w:b w:val="0"/>
                      <w:bCs w:val="0"/>
                      <w:color w:val="auto"/>
                      <w:spacing w:val="0"/>
                      <w:kern w:val="0"/>
                      <w:position w:val="0"/>
                      <w:sz w:val="21"/>
                      <w:szCs w:val="21"/>
                      <w:highlight w:val="none"/>
                      <w:lang w:val="en-US" w:eastAsia="zh-CN"/>
                    </w:rPr>
                  </w:pPr>
                </w:p>
              </w:tc>
              <w:tc>
                <w:tcPr>
                  <w:tcW w:w="885" w:type="dxa"/>
                  <w:tcBorders>
                    <w:tl2br w:val="nil"/>
                    <w:tr2bl w:val="nil"/>
                  </w:tcBorders>
                  <w:noWrap w:val="0"/>
                  <w:vAlign w:val="center"/>
                </w:tcPr>
                <w:p w14:paraId="1E60F2D2">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val="0"/>
                      <w:color w:val="auto"/>
                      <w:sz w:val="21"/>
                      <w:szCs w:val="21"/>
                      <w:highlight w:val="none"/>
                      <w:lang w:val="en-US" w:eastAsia="zh-CN"/>
                    </w:rPr>
                  </w:pPr>
                </w:p>
              </w:tc>
              <w:tc>
                <w:tcPr>
                  <w:tcW w:w="922" w:type="dxa"/>
                  <w:tcBorders>
                    <w:tl2br w:val="nil"/>
                    <w:tr2bl w:val="nil"/>
                  </w:tcBorders>
                  <w:noWrap w:val="0"/>
                  <w:vAlign w:val="center"/>
                </w:tcPr>
                <w:p w14:paraId="1B229571">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val="0"/>
                      <w:color w:val="auto"/>
                      <w:sz w:val="21"/>
                      <w:szCs w:val="21"/>
                      <w:highlight w:val="none"/>
                      <w:lang w:val="en-US" w:eastAsia="zh-CN"/>
                    </w:rPr>
                  </w:pPr>
                </w:p>
              </w:tc>
              <w:tc>
                <w:tcPr>
                  <w:tcW w:w="904" w:type="dxa"/>
                  <w:tcBorders>
                    <w:tl2br w:val="nil"/>
                    <w:tr2bl w:val="nil"/>
                  </w:tcBorders>
                  <w:noWrap w:val="0"/>
                  <w:vAlign w:val="center"/>
                </w:tcPr>
                <w:p w14:paraId="3F99907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val="0"/>
                      <w:color w:val="auto"/>
                      <w:sz w:val="21"/>
                      <w:szCs w:val="21"/>
                      <w:highlight w:val="none"/>
                      <w:lang w:val="en-US" w:eastAsia="zh-CN"/>
                    </w:rPr>
                  </w:pPr>
                </w:p>
              </w:tc>
              <w:tc>
                <w:tcPr>
                  <w:tcW w:w="1003" w:type="dxa"/>
                  <w:tcBorders>
                    <w:tl2br w:val="nil"/>
                    <w:tr2bl w:val="nil"/>
                  </w:tcBorders>
                  <w:noWrap w:val="0"/>
                  <w:vAlign w:val="center"/>
                </w:tcPr>
                <w:p w14:paraId="45461BAA">
                  <w:pPr>
                    <w:widowControl/>
                    <w:spacing w:line="240" w:lineRule="auto"/>
                    <w:jc w:val="center"/>
                    <w:textAlignment w:val="center"/>
                    <w:rPr>
                      <w:rFonts w:hint="default" w:ascii="Times New Roman" w:hAnsi="Times New Roman" w:eastAsia="宋体" w:cs="Times New Roman"/>
                      <w:b w:val="0"/>
                      <w:bCs w:val="0"/>
                      <w:color w:val="auto"/>
                      <w:spacing w:val="0"/>
                      <w:kern w:val="0"/>
                      <w:position w:val="0"/>
                      <w:sz w:val="21"/>
                      <w:szCs w:val="21"/>
                      <w:highlight w:val="none"/>
                      <w:lang w:val="en-US" w:eastAsia="zh-CN"/>
                    </w:rPr>
                  </w:pPr>
                </w:p>
              </w:tc>
              <w:tc>
                <w:tcPr>
                  <w:tcW w:w="1167" w:type="dxa"/>
                  <w:tcBorders>
                    <w:tl2br w:val="nil"/>
                    <w:tr2bl w:val="nil"/>
                  </w:tcBorders>
                  <w:noWrap w:val="0"/>
                  <w:vAlign w:val="center"/>
                </w:tcPr>
                <w:p w14:paraId="1D806877">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84" w:type="dxa"/>
                  <w:tcBorders>
                    <w:tl2br w:val="nil"/>
                    <w:tr2bl w:val="nil"/>
                  </w:tcBorders>
                  <w:noWrap w:val="0"/>
                  <w:vAlign w:val="center"/>
                </w:tcPr>
                <w:p w14:paraId="5266DCFE">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p>
              </w:tc>
              <w:tc>
                <w:tcPr>
                  <w:tcW w:w="1027" w:type="dxa"/>
                  <w:tcBorders>
                    <w:tl2br w:val="nil"/>
                    <w:tr2bl w:val="nil"/>
                  </w:tcBorders>
                  <w:noWrap w:val="0"/>
                  <w:vAlign w:val="center"/>
                </w:tcPr>
                <w:p w14:paraId="4361EADC">
                  <w:pPr>
                    <w:widowControl/>
                    <w:jc w:val="center"/>
                    <w:textAlignment w:val="center"/>
                    <w:rPr>
                      <w:color w:val="auto"/>
                      <w:kern w:val="0"/>
                      <w:sz w:val="21"/>
                      <w:szCs w:val="21"/>
                      <w:highlight w:val="none"/>
                    </w:rPr>
                  </w:pPr>
                </w:p>
              </w:tc>
              <w:tc>
                <w:tcPr>
                  <w:tcW w:w="1644" w:type="dxa"/>
                  <w:tcBorders>
                    <w:tl2br w:val="nil"/>
                    <w:tr2bl w:val="nil"/>
                  </w:tcBorders>
                  <w:noWrap w:val="0"/>
                  <w:vAlign w:val="center"/>
                </w:tcPr>
                <w:p w14:paraId="5446856F">
                  <w:pPr>
                    <w:widowControl/>
                    <w:jc w:val="center"/>
                    <w:textAlignment w:val="center"/>
                    <w:rPr>
                      <w:rFonts w:hint="eastAsia" w:cs="Times New Roman"/>
                      <w:b w:val="0"/>
                      <w:bCs w:val="0"/>
                      <w:color w:val="auto"/>
                      <w:spacing w:val="0"/>
                      <w:w w:val="100"/>
                      <w:position w:val="0"/>
                      <w:highlight w:val="none"/>
                      <w:lang w:val="en-US" w:eastAsia="zh-CN"/>
                    </w:rPr>
                  </w:pPr>
                </w:p>
              </w:tc>
              <w:tc>
                <w:tcPr>
                  <w:tcW w:w="1191" w:type="dxa"/>
                  <w:tcBorders>
                    <w:tl2br w:val="nil"/>
                    <w:tr2bl w:val="nil"/>
                  </w:tcBorders>
                  <w:noWrap w:val="0"/>
                  <w:vAlign w:val="center"/>
                </w:tcPr>
                <w:p w14:paraId="163F2200">
                  <w:pPr>
                    <w:widowControl/>
                    <w:jc w:val="center"/>
                    <w:textAlignment w:val="center"/>
                    <w:rPr>
                      <w:rFonts w:hint="eastAsia"/>
                      <w:bCs w:val="0"/>
                      <w:color w:val="auto"/>
                      <w:sz w:val="21"/>
                      <w:szCs w:val="21"/>
                      <w:highlight w:val="none"/>
                      <w:lang w:val="en-US" w:eastAsia="zh-CN"/>
                    </w:rPr>
                  </w:pPr>
                </w:p>
              </w:tc>
              <w:tc>
                <w:tcPr>
                  <w:tcW w:w="1366" w:type="dxa"/>
                  <w:tcBorders>
                    <w:tl2br w:val="nil"/>
                    <w:tr2bl w:val="nil"/>
                  </w:tcBorders>
                  <w:noWrap w:val="0"/>
                  <w:vAlign w:val="center"/>
                </w:tcPr>
                <w:p w14:paraId="5E01ABF2">
                  <w:pPr>
                    <w:keepNext w:val="0"/>
                    <w:keepLines w:val="0"/>
                    <w:widowControl/>
                    <w:suppressLineNumbers w:val="0"/>
                    <w:jc w:val="center"/>
                    <w:textAlignment w:val="center"/>
                    <w:rPr>
                      <w:rFonts w:hint="default" w:ascii="Times New Roman" w:hAnsi="Times New Roman" w:eastAsia="宋体" w:cs="Times New Roman"/>
                      <w:bCs w:val="0"/>
                      <w:color w:val="auto"/>
                      <w:sz w:val="21"/>
                      <w:szCs w:val="21"/>
                      <w:highlight w:val="none"/>
                      <w:lang w:val="en-US" w:eastAsia="zh-CN"/>
                    </w:rPr>
                  </w:pPr>
                </w:p>
              </w:tc>
              <w:tc>
                <w:tcPr>
                  <w:tcW w:w="823" w:type="dxa"/>
                  <w:vMerge w:val="continue"/>
                  <w:tcBorders>
                    <w:tl2br w:val="nil"/>
                    <w:tr2bl w:val="nil"/>
                  </w:tcBorders>
                  <w:noWrap w:val="0"/>
                  <w:vAlign w:val="center"/>
                </w:tcPr>
                <w:p w14:paraId="6032614E">
                  <w:pPr>
                    <w:keepNext w:val="0"/>
                    <w:keepLines w:val="0"/>
                    <w:pageBreakBefore w:val="0"/>
                    <w:widowControl/>
                    <w:kinsoku w:val="0"/>
                    <w:wordWrap w:val="0"/>
                    <w:overflowPunct/>
                    <w:topLinePunct w:val="0"/>
                    <w:autoSpaceDE w:val="0"/>
                    <w:autoSpaceDN w:val="0"/>
                    <w:bidi w:val="0"/>
                    <w:adjustRightInd w:val="0"/>
                    <w:snapToGrid w:val="0"/>
                    <w:jc w:val="center"/>
                    <w:rPr>
                      <w:rFonts w:hint="eastAsia"/>
                      <w:bCs w:val="0"/>
                      <w:color w:val="auto"/>
                      <w:sz w:val="21"/>
                      <w:szCs w:val="21"/>
                      <w:highlight w:val="none"/>
                      <w:lang w:val="en-US" w:eastAsia="zh-CN"/>
                    </w:rPr>
                  </w:pPr>
                </w:p>
              </w:tc>
            </w:tr>
            <w:tr w14:paraId="2A5C52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noWrap w:val="0"/>
                  <w:vAlign w:val="center"/>
                </w:tcPr>
                <w:p w14:paraId="76D289E4">
                  <w:pPr>
                    <w:widowControl/>
                    <w:spacing w:line="240" w:lineRule="auto"/>
                    <w:jc w:val="center"/>
                    <w:textAlignment w:val="center"/>
                    <w:rPr>
                      <w:rFonts w:hint="eastAsia" w:cs="Times New Roman"/>
                      <w:b w:val="0"/>
                      <w:bCs w:val="0"/>
                      <w:color w:val="auto"/>
                      <w:spacing w:val="0"/>
                      <w:kern w:val="0"/>
                      <w:position w:val="0"/>
                      <w:sz w:val="21"/>
                      <w:szCs w:val="21"/>
                      <w:highlight w:val="none"/>
                      <w:lang w:val="en-US" w:eastAsia="zh-CN"/>
                    </w:rPr>
                  </w:pPr>
                </w:p>
              </w:tc>
              <w:tc>
                <w:tcPr>
                  <w:tcW w:w="1317" w:type="dxa"/>
                  <w:tcBorders>
                    <w:tl2br w:val="nil"/>
                    <w:tr2bl w:val="nil"/>
                  </w:tcBorders>
                  <w:noWrap w:val="0"/>
                  <w:vAlign w:val="center"/>
                </w:tcPr>
                <w:p w14:paraId="32433127">
                  <w:pPr>
                    <w:widowControl/>
                    <w:spacing w:line="240" w:lineRule="auto"/>
                    <w:jc w:val="center"/>
                    <w:textAlignment w:val="center"/>
                    <w:rPr>
                      <w:rFonts w:hint="default" w:cs="Times New Roman"/>
                      <w:b w:val="0"/>
                      <w:bCs w:val="0"/>
                      <w:color w:val="auto"/>
                      <w:spacing w:val="0"/>
                      <w:kern w:val="0"/>
                      <w:position w:val="0"/>
                      <w:sz w:val="21"/>
                      <w:szCs w:val="21"/>
                      <w:highlight w:val="none"/>
                      <w:lang w:val="en-US" w:eastAsia="zh-CN"/>
                    </w:rPr>
                  </w:pPr>
                </w:p>
              </w:tc>
              <w:tc>
                <w:tcPr>
                  <w:tcW w:w="885" w:type="dxa"/>
                  <w:tcBorders>
                    <w:tl2br w:val="nil"/>
                    <w:tr2bl w:val="nil"/>
                  </w:tcBorders>
                  <w:noWrap w:val="0"/>
                  <w:vAlign w:val="center"/>
                </w:tcPr>
                <w:p w14:paraId="7C36F64D">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val="0"/>
                      <w:color w:val="auto"/>
                      <w:sz w:val="21"/>
                      <w:szCs w:val="21"/>
                      <w:highlight w:val="none"/>
                      <w:lang w:val="en-US" w:eastAsia="zh-CN"/>
                    </w:rPr>
                  </w:pPr>
                </w:p>
              </w:tc>
              <w:tc>
                <w:tcPr>
                  <w:tcW w:w="922" w:type="dxa"/>
                  <w:tcBorders>
                    <w:tl2br w:val="nil"/>
                    <w:tr2bl w:val="nil"/>
                  </w:tcBorders>
                  <w:noWrap w:val="0"/>
                  <w:vAlign w:val="center"/>
                </w:tcPr>
                <w:p w14:paraId="3E2F2C2B">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val="0"/>
                      <w:color w:val="auto"/>
                      <w:sz w:val="21"/>
                      <w:szCs w:val="21"/>
                      <w:highlight w:val="none"/>
                      <w:lang w:val="en-US" w:eastAsia="zh-CN"/>
                    </w:rPr>
                  </w:pPr>
                </w:p>
              </w:tc>
              <w:tc>
                <w:tcPr>
                  <w:tcW w:w="904" w:type="dxa"/>
                  <w:tcBorders>
                    <w:tl2br w:val="nil"/>
                    <w:tr2bl w:val="nil"/>
                  </w:tcBorders>
                  <w:noWrap w:val="0"/>
                  <w:vAlign w:val="center"/>
                </w:tcPr>
                <w:p w14:paraId="5B6D7A7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val="0"/>
                      <w:color w:val="auto"/>
                      <w:sz w:val="21"/>
                      <w:szCs w:val="21"/>
                      <w:highlight w:val="none"/>
                      <w:lang w:val="en-US" w:eastAsia="zh-CN"/>
                    </w:rPr>
                  </w:pPr>
                </w:p>
              </w:tc>
              <w:tc>
                <w:tcPr>
                  <w:tcW w:w="1003" w:type="dxa"/>
                  <w:tcBorders>
                    <w:tl2br w:val="nil"/>
                    <w:tr2bl w:val="nil"/>
                  </w:tcBorders>
                  <w:noWrap w:val="0"/>
                  <w:vAlign w:val="center"/>
                </w:tcPr>
                <w:p w14:paraId="309905DD">
                  <w:pPr>
                    <w:widowControl/>
                    <w:spacing w:line="240" w:lineRule="auto"/>
                    <w:jc w:val="center"/>
                    <w:textAlignment w:val="center"/>
                    <w:rPr>
                      <w:rFonts w:hint="default" w:ascii="Times New Roman" w:hAnsi="Times New Roman" w:eastAsia="宋体" w:cs="Times New Roman"/>
                      <w:b w:val="0"/>
                      <w:bCs w:val="0"/>
                      <w:color w:val="auto"/>
                      <w:spacing w:val="0"/>
                      <w:kern w:val="0"/>
                      <w:position w:val="0"/>
                      <w:sz w:val="21"/>
                      <w:szCs w:val="21"/>
                      <w:highlight w:val="none"/>
                      <w:lang w:val="en-US" w:eastAsia="zh-CN"/>
                    </w:rPr>
                  </w:pPr>
                </w:p>
              </w:tc>
              <w:tc>
                <w:tcPr>
                  <w:tcW w:w="1167" w:type="dxa"/>
                  <w:tcBorders>
                    <w:tl2br w:val="nil"/>
                    <w:tr2bl w:val="nil"/>
                  </w:tcBorders>
                  <w:noWrap w:val="0"/>
                  <w:vAlign w:val="center"/>
                </w:tcPr>
                <w:p w14:paraId="5E920006">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84" w:type="dxa"/>
                  <w:tcBorders>
                    <w:tl2br w:val="nil"/>
                    <w:tr2bl w:val="nil"/>
                  </w:tcBorders>
                  <w:noWrap w:val="0"/>
                  <w:vAlign w:val="center"/>
                </w:tcPr>
                <w:p w14:paraId="4A68F2FF">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p>
              </w:tc>
              <w:tc>
                <w:tcPr>
                  <w:tcW w:w="1027" w:type="dxa"/>
                  <w:tcBorders>
                    <w:tl2br w:val="nil"/>
                    <w:tr2bl w:val="nil"/>
                  </w:tcBorders>
                  <w:noWrap w:val="0"/>
                  <w:vAlign w:val="center"/>
                </w:tcPr>
                <w:p w14:paraId="4551C89F">
                  <w:pPr>
                    <w:widowControl/>
                    <w:jc w:val="center"/>
                    <w:textAlignment w:val="center"/>
                    <w:rPr>
                      <w:color w:val="auto"/>
                      <w:kern w:val="0"/>
                      <w:sz w:val="21"/>
                      <w:szCs w:val="21"/>
                      <w:highlight w:val="none"/>
                    </w:rPr>
                  </w:pPr>
                </w:p>
              </w:tc>
              <w:tc>
                <w:tcPr>
                  <w:tcW w:w="1644" w:type="dxa"/>
                  <w:tcBorders>
                    <w:tl2br w:val="nil"/>
                    <w:tr2bl w:val="nil"/>
                  </w:tcBorders>
                  <w:noWrap w:val="0"/>
                  <w:vAlign w:val="center"/>
                </w:tcPr>
                <w:p w14:paraId="384DDDAD">
                  <w:pPr>
                    <w:widowControl/>
                    <w:jc w:val="center"/>
                    <w:textAlignment w:val="center"/>
                    <w:rPr>
                      <w:rFonts w:hint="eastAsia" w:cs="Times New Roman"/>
                      <w:b w:val="0"/>
                      <w:bCs w:val="0"/>
                      <w:color w:val="auto"/>
                      <w:spacing w:val="0"/>
                      <w:w w:val="100"/>
                      <w:position w:val="0"/>
                      <w:highlight w:val="none"/>
                      <w:lang w:val="en-US" w:eastAsia="zh-CN"/>
                    </w:rPr>
                  </w:pPr>
                </w:p>
              </w:tc>
              <w:tc>
                <w:tcPr>
                  <w:tcW w:w="1191" w:type="dxa"/>
                  <w:tcBorders>
                    <w:tl2br w:val="nil"/>
                    <w:tr2bl w:val="nil"/>
                  </w:tcBorders>
                  <w:noWrap w:val="0"/>
                  <w:vAlign w:val="center"/>
                </w:tcPr>
                <w:p w14:paraId="114E43B2">
                  <w:pPr>
                    <w:widowControl/>
                    <w:jc w:val="center"/>
                    <w:textAlignment w:val="center"/>
                    <w:rPr>
                      <w:rFonts w:hint="eastAsia"/>
                      <w:bCs w:val="0"/>
                      <w:color w:val="auto"/>
                      <w:sz w:val="21"/>
                      <w:szCs w:val="21"/>
                      <w:highlight w:val="none"/>
                      <w:lang w:val="en-US" w:eastAsia="zh-CN"/>
                    </w:rPr>
                  </w:pPr>
                </w:p>
              </w:tc>
              <w:tc>
                <w:tcPr>
                  <w:tcW w:w="1366" w:type="dxa"/>
                  <w:tcBorders>
                    <w:tl2br w:val="nil"/>
                    <w:tr2bl w:val="nil"/>
                  </w:tcBorders>
                  <w:noWrap w:val="0"/>
                  <w:vAlign w:val="center"/>
                </w:tcPr>
                <w:p w14:paraId="0E30214C">
                  <w:pPr>
                    <w:keepNext w:val="0"/>
                    <w:keepLines w:val="0"/>
                    <w:widowControl/>
                    <w:suppressLineNumbers w:val="0"/>
                    <w:jc w:val="center"/>
                    <w:textAlignment w:val="center"/>
                    <w:rPr>
                      <w:rFonts w:hint="default" w:ascii="Times New Roman" w:hAnsi="Times New Roman" w:eastAsia="宋体" w:cs="Times New Roman"/>
                      <w:bCs w:val="0"/>
                      <w:color w:val="auto"/>
                      <w:sz w:val="21"/>
                      <w:szCs w:val="21"/>
                      <w:highlight w:val="none"/>
                      <w:lang w:val="en-US" w:eastAsia="zh-CN"/>
                    </w:rPr>
                  </w:pPr>
                </w:p>
              </w:tc>
              <w:tc>
                <w:tcPr>
                  <w:tcW w:w="823" w:type="dxa"/>
                  <w:vMerge w:val="continue"/>
                  <w:tcBorders>
                    <w:tl2br w:val="nil"/>
                    <w:tr2bl w:val="nil"/>
                  </w:tcBorders>
                  <w:noWrap w:val="0"/>
                  <w:vAlign w:val="center"/>
                </w:tcPr>
                <w:p w14:paraId="38323698">
                  <w:pPr>
                    <w:keepNext w:val="0"/>
                    <w:keepLines w:val="0"/>
                    <w:pageBreakBefore w:val="0"/>
                    <w:widowControl/>
                    <w:kinsoku w:val="0"/>
                    <w:wordWrap w:val="0"/>
                    <w:overflowPunct/>
                    <w:topLinePunct w:val="0"/>
                    <w:autoSpaceDE w:val="0"/>
                    <w:autoSpaceDN w:val="0"/>
                    <w:bidi w:val="0"/>
                    <w:adjustRightInd w:val="0"/>
                    <w:snapToGrid w:val="0"/>
                    <w:jc w:val="center"/>
                    <w:rPr>
                      <w:rFonts w:hint="eastAsia"/>
                      <w:bCs w:val="0"/>
                      <w:color w:val="auto"/>
                      <w:sz w:val="21"/>
                      <w:szCs w:val="21"/>
                      <w:highlight w:val="none"/>
                      <w:lang w:val="en-US" w:eastAsia="zh-CN"/>
                    </w:rPr>
                  </w:pPr>
                </w:p>
              </w:tc>
            </w:tr>
            <w:tr w14:paraId="2DA8E8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2" w:type="dxa"/>
                  <w:gridSpan w:val="2"/>
                  <w:tcBorders>
                    <w:tl2br w:val="nil"/>
                    <w:tr2bl w:val="nil"/>
                  </w:tcBorders>
                  <w:noWrap w:val="0"/>
                  <w:vAlign w:val="center"/>
                </w:tcPr>
                <w:p w14:paraId="47E27CC6">
                  <w:pPr>
                    <w:widowControl/>
                    <w:spacing w:line="240" w:lineRule="auto"/>
                    <w:jc w:val="center"/>
                    <w:textAlignment w:val="center"/>
                    <w:rPr>
                      <w:color w:val="auto"/>
                      <w:kern w:val="0"/>
                      <w:sz w:val="21"/>
                      <w:szCs w:val="21"/>
                      <w:highlight w:val="none"/>
                    </w:rPr>
                  </w:pPr>
                </w:p>
              </w:tc>
              <w:tc>
                <w:tcPr>
                  <w:tcW w:w="885" w:type="dxa"/>
                  <w:tcBorders>
                    <w:tl2br w:val="nil"/>
                    <w:tr2bl w:val="nil"/>
                  </w:tcBorders>
                  <w:noWrap w:val="0"/>
                  <w:vAlign w:val="center"/>
                </w:tcPr>
                <w:p w14:paraId="054E707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sz w:val="21"/>
                      <w:szCs w:val="21"/>
                      <w:highlight w:val="none"/>
                      <w:lang w:val="en-US" w:eastAsia="zh-CN"/>
                    </w:rPr>
                  </w:pPr>
                </w:p>
              </w:tc>
              <w:tc>
                <w:tcPr>
                  <w:tcW w:w="922" w:type="dxa"/>
                  <w:tcBorders>
                    <w:tl2br w:val="nil"/>
                    <w:tr2bl w:val="nil"/>
                  </w:tcBorders>
                  <w:noWrap w:val="0"/>
                  <w:vAlign w:val="center"/>
                </w:tcPr>
                <w:p w14:paraId="32099BE3">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sz w:val="21"/>
                      <w:szCs w:val="21"/>
                      <w:highlight w:val="none"/>
                      <w:lang w:val="en-US" w:eastAsia="zh-CN"/>
                    </w:rPr>
                  </w:pPr>
                </w:p>
              </w:tc>
              <w:tc>
                <w:tcPr>
                  <w:tcW w:w="904" w:type="dxa"/>
                  <w:tcBorders>
                    <w:tl2br w:val="nil"/>
                    <w:tr2bl w:val="nil"/>
                  </w:tcBorders>
                  <w:noWrap w:val="0"/>
                  <w:vAlign w:val="center"/>
                </w:tcPr>
                <w:p w14:paraId="0B018BF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sz w:val="21"/>
                      <w:szCs w:val="21"/>
                      <w:highlight w:val="none"/>
                      <w:lang w:val="en-US" w:eastAsia="zh-CN"/>
                    </w:rPr>
                  </w:pPr>
                </w:p>
              </w:tc>
              <w:tc>
                <w:tcPr>
                  <w:tcW w:w="1003" w:type="dxa"/>
                  <w:tcBorders>
                    <w:tl2br w:val="nil"/>
                    <w:tr2bl w:val="nil"/>
                  </w:tcBorders>
                  <w:noWrap w:val="0"/>
                  <w:vAlign w:val="center"/>
                </w:tcPr>
                <w:p w14:paraId="43392196">
                  <w:pPr>
                    <w:widowControl/>
                    <w:spacing w:line="240" w:lineRule="auto"/>
                    <w:jc w:val="center"/>
                    <w:textAlignment w:val="center"/>
                    <w:rPr>
                      <w:rFonts w:hint="eastAsia"/>
                      <w:color w:val="auto"/>
                      <w:sz w:val="21"/>
                      <w:szCs w:val="21"/>
                      <w:highlight w:val="none"/>
                    </w:rPr>
                  </w:pPr>
                </w:p>
              </w:tc>
              <w:tc>
                <w:tcPr>
                  <w:tcW w:w="1167" w:type="dxa"/>
                  <w:tcBorders>
                    <w:tl2br w:val="nil"/>
                    <w:tr2bl w:val="nil"/>
                  </w:tcBorders>
                  <w:noWrap w:val="0"/>
                  <w:vAlign w:val="center"/>
                </w:tcPr>
                <w:p w14:paraId="05B8A606">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color w:val="auto"/>
                      <w:kern w:val="0"/>
                      <w:sz w:val="21"/>
                      <w:szCs w:val="21"/>
                      <w:highlight w:val="none"/>
                      <w:lang w:val="en-US"/>
                    </w:rPr>
                  </w:pPr>
                </w:p>
              </w:tc>
              <w:tc>
                <w:tcPr>
                  <w:tcW w:w="1084" w:type="dxa"/>
                  <w:tcBorders>
                    <w:tl2br w:val="nil"/>
                    <w:tr2bl w:val="nil"/>
                  </w:tcBorders>
                  <w:noWrap w:val="0"/>
                  <w:vAlign w:val="center"/>
                </w:tcPr>
                <w:p w14:paraId="01E14BDF">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p>
              </w:tc>
              <w:tc>
                <w:tcPr>
                  <w:tcW w:w="1027" w:type="dxa"/>
                  <w:tcBorders>
                    <w:tl2br w:val="nil"/>
                    <w:tr2bl w:val="nil"/>
                  </w:tcBorders>
                  <w:noWrap w:val="0"/>
                  <w:vAlign w:val="center"/>
                </w:tcPr>
                <w:p w14:paraId="014C2861">
                  <w:pPr>
                    <w:widowControl/>
                    <w:jc w:val="center"/>
                    <w:textAlignment w:val="center"/>
                    <w:rPr>
                      <w:color w:val="auto"/>
                      <w:kern w:val="0"/>
                      <w:sz w:val="21"/>
                      <w:szCs w:val="21"/>
                      <w:highlight w:val="none"/>
                    </w:rPr>
                  </w:pPr>
                </w:p>
              </w:tc>
              <w:tc>
                <w:tcPr>
                  <w:tcW w:w="1644" w:type="dxa"/>
                  <w:tcBorders>
                    <w:tl2br w:val="nil"/>
                    <w:tr2bl w:val="nil"/>
                  </w:tcBorders>
                  <w:noWrap w:val="0"/>
                  <w:vAlign w:val="center"/>
                </w:tcPr>
                <w:p w14:paraId="46D993FE">
                  <w:pPr>
                    <w:widowControl/>
                    <w:jc w:val="center"/>
                    <w:textAlignment w:val="center"/>
                    <w:rPr>
                      <w:color w:val="auto"/>
                      <w:kern w:val="0"/>
                      <w:sz w:val="21"/>
                      <w:szCs w:val="21"/>
                      <w:highlight w:val="none"/>
                    </w:rPr>
                  </w:pPr>
                </w:p>
              </w:tc>
              <w:tc>
                <w:tcPr>
                  <w:tcW w:w="1191" w:type="dxa"/>
                  <w:tcBorders>
                    <w:tl2br w:val="nil"/>
                    <w:tr2bl w:val="nil"/>
                  </w:tcBorders>
                  <w:noWrap w:val="0"/>
                  <w:vAlign w:val="center"/>
                </w:tcPr>
                <w:p w14:paraId="2D09C4E9">
                  <w:pPr>
                    <w:widowControl/>
                    <w:jc w:val="center"/>
                    <w:textAlignment w:val="center"/>
                    <w:rPr>
                      <w:rFonts w:hint="eastAsia"/>
                      <w:bCs w:val="0"/>
                      <w:color w:val="auto"/>
                      <w:sz w:val="21"/>
                      <w:szCs w:val="21"/>
                      <w:highlight w:val="none"/>
                    </w:rPr>
                  </w:pPr>
                </w:p>
              </w:tc>
              <w:tc>
                <w:tcPr>
                  <w:tcW w:w="1366" w:type="dxa"/>
                  <w:tcBorders>
                    <w:tl2br w:val="nil"/>
                    <w:tr2bl w:val="nil"/>
                  </w:tcBorders>
                  <w:noWrap w:val="0"/>
                  <w:vAlign w:val="center"/>
                </w:tcPr>
                <w:p w14:paraId="02F3A928">
                  <w:pPr>
                    <w:keepNext w:val="0"/>
                    <w:keepLines w:val="0"/>
                    <w:widowControl/>
                    <w:suppressLineNumbers w:val="0"/>
                    <w:jc w:val="center"/>
                    <w:textAlignment w:val="center"/>
                    <w:rPr>
                      <w:rFonts w:hint="default" w:ascii="Times New Roman" w:hAnsi="Times New Roman" w:eastAsia="宋体" w:cs="Times New Roman"/>
                      <w:bCs w:val="0"/>
                      <w:color w:val="auto"/>
                      <w:sz w:val="21"/>
                      <w:szCs w:val="21"/>
                      <w:highlight w:val="none"/>
                      <w:lang w:val="en-US" w:eastAsia="zh-CN"/>
                    </w:rPr>
                  </w:pPr>
                </w:p>
              </w:tc>
              <w:tc>
                <w:tcPr>
                  <w:tcW w:w="823" w:type="dxa"/>
                  <w:vMerge w:val="continue"/>
                  <w:tcBorders>
                    <w:tl2br w:val="nil"/>
                    <w:tr2bl w:val="nil"/>
                  </w:tcBorders>
                  <w:noWrap w:val="0"/>
                  <w:vAlign w:val="center"/>
                </w:tcPr>
                <w:p w14:paraId="7FA9E834">
                  <w:pPr>
                    <w:widowControl/>
                    <w:jc w:val="center"/>
                    <w:textAlignment w:val="center"/>
                    <w:rPr>
                      <w:rFonts w:hint="eastAsia"/>
                      <w:bCs w:val="0"/>
                      <w:color w:val="auto"/>
                      <w:sz w:val="21"/>
                      <w:szCs w:val="21"/>
                      <w:highlight w:val="none"/>
                    </w:rPr>
                  </w:pPr>
                </w:p>
              </w:tc>
            </w:tr>
            <w:tr w14:paraId="4F0D07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08" w:type="dxa"/>
                  <w:gridSpan w:val="13"/>
                  <w:tcBorders>
                    <w:tl2br w:val="nil"/>
                    <w:tr2bl w:val="nil"/>
                  </w:tcBorders>
                  <w:noWrap w:val="0"/>
                  <w:vAlign w:val="center"/>
                </w:tcPr>
                <w:p w14:paraId="74228F98">
                  <w:pPr>
                    <w:pageBreakBefore w:val="0"/>
                    <w:widowControl w:val="0"/>
                    <w:tabs>
                      <w:tab w:val="left" w:pos="3225"/>
                    </w:tabs>
                    <w:kinsoku/>
                    <w:wordWrap/>
                    <w:overflowPunct/>
                    <w:topLinePunct w:val="0"/>
                    <w:autoSpaceDE/>
                    <w:autoSpaceDN/>
                    <w:bidi w:val="0"/>
                    <w:adjustRightInd/>
                    <w:snapToGrid/>
                    <w:spacing w:line="240" w:lineRule="auto"/>
                    <w:ind w:firstLine="0" w:firstLineChars="0"/>
                    <w:jc w:val="both"/>
                    <w:textAlignment w:val="auto"/>
                    <w:rPr>
                      <w:rFonts w:hint="eastAsia"/>
                      <w:bCs w:val="0"/>
                      <w:color w:val="auto"/>
                      <w:sz w:val="21"/>
                      <w:szCs w:val="21"/>
                      <w:highlight w:val="none"/>
                    </w:rPr>
                  </w:pPr>
                  <w:r>
                    <w:rPr>
                      <w:rFonts w:hint="default" w:ascii="Times New Roman" w:hAnsi="Times New Roman" w:eastAsia="宋体" w:cs="Times New Roman"/>
                      <w:i w:val="0"/>
                      <w:iCs w:val="0"/>
                      <w:caps w:val="0"/>
                      <w:color w:val="auto"/>
                      <w:spacing w:val="0"/>
                      <w:sz w:val="18"/>
                      <w:szCs w:val="18"/>
                      <w:highlight w:val="none"/>
                      <w:vertAlign w:val="baseline"/>
                      <w:lang w:val="en-US" w:eastAsia="zh-CN"/>
                    </w:rPr>
                    <w:t>注：噪声源空间相对位置，以</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项目西南</w:t>
                  </w:r>
                  <w:r>
                    <w:rPr>
                      <w:rFonts w:hint="default" w:ascii="Times New Roman" w:hAnsi="Times New Roman" w:eastAsia="宋体" w:cs="Times New Roman"/>
                      <w:i w:val="0"/>
                      <w:iCs w:val="0"/>
                      <w:caps w:val="0"/>
                      <w:color w:val="auto"/>
                      <w:spacing w:val="0"/>
                      <w:sz w:val="18"/>
                      <w:szCs w:val="18"/>
                      <w:highlight w:val="none"/>
                      <w:vertAlign w:val="baseline"/>
                      <w:lang w:val="en-US" w:eastAsia="zh-CN"/>
                    </w:rPr>
                    <w:t>角为原点</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（E</w:t>
                  </w:r>
                  <w:r>
                    <w:rPr>
                      <w:color w:val="auto"/>
                      <w:sz w:val="18"/>
                      <w:szCs w:val="18"/>
                      <w:highlight w:val="none"/>
                    </w:rPr>
                    <w:t>11</w:t>
                  </w:r>
                  <w:r>
                    <w:rPr>
                      <w:rFonts w:hint="eastAsia"/>
                      <w:color w:val="auto"/>
                      <w:sz w:val="18"/>
                      <w:szCs w:val="18"/>
                      <w:highlight w:val="none"/>
                      <w:lang w:val="en-US" w:eastAsia="zh-CN"/>
                    </w:rPr>
                    <w:t>9</w:t>
                  </w:r>
                  <w:r>
                    <w:rPr>
                      <w:color w:val="auto"/>
                      <w:sz w:val="18"/>
                      <w:szCs w:val="18"/>
                      <w:highlight w:val="none"/>
                    </w:rPr>
                    <w:t>°</w:t>
                  </w:r>
                  <w:r>
                    <w:rPr>
                      <w:rFonts w:hint="eastAsia"/>
                      <w:color w:val="auto"/>
                      <w:sz w:val="18"/>
                      <w:szCs w:val="18"/>
                      <w:highlight w:val="none"/>
                      <w:lang w:val="en-US" w:eastAsia="zh-CN"/>
                    </w:rPr>
                    <w:t>10</w:t>
                  </w:r>
                  <w:r>
                    <w:rPr>
                      <w:color w:val="auto"/>
                      <w:sz w:val="18"/>
                      <w:szCs w:val="18"/>
                      <w:highlight w:val="none"/>
                    </w:rPr>
                    <w:t>'</w:t>
                  </w:r>
                  <w:r>
                    <w:rPr>
                      <w:rFonts w:hint="eastAsia"/>
                      <w:color w:val="auto"/>
                      <w:sz w:val="18"/>
                      <w:szCs w:val="18"/>
                      <w:highlight w:val="none"/>
                      <w:lang w:val="en-US" w:eastAsia="zh-CN"/>
                    </w:rPr>
                    <w:t>56.825</w:t>
                  </w:r>
                  <w:r>
                    <w:rPr>
                      <w:color w:val="auto"/>
                      <w:sz w:val="18"/>
                      <w:szCs w:val="18"/>
                      <w:highlight w:val="none"/>
                    </w:rPr>
                    <w:t>"</w:t>
                  </w:r>
                  <w:r>
                    <w:rPr>
                      <w:rFonts w:hint="eastAsia"/>
                      <w:color w:val="auto"/>
                      <w:sz w:val="18"/>
                      <w:szCs w:val="18"/>
                      <w:highlight w:val="none"/>
                      <w:lang w:eastAsia="zh-CN"/>
                    </w:rPr>
                    <w:t>，</w:t>
                  </w:r>
                  <w:r>
                    <w:rPr>
                      <w:rFonts w:hint="eastAsia"/>
                      <w:color w:val="auto"/>
                      <w:sz w:val="18"/>
                      <w:szCs w:val="18"/>
                      <w:highlight w:val="none"/>
                      <w:lang w:val="en-US" w:eastAsia="zh-CN"/>
                    </w:rPr>
                    <w:t>N</w:t>
                  </w:r>
                  <w:r>
                    <w:rPr>
                      <w:color w:val="auto"/>
                      <w:sz w:val="18"/>
                      <w:szCs w:val="18"/>
                      <w:highlight w:val="none"/>
                    </w:rPr>
                    <w:t>2</w:t>
                  </w:r>
                  <w:r>
                    <w:rPr>
                      <w:rFonts w:hint="eastAsia"/>
                      <w:color w:val="auto"/>
                      <w:sz w:val="18"/>
                      <w:szCs w:val="18"/>
                      <w:highlight w:val="none"/>
                      <w:lang w:val="en-US" w:eastAsia="zh-CN"/>
                    </w:rPr>
                    <w:t>6</w:t>
                  </w:r>
                  <w:r>
                    <w:rPr>
                      <w:color w:val="auto"/>
                      <w:sz w:val="18"/>
                      <w:szCs w:val="18"/>
                      <w:highlight w:val="none"/>
                    </w:rPr>
                    <w:t>°</w:t>
                  </w:r>
                  <w:r>
                    <w:rPr>
                      <w:rFonts w:hint="eastAsia"/>
                      <w:color w:val="auto"/>
                      <w:sz w:val="18"/>
                      <w:szCs w:val="18"/>
                      <w:highlight w:val="none"/>
                      <w:lang w:val="en-US" w:eastAsia="zh-CN"/>
                    </w:rPr>
                    <w:t>9</w:t>
                  </w:r>
                  <w:r>
                    <w:rPr>
                      <w:color w:val="auto"/>
                      <w:sz w:val="18"/>
                      <w:szCs w:val="18"/>
                      <w:highlight w:val="none"/>
                    </w:rPr>
                    <w:t>'</w:t>
                  </w:r>
                  <w:r>
                    <w:rPr>
                      <w:rFonts w:hint="eastAsia"/>
                      <w:color w:val="auto"/>
                      <w:sz w:val="18"/>
                      <w:szCs w:val="18"/>
                      <w:highlight w:val="none"/>
                      <w:lang w:val="en-US" w:eastAsia="zh-CN"/>
                    </w:rPr>
                    <w:t>35.631</w:t>
                  </w:r>
                  <w:r>
                    <w:rPr>
                      <w:color w:val="auto"/>
                      <w:sz w:val="18"/>
                      <w:szCs w:val="18"/>
                      <w:highlight w:val="none"/>
                    </w:rPr>
                    <w:t>"</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w:t>
                  </w:r>
                  <w:r>
                    <w:rPr>
                      <w:rFonts w:hint="default" w:ascii="Times New Roman" w:hAnsi="Times New Roman" w:eastAsia="宋体" w:cs="Times New Roman"/>
                      <w:i w:val="0"/>
                      <w:iCs w:val="0"/>
                      <w:caps w:val="0"/>
                      <w:color w:val="auto"/>
                      <w:spacing w:val="0"/>
                      <w:sz w:val="18"/>
                      <w:szCs w:val="18"/>
                      <w:highlight w:val="none"/>
                      <w:vertAlign w:val="baseline"/>
                      <w:lang w:val="en-US" w:eastAsia="zh-CN"/>
                    </w:rPr>
                    <w:t>，平行南厂界为X轴，西厂界为Y轴，垂直车间地面为Z轴建立坐标系。</w:t>
                  </w:r>
                </w:p>
              </w:tc>
            </w:tr>
          </w:tbl>
          <w:p w14:paraId="65F0508F">
            <w:pPr>
              <w:pStyle w:val="27"/>
              <w:keepNext w:val="0"/>
              <w:keepLines w:val="0"/>
              <w:pageBreakBefore w:val="0"/>
              <w:widowControl/>
              <w:kinsoku/>
              <w:wordWrap/>
              <w:overflowPunct/>
              <w:topLinePunct w:val="0"/>
              <w:autoSpaceDE/>
              <w:autoSpaceDN/>
              <w:bidi w:val="0"/>
              <w:adjustRightInd/>
              <w:snapToGrid w:val="0"/>
              <w:spacing w:before="157" w:beforeLines="50" w:after="0" w:line="240" w:lineRule="auto"/>
              <w:ind w:right="0" w:firstLine="241"/>
              <w:jc w:val="center"/>
              <w:textAlignment w:val="auto"/>
              <w:rPr>
                <w:rFonts w:hint="eastAsia" w:ascii="Times New Roman" w:hAnsi="Times New Roman" w:eastAsia="宋体" w:cs="Times New Roman"/>
                <w:b/>
                <w:bCs/>
                <w:color w:val="auto"/>
                <w:spacing w:val="-2"/>
                <w:sz w:val="24"/>
                <w:szCs w:val="24"/>
                <w:highlight w:val="none"/>
                <w:u w:val="none"/>
                <w:lang w:val="en-US" w:eastAsia="zh-CN"/>
              </w:rPr>
            </w:pPr>
            <w:r>
              <w:rPr>
                <w:rFonts w:ascii="Times New Roman" w:hAnsi="Times New Roman" w:eastAsia="宋体" w:cs="Times New Roman"/>
                <w:b/>
                <w:bCs/>
                <w:color w:val="auto"/>
                <w:spacing w:val="-2"/>
                <w:sz w:val="24"/>
                <w:szCs w:val="24"/>
                <w:highlight w:val="none"/>
                <w:u w:val="none"/>
                <w:lang w:val="en-US" w:eastAsia="zh-CN"/>
              </w:rPr>
              <w:t>表</w:t>
            </w:r>
            <w:r>
              <w:rPr>
                <w:rFonts w:hint="eastAsia" w:ascii="Times New Roman" w:hAnsi="Times New Roman" w:eastAsia="宋体" w:cs="Times New Roman"/>
                <w:b/>
                <w:bCs/>
                <w:color w:val="auto"/>
                <w:spacing w:val="-2"/>
                <w:sz w:val="24"/>
                <w:szCs w:val="24"/>
                <w:highlight w:val="none"/>
                <w:u w:val="none"/>
                <w:lang w:val="en-US" w:eastAsia="zh-CN"/>
              </w:rPr>
              <w:t>4.3-3 室外</w:t>
            </w:r>
            <w:r>
              <w:rPr>
                <w:rFonts w:ascii="Times New Roman" w:hAnsi="Times New Roman" w:eastAsia="宋体" w:cs="Times New Roman"/>
                <w:b/>
                <w:bCs/>
                <w:color w:val="auto"/>
                <w:spacing w:val="-2"/>
                <w:sz w:val="24"/>
                <w:szCs w:val="24"/>
                <w:highlight w:val="none"/>
                <w:u w:val="none"/>
                <w:lang w:val="en-US" w:eastAsia="zh-CN"/>
              </w:rPr>
              <w:t>主要设备噪声源强及控制措施</w:t>
            </w:r>
            <w:r>
              <w:rPr>
                <w:rFonts w:hint="eastAsia" w:ascii="Times New Roman" w:hAnsi="Times New Roman" w:eastAsia="宋体" w:cs="Times New Roman"/>
                <w:b/>
                <w:bCs/>
                <w:color w:val="auto"/>
                <w:spacing w:val="-2"/>
                <w:sz w:val="24"/>
                <w:szCs w:val="24"/>
                <w:highlight w:val="none"/>
                <w:u w:val="none"/>
                <w:lang w:val="en-US" w:eastAsia="zh-CN"/>
              </w:rPr>
              <w:t xml:space="preserve">        </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272"/>
              <w:gridCol w:w="891"/>
              <w:gridCol w:w="879"/>
              <w:gridCol w:w="982"/>
              <w:gridCol w:w="1101"/>
              <w:gridCol w:w="1195"/>
              <w:gridCol w:w="1562"/>
              <w:gridCol w:w="1519"/>
              <w:gridCol w:w="1956"/>
              <w:gridCol w:w="1088"/>
            </w:tblGrid>
            <w:tr w14:paraId="78B88A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dxa"/>
                  <w:vMerge w:val="restart"/>
                  <w:tcBorders>
                    <w:tl2br w:val="nil"/>
                    <w:tr2bl w:val="nil"/>
                  </w:tcBorders>
                  <w:noWrap w:val="0"/>
                  <w:vAlign w:val="center"/>
                </w:tcPr>
                <w:p w14:paraId="48CD6708">
                  <w:pPr>
                    <w:pStyle w:val="24"/>
                    <w:spacing w:before="0" w:beforeAutospacing="0" w:after="0" w:afterAutospacing="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建筑物名称</w:t>
                  </w:r>
                </w:p>
              </w:tc>
              <w:tc>
                <w:tcPr>
                  <w:tcW w:w="1272" w:type="dxa"/>
                  <w:vMerge w:val="restart"/>
                  <w:tcBorders>
                    <w:tl2br w:val="nil"/>
                    <w:tr2bl w:val="nil"/>
                  </w:tcBorders>
                  <w:noWrap w:val="0"/>
                  <w:vAlign w:val="center"/>
                </w:tcPr>
                <w:p w14:paraId="42CE6BA7">
                  <w:pPr>
                    <w:pStyle w:val="24"/>
                    <w:spacing w:before="0" w:beforeAutospacing="0" w:after="0" w:afterAutospacing="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声源名称</w:t>
                  </w:r>
                </w:p>
              </w:tc>
              <w:tc>
                <w:tcPr>
                  <w:tcW w:w="891" w:type="dxa"/>
                  <w:vMerge w:val="restart"/>
                  <w:tcBorders>
                    <w:tl2br w:val="nil"/>
                    <w:tr2bl w:val="nil"/>
                  </w:tcBorders>
                  <w:noWrap w:val="0"/>
                  <w:vAlign w:val="center"/>
                </w:tcPr>
                <w:p w14:paraId="443AF4D0">
                  <w:pPr>
                    <w:pStyle w:val="24"/>
                    <w:spacing w:before="0" w:beforeAutospacing="0" w:after="0" w:afterAutospacing="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数量</w:t>
                  </w:r>
                </w:p>
              </w:tc>
              <w:tc>
                <w:tcPr>
                  <w:tcW w:w="2962" w:type="dxa"/>
                  <w:gridSpan w:val="3"/>
                  <w:tcBorders>
                    <w:tl2br w:val="nil"/>
                    <w:tr2bl w:val="nil"/>
                  </w:tcBorders>
                  <w:noWrap w:val="0"/>
                  <w:vAlign w:val="center"/>
                </w:tcPr>
                <w:p w14:paraId="4AD238C5">
                  <w:pPr>
                    <w:pStyle w:val="24"/>
                    <w:spacing w:before="0" w:beforeAutospacing="0" w:after="0" w:afterAutospacing="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空间相对位置</w:t>
                  </w:r>
                  <w:r>
                    <w:rPr>
                      <w:rFonts w:hint="eastAsia" w:ascii="Times New Roman" w:hAnsi="Times New Roman" w:eastAsia="宋体" w:cs="Times New Roman"/>
                      <w:b/>
                      <w:bCs/>
                      <w:color w:val="auto"/>
                      <w:sz w:val="21"/>
                      <w:szCs w:val="21"/>
                      <w:highlight w:val="none"/>
                      <w:vertAlign w:val="superscript"/>
                      <w:lang w:val="en-US" w:eastAsia="zh-CN"/>
                    </w:rPr>
                    <w:t>①</w:t>
                  </w:r>
                  <w:r>
                    <w:rPr>
                      <w:rFonts w:hint="eastAsia" w:ascii="Times New Roman" w:hAnsi="Times New Roman" w:eastAsia="宋体" w:cs="Times New Roman"/>
                      <w:b/>
                      <w:bCs/>
                      <w:color w:val="auto"/>
                      <w:sz w:val="21"/>
                      <w:szCs w:val="21"/>
                      <w:highlight w:val="none"/>
                      <w:lang w:val="en-US" w:eastAsia="zh-CN"/>
                    </w:rPr>
                    <w:t>/m</w:t>
                  </w:r>
                </w:p>
              </w:tc>
              <w:tc>
                <w:tcPr>
                  <w:tcW w:w="1195" w:type="dxa"/>
                  <w:vMerge w:val="restart"/>
                  <w:tcBorders>
                    <w:tl2br w:val="nil"/>
                    <w:tr2bl w:val="nil"/>
                  </w:tcBorders>
                  <w:noWrap w:val="0"/>
                  <w:vAlign w:val="center"/>
                </w:tcPr>
                <w:p w14:paraId="36C302FD">
                  <w:pPr>
                    <w:pStyle w:val="24"/>
                    <w:spacing w:before="0" w:beforeAutospacing="0" w:after="0" w:afterAutospacing="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声源源强/dB(A)</w:t>
                  </w:r>
                </w:p>
              </w:tc>
              <w:tc>
                <w:tcPr>
                  <w:tcW w:w="1562" w:type="dxa"/>
                  <w:vMerge w:val="restart"/>
                  <w:tcBorders>
                    <w:tl2br w:val="nil"/>
                    <w:tr2bl w:val="nil"/>
                  </w:tcBorders>
                  <w:noWrap w:val="0"/>
                  <w:vAlign w:val="center"/>
                </w:tcPr>
                <w:p w14:paraId="587868F4">
                  <w:pPr>
                    <w:pStyle w:val="24"/>
                    <w:spacing w:before="0" w:beforeAutospacing="0" w:after="0" w:afterAutospacing="0"/>
                    <w:jc w:val="center"/>
                    <w:rPr>
                      <w:rFonts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声源控制措施</w:t>
                  </w:r>
                </w:p>
              </w:tc>
              <w:tc>
                <w:tcPr>
                  <w:tcW w:w="1519" w:type="dxa"/>
                  <w:vMerge w:val="restart"/>
                  <w:tcBorders>
                    <w:tl2br w:val="nil"/>
                    <w:tr2bl w:val="nil"/>
                  </w:tcBorders>
                  <w:noWrap w:val="0"/>
                  <w:vAlign w:val="center"/>
                </w:tcPr>
                <w:p w14:paraId="079ED79D">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降噪效果</w:t>
                  </w:r>
                  <w:r>
                    <w:rPr>
                      <w:rFonts w:hint="eastAsia" w:ascii="Times New Roman" w:hAnsi="Times New Roman"/>
                      <w:b/>
                      <w:bCs/>
                      <w:color w:val="auto"/>
                      <w:sz w:val="21"/>
                      <w:szCs w:val="24"/>
                      <w:highlight w:val="none"/>
                    </w:rPr>
                    <w:t>/dB（A）</w:t>
                  </w:r>
                </w:p>
              </w:tc>
              <w:tc>
                <w:tcPr>
                  <w:tcW w:w="1956" w:type="dxa"/>
                  <w:vMerge w:val="restart"/>
                  <w:tcBorders>
                    <w:tl2br w:val="nil"/>
                    <w:tr2bl w:val="nil"/>
                  </w:tcBorders>
                  <w:noWrap w:val="0"/>
                  <w:vAlign w:val="center"/>
                </w:tcPr>
                <w:p w14:paraId="0D1D729E">
                  <w:pPr>
                    <w:jc w:val="center"/>
                    <w:rPr>
                      <w:rFonts w:hint="eastAsia" w:ascii="Times New Roman" w:hAnsi="Times New Roman" w:eastAsia="宋体" w:cs="Times New Roman"/>
                      <w:b/>
                      <w:bCs/>
                      <w:color w:val="auto"/>
                      <w:sz w:val="21"/>
                      <w:szCs w:val="21"/>
                      <w:highlight w:val="none"/>
                      <w:lang w:val="en-US" w:eastAsia="zh-CN"/>
                    </w:rPr>
                  </w:pPr>
                  <w:r>
                    <w:rPr>
                      <w:rFonts w:hint="eastAsia"/>
                      <w:b/>
                      <w:bCs w:val="0"/>
                      <w:color w:val="auto"/>
                      <w:sz w:val="21"/>
                      <w:szCs w:val="21"/>
                      <w:highlight w:val="none"/>
                      <w:lang w:val="en-US" w:eastAsia="zh-CN"/>
                    </w:rPr>
                    <w:t>降噪后声源源强/dB(A)</w:t>
                  </w:r>
                </w:p>
              </w:tc>
              <w:tc>
                <w:tcPr>
                  <w:tcW w:w="1088" w:type="dxa"/>
                  <w:vMerge w:val="restart"/>
                  <w:tcBorders>
                    <w:tl2br w:val="nil"/>
                    <w:tr2bl w:val="nil"/>
                  </w:tcBorders>
                  <w:noWrap w:val="0"/>
                  <w:vAlign w:val="center"/>
                </w:tcPr>
                <w:p w14:paraId="3FB5536C">
                  <w:pPr>
                    <w:pStyle w:val="24"/>
                    <w:spacing w:before="0" w:beforeAutospacing="0" w:after="0" w:afterAutospacing="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运行时段h/a</w:t>
                  </w:r>
                </w:p>
              </w:tc>
            </w:tr>
            <w:tr w14:paraId="0C9685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dxa"/>
                  <w:vMerge w:val="continue"/>
                  <w:tcBorders>
                    <w:tl2br w:val="nil"/>
                    <w:tr2bl w:val="nil"/>
                  </w:tcBorders>
                  <w:noWrap w:val="0"/>
                  <w:vAlign w:val="center"/>
                </w:tcPr>
                <w:p w14:paraId="7037E324">
                  <w:pPr>
                    <w:pStyle w:val="24"/>
                    <w:spacing w:before="0" w:beforeAutospacing="0" w:after="0" w:afterAutospacing="0"/>
                    <w:jc w:val="center"/>
                    <w:rPr>
                      <w:rFonts w:ascii="Times New Roman" w:hAnsi="Times New Roman" w:eastAsia="宋体" w:cs="Times New Roman"/>
                      <w:b/>
                      <w:bCs/>
                      <w:color w:val="auto"/>
                      <w:sz w:val="21"/>
                      <w:szCs w:val="21"/>
                      <w:highlight w:val="none"/>
                      <w:lang w:val="en-US" w:eastAsia="zh-CN"/>
                    </w:rPr>
                  </w:pPr>
                </w:p>
              </w:tc>
              <w:tc>
                <w:tcPr>
                  <w:tcW w:w="1272" w:type="dxa"/>
                  <w:vMerge w:val="continue"/>
                  <w:tcBorders>
                    <w:tl2br w:val="nil"/>
                    <w:tr2bl w:val="nil"/>
                  </w:tcBorders>
                  <w:noWrap w:val="0"/>
                  <w:vAlign w:val="center"/>
                </w:tcPr>
                <w:p w14:paraId="1E68F2E2">
                  <w:pPr>
                    <w:pStyle w:val="24"/>
                    <w:spacing w:before="0" w:beforeAutospacing="0" w:after="0" w:afterAutospacing="0"/>
                    <w:jc w:val="center"/>
                    <w:rPr>
                      <w:rFonts w:ascii="Times New Roman" w:hAnsi="Times New Roman" w:eastAsia="宋体" w:cs="Times New Roman"/>
                      <w:b/>
                      <w:bCs/>
                      <w:color w:val="auto"/>
                      <w:sz w:val="21"/>
                      <w:szCs w:val="21"/>
                      <w:highlight w:val="none"/>
                      <w:lang w:val="en-US" w:eastAsia="zh-CN"/>
                    </w:rPr>
                  </w:pPr>
                </w:p>
              </w:tc>
              <w:tc>
                <w:tcPr>
                  <w:tcW w:w="891" w:type="dxa"/>
                  <w:vMerge w:val="continue"/>
                  <w:tcBorders>
                    <w:tl2br w:val="nil"/>
                    <w:tr2bl w:val="nil"/>
                  </w:tcBorders>
                  <w:noWrap w:val="0"/>
                  <w:vAlign w:val="center"/>
                </w:tcPr>
                <w:p w14:paraId="752F46FF">
                  <w:pPr>
                    <w:pStyle w:val="24"/>
                    <w:spacing w:before="0" w:beforeAutospacing="0" w:after="0" w:afterAutospacing="0"/>
                    <w:jc w:val="center"/>
                    <w:rPr>
                      <w:rFonts w:hint="eastAsia" w:ascii="Times New Roman" w:hAnsi="Times New Roman" w:eastAsia="宋体" w:cs="Times New Roman"/>
                      <w:b/>
                      <w:bCs/>
                      <w:color w:val="auto"/>
                      <w:sz w:val="21"/>
                      <w:szCs w:val="21"/>
                      <w:highlight w:val="none"/>
                      <w:lang w:val="en-US" w:eastAsia="zh-CN"/>
                    </w:rPr>
                  </w:pPr>
                </w:p>
              </w:tc>
              <w:tc>
                <w:tcPr>
                  <w:tcW w:w="879" w:type="dxa"/>
                  <w:tcBorders>
                    <w:tl2br w:val="nil"/>
                    <w:tr2bl w:val="nil"/>
                  </w:tcBorders>
                  <w:noWrap w:val="0"/>
                  <w:vAlign w:val="center"/>
                </w:tcPr>
                <w:p w14:paraId="58DEDA4E">
                  <w:pPr>
                    <w:pStyle w:val="24"/>
                    <w:spacing w:before="0" w:beforeAutospacing="0" w:after="0" w:afterAutospacing="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X</w:t>
                  </w:r>
                </w:p>
              </w:tc>
              <w:tc>
                <w:tcPr>
                  <w:tcW w:w="982" w:type="dxa"/>
                  <w:tcBorders>
                    <w:tl2br w:val="nil"/>
                    <w:tr2bl w:val="nil"/>
                  </w:tcBorders>
                  <w:noWrap w:val="0"/>
                  <w:vAlign w:val="center"/>
                </w:tcPr>
                <w:p w14:paraId="711E9F9A">
                  <w:pPr>
                    <w:pStyle w:val="24"/>
                    <w:spacing w:before="0" w:beforeAutospacing="0" w:after="0" w:afterAutospacing="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Y</w:t>
                  </w:r>
                </w:p>
              </w:tc>
              <w:tc>
                <w:tcPr>
                  <w:tcW w:w="1101" w:type="dxa"/>
                  <w:tcBorders>
                    <w:tl2br w:val="nil"/>
                    <w:tr2bl w:val="nil"/>
                  </w:tcBorders>
                  <w:noWrap w:val="0"/>
                  <w:vAlign w:val="center"/>
                </w:tcPr>
                <w:p w14:paraId="074678F3">
                  <w:pPr>
                    <w:pStyle w:val="24"/>
                    <w:spacing w:before="0" w:beforeAutospacing="0" w:after="0" w:afterAutospacing="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Z</w:t>
                  </w:r>
                </w:p>
              </w:tc>
              <w:tc>
                <w:tcPr>
                  <w:tcW w:w="1195" w:type="dxa"/>
                  <w:vMerge w:val="continue"/>
                  <w:tcBorders>
                    <w:tl2br w:val="nil"/>
                    <w:tr2bl w:val="nil"/>
                  </w:tcBorders>
                  <w:noWrap w:val="0"/>
                  <w:vAlign w:val="center"/>
                </w:tcPr>
                <w:p w14:paraId="041F3969">
                  <w:pPr>
                    <w:pStyle w:val="24"/>
                    <w:spacing w:before="0" w:beforeAutospacing="0" w:after="0" w:afterAutospacing="0"/>
                    <w:jc w:val="center"/>
                    <w:rPr>
                      <w:rFonts w:hint="eastAsia" w:ascii="Times New Roman" w:hAnsi="Times New Roman" w:eastAsia="宋体" w:cs="Times New Roman"/>
                      <w:b/>
                      <w:bCs/>
                      <w:color w:val="auto"/>
                      <w:sz w:val="21"/>
                      <w:szCs w:val="21"/>
                      <w:highlight w:val="none"/>
                      <w:lang w:val="en-US" w:eastAsia="zh-CN"/>
                    </w:rPr>
                  </w:pPr>
                </w:p>
              </w:tc>
              <w:tc>
                <w:tcPr>
                  <w:tcW w:w="1562" w:type="dxa"/>
                  <w:vMerge w:val="continue"/>
                  <w:tcBorders>
                    <w:tl2br w:val="nil"/>
                    <w:tr2bl w:val="nil"/>
                  </w:tcBorders>
                  <w:noWrap w:val="0"/>
                  <w:vAlign w:val="center"/>
                </w:tcPr>
                <w:p w14:paraId="33FB4FC5">
                  <w:pPr>
                    <w:pStyle w:val="24"/>
                    <w:spacing w:before="0" w:beforeAutospacing="0" w:after="0" w:afterAutospacing="0"/>
                    <w:jc w:val="center"/>
                    <w:rPr>
                      <w:rFonts w:hint="eastAsia" w:ascii="Times New Roman" w:hAnsi="Times New Roman" w:eastAsia="宋体" w:cs="Times New Roman"/>
                      <w:b/>
                      <w:bCs/>
                      <w:color w:val="auto"/>
                      <w:sz w:val="21"/>
                      <w:szCs w:val="21"/>
                      <w:highlight w:val="none"/>
                      <w:lang w:val="en-US" w:eastAsia="zh-CN"/>
                    </w:rPr>
                  </w:pPr>
                </w:p>
              </w:tc>
              <w:tc>
                <w:tcPr>
                  <w:tcW w:w="1519" w:type="dxa"/>
                  <w:vMerge w:val="continue"/>
                  <w:tcBorders>
                    <w:tl2br w:val="nil"/>
                    <w:tr2bl w:val="nil"/>
                  </w:tcBorders>
                  <w:noWrap w:val="0"/>
                  <w:vAlign w:val="center"/>
                </w:tcPr>
                <w:p w14:paraId="145050EF">
                  <w:pPr>
                    <w:pStyle w:val="24"/>
                    <w:spacing w:before="0" w:beforeAutospacing="0" w:after="0" w:afterAutospacing="0"/>
                    <w:jc w:val="center"/>
                    <w:rPr>
                      <w:rFonts w:hint="eastAsia" w:ascii="Times New Roman" w:hAnsi="Times New Roman" w:eastAsia="宋体" w:cs="Times New Roman"/>
                      <w:b/>
                      <w:bCs/>
                      <w:color w:val="auto"/>
                      <w:sz w:val="21"/>
                      <w:szCs w:val="21"/>
                      <w:highlight w:val="none"/>
                      <w:lang w:val="en-US" w:eastAsia="zh-CN"/>
                    </w:rPr>
                  </w:pPr>
                </w:p>
              </w:tc>
              <w:tc>
                <w:tcPr>
                  <w:tcW w:w="1956" w:type="dxa"/>
                  <w:vMerge w:val="continue"/>
                  <w:tcBorders>
                    <w:tl2br w:val="nil"/>
                    <w:tr2bl w:val="nil"/>
                  </w:tcBorders>
                  <w:noWrap w:val="0"/>
                  <w:vAlign w:val="center"/>
                </w:tcPr>
                <w:p w14:paraId="3222B20E">
                  <w:pPr>
                    <w:pStyle w:val="24"/>
                    <w:spacing w:before="0" w:beforeAutospacing="0" w:after="0" w:afterAutospacing="0"/>
                    <w:jc w:val="center"/>
                    <w:rPr>
                      <w:rFonts w:hint="eastAsia" w:ascii="Times New Roman" w:hAnsi="Times New Roman" w:eastAsia="宋体" w:cs="Times New Roman"/>
                      <w:b/>
                      <w:bCs/>
                      <w:color w:val="auto"/>
                      <w:sz w:val="21"/>
                      <w:szCs w:val="21"/>
                      <w:highlight w:val="none"/>
                      <w:lang w:val="en-US" w:eastAsia="zh-CN"/>
                    </w:rPr>
                  </w:pPr>
                </w:p>
              </w:tc>
              <w:tc>
                <w:tcPr>
                  <w:tcW w:w="1088" w:type="dxa"/>
                  <w:vMerge w:val="continue"/>
                  <w:tcBorders>
                    <w:tl2br w:val="nil"/>
                    <w:tr2bl w:val="nil"/>
                  </w:tcBorders>
                  <w:noWrap w:val="0"/>
                  <w:vAlign w:val="center"/>
                </w:tcPr>
                <w:p w14:paraId="6617C10E">
                  <w:pPr>
                    <w:pStyle w:val="24"/>
                    <w:spacing w:before="0" w:beforeAutospacing="0" w:after="0" w:afterAutospacing="0"/>
                    <w:jc w:val="center"/>
                    <w:rPr>
                      <w:rFonts w:hint="eastAsia" w:ascii="Times New Roman" w:hAnsi="Times New Roman" w:eastAsia="宋体" w:cs="Times New Roman"/>
                      <w:b/>
                      <w:bCs/>
                      <w:color w:val="auto"/>
                      <w:sz w:val="21"/>
                      <w:szCs w:val="21"/>
                      <w:highlight w:val="none"/>
                      <w:lang w:val="en-US" w:eastAsia="zh-CN"/>
                    </w:rPr>
                  </w:pPr>
                </w:p>
              </w:tc>
            </w:tr>
            <w:tr w14:paraId="61FD46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dxa"/>
                  <w:tcBorders>
                    <w:tl2br w:val="nil"/>
                    <w:tr2bl w:val="nil"/>
                  </w:tcBorders>
                  <w:noWrap w:val="0"/>
                  <w:vAlign w:val="center"/>
                </w:tcPr>
                <w:p w14:paraId="212A2F1F">
                  <w:pPr>
                    <w:widowControl/>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废气治理设施</w:t>
                  </w:r>
                </w:p>
              </w:tc>
              <w:tc>
                <w:tcPr>
                  <w:tcW w:w="1272" w:type="dxa"/>
                  <w:tcBorders>
                    <w:tl2br w:val="nil"/>
                    <w:tr2bl w:val="nil"/>
                  </w:tcBorders>
                  <w:noWrap w:val="0"/>
                  <w:vAlign w:val="center"/>
                </w:tcPr>
                <w:p w14:paraId="7DBCBE06">
                  <w:pPr>
                    <w:keepNext w:val="0"/>
                    <w:keepLines w:val="0"/>
                    <w:pageBreakBefore w:val="0"/>
                    <w:widowControl/>
                    <w:suppressLineNumbers w:val="0"/>
                    <w:kinsoku w:val="0"/>
                    <w:wordWrap w:val="0"/>
                    <w:overflowPunct/>
                    <w:topLinePunct w:val="0"/>
                    <w:autoSpaceDE w:val="0"/>
                    <w:autoSpaceDN w:val="0"/>
                    <w:bidi w:val="0"/>
                    <w:adjustRightInd w:val="0"/>
                    <w:snapToGrid w:val="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i w:val="0"/>
                      <w:iCs w:val="0"/>
                      <w:color w:val="auto"/>
                      <w:spacing w:val="0"/>
                      <w:kern w:val="0"/>
                      <w:sz w:val="21"/>
                      <w:szCs w:val="21"/>
                      <w:highlight w:val="none"/>
                      <w:u w:val="none"/>
                      <w:lang w:val="en-US" w:eastAsia="zh-CN" w:bidi="ar"/>
                    </w:rPr>
                    <w:t>引风机</w:t>
                  </w:r>
                </w:p>
              </w:tc>
              <w:tc>
                <w:tcPr>
                  <w:tcW w:w="891" w:type="dxa"/>
                  <w:tcBorders>
                    <w:tl2br w:val="nil"/>
                    <w:tr2bl w:val="nil"/>
                  </w:tcBorders>
                  <w:noWrap w:val="0"/>
                  <w:vAlign w:val="center"/>
                </w:tcPr>
                <w:p w14:paraId="0FE4FDFE">
                  <w:pPr>
                    <w:widowControl/>
                    <w:jc w:val="center"/>
                    <w:textAlignment w:val="center"/>
                    <w:rPr>
                      <w:rFonts w:ascii="Times New Roman" w:hAnsi="Times New Roman" w:eastAsia="宋体" w:cs="Times New Roman"/>
                      <w:color w:val="auto"/>
                      <w:sz w:val="21"/>
                      <w:szCs w:val="21"/>
                      <w:highlight w:val="none"/>
                    </w:rPr>
                  </w:pPr>
                </w:p>
              </w:tc>
              <w:tc>
                <w:tcPr>
                  <w:tcW w:w="879" w:type="dxa"/>
                  <w:tcBorders>
                    <w:tl2br w:val="nil"/>
                    <w:tr2bl w:val="nil"/>
                  </w:tcBorders>
                  <w:noWrap w:val="0"/>
                  <w:vAlign w:val="center"/>
                </w:tcPr>
                <w:p w14:paraId="2119589B">
                  <w:pPr>
                    <w:pStyle w:val="24"/>
                    <w:spacing w:before="0" w:beforeAutospacing="0" w:after="0" w:afterAutospacing="0"/>
                    <w:jc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982" w:type="dxa"/>
                  <w:tcBorders>
                    <w:tl2br w:val="nil"/>
                    <w:tr2bl w:val="nil"/>
                  </w:tcBorders>
                  <w:noWrap w:val="0"/>
                  <w:vAlign w:val="center"/>
                </w:tcPr>
                <w:p w14:paraId="567D6BD7">
                  <w:pPr>
                    <w:pStyle w:val="24"/>
                    <w:spacing w:before="0" w:beforeAutospacing="0" w:after="0" w:afterAutospacing="0"/>
                    <w:jc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1101" w:type="dxa"/>
                  <w:tcBorders>
                    <w:tl2br w:val="nil"/>
                    <w:tr2bl w:val="nil"/>
                  </w:tcBorders>
                  <w:noWrap w:val="0"/>
                  <w:vAlign w:val="center"/>
                </w:tcPr>
                <w:p w14:paraId="0ABCC236">
                  <w:pPr>
                    <w:widowControl/>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p>
              </w:tc>
              <w:tc>
                <w:tcPr>
                  <w:tcW w:w="1195" w:type="dxa"/>
                  <w:tcBorders>
                    <w:tl2br w:val="nil"/>
                    <w:tr2bl w:val="nil"/>
                  </w:tcBorders>
                  <w:noWrap w:val="0"/>
                  <w:vAlign w:val="center"/>
                </w:tcPr>
                <w:p w14:paraId="353CACB4">
                  <w:pPr>
                    <w:widowControl/>
                    <w:jc w:val="center"/>
                    <w:textAlignment w:val="center"/>
                    <w:rPr>
                      <w:rFonts w:hint="default" w:ascii="Times New Roman" w:hAnsi="Times New Roman" w:eastAsia="宋体" w:cs="Times New Roman"/>
                      <w:color w:val="auto"/>
                      <w:sz w:val="21"/>
                      <w:szCs w:val="21"/>
                      <w:highlight w:val="none"/>
                      <w:lang w:val="en-US" w:eastAsia="zh-CN"/>
                    </w:rPr>
                  </w:pPr>
                </w:p>
              </w:tc>
              <w:tc>
                <w:tcPr>
                  <w:tcW w:w="1562" w:type="dxa"/>
                  <w:tcBorders>
                    <w:tl2br w:val="nil"/>
                    <w:tr2bl w:val="nil"/>
                  </w:tcBorders>
                  <w:noWrap w:val="0"/>
                  <w:vAlign w:val="center"/>
                </w:tcPr>
                <w:p w14:paraId="5612F08E">
                  <w:pPr>
                    <w:widowControl/>
                    <w:jc w:val="center"/>
                    <w:textAlignment w:val="center"/>
                    <w:rPr>
                      <w:rFonts w:hint="default" w:ascii="Times New Roman" w:hAnsi="Times New Roman" w:eastAsia="宋体" w:cs="Times New Roman"/>
                      <w:color w:val="auto"/>
                      <w:sz w:val="21"/>
                      <w:szCs w:val="21"/>
                      <w:highlight w:val="none"/>
                      <w:lang w:val="en-US" w:eastAsia="zh-CN"/>
                    </w:rPr>
                  </w:pPr>
                </w:p>
              </w:tc>
              <w:tc>
                <w:tcPr>
                  <w:tcW w:w="1519" w:type="dxa"/>
                  <w:tcBorders>
                    <w:tl2br w:val="nil"/>
                    <w:tr2bl w:val="nil"/>
                  </w:tcBorders>
                  <w:noWrap w:val="0"/>
                  <w:vAlign w:val="center"/>
                </w:tcPr>
                <w:p w14:paraId="5F41E1A7">
                  <w:pPr>
                    <w:widowControl/>
                    <w:jc w:val="center"/>
                    <w:textAlignment w:val="center"/>
                    <w:rPr>
                      <w:rFonts w:hint="default" w:ascii="Times New Roman" w:hAnsi="Times New Roman" w:eastAsia="宋体" w:cs="Times New Roman"/>
                      <w:color w:val="auto"/>
                      <w:sz w:val="21"/>
                      <w:szCs w:val="21"/>
                      <w:highlight w:val="none"/>
                      <w:lang w:val="en-US"/>
                    </w:rPr>
                  </w:pPr>
                </w:p>
              </w:tc>
              <w:tc>
                <w:tcPr>
                  <w:tcW w:w="1956" w:type="dxa"/>
                  <w:tcBorders>
                    <w:tl2br w:val="nil"/>
                    <w:tr2bl w:val="nil"/>
                  </w:tcBorders>
                  <w:noWrap w:val="0"/>
                  <w:vAlign w:val="center"/>
                </w:tcPr>
                <w:p w14:paraId="3A1BD3F0">
                  <w:pPr>
                    <w:widowControl/>
                    <w:jc w:val="center"/>
                    <w:textAlignment w:val="center"/>
                    <w:rPr>
                      <w:rFonts w:hint="default" w:ascii="Times New Roman" w:hAnsi="Times New Roman" w:eastAsia="宋体" w:cs="Times New Roman"/>
                      <w:color w:val="auto"/>
                      <w:sz w:val="21"/>
                      <w:szCs w:val="21"/>
                      <w:highlight w:val="none"/>
                      <w:lang w:val="en-US" w:eastAsia="zh-CN"/>
                    </w:rPr>
                  </w:pPr>
                </w:p>
              </w:tc>
              <w:tc>
                <w:tcPr>
                  <w:tcW w:w="1088" w:type="dxa"/>
                  <w:tcBorders>
                    <w:tl2br w:val="nil"/>
                    <w:tr2bl w:val="nil"/>
                  </w:tcBorders>
                  <w:noWrap w:val="0"/>
                  <w:vAlign w:val="center"/>
                </w:tcPr>
                <w:p w14:paraId="6D4F78AD">
                  <w:pPr>
                    <w:keepNext w:val="0"/>
                    <w:keepLines w:val="0"/>
                    <w:pageBreakBefore w:val="0"/>
                    <w:widowControl/>
                    <w:kinsoku w:val="0"/>
                    <w:wordWrap w:val="0"/>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highlight w:val="none"/>
                      <w:lang w:val="en-US" w:eastAsia="zh-CN"/>
                    </w:rPr>
                  </w:pPr>
                </w:p>
              </w:tc>
            </w:tr>
            <w:tr w14:paraId="6E7EDA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08" w:type="dxa"/>
                  <w:gridSpan w:val="11"/>
                  <w:tcBorders>
                    <w:tl2br w:val="nil"/>
                    <w:tr2bl w:val="nil"/>
                  </w:tcBorders>
                  <w:noWrap w:val="0"/>
                  <w:vAlign w:val="center"/>
                </w:tcPr>
                <w:p w14:paraId="4B52DC35">
                  <w:pPr>
                    <w:pStyle w:val="24"/>
                    <w:spacing w:before="0" w:beforeAutospacing="0" w:after="0" w:afterAutospacing="0"/>
                    <w:jc w:val="both"/>
                    <w:rPr>
                      <w:rFonts w:hint="eastAsia" w:ascii="Times New Roman" w:hAnsi="Times New Roman" w:eastAsia="宋体" w:cs="Times New Roman"/>
                      <w:i w:val="0"/>
                      <w:iCs w:val="0"/>
                      <w:caps w:val="0"/>
                      <w:color w:val="auto"/>
                      <w:spacing w:val="0"/>
                      <w:sz w:val="18"/>
                      <w:szCs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备注：①</w:t>
                  </w:r>
                  <w:r>
                    <w:rPr>
                      <w:rFonts w:hint="default" w:ascii="Times New Roman" w:hAnsi="Times New Roman" w:eastAsia="宋体" w:cs="Times New Roman"/>
                      <w:i w:val="0"/>
                      <w:iCs w:val="0"/>
                      <w:caps w:val="0"/>
                      <w:color w:val="auto"/>
                      <w:spacing w:val="0"/>
                      <w:sz w:val="18"/>
                      <w:szCs w:val="18"/>
                      <w:highlight w:val="none"/>
                      <w:vertAlign w:val="baseline"/>
                      <w:lang w:val="en-US" w:eastAsia="zh-CN"/>
                    </w:rPr>
                    <w:t>噪声源空间相对位置，以</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项目西南</w:t>
                  </w:r>
                  <w:r>
                    <w:rPr>
                      <w:rFonts w:hint="default" w:ascii="Times New Roman" w:hAnsi="Times New Roman" w:eastAsia="宋体" w:cs="Times New Roman"/>
                      <w:i w:val="0"/>
                      <w:iCs w:val="0"/>
                      <w:caps w:val="0"/>
                      <w:color w:val="auto"/>
                      <w:spacing w:val="0"/>
                      <w:sz w:val="18"/>
                      <w:szCs w:val="18"/>
                      <w:highlight w:val="none"/>
                      <w:vertAlign w:val="baseline"/>
                      <w:lang w:val="en-US" w:eastAsia="zh-CN"/>
                    </w:rPr>
                    <w:t>角为原点</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（E</w:t>
                  </w:r>
                  <w:r>
                    <w:rPr>
                      <w:rFonts w:ascii="Times New Roman" w:hAnsi="Times New Roman" w:eastAsia="宋体" w:cs="Times New Roman"/>
                      <w:color w:val="auto"/>
                      <w:sz w:val="18"/>
                      <w:szCs w:val="18"/>
                      <w:highlight w:val="none"/>
                    </w:rPr>
                    <w:t>11</w:t>
                  </w:r>
                  <w:r>
                    <w:rPr>
                      <w:rFonts w:hint="eastAsia" w:ascii="Times New Roman" w:hAnsi="Times New Roman" w:eastAsia="宋体" w:cs="Times New Roman"/>
                      <w:color w:val="auto"/>
                      <w:sz w:val="18"/>
                      <w:szCs w:val="18"/>
                      <w:highlight w:val="none"/>
                      <w:lang w:val="en-US" w:eastAsia="zh-CN"/>
                    </w:rPr>
                    <w:t>9</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10</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56.825</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N</w:t>
                  </w:r>
                  <w:r>
                    <w:rPr>
                      <w:rFonts w:ascii="Times New Roman" w:hAnsi="Times New Roman" w:eastAsia="宋体" w:cs="Times New Roman"/>
                      <w:color w:val="auto"/>
                      <w:sz w:val="18"/>
                      <w:szCs w:val="18"/>
                      <w:highlight w:val="none"/>
                    </w:rPr>
                    <w:t>2</w:t>
                  </w:r>
                  <w:r>
                    <w:rPr>
                      <w:rFonts w:hint="eastAsia" w:ascii="Times New Roman" w:hAnsi="Times New Roman" w:eastAsia="宋体" w:cs="Times New Roman"/>
                      <w:color w:val="auto"/>
                      <w:sz w:val="18"/>
                      <w:szCs w:val="18"/>
                      <w:highlight w:val="none"/>
                      <w:lang w:val="en-US" w:eastAsia="zh-CN"/>
                    </w:rPr>
                    <w:t>6</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9</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35.631</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w:t>
                  </w:r>
                  <w:r>
                    <w:rPr>
                      <w:rFonts w:hint="default" w:ascii="Times New Roman" w:hAnsi="Times New Roman" w:eastAsia="宋体" w:cs="Times New Roman"/>
                      <w:i w:val="0"/>
                      <w:iCs w:val="0"/>
                      <w:caps w:val="0"/>
                      <w:color w:val="auto"/>
                      <w:spacing w:val="0"/>
                      <w:sz w:val="18"/>
                      <w:szCs w:val="18"/>
                      <w:highlight w:val="none"/>
                      <w:vertAlign w:val="baseline"/>
                      <w:lang w:val="en-US" w:eastAsia="zh-CN"/>
                    </w:rPr>
                    <w:t>，平行</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南</w:t>
                  </w:r>
                  <w:r>
                    <w:rPr>
                      <w:rFonts w:hint="default" w:ascii="Times New Roman" w:hAnsi="Times New Roman" w:eastAsia="宋体" w:cs="Times New Roman"/>
                      <w:i w:val="0"/>
                      <w:iCs w:val="0"/>
                      <w:caps w:val="0"/>
                      <w:color w:val="auto"/>
                      <w:spacing w:val="0"/>
                      <w:sz w:val="18"/>
                      <w:szCs w:val="18"/>
                      <w:highlight w:val="none"/>
                      <w:vertAlign w:val="baseline"/>
                      <w:lang w:val="en-US" w:eastAsia="zh-CN"/>
                    </w:rPr>
                    <w:t>厂界为X轴，</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东</w:t>
                  </w:r>
                  <w:r>
                    <w:rPr>
                      <w:rFonts w:hint="default" w:ascii="Times New Roman" w:hAnsi="Times New Roman" w:eastAsia="宋体" w:cs="Times New Roman"/>
                      <w:i w:val="0"/>
                      <w:iCs w:val="0"/>
                      <w:caps w:val="0"/>
                      <w:color w:val="auto"/>
                      <w:spacing w:val="0"/>
                      <w:sz w:val="18"/>
                      <w:szCs w:val="18"/>
                      <w:highlight w:val="none"/>
                      <w:vertAlign w:val="baseline"/>
                      <w:lang w:val="en-US" w:eastAsia="zh-CN"/>
                    </w:rPr>
                    <w:t>厂界为Y轴，垂直车间地面为Z轴建立坐标系</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w:t>
                  </w:r>
                </w:p>
                <w:p w14:paraId="785EFC6E">
                  <w:pPr>
                    <w:pStyle w:val="24"/>
                    <w:spacing w:before="0" w:beforeAutospacing="0" w:after="0" w:afterAutospacing="0"/>
                    <w:ind w:firstLine="540" w:firstLineChars="300"/>
                    <w:jc w:val="both"/>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i w:val="0"/>
                      <w:iCs w:val="0"/>
                      <w:caps w:val="0"/>
                      <w:color w:val="auto"/>
                      <w:spacing w:val="0"/>
                      <w:sz w:val="18"/>
                      <w:szCs w:val="18"/>
                      <w:highlight w:val="none"/>
                      <w:vertAlign w:val="baseline"/>
                      <w:lang w:val="en-US" w:eastAsia="zh-CN"/>
                    </w:rPr>
                    <w:t>②室外设备均位于天台，</w:t>
                  </w:r>
                  <w:r>
                    <w:rPr>
                      <w:rFonts w:hint="eastAsia" w:ascii="Times New Roman" w:hAnsi="Times New Roman" w:eastAsia="宋体" w:cs="Times New Roman"/>
                      <w:color w:val="auto"/>
                      <w:sz w:val="18"/>
                      <w:szCs w:val="18"/>
                      <w:highlight w:val="none"/>
                      <w:lang w:val="en-US" w:eastAsia="zh-CN"/>
                    </w:rPr>
                    <w:t>厂房</w:t>
                  </w:r>
                  <w:r>
                    <w:rPr>
                      <w:rFonts w:hint="eastAsia" w:ascii="Times New Roman" w:hAnsi="Times New Roman" w:cs="Times New Roman"/>
                      <w:i w:val="0"/>
                      <w:iCs w:val="0"/>
                      <w:caps w:val="0"/>
                      <w:color w:val="auto"/>
                      <w:spacing w:val="0"/>
                      <w:sz w:val="18"/>
                      <w:szCs w:val="18"/>
                      <w:highlight w:val="none"/>
                      <w:vertAlign w:val="baseline"/>
                      <w:lang w:val="en-US" w:eastAsia="zh-CN"/>
                    </w:rPr>
                    <w:t>20</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m</w:t>
                  </w:r>
                  <w:r>
                    <w:rPr>
                      <w:rFonts w:hint="eastAsia" w:ascii="Times New Roman" w:hAnsi="Times New Roman" w:cs="Times New Roman"/>
                      <w:i w:val="0"/>
                      <w:iCs w:val="0"/>
                      <w:caps w:val="0"/>
                      <w:color w:val="auto"/>
                      <w:spacing w:val="0"/>
                      <w:sz w:val="18"/>
                      <w:szCs w:val="18"/>
                      <w:highlight w:val="none"/>
                      <w:vertAlign w:val="baseline"/>
                      <w:lang w:val="en-US" w:eastAsia="zh-CN"/>
                    </w:rPr>
                    <w:t>。</w:t>
                  </w:r>
                </w:p>
              </w:tc>
            </w:tr>
          </w:tbl>
          <w:p w14:paraId="340FC384">
            <w:pPr>
              <w:pStyle w:val="27"/>
              <w:keepNext w:val="0"/>
              <w:keepLines w:val="0"/>
              <w:pageBreakBefore w:val="0"/>
              <w:widowControl/>
              <w:kinsoku/>
              <w:wordWrap/>
              <w:overflowPunct/>
              <w:topLinePunct w:val="0"/>
              <w:autoSpaceDE/>
              <w:autoSpaceDN/>
              <w:bidi w:val="0"/>
              <w:adjustRightInd/>
              <w:snapToGrid w:val="0"/>
              <w:spacing w:before="157" w:beforeLines="50" w:after="0" w:line="240" w:lineRule="auto"/>
              <w:ind w:right="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b/>
                <w:color w:val="auto"/>
                <w:sz w:val="24"/>
                <w:highlight w:val="none"/>
                <w:u w:val="none"/>
              </w:rPr>
              <w:t>表4</w:t>
            </w:r>
            <w:r>
              <w:rPr>
                <w:rFonts w:hint="eastAsia" w:ascii="Times New Roman" w:hAnsi="Times New Roman" w:eastAsia="宋体" w:cs="Times New Roman"/>
                <w:b/>
                <w:color w:val="auto"/>
                <w:sz w:val="24"/>
                <w:highlight w:val="none"/>
                <w:u w:val="none"/>
                <w:lang w:val="en-US" w:eastAsia="zh-CN"/>
              </w:rPr>
              <w:t>.3-</w:t>
            </w:r>
            <w:r>
              <w:rPr>
                <w:rFonts w:hint="eastAsia" w:cs="Times New Roman"/>
                <w:b/>
                <w:color w:val="auto"/>
                <w:sz w:val="24"/>
                <w:highlight w:val="none"/>
                <w:u w:val="none"/>
                <w:lang w:val="en-US" w:eastAsia="zh-CN"/>
              </w:rPr>
              <w:t>4</w:t>
            </w:r>
            <w:r>
              <w:rPr>
                <w:rFonts w:ascii="Times New Roman" w:hAnsi="Times New Roman" w:eastAsia="宋体" w:cs="Times New Roman"/>
                <w:b/>
                <w:color w:val="auto"/>
                <w:sz w:val="24"/>
                <w:highlight w:val="none"/>
                <w:u w:val="none"/>
              </w:rPr>
              <w:t xml:space="preserve"> </w:t>
            </w:r>
            <w:r>
              <w:rPr>
                <w:rFonts w:hint="eastAsia" w:ascii="Times New Roman" w:hAnsi="Times New Roman" w:eastAsia="宋体" w:cs="Times New Roman"/>
                <w:b/>
                <w:color w:val="auto"/>
                <w:sz w:val="24"/>
                <w:highlight w:val="none"/>
                <w:u w:val="none"/>
              </w:rPr>
              <w:t>项目室内声源噪声源强调查清单</w:t>
            </w:r>
            <w:r>
              <w:rPr>
                <w:rFonts w:hint="eastAsia" w:ascii="Times New Roman" w:hAnsi="Times New Roman" w:eastAsia="宋体" w:cs="Times New Roman"/>
                <w:b/>
                <w:color w:val="auto"/>
                <w:sz w:val="24"/>
                <w:highlight w:val="none"/>
                <w:u w:val="none"/>
                <w:lang w:val="en-US" w:eastAsia="zh-CN"/>
              </w:rPr>
              <w:t xml:space="preserve">                 </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1"/>
              <w:gridCol w:w="766"/>
              <w:gridCol w:w="484"/>
              <w:gridCol w:w="566"/>
              <w:gridCol w:w="717"/>
              <w:gridCol w:w="633"/>
              <w:gridCol w:w="694"/>
              <w:gridCol w:w="648"/>
              <w:gridCol w:w="454"/>
              <w:gridCol w:w="496"/>
              <w:gridCol w:w="507"/>
              <w:gridCol w:w="555"/>
              <w:gridCol w:w="454"/>
              <w:gridCol w:w="483"/>
              <w:gridCol w:w="440"/>
              <w:gridCol w:w="483"/>
              <w:gridCol w:w="439"/>
              <w:gridCol w:w="439"/>
              <w:gridCol w:w="468"/>
              <w:gridCol w:w="568"/>
              <w:gridCol w:w="678"/>
              <w:gridCol w:w="468"/>
              <w:gridCol w:w="469"/>
              <w:gridCol w:w="468"/>
              <w:gridCol w:w="483"/>
              <w:gridCol w:w="777"/>
            </w:tblGrid>
            <w:tr w14:paraId="5CF9FC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gridSpan w:val="2"/>
                  <w:vMerge w:val="restart"/>
                  <w:tcBorders>
                    <w:tl2br w:val="nil"/>
                    <w:tr2bl w:val="nil"/>
                  </w:tcBorders>
                  <w:noWrap w:val="0"/>
                  <w:vAlign w:val="center"/>
                </w:tcPr>
                <w:p w14:paraId="240A6301">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声源</w:t>
                  </w:r>
                </w:p>
                <w:p w14:paraId="3DE309F1">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名称</w:t>
                  </w:r>
                </w:p>
              </w:tc>
              <w:tc>
                <w:tcPr>
                  <w:tcW w:w="484" w:type="dxa"/>
                  <w:vMerge w:val="restart"/>
                  <w:tcBorders>
                    <w:tl2br w:val="nil"/>
                    <w:tr2bl w:val="nil"/>
                  </w:tcBorders>
                  <w:noWrap w:val="0"/>
                  <w:vAlign w:val="center"/>
                </w:tcPr>
                <w:p w14:paraId="1F12CD3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数量</w:t>
                  </w:r>
                </w:p>
              </w:tc>
              <w:tc>
                <w:tcPr>
                  <w:tcW w:w="566" w:type="dxa"/>
                  <w:vMerge w:val="restart"/>
                  <w:tcBorders>
                    <w:tl2br w:val="nil"/>
                    <w:tr2bl w:val="nil"/>
                  </w:tcBorders>
                  <w:noWrap w:val="0"/>
                  <w:vAlign w:val="center"/>
                </w:tcPr>
                <w:p w14:paraId="652F7A45">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声功率级/dB</w:t>
                  </w:r>
                  <w:r>
                    <w:rPr>
                      <w:rFonts w:hint="eastAsia" w:ascii="Times New Roman" w:hAnsi="Times New Roman" w:eastAsia="宋体"/>
                      <w:b/>
                      <w:bCs w:val="0"/>
                      <w:color w:val="auto"/>
                      <w:sz w:val="21"/>
                      <w:szCs w:val="21"/>
                      <w:highlight w:val="none"/>
                      <w:lang w:val="en-US" w:eastAsia="zh-CN"/>
                    </w:rPr>
                    <w:t>(A)</w:t>
                  </w:r>
                </w:p>
              </w:tc>
              <w:tc>
                <w:tcPr>
                  <w:tcW w:w="717" w:type="dxa"/>
                  <w:vMerge w:val="restart"/>
                  <w:tcBorders>
                    <w:tl2br w:val="nil"/>
                    <w:tr2bl w:val="nil"/>
                  </w:tcBorders>
                  <w:noWrap w:val="0"/>
                  <w:vAlign w:val="center"/>
                </w:tcPr>
                <w:p w14:paraId="6EF668C4">
                  <w:pPr>
                    <w:pStyle w:val="24"/>
                    <w:spacing w:before="0" w:beforeAutospacing="0" w:after="0" w:afterAutospacing="0" w:line="240" w:lineRule="auto"/>
                    <w:ind w:firstLine="0" w:firstLineChars="0"/>
                    <w:jc w:val="center"/>
                    <w:rPr>
                      <w:rFonts w:ascii="Times New Roman" w:hAnsi="Times New Roman" w:eastAsia="宋体"/>
                      <w:b/>
                      <w:bCs/>
                      <w:color w:val="auto"/>
                      <w:sz w:val="21"/>
                      <w:szCs w:val="21"/>
                      <w:highlight w:val="none"/>
                      <w:lang w:bidi="ar"/>
                    </w:rPr>
                  </w:pPr>
                  <w:r>
                    <w:rPr>
                      <w:rFonts w:ascii="Times New Roman" w:hAnsi="Times New Roman" w:eastAsia="宋体"/>
                      <w:b/>
                      <w:bCs/>
                      <w:color w:val="auto"/>
                      <w:sz w:val="21"/>
                      <w:szCs w:val="21"/>
                      <w:highlight w:val="none"/>
                      <w:lang w:bidi="ar"/>
                    </w:rPr>
                    <w:t>叠加后噪声源强dB</w:t>
                  </w:r>
                </w:p>
                <w:p w14:paraId="3D3055AC">
                  <w:pPr>
                    <w:pStyle w:val="24"/>
                    <w:spacing w:before="0" w:beforeAutospacing="0" w:after="0" w:afterAutospacing="0" w:line="240" w:lineRule="auto"/>
                    <w:ind w:firstLine="0" w:firstLineChars="0"/>
                    <w:jc w:val="cente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b/>
                      <w:bCs w:val="0"/>
                      <w:color w:val="auto"/>
                      <w:sz w:val="21"/>
                      <w:szCs w:val="21"/>
                      <w:highlight w:val="none"/>
                      <w:lang w:val="en-US" w:eastAsia="zh-CN"/>
                    </w:rPr>
                    <w:t>(A)</w:t>
                  </w:r>
                </w:p>
              </w:tc>
              <w:tc>
                <w:tcPr>
                  <w:tcW w:w="633" w:type="dxa"/>
                  <w:vMerge w:val="restart"/>
                  <w:tcBorders>
                    <w:tl2br w:val="nil"/>
                    <w:tr2bl w:val="nil"/>
                  </w:tcBorders>
                  <w:noWrap w:val="0"/>
                  <w:vAlign w:val="center"/>
                </w:tcPr>
                <w:p w14:paraId="7A73A1D1">
                  <w:pPr>
                    <w:pStyle w:val="24"/>
                    <w:spacing w:before="0" w:beforeAutospacing="0" w:after="0" w:afterAutospacing="0" w:line="240" w:lineRule="auto"/>
                    <w:ind w:firstLine="0" w:firstLineChars="0"/>
                    <w:jc w:val="center"/>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b/>
                      <w:bCs/>
                      <w:color w:val="auto"/>
                      <w:sz w:val="21"/>
                      <w:szCs w:val="24"/>
                      <w:highlight w:val="none"/>
                    </w:rPr>
                    <w:t>声源控制措施</w:t>
                  </w:r>
                </w:p>
              </w:tc>
              <w:tc>
                <w:tcPr>
                  <w:tcW w:w="694" w:type="dxa"/>
                  <w:vMerge w:val="restart"/>
                  <w:tcBorders>
                    <w:tl2br w:val="nil"/>
                    <w:tr2bl w:val="nil"/>
                  </w:tcBorders>
                  <w:noWrap w:val="0"/>
                  <w:vAlign w:val="center"/>
                </w:tcPr>
                <w:p w14:paraId="1CF6C968">
                  <w:pPr>
                    <w:jc w:val="cente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降噪效果</w:t>
                  </w:r>
                  <w:r>
                    <w:rPr>
                      <w:rFonts w:hint="eastAsia" w:ascii="Times New Roman" w:hAnsi="Times New Roman" w:eastAsia="宋体"/>
                      <w:b/>
                      <w:bCs/>
                      <w:color w:val="auto"/>
                      <w:sz w:val="21"/>
                      <w:szCs w:val="24"/>
                      <w:highlight w:val="none"/>
                    </w:rPr>
                    <w:t>/dB</w:t>
                  </w:r>
                  <w:r>
                    <w:rPr>
                      <w:rFonts w:hint="eastAsia" w:ascii="Times New Roman" w:hAnsi="Times New Roman" w:eastAsia="宋体"/>
                      <w:b/>
                      <w:bCs w:val="0"/>
                      <w:color w:val="auto"/>
                      <w:sz w:val="21"/>
                      <w:szCs w:val="21"/>
                      <w:highlight w:val="none"/>
                      <w:lang w:val="en-US" w:eastAsia="zh-CN"/>
                    </w:rPr>
                    <w:t>(A)</w:t>
                  </w:r>
                </w:p>
              </w:tc>
              <w:tc>
                <w:tcPr>
                  <w:tcW w:w="648" w:type="dxa"/>
                  <w:vMerge w:val="restart"/>
                  <w:tcBorders>
                    <w:tl2br w:val="nil"/>
                    <w:tr2bl w:val="nil"/>
                  </w:tcBorders>
                  <w:noWrap w:val="0"/>
                  <w:vAlign w:val="center"/>
                </w:tcPr>
                <w:p w14:paraId="0865B981">
                  <w:pPr>
                    <w:jc w:val="center"/>
                    <w:rPr>
                      <w:rFonts w:hint="eastAsia" w:ascii="Times New Roman" w:hAnsi="Times New Roman" w:eastAsia="宋体"/>
                      <w:b/>
                      <w:bCs w:val="0"/>
                      <w:color w:val="auto"/>
                      <w:sz w:val="21"/>
                      <w:szCs w:val="21"/>
                      <w:highlight w:val="none"/>
                      <w:lang w:val="en-US" w:eastAsia="zh-CN"/>
                    </w:rPr>
                  </w:pPr>
                  <w:r>
                    <w:rPr>
                      <w:rFonts w:hint="eastAsia" w:ascii="Times New Roman" w:hAnsi="Times New Roman" w:eastAsia="宋体"/>
                      <w:b/>
                      <w:bCs w:val="0"/>
                      <w:color w:val="auto"/>
                      <w:sz w:val="21"/>
                      <w:szCs w:val="21"/>
                      <w:highlight w:val="none"/>
                      <w:lang w:val="en-US" w:eastAsia="zh-CN"/>
                    </w:rPr>
                    <w:t>降噪后声源源强/dB</w:t>
                  </w:r>
                </w:p>
                <w:p w14:paraId="2449BFE3">
                  <w:pPr>
                    <w:jc w:val="cente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b/>
                      <w:bCs w:val="0"/>
                      <w:color w:val="auto"/>
                      <w:sz w:val="21"/>
                      <w:szCs w:val="21"/>
                      <w:highlight w:val="none"/>
                      <w:lang w:val="en-US" w:eastAsia="zh-CN"/>
                    </w:rPr>
                    <w:t>(A)</w:t>
                  </w:r>
                </w:p>
              </w:tc>
              <w:tc>
                <w:tcPr>
                  <w:tcW w:w="1457" w:type="dxa"/>
                  <w:gridSpan w:val="3"/>
                  <w:tcBorders>
                    <w:tl2br w:val="nil"/>
                    <w:tr2bl w:val="nil"/>
                  </w:tcBorders>
                  <w:noWrap w:val="0"/>
                  <w:vAlign w:val="center"/>
                </w:tcPr>
                <w:p w14:paraId="1D263B00">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空间相对位置/m</w:t>
                  </w:r>
                </w:p>
              </w:tc>
              <w:tc>
                <w:tcPr>
                  <w:tcW w:w="1932" w:type="dxa"/>
                  <w:gridSpan w:val="4"/>
                  <w:tcBorders>
                    <w:tl2br w:val="nil"/>
                    <w:tr2bl w:val="nil"/>
                  </w:tcBorders>
                  <w:noWrap w:val="0"/>
                  <w:vAlign w:val="center"/>
                </w:tcPr>
                <w:p w14:paraId="251EFDB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距室内边界距离/m</w:t>
                  </w:r>
                </w:p>
              </w:tc>
              <w:tc>
                <w:tcPr>
                  <w:tcW w:w="1829" w:type="dxa"/>
                  <w:gridSpan w:val="4"/>
                  <w:tcBorders>
                    <w:tl2br w:val="nil"/>
                    <w:tr2bl w:val="nil"/>
                  </w:tcBorders>
                  <w:noWrap w:val="0"/>
                  <w:vAlign w:val="center"/>
                </w:tcPr>
                <w:p w14:paraId="03F424A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室内边界声源/dB（A）</w:t>
                  </w:r>
                </w:p>
              </w:tc>
              <w:tc>
                <w:tcPr>
                  <w:tcW w:w="568" w:type="dxa"/>
                  <w:vMerge w:val="restart"/>
                  <w:tcBorders>
                    <w:tl2br w:val="nil"/>
                    <w:tr2bl w:val="nil"/>
                  </w:tcBorders>
                  <w:noWrap w:val="0"/>
                  <w:vAlign w:val="center"/>
                </w:tcPr>
                <w:p w14:paraId="1DA36A5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运行</w:t>
                  </w:r>
                </w:p>
                <w:p w14:paraId="0BD1F590">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时段h/a</w:t>
                  </w:r>
                </w:p>
              </w:tc>
              <w:tc>
                <w:tcPr>
                  <w:tcW w:w="678" w:type="dxa"/>
                  <w:vMerge w:val="restart"/>
                  <w:tcBorders>
                    <w:tl2br w:val="nil"/>
                    <w:tr2bl w:val="nil"/>
                  </w:tcBorders>
                  <w:noWrap w:val="0"/>
                  <w:vAlign w:val="center"/>
                </w:tcPr>
                <w:p w14:paraId="15F417C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建筑物插入损失/dB</w:t>
                  </w:r>
                </w:p>
                <w:p w14:paraId="5048D4D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b/>
                      <w:bCs w:val="0"/>
                      <w:color w:val="auto"/>
                      <w:sz w:val="21"/>
                      <w:szCs w:val="21"/>
                      <w:highlight w:val="none"/>
                      <w:lang w:val="en-US" w:eastAsia="zh-CN"/>
                    </w:rPr>
                    <w:t>(A)</w:t>
                  </w:r>
                </w:p>
              </w:tc>
              <w:tc>
                <w:tcPr>
                  <w:tcW w:w="2665" w:type="dxa"/>
                  <w:gridSpan w:val="5"/>
                  <w:tcBorders>
                    <w:tl2br w:val="nil"/>
                    <w:tr2bl w:val="nil"/>
                  </w:tcBorders>
                  <w:noWrap w:val="0"/>
                  <w:vAlign w:val="center"/>
                </w:tcPr>
                <w:p w14:paraId="60CBD93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建筑物外噪声</w:t>
                  </w:r>
                </w:p>
              </w:tc>
            </w:tr>
            <w:tr w14:paraId="4F1E66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gridSpan w:val="2"/>
                  <w:vMerge w:val="continue"/>
                  <w:tcBorders>
                    <w:tl2br w:val="nil"/>
                    <w:tr2bl w:val="nil"/>
                  </w:tcBorders>
                  <w:noWrap w:val="0"/>
                  <w:vAlign w:val="center"/>
                </w:tcPr>
                <w:p w14:paraId="014ED56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b/>
                      <w:bCs/>
                      <w:color w:val="auto"/>
                      <w:sz w:val="21"/>
                      <w:szCs w:val="21"/>
                      <w:highlight w:val="none"/>
                    </w:rPr>
                  </w:pPr>
                </w:p>
              </w:tc>
              <w:tc>
                <w:tcPr>
                  <w:tcW w:w="484" w:type="dxa"/>
                  <w:vMerge w:val="continue"/>
                  <w:tcBorders>
                    <w:tl2br w:val="nil"/>
                    <w:tr2bl w:val="nil"/>
                  </w:tcBorders>
                  <w:noWrap w:val="0"/>
                  <w:vAlign w:val="center"/>
                </w:tcPr>
                <w:p w14:paraId="2ABB844D">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p>
              </w:tc>
              <w:tc>
                <w:tcPr>
                  <w:tcW w:w="566" w:type="dxa"/>
                  <w:vMerge w:val="continue"/>
                  <w:tcBorders>
                    <w:tl2br w:val="nil"/>
                    <w:tr2bl w:val="nil"/>
                  </w:tcBorders>
                  <w:noWrap w:val="0"/>
                  <w:vAlign w:val="center"/>
                </w:tcPr>
                <w:p w14:paraId="3A057105">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p>
              </w:tc>
              <w:tc>
                <w:tcPr>
                  <w:tcW w:w="717" w:type="dxa"/>
                  <w:vMerge w:val="continue"/>
                  <w:tcBorders>
                    <w:tl2br w:val="nil"/>
                    <w:tr2bl w:val="nil"/>
                  </w:tcBorders>
                  <w:noWrap w:val="0"/>
                  <w:vAlign w:val="center"/>
                </w:tcPr>
                <w:p w14:paraId="5D3EB6E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p>
              </w:tc>
              <w:tc>
                <w:tcPr>
                  <w:tcW w:w="633" w:type="dxa"/>
                  <w:vMerge w:val="continue"/>
                  <w:tcBorders>
                    <w:tl2br w:val="nil"/>
                    <w:tr2bl w:val="nil"/>
                  </w:tcBorders>
                  <w:noWrap w:val="0"/>
                  <w:vAlign w:val="center"/>
                </w:tcPr>
                <w:p w14:paraId="0B79DB7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p>
              </w:tc>
              <w:tc>
                <w:tcPr>
                  <w:tcW w:w="694" w:type="dxa"/>
                  <w:vMerge w:val="continue"/>
                  <w:tcBorders>
                    <w:tl2br w:val="nil"/>
                    <w:tr2bl w:val="nil"/>
                  </w:tcBorders>
                  <w:noWrap w:val="0"/>
                  <w:vAlign w:val="center"/>
                </w:tcPr>
                <w:p w14:paraId="18B5271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p>
              </w:tc>
              <w:tc>
                <w:tcPr>
                  <w:tcW w:w="648" w:type="dxa"/>
                  <w:vMerge w:val="continue"/>
                  <w:tcBorders>
                    <w:tl2br w:val="nil"/>
                    <w:tr2bl w:val="nil"/>
                  </w:tcBorders>
                  <w:noWrap w:val="0"/>
                  <w:vAlign w:val="center"/>
                </w:tcPr>
                <w:p w14:paraId="5084B8F0">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p>
              </w:tc>
              <w:tc>
                <w:tcPr>
                  <w:tcW w:w="454" w:type="dxa"/>
                  <w:vMerge w:val="restart"/>
                  <w:tcBorders>
                    <w:tl2br w:val="nil"/>
                    <w:tr2bl w:val="nil"/>
                  </w:tcBorders>
                  <w:noWrap w:val="0"/>
                  <w:vAlign w:val="center"/>
                </w:tcPr>
                <w:p w14:paraId="1B0337E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X</w:t>
                  </w:r>
                </w:p>
              </w:tc>
              <w:tc>
                <w:tcPr>
                  <w:tcW w:w="496" w:type="dxa"/>
                  <w:vMerge w:val="restart"/>
                  <w:tcBorders>
                    <w:tl2br w:val="nil"/>
                    <w:tr2bl w:val="nil"/>
                  </w:tcBorders>
                  <w:noWrap w:val="0"/>
                  <w:vAlign w:val="center"/>
                </w:tcPr>
                <w:p w14:paraId="58E87EE1">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Y</w:t>
                  </w:r>
                </w:p>
              </w:tc>
              <w:tc>
                <w:tcPr>
                  <w:tcW w:w="507" w:type="dxa"/>
                  <w:vMerge w:val="restart"/>
                  <w:tcBorders>
                    <w:tl2br w:val="nil"/>
                    <w:tr2bl w:val="nil"/>
                  </w:tcBorders>
                  <w:noWrap w:val="0"/>
                  <w:vAlign w:val="center"/>
                </w:tcPr>
                <w:p w14:paraId="01301C9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Z</w:t>
                  </w:r>
                </w:p>
              </w:tc>
              <w:tc>
                <w:tcPr>
                  <w:tcW w:w="555" w:type="dxa"/>
                  <w:vMerge w:val="restart"/>
                  <w:tcBorders>
                    <w:tl2br w:val="nil"/>
                    <w:tr2bl w:val="nil"/>
                  </w:tcBorders>
                  <w:noWrap w:val="0"/>
                  <w:vAlign w:val="center"/>
                </w:tcPr>
                <w:p w14:paraId="5C0C7635">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东</w:t>
                  </w:r>
                </w:p>
              </w:tc>
              <w:tc>
                <w:tcPr>
                  <w:tcW w:w="454" w:type="dxa"/>
                  <w:vMerge w:val="restart"/>
                  <w:tcBorders>
                    <w:tl2br w:val="nil"/>
                    <w:tr2bl w:val="nil"/>
                  </w:tcBorders>
                  <w:noWrap w:val="0"/>
                  <w:vAlign w:val="center"/>
                </w:tcPr>
                <w:p w14:paraId="2B5BDC0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南</w:t>
                  </w:r>
                </w:p>
              </w:tc>
              <w:tc>
                <w:tcPr>
                  <w:tcW w:w="483" w:type="dxa"/>
                  <w:vMerge w:val="restart"/>
                  <w:tcBorders>
                    <w:tl2br w:val="nil"/>
                    <w:tr2bl w:val="nil"/>
                  </w:tcBorders>
                  <w:noWrap w:val="0"/>
                  <w:vAlign w:val="center"/>
                </w:tcPr>
                <w:p w14:paraId="037BDF0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西</w:t>
                  </w:r>
                </w:p>
              </w:tc>
              <w:tc>
                <w:tcPr>
                  <w:tcW w:w="440" w:type="dxa"/>
                  <w:vMerge w:val="restart"/>
                  <w:tcBorders>
                    <w:tl2br w:val="nil"/>
                    <w:tr2bl w:val="nil"/>
                  </w:tcBorders>
                  <w:noWrap w:val="0"/>
                  <w:vAlign w:val="center"/>
                </w:tcPr>
                <w:p w14:paraId="052E20F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北</w:t>
                  </w:r>
                </w:p>
              </w:tc>
              <w:tc>
                <w:tcPr>
                  <w:tcW w:w="483" w:type="dxa"/>
                  <w:vMerge w:val="restart"/>
                  <w:tcBorders>
                    <w:tl2br w:val="nil"/>
                    <w:tr2bl w:val="nil"/>
                  </w:tcBorders>
                  <w:noWrap w:val="0"/>
                  <w:vAlign w:val="center"/>
                </w:tcPr>
                <w:p w14:paraId="0DA5508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东</w:t>
                  </w:r>
                </w:p>
              </w:tc>
              <w:tc>
                <w:tcPr>
                  <w:tcW w:w="439" w:type="dxa"/>
                  <w:vMerge w:val="restart"/>
                  <w:tcBorders>
                    <w:tl2br w:val="nil"/>
                    <w:tr2bl w:val="nil"/>
                  </w:tcBorders>
                  <w:noWrap w:val="0"/>
                  <w:vAlign w:val="center"/>
                </w:tcPr>
                <w:p w14:paraId="21F08D60">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南</w:t>
                  </w:r>
                </w:p>
              </w:tc>
              <w:tc>
                <w:tcPr>
                  <w:tcW w:w="439" w:type="dxa"/>
                  <w:vMerge w:val="restart"/>
                  <w:tcBorders>
                    <w:tl2br w:val="nil"/>
                    <w:tr2bl w:val="nil"/>
                  </w:tcBorders>
                  <w:noWrap w:val="0"/>
                  <w:vAlign w:val="center"/>
                </w:tcPr>
                <w:p w14:paraId="3A88D54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西</w:t>
                  </w:r>
                </w:p>
              </w:tc>
              <w:tc>
                <w:tcPr>
                  <w:tcW w:w="468" w:type="dxa"/>
                  <w:vMerge w:val="restart"/>
                  <w:tcBorders>
                    <w:tl2br w:val="nil"/>
                    <w:tr2bl w:val="nil"/>
                  </w:tcBorders>
                  <w:noWrap w:val="0"/>
                  <w:vAlign w:val="center"/>
                </w:tcPr>
                <w:p w14:paraId="6A7832B0">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北</w:t>
                  </w:r>
                </w:p>
              </w:tc>
              <w:tc>
                <w:tcPr>
                  <w:tcW w:w="568" w:type="dxa"/>
                  <w:vMerge w:val="continue"/>
                  <w:tcBorders>
                    <w:tl2br w:val="nil"/>
                    <w:tr2bl w:val="nil"/>
                  </w:tcBorders>
                  <w:noWrap w:val="0"/>
                  <w:vAlign w:val="center"/>
                </w:tcPr>
                <w:p w14:paraId="1DB01AAB">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p>
              </w:tc>
              <w:tc>
                <w:tcPr>
                  <w:tcW w:w="678" w:type="dxa"/>
                  <w:vMerge w:val="continue"/>
                  <w:tcBorders>
                    <w:tl2br w:val="nil"/>
                    <w:tr2bl w:val="nil"/>
                  </w:tcBorders>
                  <w:noWrap w:val="0"/>
                  <w:vAlign w:val="center"/>
                </w:tcPr>
                <w:p w14:paraId="621D59C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p>
              </w:tc>
              <w:tc>
                <w:tcPr>
                  <w:tcW w:w="1888" w:type="dxa"/>
                  <w:gridSpan w:val="4"/>
                  <w:tcBorders>
                    <w:tl2br w:val="nil"/>
                    <w:tr2bl w:val="nil"/>
                  </w:tcBorders>
                  <w:noWrap w:val="0"/>
                  <w:vAlign w:val="center"/>
                </w:tcPr>
                <w:p w14:paraId="21D6D995">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声压级/dB（A）</w:t>
                  </w:r>
                </w:p>
              </w:tc>
              <w:tc>
                <w:tcPr>
                  <w:tcW w:w="777" w:type="dxa"/>
                  <w:vMerge w:val="restart"/>
                  <w:tcBorders>
                    <w:tl2br w:val="nil"/>
                    <w:tr2bl w:val="nil"/>
                  </w:tcBorders>
                  <w:noWrap w:val="0"/>
                  <w:vAlign w:val="center"/>
                </w:tcPr>
                <w:p w14:paraId="2CC8861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建筑物外距离/m</w:t>
                  </w:r>
                </w:p>
              </w:tc>
            </w:tr>
            <w:tr w14:paraId="582D0A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137" w:type="dxa"/>
                  <w:gridSpan w:val="2"/>
                  <w:vMerge w:val="continue"/>
                  <w:tcBorders>
                    <w:tl2br w:val="nil"/>
                    <w:tr2bl w:val="nil"/>
                  </w:tcBorders>
                  <w:noWrap w:val="0"/>
                  <w:vAlign w:val="center"/>
                </w:tcPr>
                <w:p w14:paraId="405A0557">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484" w:type="dxa"/>
                  <w:vMerge w:val="continue"/>
                  <w:tcBorders>
                    <w:tl2br w:val="nil"/>
                    <w:tr2bl w:val="nil"/>
                  </w:tcBorders>
                  <w:noWrap w:val="0"/>
                  <w:vAlign w:val="center"/>
                </w:tcPr>
                <w:p w14:paraId="3B268801">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566" w:type="dxa"/>
                  <w:vMerge w:val="continue"/>
                  <w:tcBorders>
                    <w:tl2br w:val="nil"/>
                    <w:tr2bl w:val="nil"/>
                  </w:tcBorders>
                  <w:noWrap w:val="0"/>
                  <w:vAlign w:val="center"/>
                </w:tcPr>
                <w:p w14:paraId="192D466C">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717" w:type="dxa"/>
                  <w:vMerge w:val="continue"/>
                  <w:tcBorders>
                    <w:tl2br w:val="nil"/>
                    <w:tr2bl w:val="nil"/>
                  </w:tcBorders>
                  <w:noWrap w:val="0"/>
                  <w:vAlign w:val="center"/>
                </w:tcPr>
                <w:p w14:paraId="342CE95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633" w:type="dxa"/>
                  <w:vMerge w:val="continue"/>
                  <w:tcBorders>
                    <w:tl2br w:val="nil"/>
                    <w:tr2bl w:val="nil"/>
                  </w:tcBorders>
                  <w:noWrap w:val="0"/>
                  <w:vAlign w:val="center"/>
                </w:tcPr>
                <w:p w14:paraId="57A4AB8F">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694" w:type="dxa"/>
                  <w:vMerge w:val="continue"/>
                  <w:tcBorders>
                    <w:tl2br w:val="nil"/>
                    <w:tr2bl w:val="nil"/>
                  </w:tcBorders>
                  <w:noWrap w:val="0"/>
                  <w:vAlign w:val="center"/>
                </w:tcPr>
                <w:p w14:paraId="0145533C">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648" w:type="dxa"/>
                  <w:vMerge w:val="continue"/>
                  <w:tcBorders>
                    <w:tl2br w:val="nil"/>
                    <w:tr2bl w:val="nil"/>
                  </w:tcBorders>
                  <w:noWrap w:val="0"/>
                  <w:vAlign w:val="center"/>
                </w:tcPr>
                <w:p w14:paraId="28E6690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454" w:type="dxa"/>
                  <w:vMerge w:val="continue"/>
                  <w:tcBorders>
                    <w:tl2br w:val="nil"/>
                    <w:tr2bl w:val="nil"/>
                  </w:tcBorders>
                  <w:noWrap w:val="0"/>
                  <w:vAlign w:val="center"/>
                </w:tcPr>
                <w:p w14:paraId="628B8261">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496" w:type="dxa"/>
                  <w:vMerge w:val="continue"/>
                  <w:tcBorders>
                    <w:tl2br w:val="nil"/>
                    <w:tr2bl w:val="nil"/>
                  </w:tcBorders>
                  <w:noWrap w:val="0"/>
                  <w:vAlign w:val="center"/>
                </w:tcPr>
                <w:p w14:paraId="48D8D561">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507" w:type="dxa"/>
                  <w:vMerge w:val="continue"/>
                  <w:tcBorders>
                    <w:tl2br w:val="nil"/>
                    <w:tr2bl w:val="nil"/>
                  </w:tcBorders>
                  <w:noWrap w:val="0"/>
                  <w:vAlign w:val="center"/>
                </w:tcPr>
                <w:p w14:paraId="47DC535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555" w:type="dxa"/>
                  <w:vMerge w:val="continue"/>
                  <w:tcBorders>
                    <w:tl2br w:val="nil"/>
                    <w:tr2bl w:val="nil"/>
                  </w:tcBorders>
                  <w:noWrap w:val="0"/>
                  <w:vAlign w:val="center"/>
                </w:tcPr>
                <w:p w14:paraId="1373AF0B">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454" w:type="dxa"/>
                  <w:vMerge w:val="continue"/>
                  <w:tcBorders>
                    <w:tl2br w:val="nil"/>
                    <w:tr2bl w:val="nil"/>
                  </w:tcBorders>
                  <w:noWrap w:val="0"/>
                  <w:vAlign w:val="center"/>
                </w:tcPr>
                <w:p w14:paraId="572DD96C">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483" w:type="dxa"/>
                  <w:vMerge w:val="continue"/>
                  <w:tcBorders>
                    <w:tl2br w:val="nil"/>
                    <w:tr2bl w:val="nil"/>
                  </w:tcBorders>
                  <w:noWrap w:val="0"/>
                  <w:vAlign w:val="center"/>
                </w:tcPr>
                <w:p w14:paraId="7B38B41B">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440" w:type="dxa"/>
                  <w:vMerge w:val="continue"/>
                  <w:tcBorders>
                    <w:tl2br w:val="nil"/>
                    <w:tr2bl w:val="nil"/>
                  </w:tcBorders>
                  <w:noWrap w:val="0"/>
                  <w:vAlign w:val="center"/>
                </w:tcPr>
                <w:p w14:paraId="67B99EF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483" w:type="dxa"/>
                  <w:vMerge w:val="continue"/>
                  <w:tcBorders>
                    <w:tl2br w:val="nil"/>
                    <w:tr2bl w:val="nil"/>
                  </w:tcBorders>
                  <w:noWrap w:val="0"/>
                  <w:vAlign w:val="center"/>
                </w:tcPr>
                <w:p w14:paraId="4AFD87A0">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439" w:type="dxa"/>
                  <w:vMerge w:val="continue"/>
                  <w:tcBorders>
                    <w:tl2br w:val="nil"/>
                    <w:tr2bl w:val="nil"/>
                  </w:tcBorders>
                  <w:noWrap w:val="0"/>
                  <w:vAlign w:val="center"/>
                </w:tcPr>
                <w:p w14:paraId="150417DC">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439" w:type="dxa"/>
                  <w:vMerge w:val="continue"/>
                  <w:tcBorders>
                    <w:tl2br w:val="nil"/>
                    <w:tr2bl w:val="nil"/>
                  </w:tcBorders>
                  <w:noWrap w:val="0"/>
                  <w:vAlign w:val="center"/>
                </w:tcPr>
                <w:p w14:paraId="378CAB8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468" w:type="dxa"/>
                  <w:vMerge w:val="continue"/>
                  <w:tcBorders>
                    <w:tl2br w:val="nil"/>
                    <w:tr2bl w:val="nil"/>
                  </w:tcBorders>
                  <w:noWrap w:val="0"/>
                  <w:vAlign w:val="center"/>
                </w:tcPr>
                <w:p w14:paraId="02CE7F9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568" w:type="dxa"/>
                  <w:vMerge w:val="continue"/>
                  <w:tcBorders>
                    <w:tl2br w:val="nil"/>
                    <w:tr2bl w:val="nil"/>
                  </w:tcBorders>
                  <w:noWrap w:val="0"/>
                  <w:vAlign w:val="center"/>
                </w:tcPr>
                <w:p w14:paraId="6A42461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678" w:type="dxa"/>
                  <w:vMerge w:val="continue"/>
                  <w:tcBorders>
                    <w:tl2br w:val="nil"/>
                    <w:tr2bl w:val="nil"/>
                  </w:tcBorders>
                  <w:noWrap w:val="0"/>
                  <w:vAlign w:val="center"/>
                </w:tcPr>
                <w:p w14:paraId="1877A937">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p>
              </w:tc>
              <w:tc>
                <w:tcPr>
                  <w:tcW w:w="468" w:type="dxa"/>
                  <w:tcBorders>
                    <w:tl2br w:val="nil"/>
                    <w:tr2bl w:val="nil"/>
                  </w:tcBorders>
                  <w:noWrap w:val="0"/>
                  <w:vAlign w:val="center"/>
                </w:tcPr>
                <w:p w14:paraId="69D3C08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东</w:t>
                  </w:r>
                </w:p>
              </w:tc>
              <w:tc>
                <w:tcPr>
                  <w:tcW w:w="469" w:type="dxa"/>
                  <w:tcBorders>
                    <w:tl2br w:val="nil"/>
                    <w:tr2bl w:val="nil"/>
                  </w:tcBorders>
                  <w:noWrap w:val="0"/>
                  <w:vAlign w:val="center"/>
                </w:tcPr>
                <w:p w14:paraId="33926B6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南</w:t>
                  </w:r>
                </w:p>
              </w:tc>
              <w:tc>
                <w:tcPr>
                  <w:tcW w:w="468" w:type="dxa"/>
                  <w:tcBorders>
                    <w:tl2br w:val="nil"/>
                    <w:tr2bl w:val="nil"/>
                  </w:tcBorders>
                  <w:noWrap w:val="0"/>
                  <w:vAlign w:val="center"/>
                </w:tcPr>
                <w:p w14:paraId="154CFB3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西</w:t>
                  </w:r>
                </w:p>
              </w:tc>
              <w:tc>
                <w:tcPr>
                  <w:tcW w:w="483" w:type="dxa"/>
                  <w:tcBorders>
                    <w:tl2br w:val="nil"/>
                    <w:tr2bl w:val="nil"/>
                  </w:tcBorders>
                  <w:noWrap w:val="0"/>
                  <w:vAlign w:val="center"/>
                </w:tcPr>
                <w:p w14:paraId="293830F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t>北</w:t>
                  </w:r>
                </w:p>
              </w:tc>
              <w:tc>
                <w:tcPr>
                  <w:tcW w:w="777" w:type="dxa"/>
                  <w:vMerge w:val="continue"/>
                  <w:tcBorders>
                    <w:tl2br w:val="nil"/>
                    <w:tr2bl w:val="nil"/>
                  </w:tcBorders>
                  <w:noWrap w:val="0"/>
                  <w:vAlign w:val="center"/>
                </w:tcPr>
                <w:p w14:paraId="2C459673">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val="en-US" w:eastAsia="zh-CN"/>
                    </w:rPr>
                  </w:pPr>
                </w:p>
              </w:tc>
            </w:tr>
            <w:tr w14:paraId="2913C2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dxa"/>
                  <w:vMerge w:val="restart"/>
                  <w:tcBorders>
                    <w:tl2br w:val="nil"/>
                    <w:tr2bl w:val="nil"/>
                  </w:tcBorders>
                  <w:noWrap w:val="0"/>
                  <w:vAlign w:val="center"/>
                </w:tcPr>
                <w:p w14:paraId="2B273E7A">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lang w:val="en-US" w:eastAsia="zh-CN"/>
                    </w:rPr>
                    <w:t>面漆</w:t>
                  </w:r>
                </w:p>
              </w:tc>
              <w:tc>
                <w:tcPr>
                  <w:tcW w:w="766" w:type="dxa"/>
                  <w:tcBorders>
                    <w:tl2br w:val="nil"/>
                    <w:tr2bl w:val="nil"/>
                  </w:tcBorders>
                  <w:noWrap w:val="0"/>
                  <w:vAlign w:val="center"/>
                </w:tcPr>
                <w:p w14:paraId="0CEA45FC">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pacing w:val="0"/>
                      <w:kern w:val="0"/>
                      <w:position w:val="0"/>
                      <w:sz w:val="21"/>
                      <w:szCs w:val="21"/>
                      <w:highlight w:val="none"/>
                      <w:lang w:val="en-US" w:eastAsia="zh-CN"/>
                    </w:rPr>
                    <w:t>水帘气旋一体机</w:t>
                  </w:r>
                </w:p>
              </w:tc>
              <w:tc>
                <w:tcPr>
                  <w:tcW w:w="484" w:type="dxa"/>
                  <w:tcBorders>
                    <w:tl2br w:val="nil"/>
                    <w:tr2bl w:val="nil"/>
                  </w:tcBorders>
                  <w:shd w:val="clear" w:color="auto" w:fill="auto"/>
                  <w:noWrap w:val="0"/>
                  <w:vAlign w:val="center"/>
                </w:tcPr>
                <w:p w14:paraId="0B7C90F1">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566" w:type="dxa"/>
                  <w:tcBorders>
                    <w:tl2br w:val="nil"/>
                    <w:tr2bl w:val="nil"/>
                  </w:tcBorders>
                  <w:shd w:val="clear" w:color="auto" w:fill="auto"/>
                  <w:noWrap w:val="0"/>
                  <w:vAlign w:val="center"/>
                </w:tcPr>
                <w:p w14:paraId="34BDA029">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p>
              </w:tc>
              <w:tc>
                <w:tcPr>
                  <w:tcW w:w="717" w:type="dxa"/>
                  <w:tcBorders>
                    <w:tl2br w:val="nil"/>
                    <w:tr2bl w:val="nil"/>
                  </w:tcBorders>
                  <w:shd w:val="clear" w:color="auto" w:fill="auto"/>
                  <w:noWrap w:val="0"/>
                  <w:vAlign w:val="center"/>
                </w:tcPr>
                <w:p w14:paraId="04657854">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633" w:type="dxa"/>
                  <w:tcBorders>
                    <w:tl2br w:val="nil"/>
                    <w:tr2bl w:val="nil"/>
                  </w:tcBorders>
                  <w:noWrap w:val="0"/>
                  <w:vAlign w:val="center"/>
                </w:tcPr>
                <w:p w14:paraId="322D8004">
                  <w:pPr>
                    <w:widowControl/>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694" w:type="dxa"/>
                  <w:tcBorders>
                    <w:tl2br w:val="nil"/>
                    <w:tr2bl w:val="nil"/>
                  </w:tcBorders>
                  <w:noWrap w:val="0"/>
                  <w:vAlign w:val="center"/>
                </w:tcPr>
                <w:p w14:paraId="48754C4E">
                  <w:pPr>
                    <w:widowControl/>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648" w:type="dxa"/>
                  <w:tcBorders>
                    <w:tl2br w:val="nil"/>
                    <w:tr2bl w:val="nil"/>
                  </w:tcBorders>
                  <w:shd w:val="clear" w:color="auto" w:fill="auto"/>
                  <w:noWrap w:val="0"/>
                  <w:vAlign w:val="center"/>
                </w:tcPr>
                <w:p w14:paraId="4D2D13C6">
                  <w:pPr>
                    <w:keepNext w:val="0"/>
                    <w:keepLines w:val="0"/>
                    <w:widowControl/>
                    <w:suppressLineNumbers w:val="0"/>
                    <w:jc w:val="center"/>
                    <w:textAlignment w:val="center"/>
                    <w:rPr>
                      <w:rFonts w:hint="default" w:ascii="Times New Roman" w:hAnsi="Times New Roman" w:eastAsia="宋体" w:cs="Times New Roman"/>
                      <w:bCs w:val="0"/>
                      <w:color w:val="auto"/>
                      <w:kern w:val="2"/>
                      <w:sz w:val="21"/>
                      <w:szCs w:val="21"/>
                      <w:highlight w:val="none"/>
                      <w:lang w:val="en-US" w:eastAsia="zh-CN" w:bidi="ar-SA"/>
                    </w:rPr>
                  </w:pPr>
                </w:p>
              </w:tc>
              <w:tc>
                <w:tcPr>
                  <w:tcW w:w="454" w:type="dxa"/>
                  <w:tcBorders>
                    <w:tl2br w:val="nil"/>
                    <w:tr2bl w:val="nil"/>
                  </w:tcBorders>
                  <w:shd w:val="clear" w:color="auto" w:fill="auto"/>
                  <w:noWrap w:val="0"/>
                  <w:vAlign w:val="center"/>
                </w:tcPr>
                <w:p w14:paraId="1D756493">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p>
              </w:tc>
              <w:tc>
                <w:tcPr>
                  <w:tcW w:w="496" w:type="dxa"/>
                  <w:tcBorders>
                    <w:tl2br w:val="nil"/>
                    <w:tr2bl w:val="nil"/>
                  </w:tcBorders>
                  <w:shd w:val="clear" w:color="auto" w:fill="auto"/>
                  <w:noWrap w:val="0"/>
                  <w:vAlign w:val="center"/>
                </w:tcPr>
                <w:p w14:paraId="3A3B1985">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p>
              </w:tc>
              <w:tc>
                <w:tcPr>
                  <w:tcW w:w="507" w:type="dxa"/>
                  <w:tcBorders>
                    <w:tl2br w:val="nil"/>
                    <w:tr2bl w:val="nil"/>
                  </w:tcBorders>
                  <w:noWrap w:val="0"/>
                  <w:vAlign w:val="center"/>
                </w:tcPr>
                <w:p w14:paraId="1B407B9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555" w:type="dxa"/>
                  <w:tcBorders>
                    <w:tl2br w:val="nil"/>
                    <w:tr2bl w:val="nil"/>
                  </w:tcBorders>
                  <w:noWrap w:val="0"/>
                  <w:vAlign w:val="center"/>
                </w:tcPr>
                <w:p w14:paraId="6B85583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54" w:type="dxa"/>
                  <w:tcBorders>
                    <w:tl2br w:val="nil"/>
                    <w:tr2bl w:val="nil"/>
                  </w:tcBorders>
                  <w:noWrap w:val="0"/>
                  <w:vAlign w:val="center"/>
                </w:tcPr>
                <w:p w14:paraId="57ECFC3D">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18699F23">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40" w:type="dxa"/>
                  <w:tcBorders>
                    <w:tl2br w:val="nil"/>
                    <w:tr2bl w:val="nil"/>
                  </w:tcBorders>
                  <w:noWrap w:val="0"/>
                  <w:vAlign w:val="center"/>
                </w:tcPr>
                <w:p w14:paraId="71938A0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6C231C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39" w:type="dxa"/>
                  <w:tcBorders>
                    <w:tl2br w:val="nil"/>
                    <w:tr2bl w:val="nil"/>
                  </w:tcBorders>
                  <w:noWrap w:val="0"/>
                  <w:vAlign w:val="center"/>
                </w:tcPr>
                <w:p w14:paraId="586C1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39" w:type="dxa"/>
                  <w:tcBorders>
                    <w:tl2br w:val="nil"/>
                    <w:tr2bl w:val="nil"/>
                  </w:tcBorders>
                  <w:noWrap w:val="0"/>
                  <w:vAlign w:val="center"/>
                </w:tcPr>
                <w:p w14:paraId="30C87B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3D1BDD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568" w:type="dxa"/>
                  <w:vMerge w:val="restart"/>
                  <w:tcBorders>
                    <w:tl2br w:val="nil"/>
                    <w:tr2bl w:val="nil"/>
                  </w:tcBorders>
                  <w:noWrap w:val="0"/>
                  <w:vAlign w:val="center"/>
                </w:tcPr>
                <w:p w14:paraId="5E1C6BCE">
                  <w:pPr>
                    <w:keepNext w:val="0"/>
                    <w:keepLines w:val="0"/>
                    <w:pageBreakBefore w:val="0"/>
                    <w:widowControl/>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678" w:type="dxa"/>
                  <w:vMerge w:val="restart"/>
                  <w:tcBorders>
                    <w:tl2br w:val="nil"/>
                    <w:tr2bl w:val="nil"/>
                  </w:tcBorders>
                  <w:noWrap w:val="0"/>
                  <w:vAlign w:val="center"/>
                </w:tcPr>
                <w:p w14:paraId="6EEAAE6F">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53B89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9" w:type="dxa"/>
                  <w:tcBorders>
                    <w:tl2br w:val="nil"/>
                    <w:tr2bl w:val="nil"/>
                  </w:tcBorders>
                  <w:noWrap w:val="0"/>
                  <w:vAlign w:val="center"/>
                </w:tcPr>
                <w:p w14:paraId="25747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6513FA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6746D5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777" w:type="dxa"/>
                  <w:vMerge w:val="restart"/>
                  <w:tcBorders>
                    <w:tl2br w:val="nil"/>
                    <w:tr2bl w:val="nil"/>
                  </w:tcBorders>
                  <w:noWrap w:val="0"/>
                  <w:vAlign w:val="center"/>
                </w:tcPr>
                <w:p w14:paraId="0BBA26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i w:val="0"/>
                      <w:iCs w:val="0"/>
                      <w:caps w:val="0"/>
                      <w:color w:val="auto"/>
                      <w:spacing w:val="0"/>
                      <w:sz w:val="21"/>
                      <w:szCs w:val="21"/>
                      <w:highlight w:val="none"/>
                      <w:vertAlign w:val="baseline"/>
                      <w:lang w:val="en-US" w:eastAsia="zh-CN"/>
                    </w:rPr>
                    <w:t>1</w:t>
                  </w:r>
                </w:p>
              </w:tc>
            </w:tr>
            <w:tr w14:paraId="442D74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dxa"/>
                  <w:vMerge w:val="continue"/>
                  <w:tcBorders>
                    <w:tl2br w:val="nil"/>
                    <w:tr2bl w:val="nil"/>
                  </w:tcBorders>
                  <w:noWrap w:val="0"/>
                  <w:vAlign w:val="center"/>
                </w:tcPr>
                <w:p w14:paraId="165D186A">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66" w:type="dxa"/>
                  <w:tcBorders>
                    <w:tl2br w:val="nil"/>
                    <w:tr2bl w:val="nil"/>
                  </w:tcBorders>
                  <w:noWrap w:val="0"/>
                  <w:vAlign w:val="center"/>
                </w:tcPr>
                <w:p w14:paraId="52FF8F51">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pacing w:val="0"/>
                      <w:kern w:val="0"/>
                      <w:position w:val="0"/>
                      <w:sz w:val="21"/>
                      <w:szCs w:val="21"/>
                      <w:highlight w:val="none"/>
                      <w:lang w:val="en-US" w:eastAsia="zh-CN" w:bidi="ar-SA"/>
                    </w:rPr>
                    <w:t>喷枪</w:t>
                  </w:r>
                </w:p>
              </w:tc>
              <w:tc>
                <w:tcPr>
                  <w:tcW w:w="484" w:type="dxa"/>
                  <w:tcBorders>
                    <w:tl2br w:val="nil"/>
                    <w:tr2bl w:val="nil"/>
                  </w:tcBorders>
                  <w:shd w:val="clear" w:color="auto" w:fill="auto"/>
                  <w:noWrap w:val="0"/>
                  <w:vAlign w:val="center"/>
                </w:tcPr>
                <w:p w14:paraId="09E515F1">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566" w:type="dxa"/>
                  <w:tcBorders>
                    <w:tl2br w:val="nil"/>
                    <w:tr2bl w:val="nil"/>
                  </w:tcBorders>
                  <w:shd w:val="clear" w:color="auto" w:fill="auto"/>
                  <w:noWrap w:val="0"/>
                  <w:vAlign w:val="center"/>
                </w:tcPr>
                <w:p w14:paraId="15E4CB47">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p>
              </w:tc>
              <w:tc>
                <w:tcPr>
                  <w:tcW w:w="717" w:type="dxa"/>
                  <w:tcBorders>
                    <w:tl2br w:val="nil"/>
                    <w:tr2bl w:val="nil"/>
                  </w:tcBorders>
                  <w:shd w:val="clear" w:color="auto" w:fill="auto"/>
                  <w:noWrap w:val="0"/>
                  <w:vAlign w:val="center"/>
                </w:tcPr>
                <w:p w14:paraId="4A423CD4">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633" w:type="dxa"/>
                  <w:tcBorders>
                    <w:tl2br w:val="nil"/>
                    <w:tr2bl w:val="nil"/>
                  </w:tcBorders>
                  <w:noWrap w:val="0"/>
                  <w:vAlign w:val="center"/>
                </w:tcPr>
                <w:p w14:paraId="66F4BF8A">
                  <w:pPr>
                    <w:widowControl/>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694" w:type="dxa"/>
                  <w:tcBorders>
                    <w:tl2br w:val="nil"/>
                    <w:tr2bl w:val="nil"/>
                  </w:tcBorders>
                  <w:noWrap w:val="0"/>
                  <w:vAlign w:val="center"/>
                </w:tcPr>
                <w:p w14:paraId="01BCDBC0">
                  <w:pPr>
                    <w:widowControl/>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648" w:type="dxa"/>
                  <w:tcBorders>
                    <w:tl2br w:val="nil"/>
                    <w:tr2bl w:val="nil"/>
                  </w:tcBorders>
                  <w:shd w:val="clear" w:color="auto" w:fill="auto"/>
                  <w:noWrap w:val="0"/>
                  <w:vAlign w:val="center"/>
                </w:tcPr>
                <w:p w14:paraId="20E564D0">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val="0"/>
                      <w:color w:val="auto"/>
                      <w:kern w:val="2"/>
                      <w:sz w:val="21"/>
                      <w:szCs w:val="21"/>
                      <w:highlight w:val="none"/>
                      <w:lang w:val="en-US" w:eastAsia="zh-CN" w:bidi="ar-SA"/>
                    </w:rPr>
                  </w:pPr>
                </w:p>
              </w:tc>
              <w:tc>
                <w:tcPr>
                  <w:tcW w:w="454" w:type="dxa"/>
                  <w:tcBorders>
                    <w:tl2br w:val="nil"/>
                    <w:tr2bl w:val="nil"/>
                  </w:tcBorders>
                  <w:shd w:val="clear" w:color="auto" w:fill="auto"/>
                  <w:noWrap w:val="0"/>
                  <w:vAlign w:val="center"/>
                </w:tcPr>
                <w:p w14:paraId="25C521F2">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p>
              </w:tc>
              <w:tc>
                <w:tcPr>
                  <w:tcW w:w="496" w:type="dxa"/>
                  <w:tcBorders>
                    <w:tl2br w:val="nil"/>
                    <w:tr2bl w:val="nil"/>
                  </w:tcBorders>
                  <w:shd w:val="clear" w:color="auto" w:fill="auto"/>
                  <w:noWrap w:val="0"/>
                  <w:vAlign w:val="center"/>
                </w:tcPr>
                <w:p w14:paraId="091F55A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p>
              </w:tc>
              <w:tc>
                <w:tcPr>
                  <w:tcW w:w="507" w:type="dxa"/>
                  <w:tcBorders>
                    <w:tl2br w:val="nil"/>
                    <w:tr2bl w:val="nil"/>
                  </w:tcBorders>
                  <w:noWrap w:val="0"/>
                  <w:vAlign w:val="center"/>
                </w:tcPr>
                <w:p w14:paraId="233E42DB">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555" w:type="dxa"/>
                  <w:tcBorders>
                    <w:tl2br w:val="nil"/>
                    <w:tr2bl w:val="nil"/>
                  </w:tcBorders>
                  <w:noWrap w:val="0"/>
                  <w:vAlign w:val="center"/>
                </w:tcPr>
                <w:p w14:paraId="7D42A22F">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54" w:type="dxa"/>
                  <w:tcBorders>
                    <w:tl2br w:val="nil"/>
                    <w:tr2bl w:val="nil"/>
                  </w:tcBorders>
                  <w:noWrap w:val="0"/>
                  <w:vAlign w:val="center"/>
                </w:tcPr>
                <w:p w14:paraId="0B097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121CEB30">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40" w:type="dxa"/>
                  <w:tcBorders>
                    <w:tl2br w:val="nil"/>
                    <w:tr2bl w:val="nil"/>
                  </w:tcBorders>
                  <w:noWrap w:val="0"/>
                  <w:vAlign w:val="center"/>
                </w:tcPr>
                <w:p w14:paraId="77F04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27D5C6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39" w:type="dxa"/>
                  <w:tcBorders>
                    <w:tl2br w:val="nil"/>
                    <w:tr2bl w:val="nil"/>
                  </w:tcBorders>
                  <w:noWrap w:val="0"/>
                  <w:vAlign w:val="center"/>
                </w:tcPr>
                <w:p w14:paraId="562E7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39" w:type="dxa"/>
                  <w:tcBorders>
                    <w:tl2br w:val="nil"/>
                    <w:tr2bl w:val="nil"/>
                  </w:tcBorders>
                  <w:noWrap w:val="0"/>
                  <w:vAlign w:val="center"/>
                </w:tcPr>
                <w:p w14:paraId="509813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18453F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568" w:type="dxa"/>
                  <w:vMerge w:val="continue"/>
                  <w:tcBorders>
                    <w:tl2br w:val="nil"/>
                    <w:tr2bl w:val="nil"/>
                  </w:tcBorders>
                  <w:noWrap w:val="0"/>
                  <w:vAlign w:val="center"/>
                </w:tcPr>
                <w:p w14:paraId="3B0EFCE3">
                  <w:pPr>
                    <w:keepNext w:val="0"/>
                    <w:keepLines w:val="0"/>
                    <w:pageBreakBefore w:val="0"/>
                    <w:widowControl/>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vertAlign w:val="baseline"/>
                      <w:lang w:val="en-US" w:eastAsia="zh-CN"/>
                    </w:rPr>
                  </w:pPr>
                </w:p>
              </w:tc>
              <w:tc>
                <w:tcPr>
                  <w:tcW w:w="678" w:type="dxa"/>
                  <w:vMerge w:val="continue"/>
                  <w:tcBorders>
                    <w:tl2br w:val="nil"/>
                    <w:tr2bl w:val="nil"/>
                  </w:tcBorders>
                  <w:noWrap w:val="0"/>
                  <w:vAlign w:val="center"/>
                </w:tcPr>
                <w:p w14:paraId="0592675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6CD826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9" w:type="dxa"/>
                  <w:tcBorders>
                    <w:tl2br w:val="nil"/>
                    <w:tr2bl w:val="nil"/>
                  </w:tcBorders>
                  <w:noWrap w:val="0"/>
                  <w:vAlign w:val="center"/>
                </w:tcPr>
                <w:p w14:paraId="06C6F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4C633A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327CB3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777" w:type="dxa"/>
                  <w:vMerge w:val="continue"/>
                  <w:tcBorders>
                    <w:tl2br w:val="nil"/>
                    <w:tr2bl w:val="nil"/>
                  </w:tcBorders>
                  <w:noWrap w:val="0"/>
                  <w:vAlign w:val="center"/>
                </w:tcPr>
                <w:p w14:paraId="10A44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r>
            <w:tr w14:paraId="0D4B04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dxa"/>
                  <w:vMerge w:val="restart"/>
                  <w:tcBorders>
                    <w:tl2br w:val="nil"/>
                    <w:tr2bl w:val="nil"/>
                  </w:tcBorders>
                  <w:noWrap w:val="0"/>
                  <w:vAlign w:val="center"/>
                </w:tcPr>
                <w:p w14:paraId="3A5F7C6A">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pacing w:val="0"/>
                      <w:kern w:val="0"/>
                      <w:position w:val="0"/>
                      <w:sz w:val="21"/>
                      <w:szCs w:val="21"/>
                      <w:highlight w:val="none"/>
                      <w:lang w:val="en-US" w:eastAsia="zh-CN"/>
                    </w:rPr>
                    <w:t>底漆</w:t>
                  </w:r>
                </w:p>
              </w:tc>
              <w:tc>
                <w:tcPr>
                  <w:tcW w:w="766" w:type="dxa"/>
                  <w:tcBorders>
                    <w:tl2br w:val="nil"/>
                    <w:tr2bl w:val="nil"/>
                  </w:tcBorders>
                  <w:noWrap w:val="0"/>
                  <w:vAlign w:val="center"/>
                </w:tcPr>
                <w:p w14:paraId="46EBDD12">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pacing w:val="0"/>
                      <w:kern w:val="0"/>
                      <w:position w:val="0"/>
                      <w:sz w:val="21"/>
                      <w:szCs w:val="21"/>
                      <w:highlight w:val="none"/>
                      <w:lang w:val="en-US" w:eastAsia="zh-CN"/>
                    </w:rPr>
                    <w:t>水帘气旋一体机</w:t>
                  </w:r>
                </w:p>
              </w:tc>
              <w:tc>
                <w:tcPr>
                  <w:tcW w:w="484" w:type="dxa"/>
                  <w:tcBorders>
                    <w:tl2br w:val="nil"/>
                    <w:tr2bl w:val="nil"/>
                  </w:tcBorders>
                  <w:shd w:val="clear" w:color="auto" w:fill="auto"/>
                  <w:noWrap w:val="0"/>
                  <w:vAlign w:val="center"/>
                </w:tcPr>
                <w:p w14:paraId="37447E38">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566" w:type="dxa"/>
                  <w:tcBorders>
                    <w:tl2br w:val="nil"/>
                    <w:tr2bl w:val="nil"/>
                  </w:tcBorders>
                  <w:shd w:val="clear" w:color="auto" w:fill="auto"/>
                  <w:noWrap w:val="0"/>
                  <w:vAlign w:val="center"/>
                </w:tcPr>
                <w:p w14:paraId="0B59FBA3">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p>
              </w:tc>
              <w:tc>
                <w:tcPr>
                  <w:tcW w:w="717" w:type="dxa"/>
                  <w:tcBorders>
                    <w:tl2br w:val="nil"/>
                    <w:tr2bl w:val="nil"/>
                  </w:tcBorders>
                  <w:shd w:val="clear" w:color="auto" w:fill="auto"/>
                  <w:noWrap w:val="0"/>
                  <w:vAlign w:val="center"/>
                </w:tcPr>
                <w:p w14:paraId="0D28E6B3">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633" w:type="dxa"/>
                  <w:tcBorders>
                    <w:tl2br w:val="nil"/>
                    <w:tr2bl w:val="nil"/>
                  </w:tcBorders>
                  <w:noWrap w:val="0"/>
                  <w:vAlign w:val="center"/>
                </w:tcPr>
                <w:p w14:paraId="153FDE12">
                  <w:pPr>
                    <w:widowControl/>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694" w:type="dxa"/>
                  <w:tcBorders>
                    <w:tl2br w:val="nil"/>
                    <w:tr2bl w:val="nil"/>
                  </w:tcBorders>
                  <w:noWrap w:val="0"/>
                  <w:vAlign w:val="center"/>
                </w:tcPr>
                <w:p w14:paraId="6849D062">
                  <w:pPr>
                    <w:widowControl/>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648" w:type="dxa"/>
                  <w:tcBorders>
                    <w:tl2br w:val="nil"/>
                    <w:tr2bl w:val="nil"/>
                  </w:tcBorders>
                  <w:shd w:val="clear" w:color="auto" w:fill="auto"/>
                  <w:noWrap w:val="0"/>
                  <w:vAlign w:val="center"/>
                </w:tcPr>
                <w:p w14:paraId="55504E1A">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val="0"/>
                      <w:color w:val="auto"/>
                      <w:kern w:val="2"/>
                      <w:sz w:val="21"/>
                      <w:szCs w:val="21"/>
                      <w:highlight w:val="none"/>
                      <w:lang w:val="en-US" w:eastAsia="zh-CN" w:bidi="ar-SA"/>
                    </w:rPr>
                  </w:pPr>
                </w:p>
              </w:tc>
              <w:tc>
                <w:tcPr>
                  <w:tcW w:w="454" w:type="dxa"/>
                  <w:tcBorders>
                    <w:tl2br w:val="nil"/>
                    <w:tr2bl w:val="nil"/>
                  </w:tcBorders>
                  <w:shd w:val="clear" w:color="auto" w:fill="auto"/>
                  <w:noWrap w:val="0"/>
                  <w:vAlign w:val="center"/>
                </w:tcPr>
                <w:p w14:paraId="29BCE86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p>
              </w:tc>
              <w:tc>
                <w:tcPr>
                  <w:tcW w:w="496" w:type="dxa"/>
                  <w:tcBorders>
                    <w:tl2br w:val="nil"/>
                    <w:tr2bl w:val="nil"/>
                  </w:tcBorders>
                  <w:shd w:val="clear" w:color="auto" w:fill="auto"/>
                  <w:noWrap w:val="0"/>
                  <w:vAlign w:val="center"/>
                </w:tcPr>
                <w:p w14:paraId="5D50C4F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p>
              </w:tc>
              <w:tc>
                <w:tcPr>
                  <w:tcW w:w="507" w:type="dxa"/>
                  <w:tcBorders>
                    <w:tl2br w:val="nil"/>
                    <w:tr2bl w:val="nil"/>
                  </w:tcBorders>
                  <w:noWrap w:val="0"/>
                  <w:vAlign w:val="center"/>
                </w:tcPr>
                <w:p w14:paraId="4ADE03D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555" w:type="dxa"/>
                  <w:tcBorders>
                    <w:tl2br w:val="nil"/>
                    <w:tr2bl w:val="nil"/>
                  </w:tcBorders>
                  <w:noWrap w:val="0"/>
                  <w:vAlign w:val="center"/>
                </w:tcPr>
                <w:p w14:paraId="4D5DB551">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54" w:type="dxa"/>
                  <w:tcBorders>
                    <w:tl2br w:val="nil"/>
                    <w:tr2bl w:val="nil"/>
                  </w:tcBorders>
                  <w:noWrap w:val="0"/>
                  <w:vAlign w:val="center"/>
                </w:tcPr>
                <w:p w14:paraId="21BC1B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20ACD433">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40" w:type="dxa"/>
                  <w:tcBorders>
                    <w:tl2br w:val="nil"/>
                    <w:tr2bl w:val="nil"/>
                  </w:tcBorders>
                  <w:noWrap w:val="0"/>
                  <w:vAlign w:val="center"/>
                </w:tcPr>
                <w:p w14:paraId="269EF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611A58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39" w:type="dxa"/>
                  <w:tcBorders>
                    <w:tl2br w:val="nil"/>
                    <w:tr2bl w:val="nil"/>
                  </w:tcBorders>
                  <w:noWrap w:val="0"/>
                  <w:vAlign w:val="center"/>
                </w:tcPr>
                <w:p w14:paraId="104104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39" w:type="dxa"/>
                  <w:tcBorders>
                    <w:tl2br w:val="nil"/>
                    <w:tr2bl w:val="nil"/>
                  </w:tcBorders>
                  <w:noWrap w:val="0"/>
                  <w:vAlign w:val="center"/>
                </w:tcPr>
                <w:p w14:paraId="186028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6A10D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568" w:type="dxa"/>
                  <w:vMerge w:val="continue"/>
                  <w:tcBorders>
                    <w:tl2br w:val="nil"/>
                    <w:tr2bl w:val="nil"/>
                  </w:tcBorders>
                  <w:noWrap w:val="0"/>
                  <w:vAlign w:val="center"/>
                </w:tcPr>
                <w:p w14:paraId="6C914A5F">
                  <w:pPr>
                    <w:keepNext w:val="0"/>
                    <w:keepLines w:val="0"/>
                    <w:pageBreakBefore w:val="0"/>
                    <w:widowControl/>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vertAlign w:val="baseline"/>
                      <w:lang w:val="en-US" w:eastAsia="zh-CN"/>
                    </w:rPr>
                  </w:pPr>
                </w:p>
              </w:tc>
              <w:tc>
                <w:tcPr>
                  <w:tcW w:w="678" w:type="dxa"/>
                  <w:vMerge w:val="continue"/>
                  <w:tcBorders>
                    <w:tl2br w:val="nil"/>
                    <w:tr2bl w:val="nil"/>
                  </w:tcBorders>
                  <w:noWrap w:val="0"/>
                  <w:vAlign w:val="center"/>
                </w:tcPr>
                <w:p w14:paraId="4AF5B4D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2475F8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9" w:type="dxa"/>
                  <w:tcBorders>
                    <w:tl2br w:val="nil"/>
                    <w:tr2bl w:val="nil"/>
                  </w:tcBorders>
                  <w:noWrap w:val="0"/>
                  <w:vAlign w:val="center"/>
                </w:tcPr>
                <w:p w14:paraId="26670E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1A6909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508C7D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777" w:type="dxa"/>
                  <w:vMerge w:val="continue"/>
                  <w:tcBorders>
                    <w:tl2br w:val="nil"/>
                    <w:tr2bl w:val="nil"/>
                  </w:tcBorders>
                  <w:noWrap w:val="0"/>
                  <w:vAlign w:val="center"/>
                </w:tcPr>
                <w:p w14:paraId="6706B7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vertAlign w:val="baseline"/>
                      <w:lang w:val="en-US" w:eastAsia="zh-CN"/>
                    </w:rPr>
                  </w:pPr>
                </w:p>
              </w:tc>
            </w:tr>
            <w:tr w14:paraId="765802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dxa"/>
                  <w:vMerge w:val="continue"/>
                  <w:tcBorders>
                    <w:tl2br w:val="nil"/>
                    <w:tr2bl w:val="nil"/>
                  </w:tcBorders>
                  <w:noWrap w:val="0"/>
                  <w:vAlign w:val="center"/>
                </w:tcPr>
                <w:p w14:paraId="54D7B1D1">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66" w:type="dxa"/>
                  <w:tcBorders>
                    <w:tl2br w:val="nil"/>
                    <w:tr2bl w:val="nil"/>
                  </w:tcBorders>
                  <w:noWrap w:val="0"/>
                  <w:vAlign w:val="center"/>
                </w:tcPr>
                <w:p w14:paraId="324C23C4">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pacing w:val="0"/>
                      <w:kern w:val="0"/>
                      <w:position w:val="0"/>
                      <w:sz w:val="21"/>
                      <w:szCs w:val="21"/>
                      <w:highlight w:val="none"/>
                      <w:lang w:val="en-US" w:eastAsia="zh-CN"/>
                    </w:rPr>
                    <w:t>喷枪</w:t>
                  </w:r>
                </w:p>
              </w:tc>
              <w:tc>
                <w:tcPr>
                  <w:tcW w:w="484" w:type="dxa"/>
                  <w:tcBorders>
                    <w:tl2br w:val="nil"/>
                    <w:tr2bl w:val="nil"/>
                  </w:tcBorders>
                  <w:shd w:val="clear" w:color="auto" w:fill="auto"/>
                  <w:noWrap w:val="0"/>
                  <w:vAlign w:val="center"/>
                </w:tcPr>
                <w:p w14:paraId="4937E544">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566" w:type="dxa"/>
                  <w:tcBorders>
                    <w:tl2br w:val="nil"/>
                    <w:tr2bl w:val="nil"/>
                  </w:tcBorders>
                  <w:shd w:val="clear" w:color="auto" w:fill="auto"/>
                  <w:noWrap w:val="0"/>
                  <w:vAlign w:val="center"/>
                </w:tcPr>
                <w:p w14:paraId="5E78FB42">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p>
              </w:tc>
              <w:tc>
                <w:tcPr>
                  <w:tcW w:w="717" w:type="dxa"/>
                  <w:tcBorders>
                    <w:tl2br w:val="nil"/>
                    <w:tr2bl w:val="nil"/>
                  </w:tcBorders>
                  <w:shd w:val="clear" w:color="auto" w:fill="auto"/>
                  <w:noWrap w:val="0"/>
                  <w:vAlign w:val="center"/>
                </w:tcPr>
                <w:p w14:paraId="2F033799">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633" w:type="dxa"/>
                  <w:tcBorders>
                    <w:tl2br w:val="nil"/>
                    <w:tr2bl w:val="nil"/>
                  </w:tcBorders>
                  <w:noWrap w:val="0"/>
                  <w:vAlign w:val="center"/>
                </w:tcPr>
                <w:p w14:paraId="26B4E810">
                  <w:pPr>
                    <w:widowControl/>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694" w:type="dxa"/>
                  <w:tcBorders>
                    <w:tl2br w:val="nil"/>
                    <w:tr2bl w:val="nil"/>
                  </w:tcBorders>
                  <w:noWrap w:val="0"/>
                  <w:vAlign w:val="center"/>
                </w:tcPr>
                <w:p w14:paraId="51776873">
                  <w:pPr>
                    <w:widowControl/>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648" w:type="dxa"/>
                  <w:tcBorders>
                    <w:tl2br w:val="nil"/>
                    <w:tr2bl w:val="nil"/>
                  </w:tcBorders>
                  <w:shd w:val="clear" w:color="auto" w:fill="auto"/>
                  <w:noWrap w:val="0"/>
                  <w:vAlign w:val="center"/>
                </w:tcPr>
                <w:p w14:paraId="6C4728E5">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val="0"/>
                      <w:color w:val="auto"/>
                      <w:kern w:val="2"/>
                      <w:sz w:val="21"/>
                      <w:szCs w:val="21"/>
                      <w:highlight w:val="none"/>
                      <w:lang w:val="en-US" w:eastAsia="zh-CN" w:bidi="ar-SA"/>
                    </w:rPr>
                  </w:pPr>
                </w:p>
              </w:tc>
              <w:tc>
                <w:tcPr>
                  <w:tcW w:w="454" w:type="dxa"/>
                  <w:tcBorders>
                    <w:tl2br w:val="nil"/>
                    <w:tr2bl w:val="nil"/>
                  </w:tcBorders>
                  <w:shd w:val="clear" w:color="auto" w:fill="auto"/>
                  <w:noWrap w:val="0"/>
                  <w:vAlign w:val="center"/>
                </w:tcPr>
                <w:p w14:paraId="096C231F">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p>
              </w:tc>
              <w:tc>
                <w:tcPr>
                  <w:tcW w:w="496" w:type="dxa"/>
                  <w:tcBorders>
                    <w:tl2br w:val="nil"/>
                    <w:tr2bl w:val="nil"/>
                  </w:tcBorders>
                  <w:shd w:val="clear" w:color="auto" w:fill="auto"/>
                  <w:noWrap w:val="0"/>
                  <w:vAlign w:val="center"/>
                </w:tcPr>
                <w:p w14:paraId="16826271">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p>
              </w:tc>
              <w:tc>
                <w:tcPr>
                  <w:tcW w:w="507" w:type="dxa"/>
                  <w:tcBorders>
                    <w:tl2br w:val="nil"/>
                    <w:tr2bl w:val="nil"/>
                  </w:tcBorders>
                  <w:noWrap w:val="0"/>
                  <w:vAlign w:val="center"/>
                </w:tcPr>
                <w:p w14:paraId="702907A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555" w:type="dxa"/>
                  <w:tcBorders>
                    <w:tl2br w:val="nil"/>
                    <w:tr2bl w:val="nil"/>
                  </w:tcBorders>
                  <w:noWrap w:val="0"/>
                  <w:vAlign w:val="center"/>
                </w:tcPr>
                <w:p w14:paraId="3C8CE28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54" w:type="dxa"/>
                  <w:tcBorders>
                    <w:tl2br w:val="nil"/>
                    <w:tr2bl w:val="nil"/>
                  </w:tcBorders>
                  <w:noWrap w:val="0"/>
                  <w:vAlign w:val="center"/>
                </w:tcPr>
                <w:p w14:paraId="52A089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51CBB79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40" w:type="dxa"/>
                  <w:tcBorders>
                    <w:tl2br w:val="nil"/>
                    <w:tr2bl w:val="nil"/>
                  </w:tcBorders>
                  <w:noWrap w:val="0"/>
                  <w:vAlign w:val="center"/>
                </w:tcPr>
                <w:p w14:paraId="531E28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7DBF1A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39" w:type="dxa"/>
                  <w:tcBorders>
                    <w:tl2br w:val="nil"/>
                    <w:tr2bl w:val="nil"/>
                  </w:tcBorders>
                  <w:noWrap w:val="0"/>
                  <w:vAlign w:val="center"/>
                </w:tcPr>
                <w:p w14:paraId="33D9BF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39" w:type="dxa"/>
                  <w:tcBorders>
                    <w:tl2br w:val="nil"/>
                    <w:tr2bl w:val="nil"/>
                  </w:tcBorders>
                  <w:noWrap w:val="0"/>
                  <w:vAlign w:val="center"/>
                </w:tcPr>
                <w:p w14:paraId="447009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17EA62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568" w:type="dxa"/>
                  <w:vMerge w:val="continue"/>
                  <w:tcBorders>
                    <w:tl2br w:val="nil"/>
                    <w:tr2bl w:val="nil"/>
                  </w:tcBorders>
                  <w:noWrap w:val="0"/>
                  <w:vAlign w:val="center"/>
                </w:tcPr>
                <w:p w14:paraId="56E39C2D">
                  <w:pPr>
                    <w:keepNext w:val="0"/>
                    <w:keepLines w:val="0"/>
                    <w:pageBreakBefore w:val="0"/>
                    <w:widowControl/>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vertAlign w:val="baseline"/>
                      <w:lang w:val="en-US" w:eastAsia="zh-CN"/>
                    </w:rPr>
                  </w:pPr>
                </w:p>
              </w:tc>
              <w:tc>
                <w:tcPr>
                  <w:tcW w:w="678" w:type="dxa"/>
                  <w:vMerge w:val="continue"/>
                  <w:tcBorders>
                    <w:tl2br w:val="nil"/>
                    <w:tr2bl w:val="nil"/>
                  </w:tcBorders>
                  <w:noWrap w:val="0"/>
                  <w:vAlign w:val="center"/>
                </w:tcPr>
                <w:p w14:paraId="1928CDB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240A29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9" w:type="dxa"/>
                  <w:tcBorders>
                    <w:tl2br w:val="nil"/>
                    <w:tr2bl w:val="nil"/>
                  </w:tcBorders>
                  <w:noWrap w:val="0"/>
                  <w:vAlign w:val="center"/>
                </w:tcPr>
                <w:p w14:paraId="384B09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2B8FA8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01333C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777" w:type="dxa"/>
                  <w:vMerge w:val="continue"/>
                  <w:tcBorders>
                    <w:tl2br w:val="nil"/>
                    <w:tr2bl w:val="nil"/>
                  </w:tcBorders>
                  <w:noWrap w:val="0"/>
                  <w:vAlign w:val="center"/>
                </w:tcPr>
                <w:p w14:paraId="6BD33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vertAlign w:val="baseline"/>
                      <w:lang w:val="en-US" w:eastAsia="zh-CN"/>
                    </w:rPr>
                  </w:pPr>
                </w:p>
              </w:tc>
            </w:tr>
            <w:tr w14:paraId="6AAB48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gridSpan w:val="2"/>
                  <w:tcBorders>
                    <w:tl2br w:val="nil"/>
                    <w:tr2bl w:val="nil"/>
                  </w:tcBorders>
                  <w:noWrap w:val="0"/>
                  <w:vAlign w:val="center"/>
                </w:tcPr>
                <w:p w14:paraId="3AC9977C">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pacing w:val="0"/>
                      <w:kern w:val="2"/>
                      <w:position w:val="0"/>
                      <w:sz w:val="21"/>
                      <w:szCs w:val="21"/>
                      <w:highlight w:val="none"/>
                      <w:lang w:val="en-US" w:eastAsia="zh-CN" w:bidi="ar-SA"/>
                    </w:rPr>
                    <w:t>空压机</w:t>
                  </w:r>
                </w:p>
              </w:tc>
              <w:tc>
                <w:tcPr>
                  <w:tcW w:w="484" w:type="dxa"/>
                  <w:tcBorders>
                    <w:tl2br w:val="nil"/>
                    <w:tr2bl w:val="nil"/>
                  </w:tcBorders>
                  <w:shd w:val="clear" w:color="auto" w:fill="auto"/>
                  <w:noWrap w:val="0"/>
                  <w:vAlign w:val="center"/>
                </w:tcPr>
                <w:p w14:paraId="7EB364DA">
                  <w:pPr>
                    <w:widowControl/>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566" w:type="dxa"/>
                  <w:tcBorders>
                    <w:tl2br w:val="nil"/>
                    <w:tr2bl w:val="nil"/>
                  </w:tcBorders>
                  <w:shd w:val="clear" w:color="auto" w:fill="auto"/>
                  <w:noWrap w:val="0"/>
                  <w:vAlign w:val="center"/>
                </w:tcPr>
                <w:p w14:paraId="15ACA718">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p>
              </w:tc>
              <w:tc>
                <w:tcPr>
                  <w:tcW w:w="717" w:type="dxa"/>
                  <w:tcBorders>
                    <w:tl2br w:val="nil"/>
                    <w:tr2bl w:val="nil"/>
                  </w:tcBorders>
                  <w:shd w:val="clear" w:color="auto" w:fill="auto"/>
                  <w:noWrap w:val="0"/>
                  <w:vAlign w:val="center"/>
                </w:tcPr>
                <w:p w14:paraId="2C21BAA0">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633" w:type="dxa"/>
                  <w:tcBorders>
                    <w:tl2br w:val="nil"/>
                    <w:tr2bl w:val="nil"/>
                  </w:tcBorders>
                  <w:noWrap w:val="0"/>
                  <w:vAlign w:val="center"/>
                </w:tcPr>
                <w:p w14:paraId="4E41ED90">
                  <w:pPr>
                    <w:widowControl/>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694" w:type="dxa"/>
                  <w:tcBorders>
                    <w:tl2br w:val="nil"/>
                    <w:tr2bl w:val="nil"/>
                  </w:tcBorders>
                  <w:noWrap w:val="0"/>
                  <w:vAlign w:val="center"/>
                </w:tcPr>
                <w:p w14:paraId="4CC16550">
                  <w:pPr>
                    <w:widowControl/>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648" w:type="dxa"/>
                  <w:tcBorders>
                    <w:tl2br w:val="nil"/>
                    <w:tr2bl w:val="nil"/>
                  </w:tcBorders>
                  <w:shd w:val="clear" w:color="auto" w:fill="auto"/>
                  <w:noWrap w:val="0"/>
                  <w:vAlign w:val="center"/>
                </w:tcPr>
                <w:p w14:paraId="676D9375">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val="0"/>
                      <w:color w:val="auto"/>
                      <w:kern w:val="2"/>
                      <w:sz w:val="21"/>
                      <w:szCs w:val="21"/>
                      <w:highlight w:val="none"/>
                      <w:lang w:val="en-US" w:eastAsia="zh-CN" w:bidi="ar-SA"/>
                    </w:rPr>
                  </w:pPr>
                </w:p>
              </w:tc>
              <w:tc>
                <w:tcPr>
                  <w:tcW w:w="454" w:type="dxa"/>
                  <w:tcBorders>
                    <w:tl2br w:val="nil"/>
                    <w:tr2bl w:val="nil"/>
                  </w:tcBorders>
                  <w:shd w:val="clear" w:color="auto" w:fill="auto"/>
                  <w:noWrap w:val="0"/>
                  <w:vAlign w:val="center"/>
                </w:tcPr>
                <w:p w14:paraId="7A0781E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p>
              </w:tc>
              <w:tc>
                <w:tcPr>
                  <w:tcW w:w="496" w:type="dxa"/>
                  <w:tcBorders>
                    <w:tl2br w:val="nil"/>
                    <w:tr2bl w:val="nil"/>
                  </w:tcBorders>
                  <w:shd w:val="clear" w:color="auto" w:fill="auto"/>
                  <w:noWrap w:val="0"/>
                  <w:vAlign w:val="center"/>
                </w:tcPr>
                <w:p w14:paraId="3523CE7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p>
              </w:tc>
              <w:tc>
                <w:tcPr>
                  <w:tcW w:w="507" w:type="dxa"/>
                  <w:tcBorders>
                    <w:tl2br w:val="nil"/>
                    <w:tr2bl w:val="nil"/>
                  </w:tcBorders>
                  <w:noWrap w:val="0"/>
                  <w:vAlign w:val="center"/>
                </w:tcPr>
                <w:p w14:paraId="4DEBB70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555" w:type="dxa"/>
                  <w:tcBorders>
                    <w:tl2br w:val="nil"/>
                    <w:tr2bl w:val="nil"/>
                  </w:tcBorders>
                  <w:noWrap w:val="0"/>
                  <w:vAlign w:val="center"/>
                </w:tcPr>
                <w:p w14:paraId="68AC487B">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54" w:type="dxa"/>
                  <w:tcBorders>
                    <w:tl2br w:val="nil"/>
                    <w:tr2bl w:val="nil"/>
                  </w:tcBorders>
                  <w:noWrap w:val="0"/>
                  <w:vAlign w:val="center"/>
                </w:tcPr>
                <w:p w14:paraId="54362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12937BD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40" w:type="dxa"/>
                  <w:tcBorders>
                    <w:tl2br w:val="nil"/>
                    <w:tr2bl w:val="nil"/>
                  </w:tcBorders>
                  <w:noWrap w:val="0"/>
                  <w:vAlign w:val="center"/>
                </w:tcPr>
                <w:p w14:paraId="7D214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3F971E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39" w:type="dxa"/>
                  <w:tcBorders>
                    <w:tl2br w:val="nil"/>
                    <w:tr2bl w:val="nil"/>
                  </w:tcBorders>
                  <w:noWrap w:val="0"/>
                  <w:vAlign w:val="center"/>
                </w:tcPr>
                <w:p w14:paraId="2B2685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39" w:type="dxa"/>
                  <w:tcBorders>
                    <w:tl2br w:val="nil"/>
                    <w:tr2bl w:val="nil"/>
                  </w:tcBorders>
                  <w:noWrap w:val="0"/>
                  <w:vAlign w:val="center"/>
                </w:tcPr>
                <w:p w14:paraId="693F67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381AF5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568" w:type="dxa"/>
                  <w:vMerge w:val="continue"/>
                  <w:tcBorders>
                    <w:tl2br w:val="nil"/>
                    <w:tr2bl w:val="nil"/>
                  </w:tcBorders>
                  <w:noWrap w:val="0"/>
                  <w:vAlign w:val="center"/>
                </w:tcPr>
                <w:p w14:paraId="23BAF335">
                  <w:pPr>
                    <w:keepNext w:val="0"/>
                    <w:keepLines w:val="0"/>
                    <w:pageBreakBefore w:val="0"/>
                    <w:widowControl/>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vertAlign w:val="baseline"/>
                      <w:lang w:val="en-US" w:eastAsia="zh-CN"/>
                    </w:rPr>
                  </w:pPr>
                </w:p>
              </w:tc>
              <w:tc>
                <w:tcPr>
                  <w:tcW w:w="678" w:type="dxa"/>
                  <w:vMerge w:val="continue"/>
                  <w:tcBorders>
                    <w:tl2br w:val="nil"/>
                    <w:tr2bl w:val="nil"/>
                  </w:tcBorders>
                  <w:noWrap w:val="0"/>
                  <w:vAlign w:val="center"/>
                </w:tcPr>
                <w:p w14:paraId="5FEACB5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0543D5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9" w:type="dxa"/>
                  <w:tcBorders>
                    <w:tl2br w:val="nil"/>
                    <w:tr2bl w:val="nil"/>
                  </w:tcBorders>
                  <w:noWrap w:val="0"/>
                  <w:vAlign w:val="center"/>
                </w:tcPr>
                <w:p w14:paraId="14767F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68" w:type="dxa"/>
                  <w:tcBorders>
                    <w:tl2br w:val="nil"/>
                    <w:tr2bl w:val="nil"/>
                  </w:tcBorders>
                  <w:noWrap w:val="0"/>
                  <w:vAlign w:val="center"/>
                </w:tcPr>
                <w:p w14:paraId="2B807F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483" w:type="dxa"/>
                  <w:tcBorders>
                    <w:tl2br w:val="nil"/>
                    <w:tr2bl w:val="nil"/>
                  </w:tcBorders>
                  <w:noWrap w:val="0"/>
                  <w:vAlign w:val="center"/>
                </w:tcPr>
                <w:p w14:paraId="4AC558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777" w:type="dxa"/>
                  <w:vMerge w:val="continue"/>
                  <w:tcBorders>
                    <w:tl2br w:val="nil"/>
                    <w:tr2bl w:val="nil"/>
                  </w:tcBorders>
                  <w:noWrap w:val="0"/>
                  <w:vAlign w:val="center"/>
                </w:tcPr>
                <w:p w14:paraId="284511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Times New Roman" w:hAnsi="Times New Roman" w:eastAsia="宋体" w:cs="Times New Roman"/>
                      <w:i w:val="0"/>
                      <w:iCs w:val="0"/>
                      <w:caps w:val="0"/>
                      <w:color w:val="auto"/>
                      <w:spacing w:val="0"/>
                      <w:sz w:val="21"/>
                      <w:szCs w:val="21"/>
                      <w:highlight w:val="none"/>
                      <w:vertAlign w:val="baseline"/>
                      <w:lang w:val="en-US" w:eastAsia="zh-CN"/>
                    </w:rPr>
                  </w:pPr>
                </w:p>
              </w:tc>
            </w:tr>
            <w:tr w14:paraId="382BEC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08" w:type="dxa"/>
                  <w:gridSpan w:val="26"/>
                  <w:tcBorders>
                    <w:tl2br w:val="nil"/>
                    <w:tr2bl w:val="nil"/>
                  </w:tcBorders>
                  <w:noWrap w:val="0"/>
                  <w:vAlign w:val="center"/>
                </w:tcPr>
                <w:p w14:paraId="14C06086">
                  <w:pPr>
                    <w:pageBreakBefore w:val="0"/>
                    <w:widowControl w:val="0"/>
                    <w:tabs>
                      <w:tab w:val="left" w:pos="3225"/>
                    </w:tabs>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highlight w:val="none"/>
                      <w:lang w:val="en-US" w:eastAsia="zh-CN"/>
                    </w:rPr>
                  </w:pPr>
                  <w:r>
                    <w:rPr>
                      <w:rFonts w:hint="default" w:ascii="Times New Roman" w:hAnsi="Times New Roman" w:eastAsia="宋体" w:cs="Times New Roman"/>
                      <w:i w:val="0"/>
                      <w:iCs w:val="0"/>
                      <w:caps w:val="0"/>
                      <w:color w:val="auto"/>
                      <w:spacing w:val="0"/>
                      <w:sz w:val="18"/>
                      <w:szCs w:val="18"/>
                      <w:highlight w:val="none"/>
                      <w:vertAlign w:val="baseline"/>
                      <w:lang w:val="en-US" w:eastAsia="zh-CN"/>
                    </w:rPr>
                    <w:t>注</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w:t>
                  </w:r>
                  <w:r>
                    <w:rPr>
                      <w:rFonts w:hint="default" w:ascii="Times New Roman" w:hAnsi="Times New Roman" w:eastAsia="宋体" w:cs="Times New Roman"/>
                      <w:i w:val="0"/>
                      <w:iCs w:val="0"/>
                      <w:caps w:val="0"/>
                      <w:color w:val="auto"/>
                      <w:spacing w:val="0"/>
                      <w:sz w:val="18"/>
                      <w:szCs w:val="18"/>
                      <w:highlight w:val="none"/>
                      <w:vertAlign w:val="baseline"/>
                      <w:lang w:val="en-US" w:eastAsia="zh-CN"/>
                    </w:rPr>
                    <w:t>噪声源空间相对位置，以</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项目西南</w:t>
                  </w:r>
                  <w:r>
                    <w:rPr>
                      <w:rFonts w:hint="default" w:ascii="Times New Roman" w:hAnsi="Times New Roman" w:eastAsia="宋体" w:cs="Times New Roman"/>
                      <w:i w:val="0"/>
                      <w:iCs w:val="0"/>
                      <w:caps w:val="0"/>
                      <w:color w:val="auto"/>
                      <w:spacing w:val="0"/>
                      <w:sz w:val="18"/>
                      <w:szCs w:val="18"/>
                      <w:highlight w:val="none"/>
                      <w:vertAlign w:val="baseline"/>
                      <w:lang w:val="en-US" w:eastAsia="zh-CN"/>
                    </w:rPr>
                    <w:t>角为原点</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（E</w:t>
                  </w:r>
                  <w:r>
                    <w:rPr>
                      <w:rFonts w:ascii="Times New Roman" w:hAnsi="Times New Roman" w:eastAsia="宋体" w:cs="Times New Roman"/>
                      <w:color w:val="auto"/>
                      <w:sz w:val="18"/>
                      <w:szCs w:val="18"/>
                      <w:highlight w:val="none"/>
                    </w:rPr>
                    <w:t>11</w:t>
                  </w:r>
                  <w:r>
                    <w:rPr>
                      <w:rFonts w:hint="eastAsia" w:ascii="Times New Roman" w:hAnsi="Times New Roman" w:eastAsia="宋体" w:cs="Times New Roman"/>
                      <w:color w:val="auto"/>
                      <w:sz w:val="18"/>
                      <w:szCs w:val="18"/>
                      <w:highlight w:val="none"/>
                      <w:lang w:val="en-US" w:eastAsia="zh-CN"/>
                    </w:rPr>
                    <w:t>9</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10</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56.825</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N</w:t>
                  </w:r>
                  <w:r>
                    <w:rPr>
                      <w:rFonts w:ascii="Times New Roman" w:hAnsi="Times New Roman" w:eastAsia="宋体" w:cs="Times New Roman"/>
                      <w:color w:val="auto"/>
                      <w:sz w:val="18"/>
                      <w:szCs w:val="18"/>
                      <w:highlight w:val="none"/>
                    </w:rPr>
                    <w:t>2</w:t>
                  </w:r>
                  <w:r>
                    <w:rPr>
                      <w:rFonts w:hint="eastAsia" w:ascii="Times New Roman" w:hAnsi="Times New Roman" w:eastAsia="宋体" w:cs="Times New Roman"/>
                      <w:color w:val="auto"/>
                      <w:sz w:val="18"/>
                      <w:szCs w:val="18"/>
                      <w:highlight w:val="none"/>
                      <w:lang w:val="en-US" w:eastAsia="zh-CN"/>
                    </w:rPr>
                    <w:t>6</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9</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35.631</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i w:val="0"/>
                      <w:iCs w:val="0"/>
                      <w:caps w:val="0"/>
                      <w:color w:val="auto"/>
                      <w:spacing w:val="0"/>
                      <w:sz w:val="18"/>
                      <w:szCs w:val="18"/>
                      <w:highlight w:val="none"/>
                      <w:vertAlign w:val="baseline"/>
                      <w:lang w:val="en-US" w:eastAsia="zh-CN"/>
                    </w:rPr>
                    <w:t>）</w:t>
                  </w:r>
                  <w:r>
                    <w:rPr>
                      <w:rFonts w:hint="default" w:ascii="Times New Roman" w:hAnsi="Times New Roman" w:eastAsia="宋体" w:cs="Times New Roman"/>
                      <w:i w:val="0"/>
                      <w:iCs w:val="0"/>
                      <w:caps w:val="0"/>
                      <w:color w:val="auto"/>
                      <w:spacing w:val="0"/>
                      <w:sz w:val="18"/>
                      <w:szCs w:val="18"/>
                      <w:highlight w:val="none"/>
                      <w:vertAlign w:val="baseline"/>
                      <w:lang w:val="en-US" w:eastAsia="zh-CN"/>
                    </w:rPr>
                    <w:t>，平行南厂界为X轴，西厂界为Y轴，垂直车间地面为Z轴建立坐标系。</w:t>
                  </w:r>
                </w:p>
              </w:tc>
            </w:tr>
          </w:tbl>
          <w:p w14:paraId="4A1E44C8">
            <w:pPr>
              <w:pStyle w:val="37"/>
              <w:rPr>
                <w:color w:val="auto"/>
                <w:highlight w:val="none"/>
                <w:vertAlign w:val="baseline"/>
              </w:rPr>
            </w:pPr>
          </w:p>
        </w:tc>
      </w:tr>
    </w:tbl>
    <w:p w14:paraId="203D9A94">
      <w:pPr>
        <w:pStyle w:val="37"/>
        <w:rPr>
          <w:color w:val="auto"/>
          <w:highlight w:val="none"/>
        </w:rPr>
        <w:sectPr>
          <w:pgSz w:w="16838" w:h="11905" w:orient="landscape"/>
          <w:pgMar w:top="1134" w:right="1134" w:bottom="1134" w:left="1134"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9221"/>
      </w:tblGrid>
      <w:tr w14:paraId="2427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Pr>
          <w:p w14:paraId="63DF686C">
            <w:pPr>
              <w:pStyle w:val="37"/>
              <w:rPr>
                <w:color w:val="auto"/>
                <w:highlight w:val="none"/>
                <w:vertAlign w:val="baseline"/>
              </w:rPr>
            </w:pPr>
          </w:p>
        </w:tc>
        <w:tc>
          <w:tcPr>
            <w:tcW w:w="9221" w:type="dxa"/>
          </w:tcPr>
          <w:p w14:paraId="2B91AFFC">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eastAsia="宋体" w:cs="Times New Roman"/>
                <w:b/>
                <w:bCs w:val="0"/>
                <w:color w:val="auto"/>
                <w:spacing w:val="0"/>
                <w:position w:val="0"/>
                <w:sz w:val="24"/>
                <w:szCs w:val="24"/>
                <w:highlight w:val="none"/>
              </w:rPr>
            </w:pPr>
            <w:r>
              <w:rPr>
                <w:rFonts w:ascii="Times New Roman" w:hAnsi="Times New Roman" w:eastAsia="宋体" w:cs="Times New Roman"/>
                <w:b/>
                <w:bCs w:val="0"/>
                <w:color w:val="auto"/>
                <w:spacing w:val="0"/>
                <w:position w:val="0"/>
                <w:sz w:val="24"/>
                <w:szCs w:val="24"/>
                <w:highlight w:val="none"/>
              </w:rPr>
              <w:t>4.</w:t>
            </w:r>
            <w:r>
              <w:rPr>
                <w:rFonts w:hint="eastAsia" w:ascii="Times New Roman" w:hAnsi="Times New Roman" w:eastAsia="宋体" w:cs="Times New Roman"/>
                <w:b/>
                <w:bCs w:val="0"/>
                <w:color w:val="auto"/>
                <w:spacing w:val="0"/>
                <w:position w:val="0"/>
                <w:sz w:val="24"/>
                <w:szCs w:val="24"/>
                <w:highlight w:val="none"/>
              </w:rPr>
              <w:t>3</w:t>
            </w:r>
            <w:r>
              <w:rPr>
                <w:rFonts w:ascii="Times New Roman" w:hAnsi="Times New Roman" w:eastAsia="宋体" w:cs="Times New Roman"/>
                <w:b/>
                <w:bCs w:val="0"/>
                <w:color w:val="auto"/>
                <w:spacing w:val="0"/>
                <w:position w:val="0"/>
                <w:sz w:val="24"/>
                <w:szCs w:val="24"/>
                <w:highlight w:val="none"/>
              </w:rPr>
              <w:t>.2达标分析</w:t>
            </w:r>
          </w:p>
          <w:p w14:paraId="71725800">
            <w:pPr>
              <w:pageBreakBefore w:val="0"/>
              <w:kinsoku/>
              <w:wordWrap/>
              <w:overflowPunct/>
              <w:topLinePunct w:val="0"/>
              <w:autoSpaceDE/>
              <w:autoSpaceDN/>
              <w:bidi w:val="0"/>
              <w:spacing w:line="360" w:lineRule="auto"/>
              <w:ind w:firstLine="480" w:firstLineChars="200"/>
              <w:textAlignment w:val="auto"/>
              <w:rPr>
                <w:rFonts w:ascii="Times New Roman" w:hAnsi="Times New Roman" w:eastAsia="宋体" w:cs="Times New Roman"/>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 xml:space="preserve">（1）预测模式选择 </w:t>
            </w:r>
          </w:p>
          <w:p w14:paraId="79C18F4D">
            <w:pPr>
              <w:pStyle w:val="63"/>
              <w:pageBreakBefore w:val="0"/>
              <w:kinsoku/>
              <w:wordWrap/>
              <w:overflowPunct/>
              <w:topLinePunct w:val="0"/>
              <w:autoSpaceDE/>
              <w:autoSpaceDN/>
              <w:bidi w:val="0"/>
              <w:adjustRightInd w:val="0"/>
              <w:ind w:firstLine="480"/>
              <w:textAlignment w:val="auto"/>
              <w:rPr>
                <w:rFonts w:hint="eastAsia" w:ascii="Times New Roman" w:hAnsi="Times New Roman" w:eastAsia="宋体" w:cs="Times New Roman"/>
                <w:color w:val="auto"/>
                <w:spacing w:val="0"/>
                <w:position w:val="0"/>
                <w:szCs w:val="24"/>
                <w:highlight w:val="none"/>
              </w:rPr>
            </w:pPr>
            <w:r>
              <w:rPr>
                <w:rFonts w:hint="eastAsia" w:ascii="Times New Roman" w:hAnsi="Times New Roman" w:eastAsia="宋体" w:cs="Times New Roman"/>
                <w:color w:val="auto"/>
                <w:spacing w:val="0"/>
                <w:position w:val="0"/>
                <w:sz w:val="24"/>
                <w:szCs w:val="24"/>
                <w:highlight w:val="none"/>
              </w:rPr>
              <w:t>项目主要设备噪声源均为固定源，可作为点声源处理，考虑设备噪声向周围空间的传播过程中，近似地认为在半自由场中扩散，根据《环境影响评价技术导则</w:t>
            </w:r>
            <w:r>
              <w:rPr>
                <w:rFonts w:hint="eastAsia" w:ascii="Times New Roman" w:hAnsi="Times New Roman" w:eastAsia="宋体" w:cs="Times New Roman"/>
                <w:color w:val="auto"/>
                <w:spacing w:val="0"/>
                <w:position w:val="0"/>
                <w:sz w:val="24"/>
                <w:szCs w:val="24"/>
                <w:highlight w:val="none"/>
                <w:lang w:val="en-US" w:eastAsia="zh-CN"/>
              </w:rPr>
              <w:t xml:space="preserve"> </w:t>
            </w:r>
            <w:r>
              <w:rPr>
                <w:rFonts w:hint="eastAsia" w:ascii="Times New Roman" w:hAnsi="Times New Roman" w:eastAsia="宋体" w:cs="Times New Roman"/>
                <w:color w:val="auto"/>
                <w:spacing w:val="0"/>
                <w:position w:val="0"/>
                <w:sz w:val="24"/>
                <w:szCs w:val="24"/>
                <w:highlight w:val="none"/>
              </w:rPr>
              <w:t>声环境》（HJ2.4-2021）</w:t>
            </w:r>
            <w:r>
              <w:rPr>
                <w:rFonts w:hint="eastAsia" w:ascii="Times New Roman" w:hAnsi="Times New Roman" w:eastAsia="宋体" w:cs="Times New Roman"/>
                <w:color w:val="auto"/>
                <w:spacing w:val="0"/>
                <w:position w:val="0"/>
                <w:szCs w:val="24"/>
                <w:highlight w:val="none"/>
              </w:rPr>
              <w:t>推荐方法，选取点声源半自由声场传播模式，具体分析如下：</w:t>
            </w:r>
          </w:p>
          <w:p w14:paraId="7A08DAEB">
            <w:pPr>
              <w:pStyle w:val="63"/>
              <w:ind w:firstLine="480"/>
              <w:rPr>
                <w:rFonts w:hint="eastAsia" w:ascii="Times New Roman" w:hAnsi="Times New Roman" w:eastAsia="宋体" w:cs="Times New Roman"/>
                <w:color w:val="auto"/>
                <w:spacing w:val="0"/>
                <w:position w:val="0"/>
                <w:szCs w:val="24"/>
                <w:highlight w:val="none"/>
              </w:rPr>
            </w:pPr>
            <w:r>
              <w:rPr>
                <w:rFonts w:hint="eastAsia" w:ascii="Times New Roman" w:hAnsi="Times New Roman" w:eastAsia="宋体" w:cs="Times New Roman"/>
                <w:color w:val="auto"/>
                <w:spacing w:val="0"/>
                <w:position w:val="0"/>
                <w:szCs w:val="24"/>
                <w:highlight w:val="none"/>
              </w:rPr>
              <w:t>①建立一个坐标系，确定建设项目各噪声源位置和预测点位置，并根据声源性质及预测点与声源之间的距离等情况，把声源简化。</w:t>
            </w:r>
          </w:p>
          <w:p w14:paraId="4EA492DD">
            <w:pPr>
              <w:pStyle w:val="63"/>
              <w:ind w:firstLine="480"/>
              <w:rPr>
                <w:rFonts w:ascii="Times New Roman" w:hAnsi="Times New Roman" w:eastAsia="宋体" w:cs="Times New Roman"/>
                <w:color w:val="auto"/>
                <w:spacing w:val="0"/>
                <w:position w:val="0"/>
                <w:szCs w:val="24"/>
                <w:highlight w:val="none"/>
              </w:rPr>
            </w:pPr>
            <w:r>
              <w:rPr>
                <w:rFonts w:hint="eastAsia" w:ascii="Times New Roman" w:hAnsi="Times New Roman" w:eastAsia="宋体" w:cs="Times New Roman"/>
                <w:color w:val="auto"/>
                <w:spacing w:val="0"/>
                <w:position w:val="0"/>
                <w:szCs w:val="24"/>
                <w:highlight w:val="none"/>
              </w:rPr>
              <w:t>②根据各设备声源源强的数据和各声源到预测点的声波传播条件资料，计算出噪声从各声源传播到预测点的声衰减量，由此计算出各声源单独作用在预测点时产生的A声级。为简化计算工作，预测计算中只考虑各设备声源至预测点的距离衰减、隔墙（或窗户）的传输损失及降噪设备引起的噪声衰减。各声源由于厂区内外</w:t>
            </w:r>
            <w:r>
              <w:rPr>
                <w:rFonts w:hint="eastAsia" w:cs="Times New Roman"/>
                <w:color w:val="auto"/>
                <w:spacing w:val="0"/>
                <w:position w:val="0"/>
                <w:szCs w:val="24"/>
                <w:highlight w:val="none"/>
                <w:lang w:eastAsia="zh-CN"/>
              </w:rPr>
              <w:t>其他</w:t>
            </w:r>
            <w:r>
              <w:rPr>
                <w:rFonts w:hint="eastAsia" w:ascii="Times New Roman" w:hAnsi="Times New Roman" w:eastAsia="宋体" w:cs="Times New Roman"/>
                <w:color w:val="auto"/>
                <w:spacing w:val="0"/>
                <w:position w:val="0"/>
                <w:szCs w:val="24"/>
                <w:highlight w:val="none"/>
              </w:rPr>
              <w:t>遮挡物引起的衰减、空气吸收引起的衰减，由于云、雾、温度梯度、风及地面效应等引起的声能量衰减等，可忽略不计。</w:t>
            </w:r>
          </w:p>
          <w:p w14:paraId="596196B0">
            <w:pPr>
              <w:spacing w:line="360" w:lineRule="auto"/>
              <w:ind w:firstLine="1680" w:firstLineChars="700"/>
              <w:rPr>
                <w:rFonts w:hint="eastAsia" w:ascii="Times New Roman" w:hAnsi="Times New Roman" w:eastAsia="宋体" w:cs="Times New Roman"/>
                <w:color w:val="auto"/>
                <w:spacing w:val="0"/>
                <w:position w:val="0"/>
                <w:sz w:val="24"/>
                <w:szCs w:val="22"/>
                <w:highlight w:val="none"/>
              </w:rPr>
            </w:pPr>
            <w:r>
              <w:rPr>
                <w:rFonts w:hint="eastAsia" w:ascii="Times New Roman" w:hAnsi="Times New Roman" w:eastAsia="宋体" w:cs="Times New Roman"/>
                <w:color w:val="auto"/>
                <w:spacing w:val="0"/>
                <w:position w:val="0"/>
                <w:sz w:val="24"/>
                <w:szCs w:val="22"/>
                <w:highlight w:val="none"/>
              </w:rPr>
              <w:t>L</w:t>
            </w:r>
            <w:r>
              <w:rPr>
                <w:rFonts w:hint="eastAsia" w:ascii="Times New Roman" w:hAnsi="Times New Roman" w:eastAsia="宋体" w:cs="Times New Roman"/>
                <w:color w:val="auto"/>
                <w:spacing w:val="0"/>
                <w:position w:val="0"/>
                <w:sz w:val="24"/>
                <w:szCs w:val="22"/>
                <w:highlight w:val="none"/>
                <w:vertAlign w:val="subscript"/>
              </w:rPr>
              <w:t>Ai</w:t>
            </w:r>
            <w:r>
              <w:rPr>
                <w:rFonts w:hint="eastAsia" w:ascii="Times New Roman" w:hAnsi="Times New Roman" w:eastAsia="宋体" w:cs="Times New Roman"/>
                <w:color w:val="auto"/>
                <w:spacing w:val="0"/>
                <w:position w:val="0"/>
                <w:sz w:val="24"/>
                <w:szCs w:val="22"/>
                <w:highlight w:val="none"/>
              </w:rPr>
              <w:t>＝L</w:t>
            </w:r>
            <w:r>
              <w:rPr>
                <w:rFonts w:hint="eastAsia" w:ascii="Times New Roman" w:hAnsi="Times New Roman" w:eastAsia="宋体" w:cs="Times New Roman"/>
                <w:color w:val="auto"/>
                <w:spacing w:val="0"/>
                <w:position w:val="0"/>
                <w:sz w:val="24"/>
                <w:szCs w:val="22"/>
                <w:highlight w:val="none"/>
                <w:vertAlign w:val="subscript"/>
              </w:rPr>
              <w:t>A</w:t>
            </w:r>
            <w:r>
              <w:rPr>
                <w:rFonts w:hint="eastAsia" w:ascii="Times New Roman" w:hAnsi="Times New Roman" w:eastAsia="宋体" w:cs="Times New Roman"/>
                <w:color w:val="auto"/>
                <w:spacing w:val="0"/>
                <w:position w:val="0"/>
                <w:sz w:val="24"/>
                <w:szCs w:val="22"/>
                <w:highlight w:val="none"/>
              </w:rPr>
              <w:t>（r</w:t>
            </w:r>
            <w:r>
              <w:rPr>
                <w:rFonts w:hint="eastAsia" w:ascii="Times New Roman" w:hAnsi="Times New Roman" w:eastAsia="宋体" w:cs="Times New Roman"/>
                <w:color w:val="auto"/>
                <w:spacing w:val="0"/>
                <w:position w:val="0"/>
                <w:sz w:val="24"/>
                <w:szCs w:val="22"/>
                <w:highlight w:val="none"/>
                <w:vertAlign w:val="subscript"/>
              </w:rPr>
              <w:t>0</w:t>
            </w:r>
            <w:r>
              <w:rPr>
                <w:rFonts w:hint="eastAsia" w:ascii="Times New Roman" w:hAnsi="Times New Roman" w:eastAsia="宋体" w:cs="Times New Roman"/>
                <w:color w:val="auto"/>
                <w:spacing w:val="0"/>
                <w:position w:val="0"/>
                <w:sz w:val="24"/>
                <w:szCs w:val="22"/>
                <w:highlight w:val="none"/>
              </w:rPr>
              <w:t>）-20lg（r/r</w:t>
            </w:r>
            <w:r>
              <w:rPr>
                <w:rFonts w:hint="eastAsia" w:ascii="Times New Roman" w:hAnsi="Times New Roman" w:eastAsia="宋体" w:cs="Times New Roman"/>
                <w:color w:val="auto"/>
                <w:spacing w:val="0"/>
                <w:position w:val="0"/>
                <w:sz w:val="24"/>
                <w:szCs w:val="22"/>
                <w:highlight w:val="none"/>
                <w:vertAlign w:val="subscript"/>
              </w:rPr>
              <w:t>0</w:t>
            </w:r>
            <w:r>
              <w:rPr>
                <w:rFonts w:hint="eastAsia" w:ascii="Times New Roman" w:hAnsi="Times New Roman" w:eastAsia="宋体" w:cs="Times New Roman"/>
                <w:color w:val="auto"/>
                <w:spacing w:val="0"/>
                <w:position w:val="0"/>
                <w:sz w:val="24"/>
                <w:szCs w:val="22"/>
                <w:highlight w:val="none"/>
              </w:rPr>
              <w:t>）-NR-△L，NR=TL+6</w:t>
            </w:r>
          </w:p>
          <w:p w14:paraId="0F9739C8">
            <w:pPr>
              <w:spacing w:line="360" w:lineRule="auto"/>
              <w:ind w:firstLine="480" w:firstLineChars="200"/>
              <w:rPr>
                <w:rFonts w:hint="eastAsia" w:ascii="Times New Roman" w:hAnsi="Times New Roman" w:eastAsia="宋体" w:cs="Times New Roman"/>
                <w:color w:val="auto"/>
                <w:spacing w:val="0"/>
                <w:position w:val="0"/>
                <w:sz w:val="24"/>
                <w:szCs w:val="22"/>
                <w:highlight w:val="none"/>
              </w:rPr>
            </w:pPr>
            <w:r>
              <w:rPr>
                <w:rFonts w:hint="eastAsia" w:ascii="Times New Roman" w:hAnsi="Times New Roman" w:eastAsia="宋体" w:cs="Times New Roman"/>
                <w:color w:val="auto"/>
                <w:spacing w:val="0"/>
                <w:position w:val="0"/>
                <w:sz w:val="24"/>
                <w:szCs w:val="22"/>
                <w:highlight w:val="none"/>
              </w:rPr>
              <w:t>式中：L</w:t>
            </w:r>
            <w:r>
              <w:rPr>
                <w:rFonts w:hint="eastAsia" w:ascii="Times New Roman" w:hAnsi="Times New Roman" w:eastAsia="宋体" w:cs="Times New Roman"/>
                <w:color w:val="auto"/>
                <w:spacing w:val="0"/>
                <w:position w:val="0"/>
                <w:sz w:val="24"/>
                <w:szCs w:val="22"/>
                <w:highlight w:val="none"/>
                <w:vertAlign w:val="subscript"/>
              </w:rPr>
              <w:t>Ai</w:t>
            </w:r>
            <w:r>
              <w:rPr>
                <w:rFonts w:hint="eastAsia" w:ascii="Times New Roman" w:hAnsi="Times New Roman" w:eastAsia="宋体" w:cs="Times New Roman"/>
                <w:color w:val="auto"/>
                <w:spacing w:val="0"/>
                <w:position w:val="0"/>
                <w:sz w:val="24"/>
                <w:szCs w:val="22"/>
                <w:highlight w:val="none"/>
              </w:rPr>
              <w:t>－距离声源r</w:t>
            </w:r>
            <w:r>
              <w:rPr>
                <w:rFonts w:hint="eastAsia" w:cs="Times New Roman"/>
                <w:color w:val="auto"/>
                <w:spacing w:val="0"/>
                <w:position w:val="0"/>
                <w:sz w:val="24"/>
                <w:szCs w:val="22"/>
                <w:highlight w:val="none"/>
                <w:lang w:eastAsia="zh-CN"/>
              </w:rPr>
              <w:t>（</w:t>
            </w:r>
            <w:r>
              <w:rPr>
                <w:rFonts w:hint="eastAsia" w:ascii="Times New Roman" w:hAnsi="Times New Roman" w:eastAsia="宋体" w:cs="Times New Roman"/>
                <w:color w:val="auto"/>
                <w:spacing w:val="0"/>
                <w:position w:val="0"/>
                <w:sz w:val="24"/>
                <w:szCs w:val="22"/>
                <w:highlight w:val="none"/>
              </w:rPr>
              <w:t>m</w:t>
            </w:r>
            <w:r>
              <w:rPr>
                <w:rFonts w:hint="eastAsia" w:cs="Times New Roman"/>
                <w:color w:val="auto"/>
                <w:spacing w:val="0"/>
                <w:position w:val="0"/>
                <w:sz w:val="24"/>
                <w:szCs w:val="22"/>
                <w:highlight w:val="none"/>
                <w:lang w:eastAsia="zh-CN"/>
              </w:rPr>
              <w:t>）</w:t>
            </w:r>
            <w:r>
              <w:rPr>
                <w:rFonts w:hint="eastAsia" w:ascii="Times New Roman" w:hAnsi="Times New Roman" w:eastAsia="宋体" w:cs="Times New Roman"/>
                <w:color w:val="auto"/>
                <w:spacing w:val="0"/>
                <w:position w:val="0"/>
                <w:sz w:val="24"/>
                <w:szCs w:val="22"/>
                <w:highlight w:val="none"/>
              </w:rPr>
              <w:t>处的A声级，dB</w:t>
            </w:r>
            <w:r>
              <w:rPr>
                <w:rFonts w:hint="eastAsia" w:cs="Times New Roman"/>
                <w:color w:val="auto"/>
                <w:spacing w:val="0"/>
                <w:position w:val="0"/>
                <w:sz w:val="24"/>
                <w:szCs w:val="22"/>
                <w:highlight w:val="none"/>
                <w:lang w:eastAsia="zh-CN"/>
              </w:rPr>
              <w:t>（</w:t>
            </w:r>
            <w:r>
              <w:rPr>
                <w:rFonts w:hint="eastAsia" w:ascii="Times New Roman" w:hAnsi="Times New Roman" w:eastAsia="宋体" w:cs="Times New Roman"/>
                <w:color w:val="auto"/>
                <w:spacing w:val="0"/>
                <w:position w:val="0"/>
                <w:sz w:val="24"/>
                <w:szCs w:val="22"/>
                <w:highlight w:val="none"/>
              </w:rPr>
              <w:t>A</w:t>
            </w:r>
            <w:r>
              <w:rPr>
                <w:rFonts w:hint="eastAsia" w:cs="Times New Roman"/>
                <w:color w:val="auto"/>
                <w:spacing w:val="0"/>
                <w:position w:val="0"/>
                <w:sz w:val="24"/>
                <w:szCs w:val="22"/>
                <w:highlight w:val="none"/>
                <w:lang w:eastAsia="zh-CN"/>
              </w:rPr>
              <w:t>）</w:t>
            </w:r>
            <w:r>
              <w:rPr>
                <w:rFonts w:hint="eastAsia" w:ascii="Times New Roman" w:hAnsi="Times New Roman" w:eastAsia="宋体" w:cs="Times New Roman"/>
                <w:color w:val="auto"/>
                <w:spacing w:val="0"/>
                <w:position w:val="0"/>
                <w:sz w:val="24"/>
                <w:szCs w:val="22"/>
                <w:highlight w:val="none"/>
              </w:rPr>
              <w:t>；</w:t>
            </w:r>
          </w:p>
          <w:p w14:paraId="305794B7">
            <w:pPr>
              <w:spacing w:line="360" w:lineRule="auto"/>
              <w:ind w:firstLine="1200" w:firstLineChars="500"/>
              <w:rPr>
                <w:rFonts w:hint="eastAsia" w:ascii="Times New Roman" w:hAnsi="Times New Roman" w:eastAsia="宋体" w:cs="Times New Roman"/>
                <w:color w:val="auto"/>
                <w:spacing w:val="0"/>
                <w:position w:val="0"/>
                <w:sz w:val="24"/>
                <w:szCs w:val="22"/>
                <w:highlight w:val="none"/>
              </w:rPr>
            </w:pPr>
            <w:r>
              <w:rPr>
                <w:rFonts w:hint="eastAsia" w:ascii="Times New Roman" w:hAnsi="Times New Roman" w:eastAsia="宋体" w:cs="Times New Roman"/>
                <w:color w:val="auto"/>
                <w:spacing w:val="0"/>
                <w:position w:val="0"/>
                <w:sz w:val="24"/>
                <w:szCs w:val="22"/>
                <w:highlight w:val="none"/>
              </w:rPr>
              <w:t>L</w:t>
            </w:r>
            <w:r>
              <w:rPr>
                <w:rFonts w:hint="eastAsia" w:ascii="Times New Roman" w:hAnsi="Times New Roman" w:eastAsia="宋体" w:cs="Times New Roman"/>
                <w:color w:val="auto"/>
                <w:spacing w:val="0"/>
                <w:position w:val="0"/>
                <w:sz w:val="24"/>
                <w:szCs w:val="22"/>
                <w:highlight w:val="none"/>
                <w:vertAlign w:val="subscript"/>
              </w:rPr>
              <w:t>A</w:t>
            </w:r>
            <w:r>
              <w:rPr>
                <w:rFonts w:hint="eastAsia" w:ascii="Times New Roman" w:hAnsi="Times New Roman" w:eastAsia="宋体" w:cs="Times New Roman"/>
                <w:color w:val="auto"/>
                <w:spacing w:val="0"/>
                <w:position w:val="0"/>
                <w:sz w:val="24"/>
                <w:szCs w:val="22"/>
                <w:highlight w:val="none"/>
              </w:rPr>
              <w:t>（r</w:t>
            </w:r>
            <w:r>
              <w:rPr>
                <w:rFonts w:hint="eastAsia" w:ascii="Times New Roman" w:hAnsi="Times New Roman" w:eastAsia="宋体" w:cs="Times New Roman"/>
                <w:color w:val="auto"/>
                <w:spacing w:val="0"/>
                <w:position w:val="0"/>
                <w:sz w:val="24"/>
                <w:szCs w:val="22"/>
                <w:highlight w:val="none"/>
                <w:vertAlign w:val="subscript"/>
              </w:rPr>
              <w:t>0</w:t>
            </w:r>
            <w:r>
              <w:rPr>
                <w:rFonts w:hint="eastAsia" w:ascii="Times New Roman" w:hAnsi="Times New Roman" w:eastAsia="宋体" w:cs="Times New Roman"/>
                <w:color w:val="auto"/>
                <w:spacing w:val="0"/>
                <w:position w:val="0"/>
                <w:sz w:val="24"/>
                <w:szCs w:val="22"/>
                <w:highlight w:val="none"/>
              </w:rPr>
              <w:t>）－声源的A声级，dB</w:t>
            </w:r>
            <w:r>
              <w:rPr>
                <w:rFonts w:hint="eastAsia" w:cs="Times New Roman"/>
                <w:color w:val="auto"/>
                <w:spacing w:val="0"/>
                <w:position w:val="0"/>
                <w:sz w:val="24"/>
                <w:szCs w:val="22"/>
                <w:highlight w:val="none"/>
                <w:lang w:eastAsia="zh-CN"/>
              </w:rPr>
              <w:t>（</w:t>
            </w:r>
            <w:r>
              <w:rPr>
                <w:rFonts w:hint="eastAsia" w:ascii="Times New Roman" w:hAnsi="Times New Roman" w:eastAsia="宋体" w:cs="Times New Roman"/>
                <w:color w:val="auto"/>
                <w:spacing w:val="0"/>
                <w:position w:val="0"/>
                <w:sz w:val="24"/>
                <w:szCs w:val="22"/>
                <w:highlight w:val="none"/>
              </w:rPr>
              <w:t>A</w:t>
            </w:r>
            <w:r>
              <w:rPr>
                <w:rFonts w:hint="eastAsia" w:cs="Times New Roman"/>
                <w:color w:val="auto"/>
                <w:spacing w:val="0"/>
                <w:position w:val="0"/>
                <w:sz w:val="24"/>
                <w:szCs w:val="22"/>
                <w:highlight w:val="none"/>
                <w:lang w:eastAsia="zh-CN"/>
              </w:rPr>
              <w:t>）</w:t>
            </w:r>
            <w:r>
              <w:rPr>
                <w:rFonts w:hint="eastAsia" w:ascii="Times New Roman" w:hAnsi="Times New Roman" w:eastAsia="宋体" w:cs="Times New Roman"/>
                <w:color w:val="auto"/>
                <w:spacing w:val="0"/>
                <w:position w:val="0"/>
                <w:sz w:val="24"/>
                <w:szCs w:val="22"/>
                <w:highlight w:val="none"/>
              </w:rPr>
              <w:t>，r</w:t>
            </w:r>
            <w:r>
              <w:rPr>
                <w:rFonts w:hint="eastAsia" w:ascii="Times New Roman" w:hAnsi="Times New Roman" w:eastAsia="宋体" w:cs="Times New Roman"/>
                <w:color w:val="auto"/>
                <w:spacing w:val="0"/>
                <w:position w:val="0"/>
                <w:sz w:val="24"/>
                <w:szCs w:val="22"/>
                <w:highlight w:val="none"/>
                <w:vertAlign w:val="subscript"/>
              </w:rPr>
              <w:t>0</w:t>
            </w:r>
            <w:r>
              <w:rPr>
                <w:rFonts w:hint="eastAsia" w:ascii="Times New Roman" w:hAnsi="Times New Roman" w:eastAsia="宋体" w:cs="Times New Roman"/>
                <w:color w:val="auto"/>
                <w:spacing w:val="0"/>
                <w:position w:val="0"/>
                <w:sz w:val="24"/>
                <w:szCs w:val="22"/>
                <w:highlight w:val="none"/>
              </w:rPr>
              <w:t>取值 1m；</w:t>
            </w:r>
          </w:p>
          <w:p w14:paraId="6B036994">
            <w:pPr>
              <w:spacing w:line="360" w:lineRule="auto"/>
              <w:ind w:firstLine="1200" w:firstLineChars="500"/>
              <w:rPr>
                <w:rFonts w:hint="eastAsia" w:ascii="Times New Roman" w:hAnsi="Times New Roman" w:eastAsia="宋体" w:cs="Times New Roman"/>
                <w:color w:val="auto"/>
                <w:spacing w:val="0"/>
                <w:position w:val="0"/>
                <w:sz w:val="24"/>
                <w:szCs w:val="22"/>
                <w:highlight w:val="none"/>
              </w:rPr>
            </w:pPr>
            <w:r>
              <w:rPr>
                <w:rFonts w:hint="eastAsia" w:ascii="Times New Roman" w:hAnsi="Times New Roman" w:eastAsia="宋体" w:cs="Times New Roman"/>
                <w:color w:val="auto"/>
                <w:spacing w:val="0"/>
                <w:position w:val="0"/>
                <w:sz w:val="24"/>
                <w:szCs w:val="22"/>
                <w:highlight w:val="none"/>
              </w:rPr>
              <w:t>r－声源至预测点的距离，m；</w:t>
            </w:r>
          </w:p>
          <w:p w14:paraId="2444C3D4">
            <w:pPr>
              <w:spacing w:line="360" w:lineRule="auto"/>
              <w:ind w:firstLine="1200" w:firstLineChars="500"/>
              <w:rPr>
                <w:rFonts w:hint="eastAsia" w:ascii="Times New Roman" w:hAnsi="Times New Roman" w:eastAsia="宋体" w:cs="Times New Roman"/>
                <w:color w:val="auto"/>
                <w:spacing w:val="0"/>
                <w:position w:val="0"/>
                <w:sz w:val="24"/>
                <w:szCs w:val="22"/>
                <w:highlight w:val="none"/>
              </w:rPr>
            </w:pPr>
            <w:r>
              <w:rPr>
                <w:rFonts w:hint="eastAsia" w:ascii="Times New Roman" w:hAnsi="Times New Roman" w:eastAsia="宋体" w:cs="Times New Roman"/>
                <w:color w:val="auto"/>
                <w:spacing w:val="0"/>
                <w:position w:val="0"/>
                <w:sz w:val="24"/>
                <w:szCs w:val="22"/>
                <w:highlight w:val="none"/>
              </w:rPr>
              <w:t>NR－噪声从室内向室外传播的声级差，dB</w:t>
            </w:r>
            <w:r>
              <w:rPr>
                <w:rFonts w:hint="eastAsia" w:cs="Times New Roman"/>
                <w:color w:val="auto"/>
                <w:spacing w:val="0"/>
                <w:position w:val="0"/>
                <w:sz w:val="24"/>
                <w:szCs w:val="22"/>
                <w:highlight w:val="none"/>
                <w:lang w:eastAsia="zh-CN"/>
              </w:rPr>
              <w:t>（</w:t>
            </w:r>
            <w:r>
              <w:rPr>
                <w:rFonts w:hint="eastAsia" w:ascii="Times New Roman" w:hAnsi="Times New Roman" w:eastAsia="宋体" w:cs="Times New Roman"/>
                <w:color w:val="auto"/>
                <w:spacing w:val="0"/>
                <w:position w:val="0"/>
                <w:sz w:val="24"/>
                <w:szCs w:val="22"/>
                <w:highlight w:val="none"/>
              </w:rPr>
              <w:t>A</w:t>
            </w:r>
            <w:r>
              <w:rPr>
                <w:rFonts w:hint="eastAsia" w:cs="Times New Roman"/>
                <w:color w:val="auto"/>
                <w:spacing w:val="0"/>
                <w:position w:val="0"/>
                <w:sz w:val="24"/>
                <w:szCs w:val="22"/>
                <w:highlight w:val="none"/>
                <w:lang w:eastAsia="zh-CN"/>
              </w:rPr>
              <w:t>）</w:t>
            </w:r>
            <w:r>
              <w:rPr>
                <w:rFonts w:hint="eastAsia" w:ascii="Times New Roman" w:hAnsi="Times New Roman" w:eastAsia="宋体" w:cs="Times New Roman"/>
                <w:color w:val="auto"/>
                <w:spacing w:val="0"/>
                <w:position w:val="0"/>
                <w:sz w:val="24"/>
                <w:szCs w:val="22"/>
                <w:highlight w:val="none"/>
              </w:rPr>
              <w:t>；</w:t>
            </w:r>
          </w:p>
          <w:p w14:paraId="31904E6C">
            <w:pPr>
              <w:spacing w:line="360" w:lineRule="auto"/>
              <w:ind w:firstLine="1200" w:firstLineChars="500"/>
              <w:rPr>
                <w:rFonts w:hint="eastAsia" w:ascii="Times New Roman" w:hAnsi="Times New Roman" w:eastAsia="宋体" w:cs="Times New Roman"/>
                <w:color w:val="auto"/>
                <w:spacing w:val="0"/>
                <w:position w:val="0"/>
                <w:sz w:val="24"/>
                <w:szCs w:val="22"/>
                <w:highlight w:val="none"/>
              </w:rPr>
            </w:pPr>
            <w:r>
              <w:rPr>
                <w:rFonts w:hint="eastAsia" w:ascii="Times New Roman" w:hAnsi="Times New Roman" w:eastAsia="宋体" w:cs="Times New Roman"/>
                <w:color w:val="auto"/>
                <w:spacing w:val="0"/>
                <w:position w:val="0"/>
                <w:sz w:val="24"/>
                <w:szCs w:val="22"/>
                <w:highlight w:val="none"/>
              </w:rPr>
              <w:t>TL－车间墙体隔声损失量，dB</w:t>
            </w:r>
            <w:r>
              <w:rPr>
                <w:rFonts w:hint="eastAsia" w:cs="Times New Roman"/>
                <w:color w:val="auto"/>
                <w:spacing w:val="0"/>
                <w:position w:val="0"/>
                <w:sz w:val="24"/>
                <w:szCs w:val="22"/>
                <w:highlight w:val="none"/>
                <w:lang w:eastAsia="zh-CN"/>
              </w:rPr>
              <w:t>（</w:t>
            </w:r>
            <w:r>
              <w:rPr>
                <w:rFonts w:hint="eastAsia" w:ascii="Times New Roman" w:hAnsi="Times New Roman" w:eastAsia="宋体" w:cs="Times New Roman"/>
                <w:color w:val="auto"/>
                <w:spacing w:val="0"/>
                <w:position w:val="0"/>
                <w:sz w:val="24"/>
                <w:szCs w:val="22"/>
                <w:highlight w:val="none"/>
              </w:rPr>
              <w:t>A</w:t>
            </w:r>
            <w:r>
              <w:rPr>
                <w:rFonts w:hint="eastAsia" w:cs="Times New Roman"/>
                <w:color w:val="auto"/>
                <w:spacing w:val="0"/>
                <w:position w:val="0"/>
                <w:sz w:val="24"/>
                <w:szCs w:val="22"/>
                <w:highlight w:val="none"/>
                <w:lang w:eastAsia="zh-CN"/>
              </w:rPr>
              <w:t>）</w:t>
            </w:r>
            <w:r>
              <w:rPr>
                <w:rFonts w:hint="eastAsia" w:ascii="Times New Roman" w:hAnsi="Times New Roman" w:eastAsia="宋体" w:cs="Times New Roman"/>
                <w:color w:val="auto"/>
                <w:spacing w:val="0"/>
                <w:position w:val="0"/>
                <w:sz w:val="24"/>
                <w:szCs w:val="22"/>
                <w:highlight w:val="none"/>
              </w:rPr>
              <w:t>；</w:t>
            </w:r>
          </w:p>
          <w:p w14:paraId="041690F4">
            <w:pPr>
              <w:spacing w:line="360" w:lineRule="auto"/>
              <w:ind w:firstLine="1200" w:firstLineChars="500"/>
              <w:rPr>
                <w:rFonts w:hint="eastAsia" w:ascii="Times New Roman" w:hAnsi="Times New Roman" w:eastAsia="宋体" w:cs="Times New Roman"/>
                <w:color w:val="auto"/>
                <w:spacing w:val="0"/>
                <w:position w:val="0"/>
                <w:sz w:val="24"/>
                <w:szCs w:val="22"/>
                <w:highlight w:val="none"/>
              </w:rPr>
            </w:pPr>
            <w:r>
              <w:rPr>
                <w:rFonts w:hint="eastAsia" w:ascii="Times New Roman" w:hAnsi="Times New Roman" w:eastAsia="宋体" w:cs="Times New Roman"/>
                <w:color w:val="auto"/>
                <w:spacing w:val="0"/>
                <w:position w:val="0"/>
                <w:sz w:val="24"/>
                <w:szCs w:val="22"/>
                <w:highlight w:val="none"/>
              </w:rPr>
              <w:t>△L－隔音设施降噪量，dB</w:t>
            </w:r>
            <w:r>
              <w:rPr>
                <w:rFonts w:hint="eastAsia" w:cs="Times New Roman"/>
                <w:color w:val="auto"/>
                <w:spacing w:val="0"/>
                <w:position w:val="0"/>
                <w:sz w:val="24"/>
                <w:szCs w:val="22"/>
                <w:highlight w:val="none"/>
                <w:lang w:eastAsia="zh-CN"/>
              </w:rPr>
              <w:t>（</w:t>
            </w:r>
            <w:r>
              <w:rPr>
                <w:rFonts w:hint="eastAsia" w:ascii="Times New Roman" w:hAnsi="Times New Roman" w:eastAsia="宋体" w:cs="Times New Roman"/>
                <w:color w:val="auto"/>
                <w:spacing w:val="0"/>
                <w:position w:val="0"/>
                <w:sz w:val="24"/>
                <w:szCs w:val="22"/>
                <w:highlight w:val="none"/>
              </w:rPr>
              <w:t>A</w:t>
            </w:r>
            <w:r>
              <w:rPr>
                <w:rFonts w:hint="eastAsia" w:cs="Times New Roman"/>
                <w:color w:val="auto"/>
                <w:spacing w:val="0"/>
                <w:position w:val="0"/>
                <w:sz w:val="24"/>
                <w:szCs w:val="22"/>
                <w:highlight w:val="none"/>
                <w:lang w:eastAsia="zh-CN"/>
              </w:rPr>
              <w:t>）</w:t>
            </w:r>
            <w:r>
              <w:rPr>
                <w:rFonts w:hint="eastAsia" w:ascii="Times New Roman" w:hAnsi="Times New Roman" w:eastAsia="宋体" w:cs="Times New Roman"/>
                <w:color w:val="auto"/>
                <w:spacing w:val="0"/>
                <w:position w:val="0"/>
                <w:sz w:val="24"/>
                <w:szCs w:val="22"/>
                <w:highlight w:val="none"/>
              </w:rPr>
              <w:t>；</w:t>
            </w:r>
          </w:p>
          <w:p w14:paraId="401FBF44">
            <w:pPr>
              <w:spacing w:line="360" w:lineRule="auto"/>
              <w:ind w:firstLine="480" w:firstLineChars="200"/>
              <w:rPr>
                <w:rFonts w:hint="eastAsia" w:ascii="Times New Roman" w:hAnsi="Times New Roman" w:eastAsia="宋体" w:cs="Times New Roman"/>
                <w:color w:val="auto"/>
                <w:spacing w:val="0"/>
                <w:position w:val="0"/>
                <w:sz w:val="24"/>
                <w:szCs w:val="22"/>
                <w:highlight w:val="none"/>
              </w:rPr>
            </w:pPr>
            <w:r>
              <w:rPr>
                <w:rFonts w:hint="eastAsia" w:ascii="Times New Roman" w:hAnsi="Times New Roman" w:eastAsia="宋体" w:cs="Times New Roman"/>
                <w:color w:val="auto"/>
                <w:spacing w:val="0"/>
                <w:position w:val="0"/>
                <w:sz w:val="24"/>
                <w:szCs w:val="22"/>
                <w:highlight w:val="none"/>
              </w:rPr>
              <w:t>TL和△L取值情况如下：</w:t>
            </w:r>
          </w:p>
          <w:p w14:paraId="6569E15D">
            <w:pPr>
              <w:pStyle w:val="9"/>
              <w:ind w:firstLine="0"/>
              <w:jc w:val="center"/>
              <w:rPr>
                <w:rFonts w:ascii="Times New Roman" w:hAnsi="Times New Roman" w:eastAsia="宋体" w:cs="Times New Roman"/>
                <w:b/>
                <w:color w:val="auto"/>
                <w:spacing w:val="0"/>
                <w:position w:val="0"/>
                <w:sz w:val="24"/>
                <w:szCs w:val="24"/>
                <w:highlight w:val="none"/>
              </w:rPr>
            </w:pPr>
            <w:r>
              <w:rPr>
                <w:rFonts w:ascii="Times New Roman" w:hAnsi="Times New Roman" w:eastAsia="宋体" w:cs="Times New Roman"/>
                <w:b/>
                <w:color w:val="auto"/>
                <w:spacing w:val="0"/>
                <w:position w:val="0"/>
                <w:sz w:val="24"/>
                <w:szCs w:val="24"/>
                <w:highlight w:val="none"/>
              </w:rPr>
              <w:t>表4</w:t>
            </w:r>
            <w:r>
              <w:rPr>
                <w:rFonts w:hint="eastAsia" w:ascii="Times New Roman" w:hAnsi="Times New Roman" w:eastAsia="宋体" w:cs="Times New Roman"/>
                <w:b/>
                <w:color w:val="auto"/>
                <w:spacing w:val="0"/>
                <w:position w:val="0"/>
                <w:sz w:val="24"/>
                <w:szCs w:val="24"/>
                <w:highlight w:val="none"/>
                <w:lang w:val="en-US" w:eastAsia="zh-CN"/>
              </w:rPr>
              <w:t>.3-</w:t>
            </w:r>
            <w:r>
              <w:rPr>
                <w:rFonts w:hint="eastAsia" w:cs="Times New Roman"/>
                <w:b/>
                <w:color w:val="auto"/>
                <w:spacing w:val="0"/>
                <w:position w:val="0"/>
                <w:sz w:val="24"/>
                <w:szCs w:val="24"/>
                <w:highlight w:val="none"/>
                <w:lang w:val="en-US" w:eastAsia="zh-CN"/>
              </w:rPr>
              <w:t>5</w:t>
            </w:r>
            <w:r>
              <w:rPr>
                <w:rFonts w:ascii="Times New Roman" w:hAnsi="Times New Roman" w:eastAsia="宋体" w:cs="Times New Roman"/>
                <w:b/>
                <w:color w:val="auto"/>
                <w:spacing w:val="0"/>
                <w:position w:val="0"/>
                <w:sz w:val="24"/>
                <w:szCs w:val="24"/>
                <w:highlight w:val="none"/>
              </w:rPr>
              <w:t xml:space="preserve">  车间隔声的插入损失值   单位：dB（A）</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903"/>
              <w:gridCol w:w="1993"/>
              <w:gridCol w:w="1931"/>
              <w:gridCol w:w="1962"/>
            </w:tblGrid>
            <w:tr w14:paraId="2F3C38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71" w:type="dxa"/>
                  <w:tcBorders>
                    <w:tl2br w:val="nil"/>
                    <w:tr2bl w:val="nil"/>
                  </w:tcBorders>
                  <w:noWrap w:val="0"/>
                  <w:vAlign w:val="center"/>
                </w:tcPr>
                <w:p w14:paraId="09DCE4ED">
                  <w:pPr>
                    <w:pStyle w:val="119"/>
                    <w:spacing w:line="240" w:lineRule="auto"/>
                    <w:ind w:firstLine="0" w:firstLineChars="0"/>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条件</w:t>
                  </w:r>
                </w:p>
              </w:tc>
              <w:tc>
                <w:tcPr>
                  <w:tcW w:w="1833" w:type="dxa"/>
                  <w:tcBorders>
                    <w:tl2br w:val="nil"/>
                    <w:tr2bl w:val="nil"/>
                  </w:tcBorders>
                  <w:noWrap w:val="0"/>
                  <w:vAlign w:val="center"/>
                </w:tcPr>
                <w:p w14:paraId="411C2A99">
                  <w:pPr>
                    <w:pStyle w:val="119"/>
                    <w:spacing w:line="240" w:lineRule="auto"/>
                    <w:ind w:firstLine="0" w:firstLineChars="0"/>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A</w:t>
                  </w:r>
                </w:p>
              </w:tc>
              <w:tc>
                <w:tcPr>
                  <w:tcW w:w="1920" w:type="dxa"/>
                  <w:tcBorders>
                    <w:tl2br w:val="nil"/>
                    <w:tr2bl w:val="nil"/>
                  </w:tcBorders>
                  <w:noWrap w:val="0"/>
                  <w:vAlign w:val="center"/>
                </w:tcPr>
                <w:p w14:paraId="5A48FB27">
                  <w:pPr>
                    <w:pStyle w:val="119"/>
                    <w:spacing w:line="240" w:lineRule="auto"/>
                    <w:ind w:firstLine="0" w:firstLineChars="0"/>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B</w:t>
                  </w:r>
                </w:p>
              </w:tc>
              <w:tc>
                <w:tcPr>
                  <w:tcW w:w="1860" w:type="dxa"/>
                  <w:tcBorders>
                    <w:tl2br w:val="nil"/>
                    <w:tr2bl w:val="nil"/>
                  </w:tcBorders>
                  <w:noWrap w:val="0"/>
                  <w:vAlign w:val="center"/>
                </w:tcPr>
                <w:p w14:paraId="1F1F68A3">
                  <w:pPr>
                    <w:pStyle w:val="119"/>
                    <w:spacing w:line="240" w:lineRule="auto"/>
                    <w:ind w:firstLine="0" w:firstLineChars="0"/>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C</w:t>
                  </w:r>
                </w:p>
              </w:tc>
              <w:tc>
                <w:tcPr>
                  <w:tcW w:w="1890" w:type="dxa"/>
                  <w:tcBorders>
                    <w:tl2br w:val="nil"/>
                    <w:tr2bl w:val="nil"/>
                  </w:tcBorders>
                  <w:noWrap w:val="0"/>
                  <w:vAlign w:val="center"/>
                </w:tcPr>
                <w:p w14:paraId="196D44F9">
                  <w:pPr>
                    <w:pStyle w:val="119"/>
                    <w:spacing w:line="240" w:lineRule="auto"/>
                    <w:ind w:firstLine="0" w:firstLineChars="0"/>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D</w:t>
                  </w:r>
                </w:p>
              </w:tc>
            </w:tr>
            <w:tr w14:paraId="0411AE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1" w:type="dxa"/>
                  <w:tcBorders>
                    <w:tl2br w:val="nil"/>
                    <w:tr2bl w:val="nil"/>
                  </w:tcBorders>
                  <w:noWrap w:val="0"/>
                  <w:vAlign w:val="center"/>
                </w:tcPr>
                <w:p w14:paraId="01D34E6F">
                  <w:pPr>
                    <w:pStyle w:val="119"/>
                    <w:spacing w:line="240" w:lineRule="auto"/>
                    <w:ind w:firstLine="0" w:firstLineChars="0"/>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△L</w:t>
                  </w:r>
                </w:p>
              </w:tc>
              <w:tc>
                <w:tcPr>
                  <w:tcW w:w="1833" w:type="dxa"/>
                  <w:tcBorders>
                    <w:tl2br w:val="nil"/>
                    <w:tr2bl w:val="nil"/>
                  </w:tcBorders>
                  <w:noWrap w:val="0"/>
                  <w:vAlign w:val="center"/>
                </w:tcPr>
                <w:p w14:paraId="1EDF4BB5">
                  <w:pPr>
                    <w:pStyle w:val="119"/>
                    <w:spacing w:line="240" w:lineRule="auto"/>
                    <w:ind w:firstLine="0" w:firstLineChars="0"/>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25</w:t>
                  </w:r>
                </w:p>
              </w:tc>
              <w:tc>
                <w:tcPr>
                  <w:tcW w:w="1920" w:type="dxa"/>
                  <w:tcBorders>
                    <w:tl2br w:val="nil"/>
                    <w:tr2bl w:val="nil"/>
                  </w:tcBorders>
                  <w:noWrap w:val="0"/>
                  <w:vAlign w:val="center"/>
                </w:tcPr>
                <w:p w14:paraId="0DA8FB62">
                  <w:pPr>
                    <w:pStyle w:val="119"/>
                    <w:spacing w:line="240" w:lineRule="auto"/>
                    <w:ind w:firstLine="0" w:firstLineChars="0"/>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20</w:t>
                  </w:r>
                </w:p>
              </w:tc>
              <w:tc>
                <w:tcPr>
                  <w:tcW w:w="1860" w:type="dxa"/>
                  <w:tcBorders>
                    <w:tl2br w:val="nil"/>
                    <w:tr2bl w:val="nil"/>
                  </w:tcBorders>
                  <w:noWrap w:val="0"/>
                  <w:vAlign w:val="center"/>
                </w:tcPr>
                <w:p w14:paraId="517E83B5">
                  <w:pPr>
                    <w:pStyle w:val="119"/>
                    <w:spacing w:line="240" w:lineRule="auto"/>
                    <w:ind w:firstLine="0" w:firstLineChars="0"/>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15</w:t>
                  </w:r>
                </w:p>
              </w:tc>
              <w:tc>
                <w:tcPr>
                  <w:tcW w:w="1890" w:type="dxa"/>
                  <w:tcBorders>
                    <w:tl2br w:val="nil"/>
                    <w:tr2bl w:val="nil"/>
                  </w:tcBorders>
                  <w:noWrap w:val="0"/>
                  <w:vAlign w:val="center"/>
                </w:tcPr>
                <w:p w14:paraId="3BB1C8B6">
                  <w:pPr>
                    <w:pStyle w:val="119"/>
                    <w:spacing w:line="240" w:lineRule="auto"/>
                    <w:ind w:firstLine="0" w:firstLineChars="0"/>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10</w:t>
                  </w:r>
                </w:p>
              </w:tc>
            </w:tr>
            <w:tr w14:paraId="36D816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4" w:type="dxa"/>
                  <w:gridSpan w:val="5"/>
                  <w:tcBorders>
                    <w:tl2br w:val="nil"/>
                    <w:tr2bl w:val="nil"/>
                  </w:tcBorders>
                  <w:noWrap w:val="0"/>
                  <w:vAlign w:val="center"/>
                </w:tcPr>
                <w:p w14:paraId="698D1257">
                  <w:pPr>
                    <w:pStyle w:val="119"/>
                    <w:spacing w:line="240" w:lineRule="auto"/>
                    <w:ind w:firstLine="0" w:firstLineChars="0"/>
                    <w:jc w:val="left"/>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备注</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Times New Roman"/>
                      <w:color w:val="auto"/>
                      <w:spacing w:val="0"/>
                      <w:kern w:val="0"/>
                      <w:position w:val="0"/>
                      <w:sz w:val="21"/>
                      <w:szCs w:val="21"/>
                      <w:highlight w:val="none"/>
                      <w:lang w:bidi="ar"/>
                    </w:rPr>
                    <w:t>A</w:t>
                  </w:r>
                  <w:r>
                    <w:rPr>
                      <w:rFonts w:hint="eastAsia" w:ascii="Times New Roman" w:hAnsi="Times New Roman" w:eastAsia="宋体" w:cs="Times New Roman"/>
                      <w:color w:val="auto"/>
                      <w:spacing w:val="0"/>
                      <w:kern w:val="0"/>
                      <w:position w:val="0"/>
                      <w:sz w:val="21"/>
                      <w:szCs w:val="21"/>
                      <w:highlight w:val="none"/>
                      <w:lang w:bidi="ar"/>
                    </w:rPr>
                    <w:t>：车间围墙开小窗且密闭，门经隔声处理；</w:t>
                  </w:r>
                  <w:r>
                    <w:rPr>
                      <w:rFonts w:ascii="Times New Roman" w:hAnsi="Times New Roman" w:eastAsia="宋体" w:cs="Times New Roman"/>
                      <w:color w:val="auto"/>
                      <w:spacing w:val="0"/>
                      <w:kern w:val="0"/>
                      <w:position w:val="0"/>
                      <w:sz w:val="21"/>
                      <w:szCs w:val="21"/>
                      <w:highlight w:val="none"/>
                      <w:lang w:bidi="ar"/>
                    </w:rPr>
                    <w:t>B</w:t>
                  </w:r>
                  <w:r>
                    <w:rPr>
                      <w:rFonts w:hint="eastAsia" w:ascii="Times New Roman" w:hAnsi="Times New Roman" w:eastAsia="宋体" w:cs="Times New Roman"/>
                      <w:color w:val="auto"/>
                      <w:spacing w:val="0"/>
                      <w:kern w:val="0"/>
                      <w:position w:val="0"/>
                      <w:sz w:val="21"/>
                      <w:szCs w:val="21"/>
                      <w:highlight w:val="none"/>
                      <w:lang w:bidi="ar"/>
                    </w:rPr>
                    <w:t>：车间围墙开小窗但不密闭，门未经隔声处理，但较密闭；</w:t>
                  </w:r>
                  <w:r>
                    <w:rPr>
                      <w:rFonts w:ascii="Times New Roman" w:hAnsi="Times New Roman" w:eastAsia="宋体" w:cs="Times New Roman"/>
                      <w:color w:val="auto"/>
                      <w:spacing w:val="0"/>
                      <w:kern w:val="0"/>
                      <w:position w:val="0"/>
                      <w:sz w:val="21"/>
                      <w:szCs w:val="21"/>
                      <w:highlight w:val="none"/>
                      <w:lang w:bidi="ar"/>
                    </w:rPr>
                    <w:t>C</w:t>
                  </w:r>
                  <w:r>
                    <w:rPr>
                      <w:rFonts w:hint="eastAsia" w:ascii="Times New Roman" w:hAnsi="Times New Roman" w:eastAsia="宋体" w:cs="Times New Roman"/>
                      <w:color w:val="auto"/>
                      <w:spacing w:val="0"/>
                      <w:kern w:val="0"/>
                      <w:position w:val="0"/>
                      <w:sz w:val="21"/>
                      <w:szCs w:val="21"/>
                      <w:highlight w:val="none"/>
                      <w:lang w:bidi="ar"/>
                    </w:rPr>
                    <w:t>：车间围墙开大窗且不密闭，门不密闭；</w:t>
                  </w:r>
                  <w:r>
                    <w:rPr>
                      <w:rFonts w:ascii="Times New Roman" w:hAnsi="Times New Roman" w:eastAsia="宋体" w:cs="Times New Roman"/>
                      <w:color w:val="auto"/>
                      <w:spacing w:val="0"/>
                      <w:kern w:val="0"/>
                      <w:position w:val="0"/>
                      <w:sz w:val="21"/>
                      <w:szCs w:val="21"/>
                      <w:highlight w:val="none"/>
                      <w:lang w:bidi="ar"/>
                    </w:rPr>
                    <w:t>D</w:t>
                  </w:r>
                  <w:r>
                    <w:rPr>
                      <w:rFonts w:hint="eastAsia" w:ascii="Times New Roman" w:hAnsi="Times New Roman" w:eastAsia="宋体" w:cs="Times New Roman"/>
                      <w:color w:val="auto"/>
                      <w:spacing w:val="0"/>
                      <w:kern w:val="0"/>
                      <w:position w:val="0"/>
                      <w:sz w:val="21"/>
                      <w:szCs w:val="21"/>
                      <w:highlight w:val="none"/>
                      <w:lang w:bidi="ar"/>
                    </w:rPr>
                    <w:t>：车间门、窗部分敞开。</w:t>
                  </w:r>
                </w:p>
              </w:tc>
            </w:tr>
          </w:tbl>
          <w:p w14:paraId="286CB71A">
            <w:pPr>
              <w:widowControl/>
              <w:spacing w:before="120" w:beforeLines="50" w:line="360" w:lineRule="auto"/>
              <w:ind w:firstLine="480" w:firstLineChars="200"/>
              <w:rPr>
                <w:rFonts w:hint="eastAsia" w:ascii="Times New Roman" w:hAnsi="Times New Roman" w:eastAsia="宋体" w:cs="Times New Roman"/>
                <w:color w:val="auto"/>
                <w:spacing w:val="0"/>
                <w:kern w:val="0"/>
                <w:position w:val="0"/>
                <w:sz w:val="24"/>
                <w:highlight w:val="none"/>
                <w:lang w:bidi="ar"/>
              </w:rPr>
            </w:pPr>
            <w:r>
              <w:rPr>
                <w:rFonts w:hint="eastAsia" w:ascii="Times New Roman" w:hAnsi="Times New Roman" w:eastAsia="宋体" w:cs="Times New Roman"/>
                <w:color w:val="auto"/>
                <w:sz w:val="24"/>
                <w:highlight w:val="none"/>
                <w:shd w:val="clear" w:color="auto" w:fill="auto"/>
              </w:rPr>
              <w:t>项目声源所在车间墙体及门窗按条件</w:t>
            </w:r>
            <w:r>
              <w:rPr>
                <w:rFonts w:hint="eastAsia" w:ascii="Times New Roman" w:hAnsi="Times New Roman" w:eastAsia="宋体" w:cs="Times New Roman"/>
                <w:color w:val="auto"/>
                <w:sz w:val="24"/>
                <w:highlight w:val="none"/>
                <w:shd w:val="clear" w:color="auto" w:fill="auto"/>
                <w:lang w:val="en-US" w:eastAsia="zh-CN"/>
              </w:rPr>
              <w:t>C</w:t>
            </w:r>
            <w:r>
              <w:rPr>
                <w:rFonts w:hint="eastAsia" w:ascii="Times New Roman" w:hAnsi="Times New Roman" w:eastAsia="宋体" w:cs="Times New Roman"/>
                <w:color w:val="auto"/>
                <w:sz w:val="24"/>
                <w:highlight w:val="none"/>
                <w:shd w:val="clear" w:color="auto" w:fill="auto"/>
              </w:rPr>
              <w:t>取值，车间墙体隔声损失量按</w:t>
            </w:r>
            <w:r>
              <w:rPr>
                <w:rFonts w:hint="eastAsia" w:ascii="Times New Roman" w:hAnsi="Times New Roman" w:eastAsia="宋体" w:cs="Times New Roman"/>
                <w:color w:val="auto"/>
                <w:sz w:val="24"/>
                <w:highlight w:val="none"/>
                <w:shd w:val="clear" w:color="auto" w:fill="auto"/>
                <w:lang w:val="en-US" w:eastAsia="zh-CN"/>
              </w:rPr>
              <w:t>15</w:t>
            </w:r>
            <w:r>
              <w:rPr>
                <w:rFonts w:hint="eastAsia" w:ascii="Times New Roman" w:hAnsi="Times New Roman" w:eastAsia="宋体" w:cs="Times New Roman"/>
                <w:color w:val="auto"/>
                <w:sz w:val="24"/>
                <w:highlight w:val="none"/>
                <w:shd w:val="clear" w:color="auto" w:fill="auto"/>
              </w:rPr>
              <w:t>dB（A）计</w:t>
            </w:r>
            <w:r>
              <w:rPr>
                <w:rFonts w:hint="eastAsia" w:ascii="Times New Roman" w:hAnsi="Times New Roman" w:eastAsia="宋体" w:cs="Times New Roman"/>
                <w:color w:val="auto"/>
                <w:spacing w:val="0"/>
                <w:kern w:val="0"/>
                <w:position w:val="0"/>
                <w:sz w:val="24"/>
                <w:highlight w:val="none"/>
                <w:lang w:bidi="ar"/>
              </w:rPr>
              <w:t>。</w:t>
            </w:r>
          </w:p>
          <w:p w14:paraId="361441BD">
            <w:pPr>
              <w:widowControl/>
              <w:spacing w:line="360" w:lineRule="auto"/>
              <w:ind w:firstLine="480" w:firstLineChars="200"/>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kern w:val="0"/>
                <w:position w:val="0"/>
                <w:sz w:val="24"/>
                <w:highlight w:val="none"/>
                <w:lang w:bidi="ar"/>
              </w:rPr>
              <w:t>③计算各声源在预测点产生的等效声级贡献值：</w:t>
            </w:r>
            <w:r>
              <w:rPr>
                <w:rFonts w:hint="eastAsia" w:ascii="Times New Roman" w:hAnsi="Times New Roman" w:eastAsia="宋体" w:cs="Times New Roman"/>
                <w:color w:val="auto"/>
                <w:spacing w:val="0"/>
                <w:kern w:val="0"/>
                <w:position w:val="0"/>
                <w:sz w:val="24"/>
                <w:highlight w:val="none"/>
                <w:lang w:bidi="ar"/>
              </w:rPr>
              <w:t xml:space="preserve"> </w:t>
            </w:r>
          </w:p>
          <w:p w14:paraId="4FB9D5DD">
            <w:pPr>
              <w:spacing w:line="360" w:lineRule="auto"/>
              <w:ind w:firstLine="420" w:firstLineChars="200"/>
              <w:jc w:val="center"/>
              <w:rPr>
                <w:rFonts w:ascii="Times New Roman" w:hAnsi="Times New Roman" w:eastAsia="宋体" w:cs="Times New Roman"/>
                <w:color w:val="auto"/>
                <w:spacing w:val="0"/>
                <w:position w:val="0"/>
                <w:highlight w:val="none"/>
              </w:rPr>
            </w:pPr>
            <w:r>
              <w:rPr>
                <w:rFonts w:ascii="Times New Roman" w:hAnsi="Times New Roman" w:eastAsia="宋体" w:cs="Times New Roman"/>
                <w:color w:val="auto"/>
                <w:spacing w:val="0"/>
                <w:position w:val="0"/>
                <w:highlight w:val="none"/>
              </w:rPr>
              <w:object>
                <v:shape id="_x0000_i1025" o:spt="75" type="#_x0000_t75" style="height:36pt;width:111.15pt;" o:ole="t" filled="f" o:preferrelative="t" stroked="f" coordsize="21600,21600">
                  <v:path/>
                  <v:fill on="f" focussize="0,0"/>
                  <v:stroke on="f"/>
                  <v:imagedata r:id="rId20" o:title=""/>
                  <o:lock v:ext="edit" aspectratio="t"/>
                  <w10:wrap type="none"/>
                  <w10:anchorlock/>
                </v:shape>
                <o:OLEObject Type="Embed" ProgID="Equations" ShapeID="_x0000_i1025" DrawAspect="Content" ObjectID="_1468075725" r:id="rId19">
                  <o:LockedField>false</o:LockedField>
                </o:OLEObject>
              </w:object>
            </w:r>
          </w:p>
          <w:p w14:paraId="12CE9A15">
            <w:pPr>
              <w:spacing w:line="360" w:lineRule="auto"/>
              <w:ind w:firstLine="480" w:firstLineChars="200"/>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式中：L</w:t>
            </w:r>
            <w:r>
              <w:rPr>
                <w:rFonts w:ascii="Times New Roman" w:hAnsi="Times New Roman" w:eastAsia="宋体" w:cs="Times New Roman"/>
                <w:color w:val="auto"/>
                <w:spacing w:val="0"/>
                <w:position w:val="0"/>
                <w:sz w:val="24"/>
                <w:highlight w:val="none"/>
                <w:vertAlign w:val="subscript"/>
              </w:rPr>
              <w:t>eqg</w:t>
            </w:r>
            <w:r>
              <w:rPr>
                <w:rFonts w:ascii="Times New Roman" w:hAnsi="Times New Roman" w:eastAsia="宋体" w:cs="Times New Roman"/>
                <w:color w:val="auto"/>
                <w:spacing w:val="0"/>
                <w:position w:val="0"/>
                <w:sz w:val="24"/>
                <w:highlight w:val="none"/>
              </w:rPr>
              <w:t>——预测点的噪声贡献值，dB</w:t>
            </w:r>
            <w:r>
              <w:rPr>
                <w:rFonts w:hint="eastAsia"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A</w:t>
            </w:r>
            <w:r>
              <w:rPr>
                <w:rFonts w:hint="eastAsia"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w:t>
            </w:r>
          </w:p>
          <w:p w14:paraId="4348AFA5">
            <w:pPr>
              <w:spacing w:line="360" w:lineRule="auto"/>
              <w:ind w:firstLine="1200" w:firstLineChars="500"/>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L</w:t>
            </w:r>
            <w:r>
              <w:rPr>
                <w:rFonts w:ascii="Times New Roman" w:hAnsi="Times New Roman" w:eastAsia="宋体" w:cs="Times New Roman"/>
                <w:color w:val="auto"/>
                <w:spacing w:val="0"/>
                <w:position w:val="0"/>
                <w:sz w:val="24"/>
                <w:highlight w:val="none"/>
                <w:vertAlign w:val="subscript"/>
              </w:rPr>
              <w:t>A</w:t>
            </w:r>
            <w:r>
              <w:rPr>
                <w:rFonts w:hint="eastAsia" w:ascii="Times New Roman" w:hAnsi="Times New Roman" w:eastAsia="宋体" w:cs="Times New Roman"/>
                <w:color w:val="auto"/>
                <w:spacing w:val="0"/>
                <w:position w:val="0"/>
                <w:sz w:val="24"/>
                <w:highlight w:val="none"/>
                <w:vertAlign w:val="subscript"/>
                <w:lang w:eastAsia="zh-CN"/>
              </w:rPr>
              <w:t>，</w:t>
            </w:r>
            <w:r>
              <w:rPr>
                <w:rFonts w:ascii="Times New Roman" w:hAnsi="Times New Roman" w:eastAsia="宋体" w:cs="Times New Roman"/>
                <w:color w:val="auto"/>
                <w:spacing w:val="0"/>
                <w:position w:val="0"/>
                <w:sz w:val="24"/>
                <w:highlight w:val="none"/>
                <w:vertAlign w:val="subscript"/>
              </w:rPr>
              <w:t>i</w:t>
            </w:r>
            <w:r>
              <w:rPr>
                <w:rFonts w:ascii="Times New Roman" w:hAnsi="Times New Roman" w:eastAsia="宋体" w:cs="Times New Roman"/>
                <w:color w:val="auto"/>
                <w:spacing w:val="0"/>
                <w:position w:val="0"/>
                <w:sz w:val="24"/>
                <w:highlight w:val="none"/>
              </w:rPr>
              <w:t>——第i个声源对预测点的噪声贡献值，dB</w:t>
            </w:r>
            <w:r>
              <w:rPr>
                <w:rFonts w:hint="eastAsia"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A</w:t>
            </w:r>
            <w:r>
              <w:rPr>
                <w:rFonts w:hint="eastAsia"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w:t>
            </w:r>
          </w:p>
          <w:p w14:paraId="597E37C6">
            <w:pPr>
              <w:spacing w:line="360" w:lineRule="auto"/>
              <w:ind w:firstLine="1200" w:firstLineChars="500"/>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N——声源个数。</w:t>
            </w:r>
          </w:p>
          <w:p w14:paraId="75C490C9">
            <w:pPr>
              <w:spacing w:line="360" w:lineRule="auto"/>
              <w:ind w:firstLine="480" w:firstLineChars="200"/>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（2）预测结果</w:t>
            </w:r>
          </w:p>
          <w:p w14:paraId="5DB22F7E">
            <w:pPr>
              <w:adjustRightInd w:val="0"/>
              <w:snapToGrid w:val="0"/>
              <w:spacing w:line="360" w:lineRule="auto"/>
              <w:ind w:firstLine="480" w:firstLineChars="200"/>
              <w:rPr>
                <w:rFonts w:ascii="Times New Roman" w:hAnsi="Times New Roman" w:eastAsia="宋体" w:cs="Times New Roman"/>
                <w:b/>
                <w:color w:val="auto"/>
                <w:spacing w:val="0"/>
                <w:position w:val="0"/>
                <w:sz w:val="24"/>
                <w:highlight w:val="none"/>
              </w:rPr>
            </w:pPr>
            <w:r>
              <w:rPr>
                <w:rFonts w:ascii="Times New Roman" w:hAnsi="Times New Roman" w:eastAsia="宋体" w:cs="Times New Roman"/>
                <w:color w:val="auto"/>
                <w:spacing w:val="0"/>
                <w:position w:val="0"/>
                <w:sz w:val="24"/>
                <w:highlight w:val="none"/>
              </w:rPr>
              <w:t>采取上述预测方法，得出该项目厂界噪声预测结果，</w:t>
            </w:r>
            <w:r>
              <w:rPr>
                <w:rFonts w:hint="eastAsia" w:ascii="Times New Roman" w:hAnsi="Times New Roman" w:eastAsia="宋体" w:cs="Times New Roman"/>
                <w:color w:val="auto"/>
                <w:spacing w:val="0"/>
                <w:position w:val="0"/>
                <w:sz w:val="24"/>
                <w:highlight w:val="none"/>
                <w:lang w:val="en-US" w:eastAsia="zh-CN"/>
              </w:rPr>
              <w:t>详</w:t>
            </w:r>
            <w:r>
              <w:rPr>
                <w:rFonts w:hint="eastAsia" w:ascii="Times New Roman" w:hAnsi="Times New Roman" w:eastAsia="宋体" w:cs="Times New Roman"/>
                <w:color w:val="auto"/>
                <w:spacing w:val="0"/>
                <w:position w:val="0"/>
                <w:sz w:val="24"/>
                <w:szCs w:val="22"/>
                <w:highlight w:val="none"/>
              </w:rPr>
              <w:t>见表</w:t>
            </w:r>
            <w:r>
              <w:rPr>
                <w:rFonts w:ascii="Times New Roman" w:hAnsi="Times New Roman" w:eastAsia="宋体" w:cs="Times New Roman"/>
                <w:color w:val="auto"/>
                <w:spacing w:val="0"/>
                <w:position w:val="0"/>
                <w:sz w:val="24"/>
                <w:szCs w:val="22"/>
                <w:highlight w:val="none"/>
              </w:rPr>
              <w:t>4</w:t>
            </w:r>
            <w:r>
              <w:rPr>
                <w:rFonts w:hint="eastAsia" w:ascii="Times New Roman" w:hAnsi="Times New Roman" w:eastAsia="宋体" w:cs="Times New Roman"/>
                <w:color w:val="auto"/>
                <w:spacing w:val="0"/>
                <w:position w:val="0"/>
                <w:sz w:val="24"/>
                <w:szCs w:val="22"/>
                <w:highlight w:val="none"/>
                <w:lang w:val="en-US" w:eastAsia="zh-CN"/>
              </w:rPr>
              <w:t>.3-</w:t>
            </w:r>
            <w:r>
              <w:rPr>
                <w:rFonts w:hint="eastAsia" w:cs="Times New Roman"/>
                <w:color w:val="auto"/>
                <w:spacing w:val="0"/>
                <w:position w:val="0"/>
                <w:sz w:val="24"/>
                <w:szCs w:val="22"/>
                <w:highlight w:val="none"/>
                <w:lang w:val="en-US" w:eastAsia="zh-CN"/>
              </w:rPr>
              <w:t>6</w:t>
            </w:r>
            <w:r>
              <w:rPr>
                <w:rFonts w:hint="eastAsia" w:ascii="Times New Roman" w:hAnsi="Times New Roman" w:eastAsia="宋体" w:cs="Times New Roman"/>
                <w:color w:val="auto"/>
                <w:spacing w:val="0"/>
                <w:position w:val="0"/>
                <w:sz w:val="24"/>
                <w:szCs w:val="22"/>
                <w:highlight w:val="none"/>
              </w:rPr>
              <w:t>。</w:t>
            </w:r>
          </w:p>
          <w:p w14:paraId="3CE85E9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Times New Roman"/>
                <w:b/>
                <w:bCs/>
                <w:color w:val="auto"/>
                <w:sz w:val="24"/>
                <w:highlight w:val="none"/>
              </w:rPr>
            </w:pPr>
            <w:r>
              <w:rPr>
                <w:rFonts w:ascii="Times New Roman" w:hAnsi="Times New Roman" w:eastAsia="宋体" w:cs="Times New Roman"/>
                <w:b/>
                <w:color w:val="auto"/>
                <w:spacing w:val="0"/>
                <w:position w:val="0"/>
                <w:sz w:val="24"/>
                <w:highlight w:val="none"/>
              </w:rPr>
              <w:t>表4</w:t>
            </w:r>
            <w:r>
              <w:rPr>
                <w:rFonts w:hint="eastAsia" w:ascii="Times New Roman" w:hAnsi="Times New Roman" w:eastAsia="宋体" w:cs="Times New Roman"/>
                <w:b/>
                <w:color w:val="auto"/>
                <w:spacing w:val="0"/>
                <w:position w:val="0"/>
                <w:sz w:val="24"/>
                <w:highlight w:val="none"/>
                <w:lang w:val="en-US" w:eastAsia="zh-CN"/>
              </w:rPr>
              <w:t>.3-</w:t>
            </w:r>
            <w:r>
              <w:rPr>
                <w:rFonts w:hint="eastAsia" w:cs="Times New Roman"/>
                <w:b/>
                <w:color w:val="auto"/>
                <w:spacing w:val="0"/>
                <w:position w:val="0"/>
                <w:sz w:val="24"/>
                <w:highlight w:val="none"/>
                <w:lang w:val="en-US" w:eastAsia="zh-CN"/>
              </w:rPr>
              <w:t>6</w:t>
            </w:r>
            <w:r>
              <w:rPr>
                <w:rFonts w:ascii="Times New Roman" w:hAnsi="Times New Roman" w:eastAsia="宋体" w:cs="Times New Roman"/>
                <w:b/>
                <w:color w:val="auto"/>
                <w:spacing w:val="0"/>
                <w:position w:val="0"/>
                <w:sz w:val="24"/>
                <w:highlight w:val="none"/>
              </w:rPr>
              <w:t xml:space="preserve"> </w:t>
            </w:r>
            <w:r>
              <w:rPr>
                <w:rFonts w:ascii="Times New Roman" w:hAnsi="Times New Roman" w:eastAsia="宋体" w:cs="Times New Roman"/>
                <w:b/>
                <w:bCs/>
                <w:color w:val="auto"/>
                <w:sz w:val="24"/>
                <w:szCs w:val="24"/>
                <w:highlight w:val="none"/>
              </w:rPr>
              <w:t>项目</w:t>
            </w:r>
            <w:r>
              <w:rPr>
                <w:rFonts w:ascii="Times New Roman" w:hAnsi="Times New Roman" w:eastAsia="宋体" w:cs="Times New Roman"/>
                <w:b/>
                <w:bCs/>
                <w:color w:val="auto"/>
                <w:sz w:val="24"/>
                <w:highlight w:val="none"/>
              </w:rPr>
              <w:t>厂界噪声预测结果一览表</w:t>
            </w:r>
            <w:r>
              <w:rPr>
                <w:rFonts w:hint="eastAsia" w:ascii="Times New Roman" w:hAnsi="Times New Roman" w:eastAsia="宋体" w:cs="Times New Roman"/>
                <w:b/>
                <w:bCs/>
                <w:color w:val="auto"/>
                <w:sz w:val="24"/>
                <w:highlight w:val="none"/>
                <w:lang w:val="en-US" w:eastAsia="zh-CN"/>
              </w:rPr>
              <w:t xml:space="preserve">  </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1269"/>
              <w:gridCol w:w="1703"/>
              <w:gridCol w:w="1865"/>
              <w:gridCol w:w="1697"/>
              <w:gridCol w:w="1442"/>
            </w:tblGrid>
            <w:tr w14:paraId="166B95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dxa"/>
                  <w:gridSpan w:val="2"/>
                  <w:tcBorders>
                    <w:tl2br w:val="nil"/>
                    <w:tr2bl w:val="nil"/>
                  </w:tcBorders>
                  <w:noWrap w:val="0"/>
                  <w:vAlign w:val="center"/>
                </w:tcPr>
                <w:p w14:paraId="021FD13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eastAsia="zh-CN"/>
                    </w:rPr>
                    <w:t>预测位置</w:t>
                  </w:r>
                </w:p>
              </w:tc>
              <w:tc>
                <w:tcPr>
                  <w:tcW w:w="1588" w:type="dxa"/>
                  <w:tcBorders>
                    <w:tl2br w:val="nil"/>
                    <w:tr2bl w:val="nil"/>
                  </w:tcBorders>
                  <w:noWrap w:val="0"/>
                  <w:vAlign w:val="center"/>
                </w:tcPr>
                <w:p w14:paraId="209F8B4D">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i w:val="0"/>
                      <w:iCs w:val="0"/>
                      <w:caps w:val="0"/>
                      <w:color w:val="auto"/>
                      <w:spacing w:val="0"/>
                      <w:sz w:val="21"/>
                      <w:szCs w:val="21"/>
                      <w:highlight w:val="none"/>
                      <w:vertAlign w:val="baseline"/>
                    </w:rPr>
                  </w:pPr>
                  <w:r>
                    <w:rPr>
                      <w:rFonts w:hint="eastAsia" w:ascii="Times New Roman" w:hAnsi="Times New Roman" w:eastAsia="宋体" w:cs="Times New Roman"/>
                      <w:b/>
                      <w:bCs/>
                      <w:i w:val="0"/>
                      <w:iCs w:val="0"/>
                      <w:caps w:val="0"/>
                      <w:color w:val="auto"/>
                      <w:spacing w:val="0"/>
                      <w:sz w:val="21"/>
                      <w:szCs w:val="21"/>
                      <w:highlight w:val="none"/>
                      <w:vertAlign w:val="baseline"/>
                      <w:lang w:eastAsia="zh-CN"/>
                    </w:rPr>
                    <w:t>贡献值</w:t>
                  </w:r>
                  <w:r>
                    <w:rPr>
                      <w:rFonts w:hint="default" w:ascii="Times New Roman" w:hAnsi="Times New Roman" w:eastAsia="宋体" w:cs="Times New Roman"/>
                      <w:b/>
                      <w:bCs/>
                      <w:color w:val="auto"/>
                      <w:sz w:val="21"/>
                      <w:szCs w:val="21"/>
                      <w:highlight w:val="none"/>
                      <w:lang w:bidi="ar"/>
                    </w:rPr>
                    <w:t>dB（A）</w:t>
                  </w:r>
                </w:p>
              </w:tc>
              <w:tc>
                <w:tcPr>
                  <w:tcW w:w="1739" w:type="dxa"/>
                  <w:tcBorders>
                    <w:tl2br w:val="nil"/>
                    <w:tr2bl w:val="nil"/>
                  </w:tcBorders>
                  <w:noWrap w:val="0"/>
                  <w:vAlign w:val="center"/>
                </w:tcPr>
                <w:p w14:paraId="04FE901D">
                  <w:pPr>
                    <w:keepNext w:val="0"/>
                    <w:keepLines w:val="0"/>
                    <w:pageBreakBefore w:val="0"/>
                    <w:kinsoku/>
                    <w:overflowPunct/>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aps w:val="0"/>
                      <w:color w:val="auto"/>
                      <w:spacing w:val="0"/>
                      <w:sz w:val="21"/>
                      <w:szCs w:val="21"/>
                      <w:highlight w:val="none"/>
                      <w:vertAlign w:val="baseline"/>
                      <w:lang w:eastAsia="zh-CN"/>
                    </w:rPr>
                  </w:pPr>
                  <w:r>
                    <w:rPr>
                      <w:rFonts w:hint="default" w:ascii="Times New Roman" w:hAnsi="Times New Roman" w:eastAsia="宋体" w:cs="Times New Roman"/>
                      <w:b/>
                      <w:bCs/>
                      <w:color w:val="auto"/>
                      <w:sz w:val="21"/>
                      <w:szCs w:val="21"/>
                      <w:highlight w:val="none"/>
                    </w:rPr>
                    <w:t>标准限值</w:t>
                  </w:r>
                  <w:r>
                    <w:rPr>
                      <w:rFonts w:hint="default" w:ascii="Times New Roman" w:hAnsi="Times New Roman" w:eastAsia="宋体" w:cs="Times New Roman"/>
                      <w:b/>
                      <w:bCs/>
                      <w:color w:val="auto"/>
                      <w:sz w:val="21"/>
                      <w:szCs w:val="21"/>
                      <w:highlight w:val="none"/>
                      <w:lang w:bidi="ar"/>
                    </w:rPr>
                    <w:t>dB（A）</w:t>
                  </w:r>
                </w:p>
              </w:tc>
              <w:tc>
                <w:tcPr>
                  <w:tcW w:w="1583" w:type="dxa"/>
                  <w:tcBorders>
                    <w:tl2br w:val="nil"/>
                    <w:tr2bl w:val="nil"/>
                  </w:tcBorders>
                  <w:noWrap w:val="0"/>
                  <w:vAlign w:val="center"/>
                </w:tcPr>
                <w:p w14:paraId="7AE52B0D">
                  <w:pPr>
                    <w:keepNext w:val="0"/>
                    <w:keepLines w:val="0"/>
                    <w:pageBreakBefore w:val="0"/>
                    <w:kinsoku/>
                    <w:overflowPunct/>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aps w:val="0"/>
                      <w:color w:val="auto"/>
                      <w:spacing w:val="0"/>
                      <w:sz w:val="21"/>
                      <w:szCs w:val="21"/>
                      <w:highlight w:val="none"/>
                      <w:vertAlign w:val="baseline"/>
                      <w:lang w:eastAsia="zh-CN"/>
                    </w:rPr>
                  </w:pPr>
                  <w:r>
                    <w:rPr>
                      <w:rFonts w:hint="eastAsia" w:ascii="Times New Roman" w:hAnsi="Times New Roman" w:eastAsia="宋体" w:cs="Times New Roman"/>
                      <w:b/>
                      <w:bCs/>
                      <w:i w:val="0"/>
                      <w:iCs w:val="0"/>
                      <w:caps w:val="0"/>
                      <w:color w:val="auto"/>
                      <w:spacing w:val="0"/>
                      <w:sz w:val="21"/>
                      <w:szCs w:val="21"/>
                      <w:highlight w:val="none"/>
                      <w:vertAlign w:val="baseline"/>
                      <w:lang w:eastAsia="zh-CN"/>
                    </w:rPr>
                    <w:t>执行标准</w:t>
                  </w:r>
                </w:p>
              </w:tc>
              <w:tc>
                <w:tcPr>
                  <w:tcW w:w="1345" w:type="dxa"/>
                  <w:tcBorders>
                    <w:tl2br w:val="nil"/>
                    <w:tr2bl w:val="nil"/>
                  </w:tcBorders>
                  <w:noWrap w:val="0"/>
                  <w:vAlign w:val="center"/>
                </w:tcPr>
                <w:p w14:paraId="10D68B8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i w:val="0"/>
                      <w:iCs w:val="0"/>
                      <w:caps w:val="0"/>
                      <w:color w:val="auto"/>
                      <w:spacing w:val="0"/>
                      <w:sz w:val="21"/>
                      <w:szCs w:val="21"/>
                      <w:highlight w:val="none"/>
                      <w:vertAlign w:val="baseline"/>
                      <w:lang w:eastAsia="zh-CN"/>
                    </w:rPr>
                  </w:pPr>
                  <w:r>
                    <w:rPr>
                      <w:rFonts w:hint="default" w:ascii="Times New Roman" w:hAnsi="Times New Roman" w:eastAsia="宋体" w:cs="Times New Roman"/>
                      <w:b/>
                      <w:bCs w:val="0"/>
                      <w:color w:val="auto"/>
                      <w:spacing w:val="0"/>
                      <w:position w:val="0"/>
                      <w:sz w:val="21"/>
                      <w:szCs w:val="21"/>
                      <w:highlight w:val="none"/>
                      <w:shd w:val="clear" w:color="auto" w:fill="auto"/>
                    </w:rPr>
                    <w:t>标准值</w:t>
                  </w:r>
                </w:p>
              </w:tc>
            </w:tr>
            <w:tr w14:paraId="2842C0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vMerge w:val="restart"/>
                  <w:tcBorders>
                    <w:tl2br w:val="nil"/>
                    <w:tr2bl w:val="nil"/>
                  </w:tcBorders>
                  <w:noWrap w:val="0"/>
                  <w:vAlign w:val="center"/>
                </w:tcPr>
                <w:p w14:paraId="030EE84B">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i w:val="0"/>
                      <w:iCs w:val="0"/>
                      <w:caps w:val="0"/>
                      <w:color w:val="auto"/>
                      <w:spacing w:val="0"/>
                      <w:sz w:val="21"/>
                      <w:szCs w:val="21"/>
                      <w:highlight w:val="none"/>
                      <w:vertAlign w:val="baseline"/>
                      <w:lang w:eastAsia="zh-CN"/>
                    </w:rPr>
                    <w:t>项目厂界外</w:t>
                  </w:r>
                  <w:r>
                    <w:rPr>
                      <w:rFonts w:hint="eastAsia" w:ascii="Times New Roman" w:hAnsi="Times New Roman" w:eastAsia="宋体" w:cs="Times New Roman"/>
                      <w:i w:val="0"/>
                      <w:iCs w:val="0"/>
                      <w:caps w:val="0"/>
                      <w:color w:val="auto"/>
                      <w:spacing w:val="0"/>
                      <w:sz w:val="21"/>
                      <w:szCs w:val="21"/>
                      <w:highlight w:val="none"/>
                      <w:vertAlign w:val="baseline"/>
                      <w:lang w:val="en-US" w:eastAsia="zh-CN"/>
                    </w:rPr>
                    <w:t>1m</w:t>
                  </w:r>
                </w:p>
              </w:tc>
              <w:tc>
                <w:tcPr>
                  <w:tcW w:w="1183" w:type="dxa"/>
                  <w:tcBorders>
                    <w:tl2br w:val="nil"/>
                    <w:tr2bl w:val="nil"/>
                  </w:tcBorders>
                  <w:noWrap w:val="0"/>
                  <w:vAlign w:val="center"/>
                </w:tcPr>
                <w:p w14:paraId="1D8BCF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rPr>
                  </w:pPr>
                  <w:r>
                    <w:rPr>
                      <w:rFonts w:hint="default" w:ascii="Times New Roman" w:hAnsi="Times New Roman" w:eastAsia="宋体" w:cs="Times New Roman"/>
                      <w:b w:val="0"/>
                      <w:bCs w:val="0"/>
                      <w:color w:val="auto"/>
                      <w:sz w:val="21"/>
                      <w:szCs w:val="21"/>
                      <w:highlight w:val="none"/>
                      <w:lang w:bidi="ar"/>
                    </w:rPr>
                    <w:t>厂界</w:t>
                  </w:r>
                  <w:r>
                    <w:rPr>
                      <w:rFonts w:hint="eastAsia" w:ascii="Times New Roman" w:hAnsi="Times New Roman" w:eastAsia="宋体" w:cs="Times New Roman"/>
                      <w:i w:val="0"/>
                      <w:iCs w:val="0"/>
                      <w:color w:val="auto"/>
                      <w:kern w:val="0"/>
                      <w:sz w:val="21"/>
                      <w:szCs w:val="21"/>
                      <w:highlight w:val="none"/>
                      <w:u w:val="none"/>
                      <w:lang w:val="en-US" w:eastAsia="zh-CN" w:bidi="ar"/>
                    </w:rPr>
                    <w:t>东</w:t>
                  </w:r>
                  <w:r>
                    <w:rPr>
                      <w:rFonts w:ascii="Times New Roman" w:hAnsi="Times New Roman" w:eastAsia="宋体" w:cs="Times New Roman"/>
                      <w:b w:val="0"/>
                      <w:bCs w:val="0"/>
                      <w:color w:val="auto"/>
                      <w:sz w:val="21"/>
                      <w:szCs w:val="21"/>
                      <w:highlight w:val="none"/>
                    </w:rPr>
                    <w:t>侧</w:t>
                  </w:r>
                </w:p>
              </w:tc>
              <w:tc>
                <w:tcPr>
                  <w:tcW w:w="1588" w:type="dxa"/>
                  <w:tcBorders>
                    <w:tl2br w:val="nil"/>
                    <w:tr2bl w:val="nil"/>
                  </w:tcBorders>
                  <w:noWrap w:val="0"/>
                  <w:vAlign w:val="center"/>
                </w:tcPr>
                <w:p w14:paraId="72C06C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i w:val="0"/>
                      <w:iCs w:val="0"/>
                      <w:caps w:val="0"/>
                      <w:color w:val="auto"/>
                      <w:spacing w:val="0"/>
                      <w:sz w:val="21"/>
                      <w:szCs w:val="21"/>
                      <w:highlight w:val="none"/>
                      <w:vertAlign w:val="baseline"/>
                      <w:lang w:val="en-US" w:eastAsia="zh-CN"/>
                    </w:rPr>
                    <w:t>3</w:t>
                  </w:r>
                  <w:r>
                    <w:rPr>
                      <w:rFonts w:hint="eastAsia" w:cs="Times New Roman"/>
                      <w:i w:val="0"/>
                      <w:iCs w:val="0"/>
                      <w:caps w:val="0"/>
                      <w:color w:val="auto"/>
                      <w:spacing w:val="0"/>
                      <w:sz w:val="21"/>
                      <w:szCs w:val="21"/>
                      <w:highlight w:val="none"/>
                      <w:vertAlign w:val="baseline"/>
                      <w:lang w:val="en-US" w:eastAsia="zh-CN"/>
                    </w:rPr>
                    <w:t>5.8</w:t>
                  </w:r>
                </w:p>
              </w:tc>
              <w:tc>
                <w:tcPr>
                  <w:tcW w:w="1739" w:type="dxa"/>
                  <w:tcBorders>
                    <w:tl2br w:val="nil"/>
                    <w:tr2bl w:val="nil"/>
                  </w:tcBorders>
                  <w:noWrap w:val="0"/>
                  <w:vAlign w:val="center"/>
                </w:tcPr>
                <w:p w14:paraId="16161B5E">
                  <w:pPr>
                    <w:keepNext w:val="0"/>
                    <w:keepLines w:val="0"/>
                    <w:pageBreakBefore w:val="0"/>
                    <w:widowControl/>
                    <w:suppressLineNumbers w:val="0"/>
                    <w:kinsoku/>
                    <w:wordWrap w:val="0"/>
                    <w:overflowPunct/>
                    <w:topLine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w:t>
                  </w:r>
                  <w:r>
                    <w:rPr>
                      <w:rFonts w:hint="eastAsia" w:cs="Times New Roman"/>
                      <w:i w:val="0"/>
                      <w:iCs w:val="0"/>
                      <w:color w:val="auto"/>
                      <w:kern w:val="0"/>
                      <w:sz w:val="21"/>
                      <w:szCs w:val="21"/>
                      <w:highlight w:val="none"/>
                      <w:u w:val="none"/>
                      <w:lang w:val="en-US" w:eastAsia="zh-CN" w:bidi="ar"/>
                    </w:rPr>
                    <w:t>5</w:t>
                  </w:r>
                </w:p>
              </w:tc>
              <w:tc>
                <w:tcPr>
                  <w:tcW w:w="1583" w:type="dxa"/>
                  <w:vMerge w:val="restart"/>
                  <w:tcBorders>
                    <w:tl2br w:val="nil"/>
                    <w:tr2bl w:val="nil"/>
                  </w:tcBorders>
                  <w:noWrap w:val="0"/>
                  <w:vAlign w:val="center"/>
                </w:tcPr>
                <w:p w14:paraId="4FA00577">
                  <w:pPr>
                    <w:keepNext w:val="0"/>
                    <w:keepLines w:val="0"/>
                    <w:pageBreakBefore w:val="0"/>
                    <w:kinsoku/>
                    <w:overflowPunct/>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b w:val="0"/>
                      <w:bCs/>
                      <w:color w:val="auto"/>
                      <w:spacing w:val="0"/>
                      <w:position w:val="0"/>
                      <w:sz w:val="21"/>
                      <w:szCs w:val="21"/>
                      <w:highlight w:val="none"/>
                      <w:lang w:eastAsia="zh-CN"/>
                    </w:rPr>
                    <w:t>GB</w:t>
                  </w:r>
                  <w:r>
                    <w:rPr>
                      <w:rFonts w:hint="default" w:ascii="Times New Roman" w:hAnsi="Times New Roman" w:eastAsia="宋体" w:cs="Times New Roman"/>
                      <w:b w:val="0"/>
                      <w:bCs/>
                      <w:color w:val="auto"/>
                      <w:spacing w:val="0"/>
                      <w:position w:val="0"/>
                      <w:sz w:val="21"/>
                      <w:szCs w:val="21"/>
                      <w:highlight w:val="none"/>
                    </w:rPr>
                    <w:t>12348-2008中</w:t>
                  </w:r>
                  <w:r>
                    <w:rPr>
                      <w:rFonts w:hint="eastAsia" w:cs="Times New Roman"/>
                      <w:b w:val="0"/>
                      <w:bCs/>
                      <w:color w:val="auto"/>
                      <w:spacing w:val="0"/>
                      <w:position w:val="0"/>
                      <w:sz w:val="21"/>
                      <w:szCs w:val="21"/>
                      <w:highlight w:val="none"/>
                      <w:lang w:val="en-US" w:eastAsia="zh-CN"/>
                    </w:rPr>
                    <w:t>3</w:t>
                  </w:r>
                  <w:r>
                    <w:rPr>
                      <w:rFonts w:hint="default" w:ascii="Times New Roman" w:hAnsi="Times New Roman" w:eastAsia="宋体" w:cs="Times New Roman"/>
                      <w:b w:val="0"/>
                      <w:bCs/>
                      <w:color w:val="auto"/>
                      <w:spacing w:val="0"/>
                      <w:position w:val="0"/>
                      <w:sz w:val="21"/>
                      <w:szCs w:val="21"/>
                      <w:highlight w:val="none"/>
                    </w:rPr>
                    <w:t>类标准</w:t>
                  </w:r>
                </w:p>
              </w:tc>
              <w:tc>
                <w:tcPr>
                  <w:tcW w:w="1345" w:type="dxa"/>
                  <w:vMerge w:val="restart"/>
                  <w:tcBorders>
                    <w:tl2br w:val="nil"/>
                    <w:tr2bl w:val="nil"/>
                  </w:tcBorders>
                  <w:noWrap w:val="0"/>
                  <w:vAlign w:val="center"/>
                </w:tcPr>
                <w:p w14:paraId="2D46BDF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pacing w:val="0"/>
                      <w:position w:val="0"/>
                      <w:sz w:val="21"/>
                      <w:szCs w:val="21"/>
                      <w:highlight w:val="none"/>
                      <w:lang w:eastAsia="zh-CN"/>
                    </w:rPr>
                  </w:pPr>
                  <w:r>
                    <w:rPr>
                      <w:rFonts w:hint="default" w:ascii="Times New Roman" w:hAnsi="Times New Roman" w:eastAsia="宋体" w:cs="Times New Roman"/>
                      <w:color w:val="auto"/>
                      <w:spacing w:val="0"/>
                      <w:position w:val="0"/>
                      <w:sz w:val="21"/>
                      <w:szCs w:val="21"/>
                      <w:highlight w:val="none"/>
                      <w:shd w:val="clear" w:color="auto" w:fill="auto"/>
                    </w:rPr>
                    <w:t>昼间≤6</w:t>
                  </w:r>
                  <w:r>
                    <w:rPr>
                      <w:rFonts w:hint="eastAsia" w:cs="Times New Roman"/>
                      <w:color w:val="auto"/>
                      <w:spacing w:val="0"/>
                      <w:position w:val="0"/>
                      <w:sz w:val="21"/>
                      <w:szCs w:val="21"/>
                      <w:highlight w:val="none"/>
                      <w:shd w:val="clear" w:color="auto" w:fill="auto"/>
                      <w:lang w:val="en-US" w:eastAsia="zh-CN"/>
                    </w:rPr>
                    <w:t>5</w:t>
                  </w:r>
                  <w:r>
                    <w:rPr>
                      <w:rFonts w:hint="eastAsia" w:ascii="Times New Roman" w:hAnsi="Times New Roman" w:eastAsia="宋体" w:cs="Times New Roman"/>
                      <w:color w:val="auto"/>
                      <w:spacing w:val="0"/>
                      <w:position w:val="0"/>
                      <w:sz w:val="21"/>
                      <w:szCs w:val="21"/>
                      <w:highlight w:val="none"/>
                      <w:shd w:val="clear" w:color="auto" w:fill="auto"/>
                      <w:lang w:eastAsia="zh-CN"/>
                    </w:rPr>
                    <w:t>dB</w:t>
                  </w:r>
                  <w:r>
                    <w:rPr>
                      <w:rFonts w:hint="eastAsia" w:cs="Times New Roman"/>
                      <w:color w:val="auto"/>
                      <w:spacing w:val="0"/>
                      <w:position w:val="0"/>
                      <w:sz w:val="21"/>
                      <w:szCs w:val="21"/>
                      <w:highlight w:val="none"/>
                      <w:shd w:val="clear" w:color="auto" w:fill="auto"/>
                      <w:lang w:eastAsia="zh-CN"/>
                    </w:rPr>
                    <w:t>（</w:t>
                  </w:r>
                  <w:r>
                    <w:rPr>
                      <w:rFonts w:hint="eastAsia" w:ascii="Times New Roman" w:hAnsi="Times New Roman" w:eastAsia="宋体" w:cs="Times New Roman"/>
                      <w:color w:val="auto"/>
                      <w:spacing w:val="0"/>
                      <w:position w:val="0"/>
                      <w:sz w:val="21"/>
                      <w:szCs w:val="21"/>
                      <w:highlight w:val="none"/>
                      <w:shd w:val="clear" w:color="auto" w:fill="auto"/>
                      <w:lang w:eastAsia="zh-CN"/>
                    </w:rPr>
                    <w:t>A</w:t>
                  </w:r>
                  <w:r>
                    <w:rPr>
                      <w:rFonts w:hint="eastAsia" w:cs="Times New Roman"/>
                      <w:color w:val="auto"/>
                      <w:spacing w:val="0"/>
                      <w:position w:val="0"/>
                      <w:sz w:val="21"/>
                      <w:szCs w:val="21"/>
                      <w:highlight w:val="none"/>
                      <w:shd w:val="clear" w:color="auto" w:fill="auto"/>
                      <w:lang w:eastAsia="zh-CN"/>
                    </w:rPr>
                    <w:t>）</w:t>
                  </w:r>
                </w:p>
              </w:tc>
            </w:tr>
            <w:tr w14:paraId="7BA432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vMerge w:val="continue"/>
                  <w:tcBorders>
                    <w:tl2br w:val="nil"/>
                    <w:tr2bl w:val="nil"/>
                  </w:tcBorders>
                  <w:noWrap w:val="0"/>
                  <w:vAlign w:val="center"/>
                </w:tcPr>
                <w:p w14:paraId="580E4B77">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rPr>
                  </w:pPr>
                </w:p>
              </w:tc>
              <w:tc>
                <w:tcPr>
                  <w:tcW w:w="1183" w:type="dxa"/>
                  <w:tcBorders>
                    <w:tl2br w:val="nil"/>
                    <w:tr2bl w:val="nil"/>
                  </w:tcBorders>
                  <w:noWrap w:val="0"/>
                  <w:vAlign w:val="center"/>
                </w:tcPr>
                <w:p w14:paraId="1651D9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rPr>
                  </w:pPr>
                  <w:r>
                    <w:rPr>
                      <w:rFonts w:hint="default" w:ascii="Times New Roman" w:hAnsi="Times New Roman" w:eastAsia="宋体" w:cs="Times New Roman"/>
                      <w:b w:val="0"/>
                      <w:bCs w:val="0"/>
                      <w:color w:val="auto"/>
                      <w:sz w:val="21"/>
                      <w:szCs w:val="21"/>
                      <w:highlight w:val="none"/>
                      <w:lang w:bidi="ar"/>
                    </w:rPr>
                    <w:t>厂界</w:t>
                  </w:r>
                  <w:r>
                    <w:rPr>
                      <w:rFonts w:hint="eastAsia" w:ascii="Times New Roman" w:hAnsi="Times New Roman" w:eastAsia="宋体" w:cs="Times New Roman"/>
                      <w:i w:val="0"/>
                      <w:iCs w:val="0"/>
                      <w:color w:val="auto"/>
                      <w:kern w:val="0"/>
                      <w:sz w:val="21"/>
                      <w:szCs w:val="21"/>
                      <w:highlight w:val="none"/>
                      <w:u w:val="none"/>
                      <w:lang w:val="en-US" w:eastAsia="zh-CN" w:bidi="ar"/>
                    </w:rPr>
                    <w:t>南</w:t>
                  </w:r>
                  <w:r>
                    <w:rPr>
                      <w:rFonts w:ascii="Times New Roman" w:hAnsi="Times New Roman" w:eastAsia="宋体" w:cs="Times New Roman"/>
                      <w:b w:val="0"/>
                      <w:bCs w:val="0"/>
                      <w:color w:val="auto"/>
                      <w:sz w:val="21"/>
                      <w:szCs w:val="21"/>
                      <w:highlight w:val="none"/>
                    </w:rPr>
                    <w:t>侧</w:t>
                  </w:r>
                </w:p>
              </w:tc>
              <w:tc>
                <w:tcPr>
                  <w:tcW w:w="1588" w:type="dxa"/>
                  <w:tcBorders>
                    <w:tl2br w:val="nil"/>
                    <w:tr2bl w:val="nil"/>
                  </w:tcBorders>
                  <w:noWrap w:val="0"/>
                  <w:vAlign w:val="center"/>
                </w:tcPr>
                <w:p w14:paraId="2002D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i w:val="0"/>
                      <w:iCs w:val="0"/>
                      <w:caps w:val="0"/>
                      <w:color w:val="auto"/>
                      <w:spacing w:val="0"/>
                      <w:sz w:val="21"/>
                      <w:szCs w:val="21"/>
                      <w:highlight w:val="none"/>
                      <w:vertAlign w:val="baseline"/>
                      <w:lang w:val="en-US" w:eastAsia="zh-CN"/>
                    </w:rPr>
                    <w:t>4</w:t>
                  </w:r>
                  <w:r>
                    <w:rPr>
                      <w:rFonts w:hint="eastAsia" w:cs="Times New Roman"/>
                      <w:i w:val="0"/>
                      <w:iCs w:val="0"/>
                      <w:caps w:val="0"/>
                      <w:color w:val="auto"/>
                      <w:spacing w:val="0"/>
                      <w:sz w:val="21"/>
                      <w:szCs w:val="21"/>
                      <w:highlight w:val="none"/>
                      <w:vertAlign w:val="baseline"/>
                      <w:lang w:val="en-US" w:eastAsia="zh-CN"/>
                    </w:rPr>
                    <w:t>6.3</w:t>
                  </w:r>
                </w:p>
              </w:tc>
              <w:tc>
                <w:tcPr>
                  <w:tcW w:w="1739" w:type="dxa"/>
                  <w:tcBorders>
                    <w:tl2br w:val="nil"/>
                    <w:tr2bl w:val="nil"/>
                  </w:tcBorders>
                  <w:noWrap w:val="0"/>
                  <w:vAlign w:val="center"/>
                </w:tcPr>
                <w:p w14:paraId="2190868F">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w:t>
                  </w:r>
                  <w:r>
                    <w:rPr>
                      <w:rFonts w:hint="eastAsia" w:cs="Times New Roman"/>
                      <w:i w:val="0"/>
                      <w:iCs w:val="0"/>
                      <w:color w:val="auto"/>
                      <w:kern w:val="0"/>
                      <w:sz w:val="21"/>
                      <w:szCs w:val="21"/>
                      <w:highlight w:val="none"/>
                      <w:u w:val="none"/>
                      <w:lang w:val="en-US" w:eastAsia="zh-CN" w:bidi="ar"/>
                    </w:rPr>
                    <w:t>5</w:t>
                  </w:r>
                </w:p>
              </w:tc>
              <w:tc>
                <w:tcPr>
                  <w:tcW w:w="1583" w:type="dxa"/>
                  <w:vMerge w:val="continue"/>
                  <w:tcBorders>
                    <w:tl2br w:val="nil"/>
                    <w:tr2bl w:val="nil"/>
                  </w:tcBorders>
                  <w:noWrap w:val="0"/>
                  <w:vAlign w:val="center"/>
                </w:tcPr>
                <w:p w14:paraId="1E6DCD12">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345" w:type="dxa"/>
                  <w:vMerge w:val="continue"/>
                  <w:tcBorders>
                    <w:tl2br w:val="nil"/>
                    <w:tr2bl w:val="nil"/>
                  </w:tcBorders>
                  <w:noWrap w:val="0"/>
                  <w:vAlign w:val="center"/>
                </w:tcPr>
                <w:p w14:paraId="79F1CB89">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5E23A2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vMerge w:val="continue"/>
                  <w:tcBorders>
                    <w:tl2br w:val="nil"/>
                    <w:tr2bl w:val="nil"/>
                  </w:tcBorders>
                  <w:noWrap w:val="0"/>
                  <w:vAlign w:val="center"/>
                </w:tcPr>
                <w:p w14:paraId="6B420E87">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rPr>
                  </w:pPr>
                </w:p>
              </w:tc>
              <w:tc>
                <w:tcPr>
                  <w:tcW w:w="1183" w:type="dxa"/>
                  <w:tcBorders>
                    <w:tl2br w:val="nil"/>
                    <w:tr2bl w:val="nil"/>
                  </w:tcBorders>
                  <w:noWrap w:val="0"/>
                  <w:vAlign w:val="center"/>
                </w:tcPr>
                <w:p w14:paraId="1136D3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rPr>
                  </w:pPr>
                  <w:r>
                    <w:rPr>
                      <w:rFonts w:hint="default" w:ascii="Times New Roman" w:hAnsi="Times New Roman" w:eastAsia="宋体" w:cs="Times New Roman"/>
                      <w:b w:val="0"/>
                      <w:bCs w:val="0"/>
                      <w:color w:val="auto"/>
                      <w:sz w:val="21"/>
                      <w:szCs w:val="21"/>
                      <w:highlight w:val="none"/>
                      <w:lang w:bidi="ar"/>
                    </w:rPr>
                    <w:t>厂界</w:t>
                  </w:r>
                  <w:r>
                    <w:rPr>
                      <w:rFonts w:hint="eastAsia" w:ascii="Times New Roman" w:hAnsi="Times New Roman" w:eastAsia="宋体" w:cs="Times New Roman"/>
                      <w:i w:val="0"/>
                      <w:iCs w:val="0"/>
                      <w:color w:val="auto"/>
                      <w:kern w:val="0"/>
                      <w:sz w:val="21"/>
                      <w:szCs w:val="21"/>
                      <w:highlight w:val="none"/>
                      <w:u w:val="none"/>
                      <w:lang w:val="en-US" w:eastAsia="zh-CN" w:bidi="ar"/>
                    </w:rPr>
                    <w:t>西</w:t>
                  </w:r>
                  <w:r>
                    <w:rPr>
                      <w:rFonts w:ascii="Times New Roman" w:hAnsi="Times New Roman" w:eastAsia="宋体" w:cs="Times New Roman"/>
                      <w:b w:val="0"/>
                      <w:bCs w:val="0"/>
                      <w:color w:val="auto"/>
                      <w:sz w:val="21"/>
                      <w:szCs w:val="21"/>
                      <w:highlight w:val="none"/>
                    </w:rPr>
                    <w:t>侧</w:t>
                  </w:r>
                </w:p>
              </w:tc>
              <w:tc>
                <w:tcPr>
                  <w:tcW w:w="1588" w:type="dxa"/>
                  <w:tcBorders>
                    <w:tl2br w:val="nil"/>
                    <w:tr2bl w:val="nil"/>
                  </w:tcBorders>
                  <w:noWrap w:val="0"/>
                  <w:vAlign w:val="center"/>
                </w:tcPr>
                <w:p w14:paraId="63E154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i w:val="0"/>
                      <w:iCs w:val="0"/>
                      <w:caps w:val="0"/>
                      <w:color w:val="auto"/>
                      <w:spacing w:val="0"/>
                      <w:sz w:val="21"/>
                      <w:szCs w:val="21"/>
                      <w:highlight w:val="none"/>
                      <w:vertAlign w:val="baseline"/>
                      <w:lang w:val="en-US" w:eastAsia="zh-CN"/>
                    </w:rPr>
                    <w:t>3</w:t>
                  </w:r>
                  <w:r>
                    <w:rPr>
                      <w:rFonts w:hint="eastAsia" w:cs="Times New Roman"/>
                      <w:i w:val="0"/>
                      <w:iCs w:val="0"/>
                      <w:caps w:val="0"/>
                      <w:color w:val="auto"/>
                      <w:spacing w:val="0"/>
                      <w:sz w:val="21"/>
                      <w:szCs w:val="21"/>
                      <w:highlight w:val="none"/>
                      <w:vertAlign w:val="baseline"/>
                      <w:lang w:val="en-US" w:eastAsia="zh-CN"/>
                    </w:rPr>
                    <w:t>5.7</w:t>
                  </w:r>
                </w:p>
              </w:tc>
              <w:tc>
                <w:tcPr>
                  <w:tcW w:w="1739" w:type="dxa"/>
                  <w:tcBorders>
                    <w:tl2br w:val="nil"/>
                    <w:tr2bl w:val="nil"/>
                  </w:tcBorders>
                  <w:noWrap w:val="0"/>
                  <w:vAlign w:val="center"/>
                </w:tcPr>
                <w:p w14:paraId="28620BD8">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w:t>
                  </w:r>
                  <w:r>
                    <w:rPr>
                      <w:rFonts w:hint="eastAsia" w:cs="Times New Roman"/>
                      <w:i w:val="0"/>
                      <w:iCs w:val="0"/>
                      <w:color w:val="auto"/>
                      <w:kern w:val="0"/>
                      <w:sz w:val="21"/>
                      <w:szCs w:val="21"/>
                      <w:highlight w:val="none"/>
                      <w:u w:val="none"/>
                      <w:lang w:val="en-US" w:eastAsia="zh-CN" w:bidi="ar"/>
                    </w:rPr>
                    <w:t>5</w:t>
                  </w:r>
                </w:p>
              </w:tc>
              <w:tc>
                <w:tcPr>
                  <w:tcW w:w="1583" w:type="dxa"/>
                  <w:vMerge w:val="continue"/>
                  <w:tcBorders>
                    <w:tl2br w:val="nil"/>
                    <w:tr2bl w:val="nil"/>
                  </w:tcBorders>
                  <w:noWrap w:val="0"/>
                  <w:vAlign w:val="center"/>
                </w:tcPr>
                <w:p w14:paraId="07152BAD">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345" w:type="dxa"/>
                  <w:vMerge w:val="continue"/>
                  <w:tcBorders>
                    <w:tl2br w:val="nil"/>
                    <w:tr2bl w:val="nil"/>
                  </w:tcBorders>
                  <w:noWrap w:val="0"/>
                  <w:vAlign w:val="center"/>
                </w:tcPr>
                <w:p w14:paraId="35BFBE5F">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4EF2C2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vMerge w:val="continue"/>
                  <w:tcBorders>
                    <w:tl2br w:val="nil"/>
                    <w:tr2bl w:val="nil"/>
                  </w:tcBorders>
                  <w:noWrap w:val="0"/>
                  <w:vAlign w:val="center"/>
                </w:tcPr>
                <w:p w14:paraId="211DF53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rPr>
                  </w:pPr>
                </w:p>
              </w:tc>
              <w:tc>
                <w:tcPr>
                  <w:tcW w:w="1183" w:type="dxa"/>
                  <w:tcBorders>
                    <w:tl2br w:val="nil"/>
                    <w:tr2bl w:val="nil"/>
                  </w:tcBorders>
                  <w:noWrap w:val="0"/>
                  <w:vAlign w:val="center"/>
                </w:tcPr>
                <w:p w14:paraId="35010C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rPr>
                  </w:pPr>
                  <w:r>
                    <w:rPr>
                      <w:rFonts w:hint="default" w:ascii="Times New Roman" w:hAnsi="Times New Roman" w:eastAsia="宋体" w:cs="Times New Roman"/>
                      <w:b w:val="0"/>
                      <w:bCs w:val="0"/>
                      <w:color w:val="auto"/>
                      <w:sz w:val="21"/>
                      <w:szCs w:val="21"/>
                      <w:highlight w:val="none"/>
                      <w:lang w:bidi="ar"/>
                    </w:rPr>
                    <w:t>厂界</w:t>
                  </w:r>
                  <w:r>
                    <w:rPr>
                      <w:rFonts w:hint="eastAsia" w:ascii="Times New Roman" w:hAnsi="Times New Roman" w:eastAsia="宋体" w:cs="Times New Roman"/>
                      <w:i w:val="0"/>
                      <w:iCs w:val="0"/>
                      <w:color w:val="auto"/>
                      <w:kern w:val="0"/>
                      <w:sz w:val="21"/>
                      <w:szCs w:val="21"/>
                      <w:highlight w:val="none"/>
                      <w:u w:val="none"/>
                      <w:lang w:val="en-US" w:eastAsia="zh-CN" w:bidi="ar"/>
                    </w:rPr>
                    <w:t>北</w:t>
                  </w:r>
                  <w:r>
                    <w:rPr>
                      <w:rFonts w:ascii="Times New Roman" w:hAnsi="Times New Roman" w:eastAsia="宋体" w:cs="Times New Roman"/>
                      <w:b w:val="0"/>
                      <w:bCs w:val="0"/>
                      <w:color w:val="auto"/>
                      <w:sz w:val="21"/>
                      <w:szCs w:val="21"/>
                      <w:highlight w:val="none"/>
                    </w:rPr>
                    <w:t>侧</w:t>
                  </w:r>
                </w:p>
              </w:tc>
              <w:tc>
                <w:tcPr>
                  <w:tcW w:w="1588" w:type="dxa"/>
                  <w:tcBorders>
                    <w:tl2br w:val="nil"/>
                    <w:tr2bl w:val="nil"/>
                  </w:tcBorders>
                  <w:noWrap w:val="0"/>
                  <w:vAlign w:val="center"/>
                </w:tcPr>
                <w:p w14:paraId="261AE9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i w:val="0"/>
                      <w:iCs w:val="0"/>
                      <w:caps w:val="0"/>
                      <w:color w:val="auto"/>
                      <w:spacing w:val="0"/>
                      <w:sz w:val="21"/>
                      <w:szCs w:val="21"/>
                      <w:highlight w:val="none"/>
                      <w:vertAlign w:val="baseline"/>
                      <w:lang w:val="en-US" w:eastAsia="zh-CN"/>
                    </w:rPr>
                    <w:t>5</w:t>
                  </w:r>
                  <w:r>
                    <w:rPr>
                      <w:rFonts w:hint="eastAsia" w:cs="Times New Roman"/>
                      <w:i w:val="0"/>
                      <w:iCs w:val="0"/>
                      <w:caps w:val="0"/>
                      <w:color w:val="auto"/>
                      <w:spacing w:val="0"/>
                      <w:sz w:val="21"/>
                      <w:szCs w:val="21"/>
                      <w:highlight w:val="none"/>
                      <w:vertAlign w:val="baseline"/>
                      <w:lang w:val="en-US" w:eastAsia="zh-CN"/>
                    </w:rPr>
                    <w:t>0.3</w:t>
                  </w:r>
                </w:p>
              </w:tc>
              <w:tc>
                <w:tcPr>
                  <w:tcW w:w="1739" w:type="dxa"/>
                  <w:tcBorders>
                    <w:tl2br w:val="nil"/>
                    <w:tr2bl w:val="nil"/>
                  </w:tcBorders>
                  <w:noWrap w:val="0"/>
                  <w:vAlign w:val="center"/>
                </w:tcPr>
                <w:p w14:paraId="4A6B9F61">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w:t>
                  </w:r>
                  <w:r>
                    <w:rPr>
                      <w:rFonts w:hint="eastAsia" w:cs="Times New Roman"/>
                      <w:i w:val="0"/>
                      <w:iCs w:val="0"/>
                      <w:color w:val="auto"/>
                      <w:kern w:val="0"/>
                      <w:sz w:val="21"/>
                      <w:szCs w:val="21"/>
                      <w:highlight w:val="none"/>
                      <w:u w:val="none"/>
                      <w:lang w:val="en-US" w:eastAsia="zh-CN" w:bidi="ar"/>
                    </w:rPr>
                    <w:t>5</w:t>
                  </w:r>
                </w:p>
              </w:tc>
              <w:tc>
                <w:tcPr>
                  <w:tcW w:w="1583" w:type="dxa"/>
                  <w:vMerge w:val="continue"/>
                  <w:tcBorders>
                    <w:tl2br w:val="nil"/>
                    <w:tr2bl w:val="nil"/>
                  </w:tcBorders>
                  <w:noWrap w:val="0"/>
                  <w:vAlign w:val="center"/>
                </w:tcPr>
                <w:p w14:paraId="684139BD">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345" w:type="dxa"/>
                  <w:vMerge w:val="continue"/>
                  <w:tcBorders>
                    <w:tl2br w:val="nil"/>
                    <w:tr2bl w:val="nil"/>
                  </w:tcBorders>
                  <w:noWrap w:val="0"/>
                  <w:vAlign w:val="center"/>
                </w:tcPr>
                <w:p w14:paraId="0EC58C86">
                  <w:pPr>
                    <w:keepNext w:val="0"/>
                    <w:keepLines w:val="0"/>
                    <w:pageBreakBefore w:val="0"/>
                    <w:widowControl/>
                    <w:suppressLineNumbers w:val="0"/>
                    <w:kinsoku/>
                    <w:overflowPunct/>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bl>
          <w:p w14:paraId="2FDF3C00">
            <w:pPr>
              <w:keepNext w:val="0"/>
              <w:keepLines w:val="0"/>
              <w:pageBreakBefore w:val="0"/>
              <w:widowControl/>
              <w:kinsoku/>
              <w:wordWrap/>
              <w:overflowPunct/>
              <w:topLinePunct w:val="0"/>
              <w:autoSpaceDE/>
              <w:autoSpaceDN/>
              <w:bidi w:val="0"/>
              <w:adjustRightInd/>
              <w:snapToGrid w:val="0"/>
              <w:spacing w:before="157" w:beforeLines="50" w:line="360" w:lineRule="auto"/>
              <w:ind w:firstLine="480" w:firstLineChars="200"/>
              <w:textAlignment w:val="auto"/>
              <w:rPr>
                <w:rFonts w:ascii="Times New Roman" w:hAnsi="Times New Roman" w:eastAsia="宋体" w:cs="Times New Roman"/>
                <w:color w:val="auto"/>
                <w:spacing w:val="0"/>
                <w:position w:val="0"/>
                <w:sz w:val="24"/>
                <w:highlight w:val="none"/>
              </w:rPr>
            </w:pPr>
            <w:r>
              <w:rPr>
                <w:rFonts w:hint="eastAsia" w:ascii="Times New Roman" w:hAnsi="Times New Roman" w:eastAsia="宋体" w:cs="Times New Roman"/>
                <w:color w:val="auto"/>
                <w:spacing w:val="0"/>
                <w:position w:val="0"/>
                <w:sz w:val="24"/>
                <w:highlight w:val="none"/>
                <w:lang w:eastAsia="zh-CN"/>
              </w:rPr>
              <w:t>项目夜间不生产，</w:t>
            </w:r>
            <w:r>
              <w:rPr>
                <w:rFonts w:hint="eastAsia" w:cs="Times New Roman"/>
                <w:color w:val="auto"/>
                <w:spacing w:val="0"/>
                <w:position w:val="0"/>
                <w:sz w:val="24"/>
                <w:highlight w:val="none"/>
                <w:lang w:val="en-US" w:eastAsia="zh-CN"/>
              </w:rPr>
              <w:t>仅昼间生产，</w:t>
            </w:r>
            <w:r>
              <w:rPr>
                <w:rFonts w:ascii="Times New Roman" w:hAnsi="Times New Roman" w:eastAsia="宋体" w:cs="Times New Roman"/>
                <w:color w:val="auto"/>
                <w:spacing w:val="0"/>
                <w:position w:val="0"/>
                <w:sz w:val="24"/>
                <w:highlight w:val="none"/>
              </w:rPr>
              <w:t>根据预测结果，项目运行后厂界昼间贡献值约</w:t>
            </w:r>
            <w:r>
              <w:rPr>
                <w:rFonts w:hint="eastAsia" w:cs="Times New Roman"/>
                <w:color w:val="auto"/>
                <w:spacing w:val="0"/>
                <w:position w:val="0"/>
                <w:sz w:val="24"/>
                <w:highlight w:val="none"/>
                <w:lang w:val="en-US" w:eastAsia="zh-CN"/>
              </w:rPr>
              <w:t>35.7~50.3</w:t>
            </w:r>
            <w:r>
              <w:rPr>
                <w:rFonts w:ascii="Times New Roman" w:hAnsi="Times New Roman" w:eastAsia="宋体" w:cs="Times New Roman"/>
                <w:color w:val="auto"/>
                <w:spacing w:val="0"/>
                <w:position w:val="0"/>
                <w:sz w:val="24"/>
                <w:highlight w:val="none"/>
              </w:rPr>
              <w:t>dB（A）之间，能够达到《工业企业厂界环境噪声排放标准》（GB12348-2008）中</w:t>
            </w:r>
            <w:r>
              <w:rPr>
                <w:rFonts w:hint="eastAsia" w:cs="Times New Roman"/>
                <w:color w:val="auto"/>
                <w:spacing w:val="0"/>
                <w:position w:val="0"/>
                <w:sz w:val="24"/>
                <w:highlight w:val="none"/>
                <w:lang w:val="en-US" w:eastAsia="zh-CN"/>
              </w:rPr>
              <w:t>3</w:t>
            </w:r>
            <w:r>
              <w:rPr>
                <w:rFonts w:ascii="Times New Roman" w:hAnsi="Times New Roman" w:eastAsia="宋体" w:cs="Times New Roman"/>
                <w:color w:val="auto"/>
                <w:spacing w:val="0"/>
                <w:position w:val="0"/>
                <w:sz w:val="24"/>
                <w:highlight w:val="none"/>
              </w:rPr>
              <w:t>类标准（昼间≤6</w:t>
            </w:r>
            <w:r>
              <w:rPr>
                <w:rFonts w:hint="eastAsia" w:cs="Times New Roman"/>
                <w:color w:val="auto"/>
                <w:spacing w:val="0"/>
                <w:position w:val="0"/>
                <w:sz w:val="24"/>
                <w:highlight w:val="none"/>
                <w:lang w:val="en-US" w:eastAsia="zh-CN"/>
              </w:rPr>
              <w:t>5</w:t>
            </w:r>
            <w:r>
              <w:rPr>
                <w:rFonts w:ascii="Times New Roman" w:hAnsi="Times New Roman" w:eastAsia="宋体" w:cs="Times New Roman"/>
                <w:color w:val="auto"/>
                <w:spacing w:val="0"/>
                <w:position w:val="0"/>
                <w:sz w:val="24"/>
                <w:highlight w:val="none"/>
              </w:rPr>
              <w:t>dB</w:t>
            </w:r>
            <w:r>
              <w:rPr>
                <w:rFonts w:hint="eastAsia"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A</w:t>
            </w:r>
            <w:r>
              <w:rPr>
                <w:rFonts w:hint="eastAsia"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w:t>
            </w:r>
            <w:r>
              <w:rPr>
                <w:rFonts w:hint="eastAsia" w:ascii="Times New Roman" w:hAnsi="Times New Roman" w:eastAsia="宋体" w:cs="Times New Roman"/>
                <w:color w:val="auto"/>
                <w:spacing w:val="0"/>
                <w:position w:val="0"/>
                <w:sz w:val="24"/>
                <w:highlight w:val="none"/>
              </w:rPr>
              <w:t>要求</w:t>
            </w:r>
            <w:r>
              <w:rPr>
                <w:rFonts w:ascii="Times New Roman" w:hAnsi="Times New Roman" w:eastAsia="宋体" w:cs="Times New Roman"/>
                <w:color w:val="auto"/>
                <w:spacing w:val="0"/>
                <w:position w:val="0"/>
                <w:sz w:val="24"/>
                <w:highlight w:val="none"/>
              </w:rPr>
              <w:t>，</w:t>
            </w:r>
            <w:r>
              <w:rPr>
                <w:rFonts w:hint="eastAsia" w:ascii="Times New Roman" w:hAnsi="Times New Roman" w:eastAsia="宋体" w:cs="Times New Roman"/>
                <w:color w:val="auto"/>
                <w:spacing w:val="0"/>
                <w:position w:val="0"/>
                <w:sz w:val="24"/>
                <w:highlight w:val="none"/>
              </w:rPr>
              <w:t>项目建设</w:t>
            </w:r>
            <w:r>
              <w:rPr>
                <w:rFonts w:ascii="Times New Roman" w:hAnsi="Times New Roman" w:eastAsia="宋体" w:cs="Times New Roman"/>
                <w:color w:val="auto"/>
                <w:spacing w:val="0"/>
                <w:position w:val="0"/>
                <w:sz w:val="24"/>
                <w:highlight w:val="none"/>
              </w:rPr>
              <w:t>对周围声环境影响不大。</w:t>
            </w:r>
          </w:p>
          <w:p w14:paraId="31B80933">
            <w:pPr>
              <w:spacing w:line="360" w:lineRule="auto"/>
              <w:rPr>
                <w:rFonts w:ascii="Times New Roman" w:hAnsi="Times New Roman" w:eastAsia="宋体" w:cs="Times New Roman"/>
                <w:b/>
                <w:color w:val="auto"/>
                <w:spacing w:val="0"/>
                <w:position w:val="0"/>
                <w:sz w:val="24"/>
                <w:highlight w:val="none"/>
              </w:rPr>
            </w:pPr>
            <w:r>
              <w:rPr>
                <w:rFonts w:ascii="Times New Roman" w:hAnsi="Times New Roman" w:eastAsia="宋体" w:cs="Times New Roman"/>
                <w:b/>
                <w:color w:val="auto"/>
                <w:spacing w:val="0"/>
                <w:position w:val="0"/>
                <w:sz w:val="24"/>
                <w:highlight w:val="none"/>
              </w:rPr>
              <w:t>4.</w:t>
            </w:r>
            <w:r>
              <w:rPr>
                <w:rFonts w:hint="eastAsia" w:ascii="Times New Roman" w:hAnsi="Times New Roman" w:eastAsia="宋体" w:cs="Times New Roman"/>
                <w:b/>
                <w:color w:val="auto"/>
                <w:spacing w:val="0"/>
                <w:position w:val="0"/>
                <w:sz w:val="24"/>
                <w:highlight w:val="none"/>
              </w:rPr>
              <w:t>3</w:t>
            </w:r>
            <w:r>
              <w:rPr>
                <w:rFonts w:ascii="Times New Roman" w:hAnsi="Times New Roman" w:eastAsia="宋体" w:cs="Times New Roman"/>
                <w:b/>
                <w:color w:val="auto"/>
                <w:spacing w:val="0"/>
                <w:position w:val="0"/>
                <w:sz w:val="24"/>
                <w:highlight w:val="none"/>
              </w:rPr>
              <w:t>.3</w:t>
            </w:r>
            <w:r>
              <w:rPr>
                <w:rFonts w:hint="eastAsia" w:ascii="Times New Roman" w:hAnsi="Times New Roman" w:eastAsia="宋体" w:cs="Times New Roman"/>
                <w:b/>
                <w:color w:val="auto"/>
                <w:spacing w:val="0"/>
                <w:position w:val="0"/>
                <w:sz w:val="24"/>
                <w:highlight w:val="none"/>
              </w:rPr>
              <w:t>噪声防治措施、达标情况</w:t>
            </w:r>
          </w:p>
          <w:p w14:paraId="2537DE4E">
            <w:pPr>
              <w:adjustRightInd w:val="0"/>
              <w:spacing w:line="360" w:lineRule="auto"/>
              <w:ind w:firstLine="480" w:firstLineChars="200"/>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生产设备等位于生产车间，经过结构房屋阻隔降噪效果明显。为减少噪声对周围环境的影响，</w:t>
            </w:r>
            <w:r>
              <w:rPr>
                <w:rFonts w:ascii="Times New Roman" w:hAnsi="Times New Roman" w:eastAsia="宋体" w:cs="Times New Roman"/>
                <w:color w:val="auto"/>
                <w:spacing w:val="0"/>
                <w:kern w:val="0"/>
                <w:position w:val="0"/>
                <w:sz w:val="24"/>
                <w:highlight w:val="none"/>
              </w:rPr>
              <w:t>针对各噪声源源强及其污染特征，本评价要求建设单位必须加强注意如下几点：</w:t>
            </w:r>
          </w:p>
          <w:p w14:paraId="26DA6C72">
            <w:pPr>
              <w:adjustRightInd w:val="0"/>
              <w:spacing w:line="360" w:lineRule="auto"/>
              <w:ind w:firstLine="480" w:firstLineChars="200"/>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（1）选用了低噪音设备，优化选型；</w:t>
            </w:r>
          </w:p>
          <w:p w14:paraId="57BB0C19">
            <w:pPr>
              <w:adjustRightInd w:val="0"/>
              <w:spacing w:line="360" w:lineRule="auto"/>
              <w:ind w:firstLine="480" w:firstLineChars="200"/>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（2）对厂房内各设备进行合理的布置，并将高噪声设备放置于生产车间的中间，远离厂界；</w:t>
            </w:r>
          </w:p>
          <w:p w14:paraId="59A539F7">
            <w:pPr>
              <w:adjustRightInd w:val="0"/>
              <w:spacing w:line="360" w:lineRule="auto"/>
              <w:ind w:firstLine="480" w:firstLineChars="200"/>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（3）对生产设备做好消声、隔音和减振设施；改进机组转动部件，使转动部件相互接触时滑润平衡，减少振动工具的撞击作用和动力；加强对生产设备的维护和保养，减少因机械磨损而增加的噪声；</w:t>
            </w:r>
          </w:p>
          <w:p w14:paraId="3A60BDD9">
            <w:pPr>
              <w:adjustRightInd w:val="0"/>
              <w:spacing w:line="360" w:lineRule="auto"/>
              <w:ind w:firstLine="480" w:firstLineChars="200"/>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（4）</w:t>
            </w:r>
            <w:r>
              <w:rPr>
                <w:rFonts w:hint="eastAsia" w:ascii="Times New Roman" w:hAnsi="Times New Roman" w:eastAsia="宋体" w:cs="Times New Roman"/>
                <w:color w:val="auto"/>
                <w:spacing w:val="0"/>
                <w:position w:val="0"/>
                <w:sz w:val="24"/>
                <w:highlight w:val="none"/>
                <w:lang w:bidi="ar"/>
              </w:rPr>
              <w:t>加强设备的使用和日常维护管理，维持设备处于良好的运转状态，定期检查、维修</w:t>
            </w:r>
            <w:r>
              <w:rPr>
                <w:rFonts w:hint="eastAsia" w:cs="Times New Roman"/>
                <w:color w:val="auto"/>
                <w:spacing w:val="0"/>
                <w:position w:val="0"/>
                <w:sz w:val="24"/>
                <w:highlight w:val="none"/>
                <w:lang w:eastAsia="zh-CN" w:bidi="ar"/>
              </w:rPr>
              <w:t>，对</w:t>
            </w:r>
            <w:r>
              <w:rPr>
                <w:rFonts w:hint="eastAsia" w:ascii="Times New Roman" w:hAnsi="Times New Roman" w:eastAsia="宋体" w:cs="Times New Roman"/>
                <w:color w:val="auto"/>
                <w:spacing w:val="0"/>
                <w:position w:val="0"/>
                <w:sz w:val="24"/>
                <w:highlight w:val="none"/>
                <w:lang w:bidi="ar"/>
              </w:rPr>
              <w:t>不符合要求的设备及时更换，避免因设备运转不正常时噪声的增高，确保厂界噪声达标排放</w:t>
            </w:r>
            <w:r>
              <w:rPr>
                <w:rFonts w:ascii="Times New Roman" w:hAnsi="Times New Roman" w:eastAsia="宋体" w:cs="Times New Roman"/>
                <w:color w:val="auto"/>
                <w:spacing w:val="0"/>
                <w:position w:val="0"/>
                <w:sz w:val="24"/>
                <w:highlight w:val="none"/>
              </w:rPr>
              <w:t>；</w:t>
            </w:r>
          </w:p>
          <w:p w14:paraId="65256C18">
            <w:pPr>
              <w:pageBreakBefore w:val="0"/>
              <w:kinsoku/>
              <w:wordWrap/>
              <w:overflowPunct/>
              <w:topLinePunct w:val="0"/>
              <w:autoSpaceDE/>
              <w:autoSpaceDN/>
              <w:bidi w:val="0"/>
              <w:adjustRightInd w:val="0"/>
              <w:spacing w:line="360" w:lineRule="auto"/>
              <w:ind w:firstLine="480" w:firstLineChars="200"/>
              <w:textAlignment w:val="auto"/>
              <w:rPr>
                <w:rFonts w:hint="eastAsia" w:ascii="Times New Roman" w:hAnsi="Times New Roman" w:eastAsia="宋体" w:cs="Times New Roman"/>
                <w:color w:val="auto"/>
                <w:spacing w:val="0"/>
                <w:position w:val="0"/>
                <w:sz w:val="24"/>
                <w:szCs w:val="24"/>
                <w:highlight w:val="none"/>
              </w:rPr>
            </w:pPr>
            <w:r>
              <w:rPr>
                <w:rFonts w:ascii="Times New Roman" w:hAnsi="Times New Roman" w:eastAsia="宋体" w:cs="Times New Roman"/>
                <w:color w:val="auto"/>
                <w:spacing w:val="0"/>
                <w:position w:val="0"/>
                <w:sz w:val="24"/>
                <w:highlight w:val="none"/>
              </w:rPr>
              <w:t>（5）</w:t>
            </w:r>
            <w:r>
              <w:rPr>
                <w:rFonts w:hint="eastAsia" w:ascii="Times New Roman" w:hAnsi="Times New Roman" w:eastAsia="宋体" w:cs="Times New Roman"/>
                <w:color w:val="auto"/>
                <w:spacing w:val="0"/>
                <w:position w:val="0"/>
                <w:sz w:val="24"/>
                <w:highlight w:val="none"/>
                <w:lang w:bidi="ar"/>
              </w:rPr>
              <w:t>项目</w:t>
            </w:r>
            <w:r>
              <w:rPr>
                <w:rFonts w:hint="eastAsia" w:ascii="Times New Roman" w:hAnsi="Times New Roman" w:eastAsia="宋体" w:cs="Times New Roman"/>
                <w:color w:val="auto"/>
                <w:spacing w:val="0"/>
                <w:position w:val="0"/>
                <w:sz w:val="24"/>
                <w:highlight w:val="none"/>
                <w:lang w:val="en-US" w:eastAsia="zh-CN" w:bidi="ar"/>
              </w:rPr>
              <w:t>夜间不进行生产，周边最近敏感点</w:t>
            </w:r>
            <w:r>
              <w:rPr>
                <w:rFonts w:hint="default" w:ascii="Times New Roman" w:hAnsi="Times New Roman" w:eastAsia="宋体" w:cs="Times New Roman"/>
                <w:color w:val="auto"/>
                <w:spacing w:val="0"/>
                <w:position w:val="0"/>
                <w:sz w:val="24"/>
                <w:szCs w:val="24"/>
                <w:highlight w:val="none"/>
                <w:lang w:eastAsia="zh-CN"/>
              </w:rPr>
              <w:t>为</w:t>
            </w:r>
            <w:r>
              <w:rPr>
                <w:rFonts w:hint="eastAsia" w:cs="Times New Roman"/>
                <w:color w:val="auto"/>
                <w:spacing w:val="0"/>
                <w:position w:val="0"/>
                <w:sz w:val="24"/>
                <w:szCs w:val="24"/>
                <w:highlight w:val="none"/>
                <w:lang w:val="en-US" w:eastAsia="zh-CN"/>
              </w:rPr>
              <w:t>东</w:t>
            </w:r>
            <w:r>
              <w:rPr>
                <w:rFonts w:hint="eastAsia" w:ascii="Times New Roman" w:hAnsi="Times New Roman" w:eastAsia="宋体" w:cs="Times New Roman"/>
                <w:color w:val="auto"/>
                <w:spacing w:val="0"/>
                <w:position w:val="0"/>
                <w:sz w:val="24"/>
                <w:szCs w:val="24"/>
                <w:highlight w:val="none"/>
                <w:lang w:val="en-US" w:eastAsia="zh-CN"/>
              </w:rPr>
              <w:t>侧</w:t>
            </w:r>
            <w:r>
              <w:rPr>
                <w:rFonts w:hint="eastAsia" w:cs="Times New Roman"/>
                <w:color w:val="auto"/>
                <w:spacing w:val="0"/>
                <w:position w:val="0"/>
                <w:sz w:val="24"/>
                <w:szCs w:val="24"/>
                <w:highlight w:val="none"/>
                <w:lang w:val="en-US" w:eastAsia="zh-CN"/>
              </w:rPr>
              <w:t>77</w:t>
            </w:r>
            <w:r>
              <w:rPr>
                <w:rFonts w:hint="default" w:ascii="Times New Roman" w:hAnsi="Times New Roman" w:eastAsia="宋体" w:cs="Times New Roman"/>
                <w:color w:val="auto"/>
                <w:spacing w:val="0"/>
                <w:position w:val="0"/>
                <w:sz w:val="24"/>
                <w:szCs w:val="24"/>
                <w:highlight w:val="none"/>
                <w:lang w:val="en-US" w:eastAsia="zh-CN"/>
              </w:rPr>
              <w:t>m</w:t>
            </w:r>
            <w:r>
              <w:rPr>
                <w:rFonts w:hint="eastAsia" w:ascii="Times New Roman" w:hAnsi="Times New Roman" w:eastAsia="宋体" w:cs="Times New Roman"/>
                <w:color w:val="auto"/>
                <w:spacing w:val="0"/>
                <w:position w:val="0"/>
                <w:sz w:val="24"/>
                <w:szCs w:val="24"/>
                <w:highlight w:val="none"/>
                <w:lang w:val="en-US" w:eastAsia="zh-CN"/>
              </w:rPr>
              <w:t>处的</w:t>
            </w:r>
            <w:r>
              <w:rPr>
                <w:rFonts w:hint="eastAsia" w:cs="Times New Roman"/>
                <w:color w:val="auto"/>
                <w:spacing w:val="0"/>
                <w:position w:val="0"/>
                <w:sz w:val="24"/>
                <w:szCs w:val="24"/>
                <w:highlight w:val="none"/>
                <w:lang w:val="en-US" w:eastAsia="zh-CN"/>
              </w:rPr>
              <w:t>振兴村</w:t>
            </w:r>
            <w:r>
              <w:rPr>
                <w:rFonts w:hint="eastAsia" w:ascii="Times New Roman" w:hAnsi="Times New Roman" w:eastAsia="宋体" w:cs="Times New Roman"/>
                <w:color w:val="auto"/>
                <w:spacing w:val="0"/>
                <w:position w:val="0"/>
                <w:sz w:val="24"/>
                <w:highlight w:val="none"/>
                <w:lang w:val="en-US" w:eastAsia="zh-CN" w:bidi="ar"/>
              </w:rPr>
              <w:t>，距离较远，对周边环境</w:t>
            </w:r>
            <w:r>
              <w:rPr>
                <w:rFonts w:hint="eastAsia" w:ascii="Times New Roman" w:hAnsi="Times New Roman" w:eastAsia="宋体" w:cs="Times New Roman"/>
                <w:color w:val="auto"/>
                <w:spacing w:val="0"/>
                <w:position w:val="0"/>
                <w:sz w:val="24"/>
                <w:szCs w:val="24"/>
                <w:highlight w:val="none"/>
                <w:lang w:val="en-US" w:eastAsia="zh-CN" w:bidi="ar"/>
              </w:rPr>
              <w:t>影响较小</w:t>
            </w:r>
            <w:r>
              <w:rPr>
                <w:rFonts w:hint="eastAsia" w:ascii="Times New Roman" w:hAnsi="Times New Roman" w:eastAsia="宋体" w:cs="Times New Roman"/>
                <w:color w:val="auto"/>
                <w:spacing w:val="0"/>
                <w:position w:val="0"/>
                <w:sz w:val="24"/>
                <w:szCs w:val="24"/>
                <w:highlight w:val="none"/>
              </w:rPr>
              <w:t>。</w:t>
            </w:r>
          </w:p>
          <w:p w14:paraId="0C4FB65B">
            <w:pPr>
              <w:pageBreakBefore w:val="0"/>
              <w:widowControl/>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pacing w:val="0"/>
                <w:kern w:val="0"/>
                <w:position w:val="0"/>
                <w:sz w:val="24"/>
                <w:szCs w:val="24"/>
                <w:highlight w:val="none"/>
                <w:lang w:bidi="ar"/>
              </w:rPr>
            </w:pPr>
            <w:r>
              <w:rPr>
                <w:rFonts w:ascii="Times New Roman" w:hAnsi="Times New Roman" w:eastAsia="宋体" w:cs="Times New Roman"/>
                <w:color w:val="auto"/>
                <w:spacing w:val="0"/>
                <w:position w:val="0"/>
                <w:sz w:val="24"/>
                <w:szCs w:val="24"/>
                <w:highlight w:val="none"/>
              </w:rPr>
              <w:t>项目采取如上措施后，项目厂界噪声均能够满足《工业企业厂界环境噪声排放标准》（GB12348-2008）</w:t>
            </w:r>
            <w:r>
              <w:rPr>
                <w:rFonts w:hint="eastAsia" w:cs="Times New Roman"/>
                <w:color w:val="auto"/>
                <w:spacing w:val="0"/>
                <w:position w:val="0"/>
                <w:sz w:val="24"/>
                <w:szCs w:val="24"/>
                <w:highlight w:val="none"/>
                <w:lang w:val="en-US" w:eastAsia="zh-CN"/>
              </w:rPr>
              <w:t>3</w:t>
            </w:r>
            <w:r>
              <w:rPr>
                <w:rFonts w:ascii="Times New Roman" w:hAnsi="Times New Roman" w:eastAsia="宋体" w:cs="Times New Roman"/>
                <w:color w:val="auto"/>
                <w:spacing w:val="0"/>
                <w:position w:val="0"/>
                <w:sz w:val="24"/>
                <w:szCs w:val="24"/>
                <w:highlight w:val="none"/>
              </w:rPr>
              <w:t>类标准（昼间噪声≤</w:t>
            </w:r>
            <w:r>
              <w:rPr>
                <w:rFonts w:hint="eastAsia" w:ascii="Times New Roman" w:hAnsi="Times New Roman" w:eastAsia="宋体" w:cs="Times New Roman"/>
                <w:color w:val="auto"/>
                <w:spacing w:val="0"/>
                <w:position w:val="0"/>
                <w:sz w:val="24"/>
                <w:szCs w:val="24"/>
                <w:highlight w:val="none"/>
              </w:rPr>
              <w:t>6</w:t>
            </w:r>
            <w:r>
              <w:rPr>
                <w:rFonts w:hint="eastAsia" w:cs="Times New Roman"/>
                <w:color w:val="auto"/>
                <w:spacing w:val="0"/>
                <w:position w:val="0"/>
                <w:sz w:val="24"/>
                <w:szCs w:val="24"/>
                <w:highlight w:val="none"/>
                <w:lang w:val="en-US" w:eastAsia="zh-CN"/>
              </w:rPr>
              <w:t>5</w:t>
            </w:r>
            <w:r>
              <w:rPr>
                <w:rFonts w:ascii="Times New Roman" w:hAnsi="Times New Roman" w:eastAsia="宋体" w:cs="Times New Roman"/>
                <w:color w:val="auto"/>
                <w:spacing w:val="0"/>
                <w:position w:val="0"/>
                <w:sz w:val="24"/>
                <w:szCs w:val="24"/>
                <w:highlight w:val="none"/>
              </w:rPr>
              <w:t>dB</w:t>
            </w:r>
            <w:r>
              <w:rPr>
                <w:rFonts w:hint="eastAsia" w:cs="Times New Roman"/>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A</w:t>
            </w:r>
            <w:r>
              <w:rPr>
                <w:rFonts w:hint="eastAsia" w:cs="Times New Roman"/>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，夜间噪声≤5</w:t>
            </w:r>
            <w:r>
              <w:rPr>
                <w:rFonts w:hint="eastAsia" w:cs="Times New Roman"/>
                <w:color w:val="auto"/>
                <w:spacing w:val="0"/>
                <w:position w:val="0"/>
                <w:sz w:val="24"/>
                <w:szCs w:val="24"/>
                <w:highlight w:val="none"/>
                <w:lang w:val="en-US" w:eastAsia="zh-CN"/>
              </w:rPr>
              <w:t>5</w:t>
            </w:r>
            <w:r>
              <w:rPr>
                <w:rFonts w:ascii="Times New Roman" w:hAnsi="Times New Roman" w:eastAsia="宋体" w:cs="Times New Roman"/>
                <w:color w:val="auto"/>
                <w:spacing w:val="0"/>
                <w:position w:val="0"/>
                <w:sz w:val="24"/>
                <w:szCs w:val="24"/>
                <w:highlight w:val="none"/>
              </w:rPr>
              <w:t>dB</w:t>
            </w:r>
            <w:r>
              <w:rPr>
                <w:rFonts w:hint="eastAsia" w:cs="Times New Roman"/>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A</w:t>
            </w:r>
            <w:r>
              <w:rPr>
                <w:rFonts w:hint="eastAsia" w:cs="Times New Roman"/>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对周边环境影响不大，噪声处理措施基本可行</w:t>
            </w:r>
            <w:r>
              <w:rPr>
                <w:rFonts w:ascii="Times New Roman" w:hAnsi="Times New Roman" w:eastAsia="宋体" w:cs="Times New Roman"/>
                <w:color w:val="auto"/>
                <w:spacing w:val="0"/>
                <w:kern w:val="0"/>
                <w:position w:val="0"/>
                <w:sz w:val="24"/>
                <w:szCs w:val="24"/>
                <w:highlight w:val="none"/>
                <w:lang w:bidi="ar"/>
              </w:rPr>
              <w:t>。</w:t>
            </w:r>
          </w:p>
          <w:p w14:paraId="603BDF0B">
            <w:pPr>
              <w:pStyle w:val="2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bCs/>
                <w:color w:val="auto"/>
                <w:kern w:val="2"/>
                <w:sz w:val="24"/>
                <w:szCs w:val="24"/>
                <w:highlight w:val="none"/>
                <w:u w:val="none"/>
                <w:lang w:val="en-US" w:eastAsia="zh-CN" w:bidi="ar"/>
              </w:rPr>
            </w:pPr>
            <w:r>
              <w:rPr>
                <w:rFonts w:hint="eastAsia" w:ascii="Times New Roman" w:hAnsi="Times New Roman" w:eastAsia="宋体" w:cs="Times New Roman"/>
                <w:b/>
                <w:bCs/>
                <w:color w:val="auto"/>
                <w:kern w:val="2"/>
                <w:sz w:val="24"/>
                <w:szCs w:val="24"/>
                <w:highlight w:val="none"/>
                <w:u w:val="none"/>
                <w:lang w:val="en-US" w:eastAsia="zh-CN" w:bidi="ar"/>
              </w:rPr>
              <w:t>4.3.4跟踪监测要求</w:t>
            </w:r>
          </w:p>
          <w:p w14:paraId="6CBC59CD">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ascii="Times New Roman" w:hAnsi="Times New Roman" w:eastAsia="宋体" w:cs="Times New Roman"/>
                <w:b w:val="0"/>
                <w:bCs w:val="0"/>
                <w:color w:val="auto"/>
                <w:spacing w:val="0"/>
                <w:position w:val="0"/>
                <w:sz w:val="24"/>
                <w:szCs w:val="24"/>
                <w:highlight w:val="none"/>
              </w:rPr>
            </w:pPr>
            <w:r>
              <w:rPr>
                <w:rFonts w:hint="default" w:ascii="Times New Roman" w:hAnsi="Times New Roman" w:eastAsia="宋体" w:cs="Times New Roman"/>
                <w:b w:val="0"/>
                <w:bCs w:val="0"/>
                <w:color w:val="auto"/>
                <w:sz w:val="24"/>
                <w:szCs w:val="24"/>
                <w:highlight w:val="none"/>
                <w:lang w:val="en-US" w:eastAsia="zh-CN"/>
              </w:rPr>
              <w:t>经上述分析，在建设单位落实各项噪声污染防治措施、确保设备合理布局并采取有效的减振、隔声</w:t>
            </w:r>
            <w:r>
              <w:rPr>
                <w:rFonts w:hint="eastAsia" w:ascii="Times New Roman" w:hAnsi="Times New Roman" w:eastAsia="宋体" w:cs="Times New Roman"/>
                <w:b w:val="0"/>
                <w:bCs w:val="0"/>
                <w:color w:val="auto"/>
                <w:sz w:val="24"/>
                <w:szCs w:val="24"/>
                <w:highlight w:val="none"/>
                <w:lang w:val="en-US" w:eastAsia="zh-CN"/>
              </w:rPr>
              <w:t>等</w:t>
            </w:r>
            <w:r>
              <w:rPr>
                <w:rFonts w:hint="default" w:ascii="Times New Roman" w:hAnsi="Times New Roman" w:eastAsia="宋体" w:cs="Times New Roman"/>
                <w:b w:val="0"/>
                <w:bCs w:val="0"/>
                <w:color w:val="auto"/>
                <w:sz w:val="24"/>
                <w:szCs w:val="24"/>
                <w:highlight w:val="none"/>
                <w:lang w:val="en-US" w:eastAsia="zh-CN"/>
              </w:rPr>
              <w:t>措施，且加强日常生产管理、控制作业时间的前提下，项目运行期厂界噪声可稳定达标排放，对周边环境影响较小。因此，项目运行期间无需布设噪声跟踪监测点，由建设单位定期开展自查，确保噪声污染防治设施正常运行即可。</w:t>
            </w:r>
          </w:p>
          <w:p w14:paraId="6D8377B5">
            <w:pPr>
              <w:pStyle w:val="4"/>
              <w:pageBreakBefore w:val="0"/>
              <w:kinsoku/>
              <w:wordWrap/>
              <w:overflowPunct/>
              <w:topLinePunct w:val="0"/>
              <w:autoSpaceDE/>
              <w:autoSpaceDN/>
              <w:bidi w:val="0"/>
              <w:adjustRightInd/>
              <w:snapToGrid/>
              <w:spacing w:before="0" w:after="0" w:line="360" w:lineRule="auto"/>
              <w:textAlignment w:val="auto"/>
              <w:rPr>
                <w:rFonts w:ascii="Times New Roman" w:hAnsi="Times New Roman" w:eastAsia="宋体" w:cs="Times New Roman"/>
                <w:b/>
                <w:bCs w:val="0"/>
                <w:color w:val="auto"/>
                <w:spacing w:val="0"/>
                <w:position w:val="0"/>
                <w:sz w:val="24"/>
                <w:szCs w:val="24"/>
                <w:highlight w:val="none"/>
              </w:rPr>
            </w:pPr>
            <w:r>
              <w:rPr>
                <w:rFonts w:ascii="Times New Roman" w:hAnsi="Times New Roman" w:eastAsia="宋体" w:cs="Times New Roman"/>
                <w:b/>
                <w:bCs w:val="0"/>
                <w:color w:val="auto"/>
                <w:spacing w:val="0"/>
                <w:position w:val="0"/>
                <w:sz w:val="24"/>
                <w:szCs w:val="24"/>
                <w:highlight w:val="none"/>
              </w:rPr>
              <w:t>4.</w:t>
            </w:r>
            <w:r>
              <w:rPr>
                <w:rFonts w:hint="eastAsia" w:ascii="Times New Roman" w:hAnsi="Times New Roman" w:eastAsia="宋体" w:cs="Times New Roman"/>
                <w:b/>
                <w:bCs w:val="0"/>
                <w:color w:val="auto"/>
                <w:spacing w:val="0"/>
                <w:position w:val="0"/>
                <w:sz w:val="24"/>
                <w:szCs w:val="24"/>
                <w:highlight w:val="none"/>
              </w:rPr>
              <w:t>3</w:t>
            </w:r>
            <w:r>
              <w:rPr>
                <w:rFonts w:ascii="Times New Roman" w:hAnsi="Times New Roman" w:eastAsia="宋体" w:cs="Times New Roman"/>
                <w:b/>
                <w:bCs w:val="0"/>
                <w:color w:val="auto"/>
                <w:spacing w:val="0"/>
                <w:position w:val="0"/>
                <w:sz w:val="24"/>
                <w:szCs w:val="24"/>
                <w:highlight w:val="none"/>
              </w:rPr>
              <w:t>.</w:t>
            </w:r>
            <w:r>
              <w:rPr>
                <w:rFonts w:hint="eastAsia" w:ascii="Times New Roman" w:hAnsi="Times New Roman" w:eastAsia="宋体" w:cs="Times New Roman"/>
                <w:b/>
                <w:bCs w:val="0"/>
                <w:color w:val="auto"/>
                <w:spacing w:val="0"/>
                <w:position w:val="0"/>
                <w:sz w:val="24"/>
                <w:szCs w:val="24"/>
                <w:highlight w:val="none"/>
                <w:lang w:val="en-US" w:eastAsia="zh-CN"/>
              </w:rPr>
              <w:t>5</w:t>
            </w:r>
            <w:r>
              <w:rPr>
                <w:rFonts w:ascii="Times New Roman" w:hAnsi="Times New Roman" w:eastAsia="宋体" w:cs="Times New Roman"/>
                <w:b/>
                <w:bCs w:val="0"/>
                <w:color w:val="auto"/>
                <w:spacing w:val="0"/>
                <w:position w:val="0"/>
                <w:sz w:val="24"/>
                <w:szCs w:val="24"/>
                <w:highlight w:val="none"/>
              </w:rPr>
              <w:t>噪声监测要求</w:t>
            </w:r>
          </w:p>
          <w:p w14:paraId="6E4E8C3C">
            <w:pPr>
              <w:pageBreakBefore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lang w:val="en-US" w:eastAsia="zh-CN"/>
              </w:rPr>
              <w:t>对照中华人民共和国生态环境部令第11号《固定污染源排污许可分类管理名录</w:t>
            </w:r>
            <w:r>
              <w:rPr>
                <w:rFonts w:hint="eastAsia"/>
                <w:color w:val="auto"/>
                <w:sz w:val="24"/>
                <w:szCs w:val="24"/>
                <w:highlight w:val="none"/>
                <w:lang w:val="en-US" w:eastAsia="zh-CN"/>
              </w:rPr>
              <w:t>（</w:t>
            </w:r>
            <w:r>
              <w:rPr>
                <w:color w:val="auto"/>
                <w:sz w:val="24"/>
                <w:szCs w:val="24"/>
                <w:highlight w:val="none"/>
                <w:lang w:val="en-US" w:eastAsia="zh-CN"/>
              </w:rPr>
              <w:t>2019年版</w:t>
            </w:r>
            <w:r>
              <w:rPr>
                <w:rFonts w:hint="eastAsia"/>
                <w:color w:val="auto"/>
                <w:sz w:val="24"/>
                <w:szCs w:val="24"/>
                <w:highlight w:val="none"/>
                <w:lang w:val="en-US" w:eastAsia="zh-CN"/>
              </w:rPr>
              <w:t>）</w:t>
            </w:r>
            <w:r>
              <w:rPr>
                <w:color w:val="auto"/>
                <w:sz w:val="24"/>
                <w:szCs w:val="24"/>
                <w:highlight w:val="none"/>
                <w:lang w:val="en-US" w:eastAsia="zh-CN"/>
              </w:rPr>
              <w:t>》可知</w:t>
            </w:r>
            <w:r>
              <w:rPr>
                <w:rFonts w:hint="eastAsia"/>
                <w:color w:val="auto"/>
                <w:sz w:val="24"/>
                <w:szCs w:val="24"/>
                <w:highlight w:val="none"/>
                <w:lang w:val="en-US" w:eastAsia="zh-CN"/>
              </w:rPr>
              <w:t>，</w:t>
            </w:r>
            <w:r>
              <w:rPr>
                <w:color w:val="auto"/>
                <w:sz w:val="24"/>
                <w:szCs w:val="24"/>
                <w:highlight w:val="none"/>
                <w:lang w:val="en-US" w:eastAsia="zh-CN"/>
              </w:rPr>
              <w:t>本项目属于</w:t>
            </w:r>
            <w:r>
              <w:rPr>
                <w:rFonts w:hint="eastAsia"/>
                <w:color w:val="auto"/>
                <w:sz w:val="24"/>
                <w:szCs w:val="24"/>
                <w:highlight w:val="none"/>
                <w:lang w:val="en-US" w:eastAsia="zh-CN"/>
              </w:rPr>
              <w:t>登记管理。</w:t>
            </w:r>
            <w:r>
              <w:rPr>
                <w:rFonts w:hint="eastAsia" w:ascii="Times New Roman" w:hAnsi="Times New Roman" w:eastAsia="宋体" w:cs="Times New Roman"/>
                <w:color w:val="auto"/>
                <w:spacing w:val="0"/>
                <w:position w:val="0"/>
                <w:sz w:val="24"/>
                <w:szCs w:val="24"/>
                <w:highlight w:val="none"/>
                <w:lang w:val="en-US" w:eastAsia="zh-CN"/>
              </w:rPr>
              <w:t>根据《排污单位自行监测技术指南 总则》（HJ819-2017）</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pacing w:val="0"/>
                <w:position w:val="0"/>
                <w:sz w:val="24"/>
                <w:szCs w:val="24"/>
                <w:highlight w:val="none"/>
                <w:lang w:val="en-US" w:eastAsia="zh-CN"/>
              </w:rPr>
              <w:t>《排污单位自行监测技术指南 涂装》（HJ1086-2020）</w:t>
            </w:r>
            <w:r>
              <w:rPr>
                <w:rFonts w:hint="eastAsia" w:ascii="Times New Roman" w:hAnsi="Times New Roman" w:eastAsia="宋体" w:cs="宋体"/>
                <w:color w:val="auto"/>
                <w:kern w:val="0"/>
                <w:sz w:val="24"/>
                <w:szCs w:val="24"/>
                <w:highlight w:val="none"/>
                <w:lang w:val="en-US" w:eastAsia="zh-CN" w:bidi="ar"/>
              </w:rPr>
              <w:t>、</w:t>
            </w:r>
            <w:r>
              <w:rPr>
                <w:rFonts w:hint="eastAsia" w:ascii="Times New Roman" w:hAnsi="Times New Roman" w:eastAsia="宋体" w:cs="Times New Roman"/>
                <w:b w:val="0"/>
                <w:bCs w:val="0"/>
                <w:color w:val="auto"/>
                <w:sz w:val="24"/>
                <w:szCs w:val="24"/>
                <w:highlight w:val="none"/>
                <w:shd w:val="clear" w:color="auto" w:fill="auto"/>
                <w:lang w:eastAsia="zh-CN"/>
              </w:rPr>
              <w:t>《排污许可证申请与核发技术规范 家具制造工业》（HJ 1027-2019）</w:t>
            </w:r>
            <w:r>
              <w:rPr>
                <w:rFonts w:hint="eastAsia" w:ascii="Times New Roman" w:hAnsi="Times New Roman" w:eastAsia="宋体" w:cs="Times New Roman"/>
                <w:color w:val="auto"/>
                <w:spacing w:val="0"/>
                <w:position w:val="0"/>
                <w:sz w:val="24"/>
                <w:szCs w:val="24"/>
                <w:highlight w:val="none"/>
                <w:lang w:val="en-US" w:eastAsia="zh-CN"/>
              </w:rPr>
              <w:t>相关技术规范的要求制定监测计划</w:t>
            </w:r>
            <w:r>
              <w:rPr>
                <w:color w:val="auto"/>
                <w:kern w:val="0"/>
                <w:sz w:val="24"/>
                <w:szCs w:val="24"/>
                <w:highlight w:val="none"/>
                <w:lang w:bidi="ar"/>
              </w:rPr>
              <w:t>，运营期污染源噪声监测计划</w:t>
            </w:r>
            <w:r>
              <w:rPr>
                <w:color w:val="auto"/>
                <w:sz w:val="24"/>
                <w:szCs w:val="24"/>
                <w:highlight w:val="none"/>
              </w:rPr>
              <w:t>，</w:t>
            </w:r>
            <w:r>
              <w:rPr>
                <w:rFonts w:hint="eastAsia"/>
                <w:color w:val="auto"/>
                <w:sz w:val="24"/>
                <w:szCs w:val="24"/>
                <w:highlight w:val="none"/>
              </w:rPr>
              <w:t>详</w:t>
            </w:r>
            <w:r>
              <w:rPr>
                <w:color w:val="auto"/>
                <w:sz w:val="24"/>
                <w:szCs w:val="24"/>
                <w:highlight w:val="none"/>
              </w:rPr>
              <w:t>见表</w:t>
            </w:r>
            <w:r>
              <w:rPr>
                <w:rFonts w:hint="eastAsia"/>
                <w:color w:val="auto"/>
                <w:kern w:val="0"/>
                <w:sz w:val="24"/>
                <w:szCs w:val="24"/>
                <w:highlight w:val="none"/>
                <w:lang w:val="en-US" w:eastAsia="zh-CN" w:bidi="ar"/>
              </w:rPr>
              <w:t>4.3-7</w:t>
            </w:r>
            <w:r>
              <w:rPr>
                <w:color w:val="auto"/>
                <w:kern w:val="0"/>
                <w:sz w:val="24"/>
                <w:szCs w:val="24"/>
                <w:highlight w:val="none"/>
                <w:lang w:bidi="ar"/>
              </w:rPr>
              <w:t xml:space="preserve">。 </w:t>
            </w:r>
          </w:p>
          <w:p w14:paraId="6664D8E2">
            <w:pPr>
              <w:pStyle w:val="9"/>
              <w:spacing w:line="240" w:lineRule="auto"/>
              <w:ind w:firstLine="0" w:firstLineChars="0"/>
              <w:jc w:val="center"/>
              <w:rPr>
                <w:rFonts w:eastAsia="宋体"/>
                <w:b/>
                <w:color w:val="auto"/>
                <w:sz w:val="24"/>
                <w:szCs w:val="24"/>
                <w:highlight w:val="none"/>
                <w:lang w:val="zh-CN"/>
              </w:rPr>
            </w:pPr>
            <w:r>
              <w:rPr>
                <w:rFonts w:eastAsia="宋体"/>
                <w:b/>
                <w:color w:val="auto"/>
                <w:sz w:val="24"/>
                <w:szCs w:val="24"/>
                <w:highlight w:val="none"/>
              </w:rPr>
              <w:t>表4</w:t>
            </w:r>
            <w:r>
              <w:rPr>
                <w:rFonts w:hint="eastAsia" w:eastAsia="宋体"/>
                <w:b/>
                <w:color w:val="auto"/>
                <w:sz w:val="24"/>
                <w:szCs w:val="24"/>
                <w:highlight w:val="none"/>
              </w:rPr>
              <w:t>.</w:t>
            </w:r>
            <w:r>
              <w:rPr>
                <w:rFonts w:hint="eastAsia" w:eastAsia="宋体"/>
                <w:b/>
                <w:color w:val="auto"/>
                <w:sz w:val="24"/>
                <w:szCs w:val="24"/>
                <w:highlight w:val="none"/>
                <w:lang w:val="en-US" w:eastAsia="zh-CN"/>
              </w:rPr>
              <w:t>3</w:t>
            </w:r>
            <w:r>
              <w:rPr>
                <w:rFonts w:hint="eastAsia" w:eastAsia="宋体"/>
                <w:b/>
                <w:color w:val="auto"/>
                <w:sz w:val="24"/>
                <w:szCs w:val="24"/>
                <w:highlight w:val="none"/>
              </w:rPr>
              <w:t>-</w:t>
            </w:r>
            <w:r>
              <w:rPr>
                <w:rFonts w:hint="eastAsia"/>
                <w:b/>
                <w:color w:val="auto"/>
                <w:sz w:val="24"/>
                <w:szCs w:val="24"/>
                <w:highlight w:val="none"/>
                <w:lang w:val="en-US" w:eastAsia="zh-CN"/>
              </w:rPr>
              <w:t>7</w:t>
            </w:r>
            <w:r>
              <w:rPr>
                <w:rFonts w:eastAsia="宋体"/>
                <w:b/>
                <w:color w:val="auto"/>
                <w:sz w:val="24"/>
                <w:szCs w:val="24"/>
                <w:highlight w:val="none"/>
              </w:rPr>
              <w:t xml:space="preserve">  噪声</w:t>
            </w:r>
            <w:r>
              <w:rPr>
                <w:rFonts w:eastAsia="宋体"/>
                <w:b/>
                <w:color w:val="auto"/>
                <w:sz w:val="24"/>
                <w:szCs w:val="24"/>
                <w:highlight w:val="none"/>
                <w:lang w:val="zh-CN"/>
              </w:rPr>
              <w:t>监测计划一览表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847"/>
              <w:gridCol w:w="1240"/>
              <w:gridCol w:w="1748"/>
              <w:gridCol w:w="1387"/>
              <w:gridCol w:w="3783"/>
            </w:tblGrid>
            <w:tr w14:paraId="2045CCFA">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blHeader/>
                <w:jc w:val="center"/>
              </w:trPr>
              <w:tc>
                <w:tcPr>
                  <w:tcW w:w="794" w:type="dxa"/>
                  <w:tcBorders>
                    <w:tl2br w:val="nil"/>
                    <w:tr2bl w:val="nil"/>
                  </w:tcBorders>
                  <w:noWrap w:val="0"/>
                  <w:vAlign w:val="center"/>
                </w:tcPr>
                <w:p w14:paraId="25427770">
                  <w:pPr>
                    <w:pStyle w:val="119"/>
                    <w:rPr>
                      <w:b/>
                      <w:bCs/>
                      <w:color w:val="auto"/>
                      <w:highlight w:val="none"/>
                    </w:rPr>
                  </w:pPr>
                  <w:r>
                    <w:rPr>
                      <w:b/>
                      <w:bCs/>
                      <w:color w:val="auto"/>
                      <w:highlight w:val="none"/>
                    </w:rPr>
                    <w:t>类别</w:t>
                  </w:r>
                </w:p>
              </w:tc>
              <w:tc>
                <w:tcPr>
                  <w:tcW w:w="1162" w:type="dxa"/>
                  <w:tcBorders>
                    <w:tl2br w:val="nil"/>
                    <w:tr2bl w:val="nil"/>
                  </w:tcBorders>
                  <w:noWrap w:val="0"/>
                  <w:vAlign w:val="center"/>
                </w:tcPr>
                <w:p w14:paraId="688500D7">
                  <w:pPr>
                    <w:pStyle w:val="119"/>
                    <w:rPr>
                      <w:b/>
                      <w:bCs/>
                      <w:color w:val="auto"/>
                      <w:highlight w:val="none"/>
                    </w:rPr>
                  </w:pPr>
                  <w:r>
                    <w:rPr>
                      <w:b/>
                      <w:bCs/>
                      <w:color w:val="auto"/>
                      <w:highlight w:val="none"/>
                    </w:rPr>
                    <w:t>监测点位</w:t>
                  </w:r>
                </w:p>
              </w:tc>
              <w:tc>
                <w:tcPr>
                  <w:tcW w:w="1638" w:type="dxa"/>
                  <w:tcBorders>
                    <w:tl2br w:val="nil"/>
                    <w:tr2bl w:val="nil"/>
                  </w:tcBorders>
                  <w:noWrap w:val="0"/>
                  <w:vAlign w:val="center"/>
                </w:tcPr>
                <w:p w14:paraId="22DA1A54">
                  <w:pPr>
                    <w:topLinePunct/>
                    <w:spacing w:line="240" w:lineRule="auto"/>
                    <w:ind w:firstLine="0" w:firstLineChars="0"/>
                    <w:jc w:val="center"/>
                    <w:rPr>
                      <w:b/>
                      <w:bCs/>
                      <w:color w:val="auto"/>
                      <w:sz w:val="21"/>
                      <w:szCs w:val="21"/>
                      <w:highlight w:val="none"/>
                    </w:rPr>
                  </w:pPr>
                  <w:r>
                    <w:rPr>
                      <w:b/>
                      <w:bCs/>
                      <w:color w:val="auto"/>
                      <w:sz w:val="21"/>
                      <w:szCs w:val="21"/>
                      <w:highlight w:val="none"/>
                    </w:rPr>
                    <w:t>监测指标</w:t>
                  </w:r>
                </w:p>
              </w:tc>
              <w:tc>
                <w:tcPr>
                  <w:tcW w:w="1300" w:type="dxa"/>
                  <w:tcBorders>
                    <w:tl2br w:val="nil"/>
                    <w:tr2bl w:val="nil"/>
                  </w:tcBorders>
                  <w:noWrap w:val="0"/>
                  <w:vAlign w:val="center"/>
                </w:tcPr>
                <w:p w14:paraId="639FDB01">
                  <w:pPr>
                    <w:topLinePunct/>
                    <w:spacing w:line="240" w:lineRule="auto"/>
                    <w:ind w:firstLine="0" w:firstLineChars="0"/>
                    <w:jc w:val="center"/>
                    <w:rPr>
                      <w:b/>
                      <w:bCs/>
                      <w:color w:val="auto"/>
                      <w:sz w:val="21"/>
                      <w:szCs w:val="21"/>
                      <w:highlight w:val="none"/>
                    </w:rPr>
                  </w:pPr>
                  <w:r>
                    <w:rPr>
                      <w:b/>
                      <w:bCs/>
                      <w:color w:val="auto"/>
                      <w:sz w:val="21"/>
                      <w:szCs w:val="21"/>
                      <w:highlight w:val="none"/>
                    </w:rPr>
                    <w:t>监测频次</w:t>
                  </w:r>
                </w:p>
              </w:tc>
              <w:tc>
                <w:tcPr>
                  <w:tcW w:w="3546" w:type="dxa"/>
                  <w:tcBorders>
                    <w:tl2br w:val="nil"/>
                    <w:tr2bl w:val="nil"/>
                  </w:tcBorders>
                  <w:noWrap w:val="0"/>
                  <w:vAlign w:val="center"/>
                </w:tcPr>
                <w:p w14:paraId="6B0ACC4E">
                  <w:pPr>
                    <w:topLinePunct/>
                    <w:spacing w:line="240" w:lineRule="auto"/>
                    <w:ind w:firstLine="0" w:firstLineChars="0"/>
                    <w:jc w:val="center"/>
                    <w:rPr>
                      <w:b/>
                      <w:bCs/>
                      <w:color w:val="auto"/>
                      <w:sz w:val="21"/>
                      <w:szCs w:val="21"/>
                      <w:highlight w:val="none"/>
                    </w:rPr>
                  </w:pPr>
                  <w:r>
                    <w:rPr>
                      <w:b/>
                      <w:bCs/>
                      <w:color w:val="auto"/>
                      <w:sz w:val="21"/>
                      <w:szCs w:val="21"/>
                      <w:highlight w:val="none"/>
                    </w:rPr>
                    <w:t>执行标准</w:t>
                  </w:r>
                </w:p>
              </w:tc>
            </w:tr>
            <w:tr w14:paraId="186C77D4">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794" w:type="dxa"/>
                  <w:tcBorders>
                    <w:tl2br w:val="nil"/>
                    <w:tr2bl w:val="nil"/>
                  </w:tcBorders>
                  <w:noWrap w:val="0"/>
                  <w:vAlign w:val="center"/>
                </w:tcPr>
                <w:p w14:paraId="757CF475">
                  <w:pPr>
                    <w:pStyle w:val="119"/>
                    <w:rPr>
                      <w:color w:val="auto"/>
                      <w:highlight w:val="none"/>
                    </w:rPr>
                  </w:pPr>
                  <w:r>
                    <w:rPr>
                      <w:color w:val="auto"/>
                      <w:highlight w:val="none"/>
                    </w:rPr>
                    <w:t>噪声</w:t>
                  </w:r>
                </w:p>
              </w:tc>
              <w:tc>
                <w:tcPr>
                  <w:tcW w:w="1162" w:type="dxa"/>
                  <w:tcBorders>
                    <w:tl2br w:val="nil"/>
                    <w:tr2bl w:val="nil"/>
                  </w:tcBorders>
                  <w:noWrap w:val="0"/>
                  <w:vAlign w:val="center"/>
                </w:tcPr>
                <w:p w14:paraId="4D8CDBA6">
                  <w:pPr>
                    <w:pStyle w:val="119"/>
                    <w:rPr>
                      <w:color w:val="auto"/>
                      <w:highlight w:val="none"/>
                    </w:rPr>
                  </w:pPr>
                  <w:r>
                    <w:rPr>
                      <w:color w:val="auto"/>
                      <w:highlight w:val="none"/>
                    </w:rPr>
                    <w:t>厂界</w:t>
                  </w:r>
                </w:p>
              </w:tc>
              <w:tc>
                <w:tcPr>
                  <w:tcW w:w="1638" w:type="dxa"/>
                  <w:tcBorders>
                    <w:tl2br w:val="nil"/>
                    <w:tr2bl w:val="nil"/>
                  </w:tcBorders>
                  <w:noWrap w:val="0"/>
                  <w:vAlign w:val="center"/>
                </w:tcPr>
                <w:p w14:paraId="1C1BA585">
                  <w:pPr>
                    <w:topLinePunct/>
                    <w:spacing w:line="240" w:lineRule="auto"/>
                    <w:ind w:firstLine="0" w:firstLineChars="0"/>
                    <w:jc w:val="center"/>
                    <w:rPr>
                      <w:color w:val="auto"/>
                      <w:sz w:val="21"/>
                      <w:szCs w:val="21"/>
                      <w:highlight w:val="none"/>
                    </w:rPr>
                  </w:pPr>
                  <w:r>
                    <w:rPr>
                      <w:rFonts w:hint="eastAsia"/>
                      <w:color w:val="auto"/>
                      <w:sz w:val="21"/>
                      <w:szCs w:val="21"/>
                      <w:highlight w:val="none"/>
                    </w:rPr>
                    <w:t>等效连续A声级（Leq）</w:t>
                  </w:r>
                </w:p>
              </w:tc>
              <w:tc>
                <w:tcPr>
                  <w:tcW w:w="1300" w:type="dxa"/>
                  <w:tcBorders>
                    <w:tl2br w:val="nil"/>
                    <w:tr2bl w:val="nil"/>
                  </w:tcBorders>
                  <w:noWrap w:val="0"/>
                  <w:vAlign w:val="center"/>
                </w:tcPr>
                <w:p w14:paraId="14C8D6F8">
                  <w:pPr>
                    <w:topLinePunct/>
                    <w:spacing w:line="240" w:lineRule="auto"/>
                    <w:ind w:firstLine="0" w:firstLineChars="0"/>
                    <w:jc w:val="center"/>
                    <w:rPr>
                      <w:color w:val="auto"/>
                      <w:sz w:val="21"/>
                      <w:szCs w:val="21"/>
                      <w:highlight w:val="none"/>
                    </w:rPr>
                  </w:pPr>
                  <w:r>
                    <w:rPr>
                      <w:rFonts w:hint="eastAsia"/>
                      <w:color w:val="auto"/>
                      <w:sz w:val="21"/>
                      <w:szCs w:val="21"/>
                      <w:highlight w:val="none"/>
                    </w:rPr>
                    <w:t>1次/季度</w:t>
                  </w:r>
                </w:p>
              </w:tc>
              <w:tc>
                <w:tcPr>
                  <w:tcW w:w="3546" w:type="dxa"/>
                  <w:tcBorders>
                    <w:tl2br w:val="nil"/>
                    <w:tr2bl w:val="nil"/>
                  </w:tcBorders>
                  <w:noWrap w:val="0"/>
                  <w:vAlign w:val="center"/>
                </w:tcPr>
                <w:p w14:paraId="6D62FCD6">
                  <w:pPr>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执行</w:t>
                  </w:r>
                  <w:r>
                    <w:rPr>
                      <w:color w:val="auto"/>
                      <w:sz w:val="21"/>
                      <w:szCs w:val="21"/>
                      <w:highlight w:val="none"/>
                    </w:rPr>
                    <w:t>《工业企业厂界环境噪声排放标准》（GB12348-2008）</w:t>
                  </w:r>
                  <w:r>
                    <w:rPr>
                      <w:rFonts w:hint="eastAsia"/>
                      <w:color w:val="auto"/>
                      <w:sz w:val="21"/>
                      <w:szCs w:val="21"/>
                      <w:highlight w:val="none"/>
                      <w:lang w:val="en-US" w:eastAsia="zh-CN"/>
                    </w:rPr>
                    <w:t>3</w:t>
                  </w:r>
                  <w:r>
                    <w:rPr>
                      <w:color w:val="auto"/>
                      <w:sz w:val="21"/>
                      <w:szCs w:val="21"/>
                      <w:highlight w:val="none"/>
                    </w:rPr>
                    <w:t>类标准</w:t>
                  </w:r>
                </w:p>
              </w:tc>
            </w:tr>
            <w:tr w14:paraId="12C3479D">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440" w:type="dxa"/>
                  <w:gridSpan w:val="5"/>
                  <w:tcBorders>
                    <w:tl2br w:val="nil"/>
                    <w:tr2bl w:val="nil"/>
                  </w:tcBorders>
                  <w:noWrap w:val="0"/>
                  <w:vAlign w:val="center"/>
                </w:tcPr>
                <w:p w14:paraId="2FD31674">
                  <w:pPr>
                    <w:widowControl/>
                    <w:spacing w:line="240" w:lineRule="auto"/>
                    <w:ind w:firstLine="0" w:firstLineChars="0"/>
                    <w:rPr>
                      <w:color w:val="auto"/>
                      <w:sz w:val="21"/>
                      <w:szCs w:val="21"/>
                      <w:highlight w:val="none"/>
                    </w:rPr>
                  </w:pPr>
                  <w:r>
                    <w:rPr>
                      <w:rFonts w:hint="eastAsia"/>
                      <w:color w:val="auto"/>
                      <w:sz w:val="18"/>
                      <w:szCs w:val="18"/>
                      <w:highlight w:val="none"/>
                    </w:rPr>
                    <w:t>实施机构</w:t>
                  </w:r>
                  <w:r>
                    <w:rPr>
                      <w:rFonts w:hint="eastAsia"/>
                      <w:color w:val="auto"/>
                      <w:sz w:val="18"/>
                      <w:szCs w:val="18"/>
                      <w:highlight w:val="none"/>
                      <w:lang w:eastAsia="zh-CN"/>
                    </w:rPr>
                    <w:t>：</w:t>
                  </w:r>
                  <w:r>
                    <w:rPr>
                      <w:rFonts w:hint="eastAsia"/>
                      <w:color w:val="auto"/>
                      <w:sz w:val="18"/>
                      <w:szCs w:val="18"/>
                      <w:highlight w:val="none"/>
                    </w:rPr>
                    <w:t>委托有资质单位监测。</w:t>
                  </w:r>
                </w:p>
              </w:tc>
            </w:tr>
          </w:tbl>
          <w:p w14:paraId="42D9D540">
            <w:pPr>
              <w:keepNext w:val="0"/>
              <w:keepLines w:val="0"/>
              <w:pageBreakBefore w:val="0"/>
              <w:widowControl/>
              <w:kinsoku/>
              <w:wordWrap/>
              <w:overflowPunct/>
              <w:topLinePunct w:val="0"/>
              <w:autoSpaceDE/>
              <w:autoSpaceDN/>
              <w:bidi w:val="0"/>
              <w:adjustRightInd/>
              <w:snapToGrid w:val="0"/>
              <w:spacing w:before="157" w:beforeLines="50" w:line="360" w:lineRule="auto"/>
              <w:textAlignment w:val="auto"/>
              <w:rPr>
                <w:rFonts w:hint="eastAsia" w:ascii="Times New Roman" w:hAnsi="Times New Roman" w:eastAsia="宋体" w:cs="Times New Roman"/>
                <w:b/>
                <w:bCs/>
                <w:color w:val="auto"/>
                <w:spacing w:val="0"/>
                <w:position w:val="0"/>
                <w:sz w:val="24"/>
                <w:szCs w:val="24"/>
                <w:highlight w:val="none"/>
              </w:rPr>
            </w:pPr>
            <w:r>
              <w:rPr>
                <w:rFonts w:ascii="Times New Roman" w:hAnsi="Times New Roman" w:eastAsia="宋体" w:cs="Times New Roman"/>
                <w:b/>
                <w:bCs/>
                <w:color w:val="auto"/>
                <w:spacing w:val="0"/>
                <w:position w:val="0"/>
                <w:sz w:val="24"/>
                <w:szCs w:val="24"/>
                <w:highlight w:val="none"/>
              </w:rPr>
              <w:t>4.</w:t>
            </w:r>
            <w:r>
              <w:rPr>
                <w:rFonts w:hint="eastAsia" w:ascii="Times New Roman" w:hAnsi="Times New Roman" w:eastAsia="宋体" w:cs="Times New Roman"/>
                <w:b/>
                <w:bCs/>
                <w:color w:val="auto"/>
                <w:spacing w:val="0"/>
                <w:position w:val="0"/>
                <w:sz w:val="24"/>
                <w:szCs w:val="24"/>
                <w:highlight w:val="none"/>
              </w:rPr>
              <w:t>4固体废物环境影响及保护措施</w:t>
            </w:r>
          </w:p>
          <w:p w14:paraId="5D6F506A">
            <w:pPr>
              <w:pageBreakBefore w:val="0"/>
              <w:widowControl/>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b/>
                <w:bCs/>
                <w:color w:val="auto"/>
                <w:spacing w:val="0"/>
                <w:position w:val="0"/>
                <w:sz w:val="24"/>
                <w:szCs w:val="24"/>
                <w:highlight w:val="none"/>
              </w:rPr>
              <w:t>4.4.1产生量及处置方式</w:t>
            </w:r>
          </w:p>
          <w:p w14:paraId="6AB1F6B7">
            <w:pPr>
              <w:pageBreakBefore w:val="0"/>
              <w:widowControl/>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rPr>
              <w:t>项目产生的固体废物主要包括职工</w:t>
            </w:r>
            <w:r>
              <w:rPr>
                <w:rFonts w:ascii="Times New Roman" w:hAnsi="Times New Roman" w:eastAsia="宋体" w:cs="Times New Roman"/>
                <w:color w:val="auto"/>
                <w:spacing w:val="0"/>
                <w:position w:val="0"/>
                <w:sz w:val="24"/>
                <w:szCs w:val="24"/>
                <w:highlight w:val="none"/>
              </w:rPr>
              <w:t>的生活垃圾、一般工业固废、危险废物。</w:t>
            </w:r>
          </w:p>
          <w:p w14:paraId="22E6A5C3">
            <w:pPr>
              <w:pageBreakBefore w:val="0"/>
              <w:widowControl/>
              <w:numPr>
                <w:ilvl w:val="0"/>
                <w:numId w:val="2"/>
              </w:numPr>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color w:val="auto"/>
                <w:spacing w:val="0"/>
                <w:position w:val="0"/>
                <w:sz w:val="24"/>
                <w:szCs w:val="24"/>
                <w:highlight w:val="none"/>
                <w:lang w:val="en-US" w:eastAsia="zh-CN"/>
              </w:rPr>
            </w:pPr>
            <w:r>
              <w:rPr>
                <w:rFonts w:hint="eastAsia" w:ascii="Times New Roman" w:hAnsi="Times New Roman" w:eastAsia="宋体" w:cs="Times New Roman"/>
                <w:b/>
                <w:bCs/>
                <w:color w:val="auto"/>
                <w:spacing w:val="0"/>
                <w:position w:val="0"/>
                <w:sz w:val="24"/>
                <w:szCs w:val="24"/>
                <w:highlight w:val="none"/>
                <w:lang w:val="en-US" w:eastAsia="zh-CN"/>
              </w:rPr>
              <w:t>一般固体废物</w:t>
            </w:r>
          </w:p>
          <w:p w14:paraId="10287F02">
            <w:pPr>
              <w:pageBreakBefore w:val="0"/>
              <w:widowControl/>
              <w:numPr>
                <w:ilvl w:val="0"/>
                <w:numId w:val="0"/>
              </w:numPr>
              <w:kinsoku/>
              <w:wordWrap/>
              <w:overflowPunct/>
              <w:topLinePunct w:val="0"/>
              <w:autoSpaceDE/>
              <w:autoSpaceDN/>
              <w:bidi w:val="0"/>
              <w:adjustRightInd/>
              <w:snapToGrid w:val="0"/>
              <w:spacing w:line="360" w:lineRule="auto"/>
              <w:ind w:firstLine="720" w:firstLineChars="300"/>
              <w:textAlignment w:val="auto"/>
              <w:rPr>
                <w:rFonts w:hint="eastAsia" w:ascii="Times New Roman" w:hAnsi="Times New Roman" w:eastAsia="宋体" w:cs="Times New Roman"/>
                <w:color w:val="auto"/>
                <w:spacing w:val="0"/>
                <w:kern w:val="0"/>
                <w:position w:val="0"/>
                <w:sz w:val="24"/>
                <w:szCs w:val="24"/>
                <w:highlight w:val="none"/>
                <w:lang w:eastAsia="zh-CN"/>
              </w:rPr>
            </w:pPr>
            <w:r>
              <w:rPr>
                <w:rFonts w:hint="eastAsia" w:ascii="Times New Roman" w:hAnsi="Times New Roman" w:eastAsia="宋体" w:cs="Times New Roman"/>
                <w:color w:val="auto"/>
                <w:spacing w:val="0"/>
                <w:position w:val="0"/>
                <w:sz w:val="24"/>
                <w:szCs w:val="24"/>
                <w:highlight w:val="none"/>
                <w:lang w:val="en-US" w:eastAsia="zh-CN"/>
              </w:rPr>
              <w:t>一般</w:t>
            </w:r>
            <w:r>
              <w:rPr>
                <w:rFonts w:ascii="Times New Roman" w:hAnsi="Times New Roman" w:eastAsia="宋体" w:cs="Times New Roman"/>
                <w:color w:val="auto"/>
                <w:spacing w:val="0"/>
                <w:position w:val="0"/>
                <w:sz w:val="24"/>
                <w:szCs w:val="24"/>
                <w:highlight w:val="none"/>
              </w:rPr>
              <w:t>工业固废</w:t>
            </w:r>
            <w:r>
              <w:rPr>
                <w:rFonts w:hint="eastAsia" w:ascii="Times New Roman" w:hAnsi="Times New Roman" w:eastAsia="宋体" w:cs="Times New Roman"/>
                <w:color w:val="auto"/>
                <w:spacing w:val="0"/>
                <w:position w:val="0"/>
                <w:sz w:val="24"/>
                <w:szCs w:val="24"/>
                <w:highlight w:val="none"/>
                <w:lang w:val="en-US" w:eastAsia="zh-CN"/>
              </w:rPr>
              <w:t>包括：</w:t>
            </w:r>
            <w:r>
              <w:rPr>
                <w:rFonts w:hint="eastAsia" w:ascii="Times New Roman" w:hAnsi="Times New Roman" w:eastAsia="宋体" w:cs="Times New Roman"/>
                <w:color w:val="auto"/>
                <w:spacing w:val="0"/>
                <w:sz w:val="24"/>
                <w:szCs w:val="24"/>
                <w:highlight w:val="none"/>
                <w:lang w:val="en-US" w:eastAsia="zh-CN"/>
              </w:rPr>
              <w:t>废包装</w:t>
            </w:r>
            <w:r>
              <w:rPr>
                <w:rFonts w:hint="eastAsia" w:cs="Times New Roman"/>
                <w:color w:val="auto"/>
                <w:spacing w:val="0"/>
                <w:sz w:val="24"/>
                <w:szCs w:val="24"/>
                <w:highlight w:val="none"/>
                <w:lang w:val="en-US" w:eastAsia="zh-CN"/>
              </w:rPr>
              <w:t>材料、废钉子、废纱布</w:t>
            </w:r>
            <w:r>
              <w:rPr>
                <w:rFonts w:hint="eastAsia" w:ascii="Times New Roman" w:hAnsi="Times New Roman" w:eastAsia="宋体" w:cs="Times New Roman"/>
                <w:color w:val="auto"/>
                <w:spacing w:val="0"/>
                <w:position w:val="0"/>
                <w:sz w:val="24"/>
                <w:szCs w:val="24"/>
                <w:highlight w:val="none"/>
                <w:lang w:val="en-US" w:eastAsia="zh-CN"/>
              </w:rPr>
              <w:t>。</w:t>
            </w:r>
          </w:p>
          <w:p w14:paraId="69E885EE">
            <w:pPr>
              <w:keepNext w:val="0"/>
              <w:keepLines w:val="0"/>
              <w:pageBreakBefore w:val="0"/>
              <w:widowControl/>
              <w:numPr>
                <w:ilvl w:val="0"/>
                <w:numId w:val="0"/>
              </w:numPr>
              <w:kinsoku/>
              <w:wordWrap/>
              <w:overflowPunct w:val="0"/>
              <w:topLinePunct w:val="0"/>
              <w:autoSpaceDE/>
              <w:autoSpaceDN/>
              <w:bidi w:val="0"/>
              <w:adjustRightInd/>
              <w:snapToGrid w:val="0"/>
              <w:spacing w:line="360" w:lineRule="auto"/>
              <w:ind w:right="0" w:rightChars="0" w:firstLine="482" w:firstLineChars="200"/>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eastAsia" w:cs="Times New Roman"/>
                <w:b/>
                <w:bCs/>
                <w:color w:val="auto"/>
                <w:spacing w:val="0"/>
                <w:position w:val="0"/>
                <w:sz w:val="24"/>
                <w:szCs w:val="24"/>
                <w:highlight w:val="none"/>
                <w:lang w:val="en-US" w:eastAsia="zh-CN"/>
              </w:rPr>
              <w:fldChar w:fldCharType="begin"/>
            </w:r>
            <w:r>
              <w:rPr>
                <w:rFonts w:hint="eastAsia" w:cs="Times New Roman"/>
                <w:b/>
                <w:bCs/>
                <w:color w:val="auto"/>
                <w:spacing w:val="0"/>
                <w:position w:val="0"/>
                <w:sz w:val="24"/>
                <w:szCs w:val="24"/>
                <w:highlight w:val="none"/>
                <w:lang w:val="en-US" w:eastAsia="zh-CN"/>
              </w:rPr>
              <w:instrText xml:space="preserve"> = 1 \* GB3 \* MERGEFORMAT </w:instrText>
            </w:r>
            <w:r>
              <w:rPr>
                <w:rFonts w:hint="eastAsia" w:cs="Times New Roman"/>
                <w:b/>
                <w:bCs/>
                <w:color w:val="auto"/>
                <w:spacing w:val="0"/>
                <w:position w:val="0"/>
                <w:sz w:val="24"/>
                <w:szCs w:val="24"/>
                <w:highlight w:val="none"/>
                <w:lang w:val="en-US" w:eastAsia="zh-CN"/>
              </w:rPr>
              <w:fldChar w:fldCharType="separate"/>
            </w:r>
            <w:r>
              <w:rPr>
                <w:b/>
                <w:bCs/>
                <w:color w:val="auto"/>
                <w:sz w:val="24"/>
                <w:szCs w:val="24"/>
                <w:highlight w:val="none"/>
              </w:rPr>
              <w:t>①</w:t>
            </w:r>
            <w:r>
              <w:rPr>
                <w:rFonts w:hint="eastAsia" w:cs="Times New Roman"/>
                <w:b/>
                <w:bCs/>
                <w:color w:val="auto"/>
                <w:spacing w:val="0"/>
                <w:position w:val="0"/>
                <w:sz w:val="24"/>
                <w:szCs w:val="24"/>
                <w:highlight w:val="none"/>
                <w:lang w:val="en-US" w:eastAsia="zh-CN"/>
              </w:rPr>
              <w:fldChar w:fldCharType="end"/>
            </w:r>
            <w:r>
              <w:rPr>
                <w:rFonts w:hint="eastAsia" w:cs="Times New Roman"/>
                <w:b/>
                <w:bCs/>
                <w:color w:val="auto"/>
                <w:spacing w:val="0"/>
                <w:position w:val="0"/>
                <w:sz w:val="24"/>
                <w:szCs w:val="24"/>
                <w:highlight w:val="none"/>
                <w:lang w:val="en-US" w:eastAsia="zh-CN"/>
              </w:rPr>
              <w:t>废包装材料</w:t>
            </w:r>
          </w:p>
          <w:p w14:paraId="061B6143">
            <w:pPr>
              <w:pStyle w:val="37"/>
              <w:keepNext w:val="0"/>
              <w:keepLines w:val="0"/>
              <w:pageBreakBefore w:val="0"/>
              <w:widowControl w:val="0"/>
              <w:kinsoku/>
              <w:wordWrap/>
              <w:overflowPunct/>
              <w:topLinePunct w:val="0"/>
              <w:autoSpaceDE/>
              <w:autoSpaceDN/>
              <w:bidi w:val="0"/>
              <w:adjustRightInd/>
              <w:snapToGrid/>
              <w:spacing w:after="0"/>
              <w:ind w:left="0" w:leftChars="0"/>
              <w:jc w:val="both"/>
              <w:textAlignment w:val="auto"/>
              <w:rPr>
                <w:rFonts w:hint="eastAsia" w:ascii="Times New Roman" w:hAnsi="Times New Roman" w:eastAsia="宋体" w:cs="Times New Roman"/>
                <w:color w:val="auto"/>
                <w:spacing w:val="0"/>
                <w:position w:val="0"/>
                <w:sz w:val="24"/>
                <w:highlight w:val="none"/>
                <w:lang w:val="en-US" w:eastAsia="zh-CN"/>
              </w:rPr>
            </w:pPr>
            <w:r>
              <w:rPr>
                <w:rFonts w:hint="eastAsia" w:ascii="Times New Roman" w:hAnsi="Times New Roman" w:eastAsia="宋体" w:cs="Times New Roman"/>
                <w:color w:val="auto"/>
                <w:spacing w:val="0"/>
                <w:position w:val="0"/>
                <w:sz w:val="24"/>
                <w:highlight w:val="none"/>
                <w:lang w:val="en-US" w:eastAsia="zh-CN"/>
              </w:rPr>
              <w:t>项目</w:t>
            </w:r>
            <w:r>
              <w:rPr>
                <w:rFonts w:hint="eastAsia" w:cs="Times New Roman"/>
                <w:color w:val="auto"/>
                <w:spacing w:val="0"/>
                <w:position w:val="0"/>
                <w:sz w:val="24"/>
                <w:highlight w:val="none"/>
                <w:lang w:val="en-US" w:eastAsia="zh-CN"/>
              </w:rPr>
              <w:t>生产过程中产生废包装材料有废纸箱，根据业主提供资料，废纸箱产生量为0.013t/a，</w:t>
            </w:r>
            <w:r>
              <w:rPr>
                <w:rFonts w:hint="eastAsia" w:ascii="Times New Roman" w:hAnsi="Times New Roman" w:eastAsia="宋体" w:cs="Times New Roman"/>
                <w:color w:val="auto"/>
                <w:sz w:val="24"/>
                <w:szCs w:val="24"/>
                <w:highlight w:val="none"/>
                <w:lang w:val="en-US" w:eastAsia="zh-CN"/>
              </w:rPr>
              <w:t>经集中收集后，暂存于</w:t>
            </w:r>
            <w:r>
              <w:rPr>
                <w:rFonts w:hint="eastAsia" w:cs="Times New Roman"/>
                <w:color w:val="auto"/>
                <w:sz w:val="24"/>
                <w:szCs w:val="24"/>
                <w:highlight w:val="none"/>
                <w:lang w:val="en-US" w:eastAsia="zh-CN"/>
              </w:rPr>
              <w:t>一般固废间</w:t>
            </w:r>
            <w:r>
              <w:rPr>
                <w:rFonts w:hint="eastAsia" w:ascii="Times New Roman" w:hAnsi="Times New Roman" w:eastAsia="宋体" w:cs="Times New Roman"/>
                <w:color w:val="auto"/>
                <w:sz w:val="24"/>
                <w:szCs w:val="24"/>
                <w:highlight w:val="none"/>
                <w:lang w:val="en-US" w:eastAsia="zh-CN"/>
              </w:rPr>
              <w:t>，外售综合利用</w:t>
            </w:r>
            <w:r>
              <w:rPr>
                <w:rFonts w:hint="eastAsia" w:ascii="Times New Roman" w:hAnsi="Times New Roman" w:eastAsia="宋体" w:cs="Times New Roman"/>
                <w:color w:val="auto"/>
                <w:spacing w:val="0"/>
                <w:position w:val="0"/>
                <w:sz w:val="24"/>
                <w:highlight w:val="none"/>
                <w:lang w:val="en-US" w:eastAsia="zh-CN"/>
              </w:rPr>
              <w:t>。根据《固体废物与分类代码目录》（生态环境部公告2024年第4号），废包装</w:t>
            </w:r>
            <w:r>
              <w:rPr>
                <w:rFonts w:hint="eastAsia" w:cs="Times New Roman"/>
                <w:color w:val="auto"/>
                <w:spacing w:val="0"/>
                <w:position w:val="0"/>
                <w:sz w:val="24"/>
                <w:highlight w:val="none"/>
                <w:lang w:val="en-US" w:eastAsia="zh-CN"/>
              </w:rPr>
              <w:t>箱</w:t>
            </w:r>
            <w:r>
              <w:rPr>
                <w:rFonts w:hint="eastAsia" w:ascii="Times New Roman" w:hAnsi="Times New Roman" w:eastAsia="宋体" w:cs="Times New Roman"/>
                <w:color w:val="auto"/>
                <w:spacing w:val="0"/>
                <w:position w:val="0"/>
                <w:sz w:val="24"/>
                <w:highlight w:val="none"/>
                <w:lang w:val="en-US" w:eastAsia="zh-CN"/>
              </w:rPr>
              <w:t>属于一般固体废物，废物种类：SW17可再生类废物，废物代码900-005-S17（废纸。工业生产活动中产生的废纸、废纸质包装、废边角料、残次品等废物）。</w:t>
            </w:r>
          </w:p>
          <w:p w14:paraId="76D64C95">
            <w:pPr>
              <w:keepNext w:val="0"/>
              <w:keepLines w:val="0"/>
              <w:pageBreakBefore w:val="0"/>
              <w:widowControl/>
              <w:numPr>
                <w:ilvl w:val="0"/>
                <w:numId w:val="0"/>
              </w:numPr>
              <w:kinsoku/>
              <w:wordWrap/>
              <w:overflowPunct w:val="0"/>
              <w:topLinePunct w:val="0"/>
              <w:autoSpaceDE/>
              <w:autoSpaceDN/>
              <w:bidi w:val="0"/>
              <w:adjustRightInd/>
              <w:snapToGrid w:val="0"/>
              <w:spacing w:line="360" w:lineRule="auto"/>
              <w:ind w:right="0" w:rightChars="0" w:firstLine="482" w:firstLineChars="200"/>
              <w:textAlignment w:val="auto"/>
              <w:rPr>
                <w:rFonts w:hint="eastAsia" w:cs="Times New Roman"/>
                <w:color w:val="auto"/>
                <w:spacing w:val="0"/>
                <w:position w:val="0"/>
                <w:sz w:val="24"/>
                <w:highlight w:val="none"/>
                <w:lang w:val="en-US" w:eastAsia="zh-CN"/>
              </w:rPr>
            </w:pPr>
            <w:r>
              <w:rPr>
                <w:rFonts w:hint="eastAsia" w:cs="Times New Roman"/>
                <w:b/>
                <w:bCs/>
                <w:color w:val="auto"/>
                <w:spacing w:val="0"/>
                <w:position w:val="0"/>
                <w:sz w:val="24"/>
                <w:szCs w:val="24"/>
                <w:highlight w:val="none"/>
                <w:lang w:val="en-US" w:eastAsia="zh-CN"/>
              </w:rPr>
              <w:fldChar w:fldCharType="begin"/>
            </w:r>
            <w:r>
              <w:rPr>
                <w:rFonts w:hint="eastAsia" w:cs="Times New Roman"/>
                <w:b/>
                <w:bCs/>
                <w:color w:val="auto"/>
                <w:spacing w:val="0"/>
                <w:position w:val="0"/>
                <w:sz w:val="24"/>
                <w:szCs w:val="24"/>
                <w:highlight w:val="none"/>
                <w:lang w:val="en-US" w:eastAsia="zh-CN"/>
              </w:rPr>
              <w:instrText xml:space="preserve"> = 2 \* GB3 \* MERGEFORMAT </w:instrText>
            </w:r>
            <w:r>
              <w:rPr>
                <w:rFonts w:hint="eastAsia" w:cs="Times New Roman"/>
                <w:b/>
                <w:bCs/>
                <w:color w:val="auto"/>
                <w:spacing w:val="0"/>
                <w:position w:val="0"/>
                <w:sz w:val="24"/>
                <w:szCs w:val="24"/>
                <w:highlight w:val="none"/>
                <w:lang w:val="en-US" w:eastAsia="zh-CN"/>
              </w:rPr>
              <w:fldChar w:fldCharType="separate"/>
            </w:r>
            <w:r>
              <w:rPr>
                <w:b/>
                <w:bCs/>
                <w:color w:val="auto"/>
                <w:sz w:val="24"/>
                <w:szCs w:val="24"/>
                <w:highlight w:val="none"/>
              </w:rPr>
              <w:t>②</w:t>
            </w:r>
            <w:r>
              <w:rPr>
                <w:rFonts w:hint="eastAsia" w:cs="Times New Roman"/>
                <w:b/>
                <w:bCs/>
                <w:color w:val="auto"/>
                <w:spacing w:val="0"/>
                <w:position w:val="0"/>
                <w:sz w:val="24"/>
                <w:szCs w:val="24"/>
                <w:highlight w:val="none"/>
                <w:lang w:val="en-US" w:eastAsia="zh-CN"/>
              </w:rPr>
              <w:fldChar w:fldCharType="end"/>
            </w:r>
            <w:r>
              <w:rPr>
                <w:rFonts w:hint="eastAsia" w:cs="Times New Roman"/>
                <w:b/>
                <w:bCs/>
                <w:color w:val="auto"/>
                <w:spacing w:val="0"/>
                <w:position w:val="0"/>
                <w:sz w:val="24"/>
                <w:szCs w:val="24"/>
                <w:highlight w:val="none"/>
                <w:lang w:val="en-US" w:eastAsia="zh-CN"/>
              </w:rPr>
              <w:t>废钉子</w:t>
            </w:r>
          </w:p>
          <w:p w14:paraId="767AF834">
            <w:pPr>
              <w:pStyle w:val="37"/>
              <w:keepNext w:val="0"/>
              <w:keepLines w:val="0"/>
              <w:pageBreakBefore w:val="0"/>
              <w:widowControl w:val="0"/>
              <w:kinsoku/>
              <w:wordWrap/>
              <w:overflowPunct/>
              <w:topLinePunct w:val="0"/>
              <w:autoSpaceDE/>
              <w:autoSpaceDN/>
              <w:bidi w:val="0"/>
              <w:adjustRightInd/>
              <w:snapToGrid/>
              <w:spacing w:after="0"/>
              <w:ind w:left="0" w:leftChars="0"/>
              <w:jc w:val="both"/>
              <w:textAlignment w:val="auto"/>
              <w:rPr>
                <w:rFonts w:hint="eastAsia" w:cs="Times New Roman"/>
                <w:color w:val="auto"/>
                <w:sz w:val="24"/>
                <w:szCs w:val="24"/>
                <w:highlight w:val="none"/>
                <w:lang w:val="en-US" w:eastAsia="zh-CN"/>
              </w:rPr>
            </w:pPr>
            <w:r>
              <w:rPr>
                <w:rFonts w:hint="eastAsia" w:cs="Times New Roman"/>
                <w:color w:val="auto"/>
                <w:spacing w:val="0"/>
                <w:position w:val="0"/>
                <w:sz w:val="24"/>
                <w:highlight w:val="none"/>
                <w:lang w:val="en-US" w:eastAsia="zh-CN"/>
              </w:rPr>
              <w:t>根据业主提供资料，年产生废钉子占0.5%，钉子用量为0.25t/a，则废钉子产生量为0.0013t/a</w:t>
            </w:r>
            <w:r>
              <w:rPr>
                <w:rFonts w:hint="eastAsia" w:ascii="Times New Roman" w:hAnsi="Times New Roman" w:eastAsia="宋体" w:cs="Times New Roman"/>
                <w:color w:val="auto"/>
                <w:sz w:val="24"/>
                <w:szCs w:val="24"/>
                <w:highlight w:val="none"/>
                <w:lang w:val="en-US" w:eastAsia="zh-CN"/>
              </w:rPr>
              <w:t>，经集中收集后，暂存于</w:t>
            </w:r>
            <w:r>
              <w:rPr>
                <w:rFonts w:hint="eastAsia" w:cs="Times New Roman"/>
                <w:color w:val="auto"/>
                <w:sz w:val="24"/>
                <w:szCs w:val="24"/>
                <w:highlight w:val="none"/>
                <w:lang w:val="en-US" w:eastAsia="zh-CN"/>
              </w:rPr>
              <w:t>一般固废间</w:t>
            </w:r>
            <w:r>
              <w:rPr>
                <w:rFonts w:hint="eastAsia" w:ascii="Times New Roman" w:hAnsi="Times New Roman" w:eastAsia="宋体" w:cs="Times New Roman"/>
                <w:color w:val="auto"/>
                <w:sz w:val="24"/>
                <w:szCs w:val="24"/>
                <w:highlight w:val="none"/>
                <w:lang w:val="en-US" w:eastAsia="zh-CN"/>
              </w:rPr>
              <w:t>，外售综合利用。根据《固体废物与分类代码目录》（生态环境部公告2024年第4号），</w:t>
            </w:r>
            <w:r>
              <w:rPr>
                <w:rFonts w:hint="eastAsia" w:cs="Times New Roman"/>
                <w:color w:val="auto"/>
                <w:spacing w:val="0"/>
                <w:position w:val="0"/>
                <w:sz w:val="24"/>
                <w:highlight w:val="none"/>
                <w:lang w:val="en-US" w:eastAsia="zh-CN"/>
              </w:rPr>
              <w:t>废钉子</w:t>
            </w:r>
            <w:r>
              <w:rPr>
                <w:rFonts w:hint="eastAsia" w:ascii="Times New Roman" w:hAnsi="Times New Roman" w:eastAsia="宋体" w:cs="Times New Roman"/>
                <w:color w:val="auto"/>
                <w:sz w:val="24"/>
                <w:szCs w:val="24"/>
                <w:highlight w:val="none"/>
                <w:lang w:val="en-US" w:eastAsia="zh-CN"/>
              </w:rPr>
              <w:t>属于一般固体废物，废物种类：SW59其他工业固体废物，废物代码 900-099-S59</w:t>
            </w:r>
            <w:r>
              <w:rPr>
                <w:rFonts w:hint="eastAsia" w:cs="Times New Roman"/>
                <w:color w:val="auto"/>
                <w:sz w:val="24"/>
                <w:szCs w:val="24"/>
                <w:highlight w:val="none"/>
                <w:lang w:val="en-US" w:eastAsia="zh-CN"/>
              </w:rPr>
              <w:t>（其他工业生产过程中产生的固体废物）。</w:t>
            </w:r>
          </w:p>
          <w:p w14:paraId="20140CDD">
            <w:pPr>
              <w:keepNext w:val="0"/>
              <w:keepLines w:val="0"/>
              <w:pageBreakBefore w:val="0"/>
              <w:widowControl/>
              <w:numPr>
                <w:ilvl w:val="0"/>
                <w:numId w:val="0"/>
              </w:numPr>
              <w:kinsoku/>
              <w:wordWrap/>
              <w:overflowPunct w:val="0"/>
              <w:topLinePunct w:val="0"/>
              <w:autoSpaceDE/>
              <w:autoSpaceDN/>
              <w:bidi w:val="0"/>
              <w:adjustRightInd/>
              <w:snapToGrid w:val="0"/>
              <w:spacing w:line="360" w:lineRule="auto"/>
              <w:ind w:right="0" w:rightChars="0" w:firstLine="482" w:firstLineChars="200"/>
              <w:textAlignment w:val="auto"/>
              <w:rPr>
                <w:rFonts w:hint="default" w:cs="Times New Roman"/>
                <w:color w:val="auto"/>
                <w:spacing w:val="0"/>
                <w:position w:val="0"/>
                <w:sz w:val="24"/>
                <w:highlight w:val="none"/>
                <w:lang w:val="en-US" w:eastAsia="zh-CN"/>
              </w:rPr>
            </w:pPr>
            <w:r>
              <w:rPr>
                <w:rFonts w:hint="eastAsia" w:cs="Times New Roman"/>
                <w:b/>
                <w:bCs/>
                <w:color w:val="auto"/>
                <w:spacing w:val="0"/>
                <w:position w:val="0"/>
                <w:sz w:val="24"/>
                <w:szCs w:val="24"/>
                <w:highlight w:val="none"/>
                <w:lang w:val="en-US" w:eastAsia="zh-CN"/>
              </w:rPr>
              <w:fldChar w:fldCharType="begin"/>
            </w:r>
            <w:r>
              <w:rPr>
                <w:rFonts w:hint="eastAsia" w:cs="Times New Roman"/>
                <w:b/>
                <w:bCs/>
                <w:color w:val="auto"/>
                <w:spacing w:val="0"/>
                <w:position w:val="0"/>
                <w:sz w:val="24"/>
                <w:szCs w:val="24"/>
                <w:highlight w:val="none"/>
                <w:lang w:val="en-US" w:eastAsia="zh-CN"/>
              </w:rPr>
              <w:instrText xml:space="preserve"> = 3 \* GB3 \* MERGEFORMAT </w:instrText>
            </w:r>
            <w:r>
              <w:rPr>
                <w:rFonts w:hint="eastAsia" w:cs="Times New Roman"/>
                <w:b/>
                <w:bCs/>
                <w:color w:val="auto"/>
                <w:spacing w:val="0"/>
                <w:position w:val="0"/>
                <w:sz w:val="24"/>
                <w:szCs w:val="24"/>
                <w:highlight w:val="none"/>
                <w:lang w:val="en-US" w:eastAsia="zh-CN"/>
              </w:rPr>
              <w:fldChar w:fldCharType="separate"/>
            </w:r>
            <w:r>
              <w:rPr>
                <w:b/>
                <w:bCs/>
                <w:color w:val="auto"/>
                <w:sz w:val="24"/>
                <w:szCs w:val="24"/>
                <w:highlight w:val="none"/>
              </w:rPr>
              <w:t>③</w:t>
            </w:r>
            <w:r>
              <w:rPr>
                <w:rFonts w:hint="eastAsia" w:cs="Times New Roman"/>
                <w:b/>
                <w:bCs/>
                <w:color w:val="auto"/>
                <w:spacing w:val="0"/>
                <w:position w:val="0"/>
                <w:sz w:val="24"/>
                <w:szCs w:val="24"/>
                <w:highlight w:val="none"/>
                <w:lang w:val="en-US" w:eastAsia="zh-CN"/>
              </w:rPr>
              <w:fldChar w:fldCharType="end"/>
            </w:r>
            <w:r>
              <w:rPr>
                <w:rFonts w:hint="eastAsia" w:cs="Times New Roman"/>
                <w:b/>
                <w:bCs/>
                <w:color w:val="auto"/>
                <w:spacing w:val="0"/>
                <w:position w:val="0"/>
                <w:sz w:val="24"/>
                <w:szCs w:val="24"/>
                <w:highlight w:val="none"/>
                <w:lang w:val="en-US" w:eastAsia="zh-CN"/>
              </w:rPr>
              <w:t>废纱布</w:t>
            </w:r>
          </w:p>
          <w:p w14:paraId="71F5D84F">
            <w:pPr>
              <w:pStyle w:val="37"/>
              <w:keepNext w:val="0"/>
              <w:keepLines w:val="0"/>
              <w:pageBreakBefore w:val="0"/>
              <w:widowControl w:val="0"/>
              <w:kinsoku/>
              <w:wordWrap/>
              <w:overflowPunct/>
              <w:topLinePunct w:val="0"/>
              <w:autoSpaceDE/>
              <w:autoSpaceDN/>
              <w:bidi w:val="0"/>
              <w:adjustRightInd/>
              <w:snapToGrid/>
              <w:spacing w:after="0"/>
              <w:ind w:left="0" w:leftChars="0"/>
              <w:jc w:val="both"/>
              <w:textAlignment w:val="auto"/>
              <w:rPr>
                <w:rFonts w:hint="eastAsia" w:cs="Times New Roman"/>
                <w:color w:val="auto"/>
                <w:sz w:val="24"/>
                <w:szCs w:val="24"/>
                <w:highlight w:val="none"/>
                <w:lang w:val="en-US" w:eastAsia="zh-CN"/>
              </w:rPr>
            </w:pPr>
            <w:r>
              <w:rPr>
                <w:rFonts w:hint="eastAsia" w:cs="Times New Roman"/>
                <w:color w:val="auto"/>
                <w:spacing w:val="0"/>
                <w:position w:val="0"/>
                <w:sz w:val="24"/>
                <w:highlight w:val="none"/>
                <w:lang w:val="en-US" w:eastAsia="zh-CN"/>
              </w:rPr>
              <w:t>根据业主提供资料，年产生废纱布占0.1%，纱布用量为0.1t/a，则废纱布产生量为0.0001t/a</w:t>
            </w:r>
            <w:r>
              <w:rPr>
                <w:rFonts w:hint="eastAsia" w:ascii="Times New Roman" w:hAnsi="Times New Roman" w:eastAsia="宋体" w:cs="Times New Roman"/>
                <w:color w:val="auto"/>
                <w:sz w:val="24"/>
                <w:szCs w:val="24"/>
                <w:highlight w:val="none"/>
                <w:lang w:val="en-US" w:eastAsia="zh-CN"/>
              </w:rPr>
              <w:t>，经集中收集后，暂存于</w:t>
            </w:r>
            <w:r>
              <w:rPr>
                <w:rFonts w:hint="eastAsia" w:cs="Times New Roman"/>
                <w:color w:val="auto"/>
                <w:sz w:val="24"/>
                <w:szCs w:val="24"/>
                <w:highlight w:val="none"/>
                <w:lang w:val="en-US" w:eastAsia="zh-CN"/>
              </w:rPr>
              <w:t>一般固废间</w:t>
            </w:r>
            <w:r>
              <w:rPr>
                <w:rFonts w:hint="eastAsia" w:ascii="Times New Roman" w:hAnsi="Times New Roman" w:eastAsia="宋体" w:cs="Times New Roman"/>
                <w:color w:val="auto"/>
                <w:sz w:val="24"/>
                <w:szCs w:val="24"/>
                <w:highlight w:val="none"/>
                <w:lang w:val="en-US" w:eastAsia="zh-CN"/>
              </w:rPr>
              <w:t>，外售综合利用。根据《固体废物与分类代码目录》（生态环境部公告2024年第4号），</w:t>
            </w:r>
            <w:r>
              <w:rPr>
                <w:rFonts w:hint="eastAsia" w:cs="Times New Roman"/>
                <w:color w:val="auto"/>
                <w:spacing w:val="0"/>
                <w:position w:val="0"/>
                <w:sz w:val="24"/>
                <w:highlight w:val="none"/>
                <w:lang w:val="en-US" w:eastAsia="zh-CN"/>
              </w:rPr>
              <w:t>废纱布</w:t>
            </w:r>
            <w:r>
              <w:rPr>
                <w:rFonts w:hint="eastAsia" w:ascii="Times New Roman" w:hAnsi="Times New Roman" w:eastAsia="宋体" w:cs="Times New Roman"/>
                <w:color w:val="auto"/>
                <w:sz w:val="24"/>
                <w:szCs w:val="24"/>
                <w:highlight w:val="none"/>
                <w:lang w:val="en-US" w:eastAsia="zh-CN"/>
              </w:rPr>
              <w:t>属于一般固体废物，废物种类：SW59其他工业固体废物，废物代码 900-099-S59</w:t>
            </w:r>
            <w:r>
              <w:rPr>
                <w:rFonts w:hint="eastAsia" w:cs="Times New Roman"/>
                <w:color w:val="auto"/>
                <w:sz w:val="24"/>
                <w:szCs w:val="24"/>
                <w:highlight w:val="none"/>
                <w:lang w:val="en-US" w:eastAsia="zh-CN"/>
              </w:rPr>
              <w:t>（其他工业生产过程中产生的固体废物）。</w:t>
            </w:r>
          </w:p>
          <w:p w14:paraId="6809AC22">
            <w:pPr>
              <w:keepNext w:val="0"/>
              <w:keepLines w:val="0"/>
              <w:pageBreakBefore w:val="0"/>
              <w:widowControl/>
              <w:kinsoku/>
              <w:wordWrap/>
              <w:topLinePunct w:val="0"/>
              <w:bidi w:val="0"/>
              <w:adjustRightInd/>
              <w:snapToGrid w:val="0"/>
              <w:spacing w:line="353" w:lineRule="auto"/>
              <w:ind w:firstLine="482" w:firstLineChars="200"/>
              <w:rPr>
                <w:rFonts w:hint="default" w:ascii="Times New Roman" w:hAnsi="Times New Roman" w:eastAsia="宋体" w:cs="Times New Roman"/>
                <w:b/>
                <w:bCs/>
                <w:color w:val="auto"/>
                <w:spacing w:val="0"/>
                <w:position w:val="0"/>
                <w:sz w:val="24"/>
                <w:szCs w:val="32"/>
                <w:highlight w:val="none"/>
                <w:lang w:val="en-US" w:eastAsia="zh-CN"/>
              </w:rPr>
            </w:pPr>
            <w:r>
              <w:rPr>
                <w:rFonts w:hint="eastAsia" w:ascii="Times New Roman" w:hAnsi="Times New Roman" w:eastAsia="宋体" w:cs="Times New Roman"/>
                <w:b/>
                <w:bCs/>
                <w:color w:val="auto"/>
                <w:spacing w:val="0"/>
                <w:position w:val="0"/>
                <w:sz w:val="24"/>
                <w:szCs w:val="32"/>
                <w:highlight w:val="none"/>
              </w:rPr>
              <w:t>（</w:t>
            </w:r>
            <w:r>
              <w:rPr>
                <w:rFonts w:hint="eastAsia" w:ascii="Times New Roman" w:hAnsi="Times New Roman" w:eastAsia="宋体" w:cs="Times New Roman"/>
                <w:b/>
                <w:bCs/>
                <w:color w:val="auto"/>
                <w:spacing w:val="0"/>
                <w:position w:val="0"/>
                <w:sz w:val="24"/>
                <w:szCs w:val="32"/>
                <w:highlight w:val="none"/>
                <w:lang w:val="en-US" w:eastAsia="zh-CN"/>
              </w:rPr>
              <w:t>2</w:t>
            </w:r>
            <w:r>
              <w:rPr>
                <w:rFonts w:hint="eastAsia" w:ascii="Times New Roman" w:hAnsi="Times New Roman" w:eastAsia="宋体" w:cs="Times New Roman"/>
                <w:b/>
                <w:bCs/>
                <w:color w:val="auto"/>
                <w:spacing w:val="0"/>
                <w:position w:val="0"/>
                <w:sz w:val="24"/>
                <w:szCs w:val="32"/>
                <w:highlight w:val="none"/>
              </w:rPr>
              <w:t>）</w:t>
            </w:r>
            <w:r>
              <w:rPr>
                <w:rFonts w:hint="eastAsia" w:ascii="Times New Roman" w:hAnsi="Times New Roman" w:eastAsia="宋体" w:cs="Times New Roman"/>
                <w:b/>
                <w:bCs/>
                <w:color w:val="auto"/>
                <w:spacing w:val="0"/>
                <w:position w:val="0"/>
                <w:sz w:val="24"/>
                <w:szCs w:val="32"/>
                <w:highlight w:val="none"/>
                <w:lang w:val="en-US" w:eastAsia="zh-CN"/>
              </w:rPr>
              <w:t>危险废物</w:t>
            </w:r>
          </w:p>
          <w:p w14:paraId="6C48B8DD">
            <w:pPr>
              <w:pStyle w:val="27"/>
              <w:keepNext w:val="0"/>
              <w:keepLines w:val="0"/>
              <w:pageBreakBefore w:val="0"/>
              <w:widowControl/>
              <w:kinsoku/>
              <w:wordWrap/>
              <w:topLinePunct w:val="0"/>
              <w:bidi w:val="0"/>
              <w:adjustRightInd/>
              <w:snapToGrid w:val="0"/>
              <w:spacing w:before="0" w:after="0" w:line="353" w:lineRule="auto"/>
              <w:ind w:right="0" w:firstLine="48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危险废物包括</w:t>
            </w:r>
            <w:r>
              <w:rPr>
                <w:rFonts w:hint="eastAsia" w:ascii="Times New Roman" w:hAnsi="Times New Roman" w:eastAsia="宋体" w:cs="Times New Roman"/>
                <w:color w:val="auto"/>
                <w:spacing w:val="0"/>
                <w:kern w:val="0"/>
                <w:position w:val="0"/>
                <w:sz w:val="24"/>
                <w:szCs w:val="24"/>
                <w:highlight w:val="none"/>
                <w:lang w:val="en-US" w:eastAsia="zh-CN" w:bidi="ar"/>
              </w:rPr>
              <w:t>漆渣、废活性炭、</w:t>
            </w:r>
            <w:r>
              <w:rPr>
                <w:rFonts w:hint="eastAsia" w:cs="Times New Roman"/>
                <w:color w:val="auto"/>
                <w:spacing w:val="0"/>
                <w:kern w:val="0"/>
                <w:position w:val="0"/>
                <w:sz w:val="24"/>
                <w:szCs w:val="24"/>
                <w:highlight w:val="none"/>
                <w:lang w:val="en-US" w:eastAsia="zh-CN" w:bidi="ar"/>
              </w:rPr>
              <w:t>废过滤棉、</w:t>
            </w:r>
            <w:r>
              <w:rPr>
                <w:rFonts w:hint="eastAsia" w:ascii="Times New Roman" w:hAnsi="Times New Roman" w:eastAsia="宋体" w:cs="Times New Roman"/>
                <w:color w:val="auto"/>
                <w:spacing w:val="0"/>
                <w:kern w:val="0"/>
                <w:position w:val="0"/>
                <w:sz w:val="24"/>
                <w:szCs w:val="24"/>
                <w:highlight w:val="none"/>
                <w:lang w:val="en-US" w:eastAsia="zh-CN" w:bidi="ar"/>
              </w:rPr>
              <w:t>沉淀污泥、</w:t>
            </w:r>
            <w:r>
              <w:rPr>
                <w:rFonts w:hint="eastAsia" w:cs="Times New Roman"/>
                <w:color w:val="auto"/>
                <w:spacing w:val="0"/>
                <w:kern w:val="0"/>
                <w:position w:val="0"/>
                <w:sz w:val="24"/>
                <w:szCs w:val="24"/>
                <w:highlight w:val="none"/>
                <w:lang w:val="en-US" w:eastAsia="zh-CN" w:bidi="ar"/>
              </w:rPr>
              <w:t>水帘气旋废液、喷漆清洗废液、废化学品包装物、废润滑油、润滑油空桶、废含油抹布及手套</w:t>
            </w:r>
            <w:r>
              <w:rPr>
                <w:rFonts w:hint="eastAsia" w:ascii="Times New Roman" w:hAnsi="Times New Roman" w:eastAsia="宋体" w:cs="Times New Roman"/>
                <w:color w:val="auto"/>
                <w:spacing w:val="0"/>
                <w:position w:val="0"/>
                <w:sz w:val="24"/>
                <w:szCs w:val="24"/>
                <w:highlight w:val="none"/>
                <w:lang w:eastAsia="zh-CN"/>
              </w:rPr>
              <w:t>。</w:t>
            </w:r>
          </w:p>
          <w:p w14:paraId="0ADF96D7">
            <w:pPr>
              <w:keepNext w:val="0"/>
              <w:keepLines w:val="0"/>
              <w:pageBreakBefore w:val="0"/>
              <w:widowControl/>
              <w:kinsoku/>
              <w:wordWrap/>
              <w:topLinePunct w:val="0"/>
              <w:bidi w:val="0"/>
              <w:adjustRightInd/>
              <w:snapToGrid w:val="0"/>
              <w:spacing w:line="353" w:lineRule="auto"/>
              <w:ind w:firstLine="482" w:firstLineChars="200"/>
              <w:rPr>
                <w:rFonts w:hint="eastAsia" w:cs="Times New Roman"/>
                <w:b/>
                <w:bCs/>
                <w:color w:val="auto"/>
                <w:spacing w:val="0"/>
                <w:kern w:val="0"/>
                <w:position w:val="0"/>
                <w:sz w:val="24"/>
                <w:szCs w:val="24"/>
                <w:highlight w:val="none"/>
                <w:lang w:val="en-US" w:eastAsia="zh-CN" w:bidi="ar"/>
              </w:rPr>
            </w:pPr>
            <w:r>
              <w:rPr>
                <w:rFonts w:hint="eastAsia" w:ascii="Times New Roman" w:hAnsi="Times New Roman" w:eastAsia="宋体" w:cs="Times New Roman"/>
                <w:b/>
                <w:bCs/>
                <w:color w:val="auto"/>
                <w:spacing w:val="0"/>
                <w:kern w:val="0"/>
                <w:position w:val="0"/>
                <w:sz w:val="24"/>
                <w:szCs w:val="24"/>
                <w:highlight w:val="none"/>
                <w:lang w:val="en-US" w:eastAsia="zh-CN" w:bidi="ar"/>
              </w:rPr>
              <w:t>①</w:t>
            </w:r>
            <w:r>
              <w:rPr>
                <w:rFonts w:hint="eastAsia" w:cs="Times New Roman"/>
                <w:b/>
                <w:bCs/>
                <w:color w:val="auto"/>
                <w:spacing w:val="0"/>
                <w:kern w:val="0"/>
                <w:position w:val="0"/>
                <w:sz w:val="24"/>
                <w:szCs w:val="24"/>
                <w:highlight w:val="none"/>
                <w:lang w:val="en-US" w:eastAsia="zh-CN" w:bidi="ar"/>
              </w:rPr>
              <w:t>漆渣</w:t>
            </w:r>
          </w:p>
          <w:p w14:paraId="5C76AC84">
            <w:pPr>
              <w:keepNext w:val="0"/>
              <w:keepLines w:val="0"/>
              <w:pageBreakBefore w:val="0"/>
              <w:widowControl/>
              <w:kinsoku/>
              <w:wordWrap/>
              <w:topLinePunct w:val="0"/>
              <w:bidi w:val="0"/>
              <w:adjustRightInd/>
              <w:snapToGrid w:val="0"/>
              <w:spacing w:line="353" w:lineRule="auto"/>
              <w:ind w:firstLine="480" w:firstLineChars="200"/>
              <w:rPr>
                <w:rFonts w:hint="default" w:cs="Times New Roman"/>
                <w:b/>
                <w:bCs/>
                <w:color w:val="auto"/>
                <w:spacing w:val="0"/>
                <w:kern w:val="0"/>
                <w:position w:val="0"/>
                <w:sz w:val="24"/>
                <w:szCs w:val="24"/>
                <w:highlight w:val="none"/>
                <w:lang w:val="en-US" w:eastAsia="zh-CN" w:bidi="ar"/>
              </w:rPr>
            </w:pPr>
            <w:r>
              <w:rPr>
                <w:rFonts w:ascii="Times New Roman" w:hAnsi="Times New Roman" w:eastAsia="宋体" w:cs="Times New Roman"/>
                <w:snapToGrid w:val="0"/>
                <w:color w:val="auto"/>
                <w:kern w:val="0"/>
                <w:sz w:val="24"/>
                <w:szCs w:val="24"/>
                <w:highlight w:val="none"/>
              </w:rPr>
              <w:t>项目</w:t>
            </w:r>
            <w:r>
              <w:rPr>
                <w:rFonts w:hint="eastAsia" w:cs="Times New Roman"/>
                <w:snapToGrid w:val="0"/>
                <w:color w:val="auto"/>
                <w:kern w:val="0"/>
                <w:sz w:val="24"/>
                <w:szCs w:val="24"/>
                <w:highlight w:val="none"/>
                <w:lang w:val="en-US" w:eastAsia="zh-CN"/>
              </w:rPr>
              <w:t>喷漆工序产生</w:t>
            </w:r>
            <w:r>
              <w:rPr>
                <w:rFonts w:ascii="Times New Roman" w:hAnsi="Times New Roman" w:eastAsia="宋体" w:cs="Times New Roman"/>
                <w:color w:val="auto"/>
                <w:sz w:val="24"/>
                <w:szCs w:val="24"/>
                <w:highlight w:val="none"/>
              </w:rPr>
              <w:t>漆渣，根据工程分析可知，该部分</w:t>
            </w:r>
            <w:r>
              <w:rPr>
                <w:rFonts w:hint="eastAsia" w:ascii="Times New Roman" w:hAnsi="Times New Roman" w:eastAsia="宋体" w:cs="Times New Roman"/>
                <w:color w:val="auto"/>
                <w:sz w:val="24"/>
                <w:szCs w:val="24"/>
                <w:highlight w:val="none"/>
                <w:lang w:eastAsia="zh-CN"/>
              </w:rPr>
              <w:t>废漆渣</w:t>
            </w:r>
            <w:r>
              <w:rPr>
                <w:rFonts w:ascii="Times New Roman" w:hAnsi="Times New Roman" w:eastAsia="宋体" w:cs="Times New Roman"/>
                <w:color w:val="auto"/>
                <w:sz w:val="24"/>
                <w:szCs w:val="24"/>
                <w:highlight w:val="none"/>
              </w:rPr>
              <w:t>由</w:t>
            </w:r>
            <w:r>
              <w:rPr>
                <w:rFonts w:hint="eastAsia"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val="en-US" w:eastAsia="zh-CN"/>
              </w:rPr>
              <w:t>气旋</w:t>
            </w:r>
            <w:r>
              <w:rPr>
                <w:rFonts w:hint="eastAsia" w:ascii="Times New Roman" w:hAnsi="Times New Roman" w:eastAsia="宋体" w:cs="Times New Roman"/>
                <w:color w:val="auto"/>
                <w:sz w:val="24"/>
                <w:szCs w:val="24"/>
                <w:highlight w:val="none"/>
              </w:rPr>
              <w:t>塔</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设施</w:t>
            </w:r>
            <w:r>
              <w:rPr>
                <w:rFonts w:hint="eastAsia" w:ascii="Times New Roman" w:hAnsi="Times New Roman" w:eastAsia="宋体" w:cs="Times New Roman"/>
                <w:color w:val="auto"/>
                <w:sz w:val="24"/>
                <w:szCs w:val="24"/>
                <w:highlight w:val="none"/>
                <w:lang w:val="en-US" w:eastAsia="zh-CN"/>
              </w:rPr>
              <w:t>处理后打捞</w:t>
            </w:r>
            <w:r>
              <w:rPr>
                <w:rFonts w:ascii="Times New Roman" w:hAnsi="Times New Roman" w:eastAsia="宋体" w:cs="Times New Roman"/>
                <w:color w:val="auto"/>
                <w:sz w:val="24"/>
                <w:szCs w:val="24"/>
                <w:highlight w:val="none"/>
              </w:rPr>
              <w:t>收集</w:t>
            </w:r>
            <w:r>
              <w:rPr>
                <w:rFonts w:hint="eastAsia" w:ascii="Times New Roman" w:hAnsi="Times New Roman" w:eastAsia="宋体" w:cs="Times New Roman"/>
                <w:color w:val="auto"/>
                <w:sz w:val="24"/>
                <w:szCs w:val="24"/>
                <w:highlight w:val="none"/>
                <w:lang w:val="en-US" w:eastAsia="zh-CN"/>
              </w:rPr>
              <w:t>及漆雾无组织排放沉降收集</w:t>
            </w:r>
            <w:r>
              <w:rPr>
                <w:rFonts w:ascii="Times New Roman" w:hAnsi="Times New Roman" w:eastAsia="宋体" w:cs="Times New Roman"/>
                <w:color w:val="auto"/>
                <w:sz w:val="24"/>
                <w:szCs w:val="24"/>
                <w:highlight w:val="none"/>
              </w:rPr>
              <w:t>组成，</w:t>
            </w:r>
            <w:r>
              <w:rPr>
                <w:rFonts w:hint="eastAsia"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val="en-US" w:eastAsia="zh-CN"/>
              </w:rPr>
              <w:t>气旋</w:t>
            </w:r>
            <w:r>
              <w:rPr>
                <w:rFonts w:hint="eastAsia" w:ascii="Times New Roman" w:hAnsi="Times New Roman" w:eastAsia="宋体" w:cs="Times New Roman"/>
                <w:color w:val="auto"/>
                <w:sz w:val="24"/>
                <w:szCs w:val="24"/>
                <w:highlight w:val="none"/>
              </w:rPr>
              <w:t>塔</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设施</w:t>
            </w:r>
            <w:r>
              <w:rPr>
                <w:rFonts w:hint="eastAsia" w:ascii="Times New Roman" w:hAnsi="Times New Roman" w:eastAsia="宋体" w:cs="Times New Roman"/>
                <w:color w:val="auto"/>
                <w:sz w:val="24"/>
                <w:szCs w:val="24"/>
                <w:highlight w:val="none"/>
                <w:lang w:val="en-US" w:eastAsia="zh-CN"/>
              </w:rPr>
              <w:t>漆渣收集量</w:t>
            </w:r>
            <w:r>
              <w:rPr>
                <w:rFonts w:ascii="Times New Roman" w:hAnsi="Times New Roman" w:eastAsia="宋体" w:cs="Times New Roman"/>
                <w:color w:val="auto"/>
                <w:sz w:val="24"/>
                <w:szCs w:val="24"/>
                <w:highlight w:val="none"/>
              </w:rPr>
              <w:t>约为</w:t>
            </w:r>
            <w:r>
              <w:rPr>
                <w:rFonts w:hint="eastAsia" w:cs="Times New Roman"/>
                <w:color w:val="auto"/>
                <w:sz w:val="24"/>
                <w:szCs w:val="24"/>
                <w:highlight w:val="none"/>
                <w:lang w:val="en-US" w:eastAsia="zh-CN"/>
              </w:rPr>
              <w:t>1.8153</w:t>
            </w:r>
            <w:r>
              <w:rPr>
                <w:rFonts w:ascii="Times New Roman" w:hAnsi="Times New Roman" w:eastAsia="宋体" w:cs="Times New Roman"/>
                <w:color w:val="auto"/>
                <w:sz w:val="24"/>
                <w:szCs w:val="24"/>
                <w:highlight w:val="none"/>
              </w:rPr>
              <w:t>t/a</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rPr>
              <w:t>该部分</w:t>
            </w:r>
            <w:r>
              <w:rPr>
                <w:rFonts w:hint="eastAsia" w:cs="Times New Roman"/>
                <w:color w:val="auto"/>
                <w:sz w:val="24"/>
                <w:szCs w:val="24"/>
                <w:highlight w:val="none"/>
                <w:lang w:eastAsia="zh-CN"/>
              </w:rPr>
              <w:t>漆渣</w:t>
            </w:r>
            <w:r>
              <w:rPr>
                <w:rFonts w:ascii="Times New Roman" w:hAnsi="Times New Roman" w:eastAsia="宋体" w:cs="Times New Roman"/>
                <w:color w:val="auto"/>
                <w:sz w:val="24"/>
                <w:szCs w:val="24"/>
                <w:highlight w:val="none"/>
              </w:rPr>
              <w:t>由水帘柜沉降打捞</w:t>
            </w:r>
            <w:r>
              <w:rPr>
                <w:rFonts w:hint="eastAsia" w:cs="Times New Roman"/>
                <w:color w:val="auto"/>
                <w:sz w:val="24"/>
                <w:szCs w:val="24"/>
                <w:highlight w:val="none"/>
                <w:lang w:val="en-US" w:eastAsia="zh-CN"/>
              </w:rPr>
              <w:t>沥干</w:t>
            </w:r>
            <w:r>
              <w:rPr>
                <w:rFonts w:ascii="Times New Roman" w:hAnsi="Times New Roman" w:eastAsia="宋体" w:cs="Times New Roman"/>
                <w:color w:val="auto"/>
                <w:sz w:val="24"/>
                <w:szCs w:val="24"/>
                <w:highlight w:val="none"/>
              </w:rPr>
              <w:t>及不锈钢托盘内收集组成，</w:t>
            </w:r>
            <w:r>
              <w:rPr>
                <w:rFonts w:hint="eastAsia" w:cs="Times New Roman"/>
                <w:color w:val="auto"/>
                <w:sz w:val="24"/>
                <w:szCs w:val="24"/>
                <w:highlight w:val="none"/>
                <w:lang w:val="en-US" w:eastAsia="zh-CN"/>
              </w:rPr>
              <w:t>含水率约为75%，则漆渣产生量为7.2612</w:t>
            </w:r>
            <w:r>
              <w:rPr>
                <w:rFonts w:ascii="Times New Roman" w:hAnsi="Times New Roman" w:eastAsia="宋体" w:cs="Times New Roman"/>
                <w:color w:val="auto"/>
                <w:sz w:val="24"/>
                <w:szCs w:val="24"/>
                <w:highlight w:val="none"/>
              </w:rPr>
              <w:t>t/a</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项目漆雾无组织排放沉降漆渣产生量为0.0</w:t>
            </w:r>
            <w:r>
              <w:rPr>
                <w:rFonts w:hint="eastAsia" w:eastAsia="宋体" w:cs="Times New Roman"/>
                <w:color w:val="auto"/>
                <w:sz w:val="24"/>
                <w:szCs w:val="24"/>
                <w:highlight w:val="none"/>
                <w:lang w:val="en-US" w:eastAsia="zh-CN"/>
              </w:rPr>
              <w:t>712</w:t>
            </w:r>
            <w:r>
              <w:rPr>
                <w:rFonts w:hint="eastAsia" w:ascii="Times New Roman" w:hAnsi="Times New Roman" w:eastAsia="宋体" w:cs="Times New Roman"/>
                <w:color w:val="auto"/>
                <w:sz w:val="24"/>
                <w:szCs w:val="24"/>
                <w:highlight w:val="none"/>
                <w:lang w:val="en-US" w:eastAsia="zh-CN"/>
              </w:rPr>
              <w:t>t/a；项目废漆渣产生量共为</w:t>
            </w:r>
            <w:r>
              <w:rPr>
                <w:rFonts w:hint="eastAsia" w:cs="Times New Roman"/>
                <w:color w:val="auto"/>
                <w:sz w:val="24"/>
                <w:szCs w:val="24"/>
                <w:highlight w:val="none"/>
                <w:lang w:val="en-US" w:eastAsia="zh-CN"/>
              </w:rPr>
              <w:t>7.3324</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根</w:t>
            </w:r>
            <w:r>
              <w:rPr>
                <w:rFonts w:hint="eastAsia" w:ascii="Times New Roman" w:hAnsi="Times New Roman" w:eastAsia="宋体" w:cs="Times New Roman"/>
                <w:color w:val="auto"/>
                <w:spacing w:val="0"/>
                <w:kern w:val="0"/>
                <w:position w:val="0"/>
                <w:sz w:val="24"/>
                <w:szCs w:val="24"/>
                <w:highlight w:val="none"/>
                <w:lang w:val="en-US" w:eastAsia="zh-CN" w:bidi="ar"/>
              </w:rPr>
              <w:t>据</w:t>
            </w:r>
            <w:r>
              <w:rPr>
                <w:rFonts w:ascii="Times New Roman" w:hAnsi="Times New Roman" w:eastAsia="宋体" w:cs="Times New Roman"/>
                <w:color w:val="auto"/>
                <w:spacing w:val="0"/>
                <w:position w:val="0"/>
                <w:sz w:val="24"/>
                <w:highlight w:val="none"/>
              </w:rPr>
              <w:t>《国家危险废物名录》（202</w:t>
            </w:r>
            <w:r>
              <w:rPr>
                <w:rFonts w:hint="eastAsia" w:ascii="Times New Roman" w:hAnsi="Times New Roman" w:eastAsia="宋体" w:cs="Times New Roman"/>
                <w:color w:val="auto"/>
                <w:spacing w:val="0"/>
                <w:position w:val="0"/>
                <w:sz w:val="24"/>
                <w:highlight w:val="none"/>
                <w:lang w:val="en-US" w:eastAsia="zh-CN"/>
              </w:rPr>
              <w:t>5</w:t>
            </w:r>
            <w:r>
              <w:rPr>
                <w:rFonts w:ascii="Times New Roman" w:hAnsi="Times New Roman" w:eastAsia="宋体" w:cs="Times New Roman"/>
                <w:color w:val="auto"/>
                <w:spacing w:val="0"/>
                <w:position w:val="0"/>
                <w:sz w:val="24"/>
                <w:highlight w:val="none"/>
              </w:rPr>
              <w:t>年版）</w:t>
            </w:r>
            <w:r>
              <w:rPr>
                <w:rFonts w:hint="eastAsia" w:ascii="Times New Roman" w:hAnsi="Times New Roman" w:eastAsia="宋体" w:cs="Times New Roman"/>
                <w:color w:val="auto"/>
                <w:spacing w:val="0"/>
                <w:kern w:val="0"/>
                <w:position w:val="0"/>
                <w:sz w:val="24"/>
                <w:szCs w:val="24"/>
                <w:highlight w:val="none"/>
                <w:lang w:val="en-US" w:eastAsia="zh-CN" w:bidi="ar"/>
              </w:rPr>
              <w:t>，</w:t>
            </w:r>
            <w:r>
              <w:rPr>
                <w:rFonts w:hint="eastAsia" w:cs="Times New Roman"/>
                <w:color w:val="auto"/>
                <w:spacing w:val="0"/>
                <w:kern w:val="0"/>
                <w:position w:val="0"/>
                <w:sz w:val="24"/>
                <w:szCs w:val="24"/>
                <w:highlight w:val="none"/>
                <w:lang w:val="en-US" w:eastAsia="zh-CN" w:bidi="ar"/>
              </w:rPr>
              <w:t>漆渣</w:t>
            </w:r>
            <w:r>
              <w:rPr>
                <w:rFonts w:hint="eastAsia" w:ascii="Times New Roman" w:hAnsi="Times New Roman" w:eastAsia="宋体" w:cs="Times New Roman"/>
                <w:color w:val="auto"/>
                <w:spacing w:val="0"/>
                <w:kern w:val="0"/>
                <w:position w:val="0"/>
                <w:sz w:val="24"/>
                <w:szCs w:val="24"/>
                <w:highlight w:val="none"/>
                <w:lang w:val="en-US" w:eastAsia="zh-CN" w:bidi="ar"/>
              </w:rPr>
              <w:t>属于危险废物，编号为</w:t>
            </w:r>
            <w:r>
              <w:rPr>
                <w:rFonts w:hint="default" w:ascii="Times New Roman" w:hAnsi="Times New Roman" w:eastAsia="宋体" w:cs="Times New Roman"/>
                <w:color w:val="auto"/>
                <w:spacing w:val="0"/>
                <w:kern w:val="0"/>
                <w:position w:val="0"/>
                <w:sz w:val="24"/>
                <w:szCs w:val="24"/>
                <w:highlight w:val="none"/>
                <w:lang w:val="en-US" w:eastAsia="zh-CN" w:bidi="ar"/>
              </w:rPr>
              <w:t>HW12</w:t>
            </w:r>
            <w:r>
              <w:rPr>
                <w:rFonts w:hint="eastAsia" w:ascii="Times New Roman" w:hAnsi="Times New Roman" w:eastAsia="宋体" w:cs="Times New Roman"/>
                <w:color w:val="auto"/>
                <w:spacing w:val="0"/>
                <w:kern w:val="0"/>
                <w:position w:val="0"/>
                <w:sz w:val="24"/>
                <w:szCs w:val="24"/>
                <w:highlight w:val="none"/>
                <w:lang w:val="en-US" w:eastAsia="zh-CN" w:bidi="ar"/>
              </w:rPr>
              <w:t>（染料、涂料废物），废物代码</w:t>
            </w:r>
            <w:r>
              <w:rPr>
                <w:rFonts w:hint="default" w:ascii="Times New Roman" w:hAnsi="Times New Roman" w:eastAsia="宋体" w:cs="Times New Roman"/>
                <w:color w:val="auto"/>
                <w:spacing w:val="0"/>
                <w:kern w:val="0"/>
                <w:position w:val="0"/>
                <w:sz w:val="24"/>
                <w:szCs w:val="24"/>
                <w:highlight w:val="none"/>
                <w:lang w:val="en-US" w:eastAsia="zh-CN" w:bidi="ar"/>
              </w:rPr>
              <w:t>900-25</w:t>
            </w:r>
            <w:r>
              <w:rPr>
                <w:rFonts w:hint="eastAsia" w:cs="Times New Roman"/>
                <w:color w:val="auto"/>
                <w:spacing w:val="0"/>
                <w:kern w:val="0"/>
                <w:position w:val="0"/>
                <w:sz w:val="24"/>
                <w:szCs w:val="24"/>
                <w:highlight w:val="none"/>
                <w:lang w:val="en-US" w:eastAsia="zh-CN" w:bidi="ar"/>
              </w:rPr>
              <w:t>2</w:t>
            </w:r>
            <w:r>
              <w:rPr>
                <w:rFonts w:hint="default" w:ascii="Times New Roman" w:hAnsi="Times New Roman" w:eastAsia="宋体" w:cs="Times New Roman"/>
                <w:color w:val="auto"/>
                <w:spacing w:val="0"/>
                <w:kern w:val="0"/>
                <w:position w:val="0"/>
                <w:sz w:val="24"/>
                <w:szCs w:val="24"/>
                <w:highlight w:val="none"/>
                <w:lang w:val="en-US" w:eastAsia="zh-CN" w:bidi="ar"/>
              </w:rPr>
              <w:t>-12</w:t>
            </w:r>
            <w:r>
              <w:rPr>
                <w:rFonts w:hint="eastAsia" w:ascii="Times New Roman" w:hAnsi="Times New Roman" w:eastAsia="宋体" w:cs="Times New Roman"/>
                <w:color w:val="auto"/>
                <w:spacing w:val="0"/>
                <w:kern w:val="0"/>
                <w:position w:val="0"/>
                <w:sz w:val="24"/>
                <w:szCs w:val="24"/>
                <w:highlight w:val="none"/>
                <w:lang w:val="en-US" w:eastAsia="zh-CN" w:bidi="ar"/>
              </w:rPr>
              <w:t>（使用油漆（不包括水性漆）、有机溶剂进行喷漆、上漆过程中过喷漆雾湿法捕集产生的漆渣</w:t>
            </w:r>
            <w:r>
              <w:rPr>
                <w:rFonts w:hint="eastAsia" w:cs="Times New Roman"/>
                <w:color w:val="auto"/>
                <w:spacing w:val="0"/>
                <w:kern w:val="0"/>
                <w:position w:val="0"/>
                <w:sz w:val="24"/>
                <w:szCs w:val="24"/>
                <w:highlight w:val="none"/>
                <w:lang w:val="en-US" w:eastAsia="zh-CN" w:bidi="ar"/>
              </w:rPr>
              <w:t>，</w:t>
            </w:r>
            <w:r>
              <w:rPr>
                <w:rFonts w:hint="eastAsia" w:ascii="Times New Roman" w:hAnsi="Times New Roman" w:eastAsia="宋体" w:cs="Times New Roman"/>
                <w:color w:val="auto"/>
                <w:spacing w:val="0"/>
                <w:kern w:val="0"/>
                <w:position w:val="0"/>
                <w:sz w:val="24"/>
                <w:szCs w:val="24"/>
                <w:highlight w:val="none"/>
                <w:lang w:val="en-US" w:eastAsia="zh-CN" w:bidi="ar"/>
              </w:rPr>
              <w:t>以及喷涂工位和管道清理过程产生的落地漆渣），</w:t>
            </w:r>
            <w:r>
              <w:rPr>
                <w:rFonts w:hint="eastAsia" w:ascii="Times New Roman" w:hAnsi="Times New Roman" w:eastAsia="宋体" w:cs="Times New Roman"/>
                <w:caps w:val="0"/>
                <w:snapToGrid w:val="0"/>
                <w:color w:val="auto"/>
                <w:kern w:val="0"/>
                <w:sz w:val="24"/>
                <w:szCs w:val="24"/>
                <w:highlight w:val="none"/>
                <w:lang w:val="en-US" w:eastAsia="zh-CN"/>
              </w:rPr>
              <w:t>集中收集后暂存于</w:t>
            </w:r>
            <w:r>
              <w:rPr>
                <w:rFonts w:hint="eastAsia" w:cs="Times New Roman"/>
                <w:caps w:val="0"/>
                <w:snapToGrid w:val="0"/>
                <w:color w:val="auto"/>
                <w:kern w:val="0"/>
                <w:sz w:val="24"/>
                <w:szCs w:val="24"/>
                <w:highlight w:val="none"/>
                <w:lang w:val="en-US" w:eastAsia="zh-CN"/>
              </w:rPr>
              <w:t>危废暂存间</w:t>
            </w:r>
            <w:r>
              <w:rPr>
                <w:rFonts w:hint="eastAsia" w:ascii="Times New Roman" w:hAnsi="Times New Roman" w:eastAsia="宋体" w:cs="Times New Roman"/>
                <w:caps w:val="0"/>
                <w:snapToGrid w:val="0"/>
                <w:color w:val="auto"/>
                <w:kern w:val="0"/>
                <w:sz w:val="24"/>
                <w:szCs w:val="24"/>
                <w:highlight w:val="none"/>
                <w:lang w:val="en-US" w:eastAsia="zh-CN"/>
              </w:rPr>
              <w:t>，并委托有资质单位进行处置</w:t>
            </w:r>
            <w:r>
              <w:rPr>
                <w:rFonts w:hint="eastAsia" w:ascii="Times New Roman" w:hAnsi="Times New Roman" w:eastAsia="宋体" w:cs="Times New Roman"/>
                <w:color w:val="auto"/>
                <w:spacing w:val="0"/>
                <w:kern w:val="0"/>
                <w:position w:val="0"/>
                <w:sz w:val="24"/>
                <w:szCs w:val="24"/>
                <w:highlight w:val="none"/>
                <w:lang w:val="en-US" w:eastAsia="zh-CN" w:bidi="ar"/>
              </w:rPr>
              <w:t>。</w:t>
            </w:r>
          </w:p>
          <w:p w14:paraId="7C4A3970">
            <w:pPr>
              <w:keepNext w:val="0"/>
              <w:keepLines w:val="0"/>
              <w:pageBreakBefore w:val="0"/>
              <w:widowControl/>
              <w:kinsoku/>
              <w:wordWrap/>
              <w:topLinePunct w:val="0"/>
              <w:bidi w:val="0"/>
              <w:adjustRightInd/>
              <w:snapToGrid w:val="0"/>
              <w:spacing w:line="353" w:lineRule="auto"/>
              <w:ind w:firstLine="482" w:firstLineChars="200"/>
              <w:rPr>
                <w:rFonts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b/>
                <w:bCs/>
                <w:color w:val="auto"/>
                <w:spacing w:val="0"/>
                <w:kern w:val="0"/>
                <w:position w:val="0"/>
                <w:sz w:val="24"/>
                <w:szCs w:val="24"/>
                <w:highlight w:val="none"/>
                <w:lang w:val="en-US" w:eastAsia="zh-CN" w:bidi="ar"/>
              </w:rPr>
              <w:fldChar w:fldCharType="begin"/>
            </w:r>
            <w:r>
              <w:rPr>
                <w:rFonts w:hint="eastAsia" w:ascii="Times New Roman" w:hAnsi="Times New Roman" w:eastAsia="宋体" w:cs="Times New Roman"/>
                <w:b/>
                <w:bCs/>
                <w:color w:val="auto"/>
                <w:spacing w:val="0"/>
                <w:kern w:val="0"/>
                <w:position w:val="0"/>
                <w:sz w:val="24"/>
                <w:szCs w:val="24"/>
                <w:highlight w:val="none"/>
                <w:lang w:val="en-US" w:eastAsia="zh-CN" w:bidi="ar"/>
              </w:rPr>
              <w:instrText xml:space="preserve"> = 2 \* GB3 \* MERGEFORMAT </w:instrText>
            </w:r>
            <w:r>
              <w:rPr>
                <w:rFonts w:hint="eastAsia" w:ascii="Times New Roman" w:hAnsi="Times New Roman" w:eastAsia="宋体" w:cs="Times New Roman"/>
                <w:b/>
                <w:bCs/>
                <w:color w:val="auto"/>
                <w:spacing w:val="0"/>
                <w:kern w:val="0"/>
                <w:position w:val="0"/>
                <w:sz w:val="24"/>
                <w:szCs w:val="24"/>
                <w:highlight w:val="none"/>
                <w:lang w:val="en-US" w:eastAsia="zh-CN" w:bidi="ar"/>
              </w:rPr>
              <w:fldChar w:fldCharType="separate"/>
            </w:r>
            <w:r>
              <w:rPr>
                <w:b/>
                <w:bCs/>
                <w:color w:val="auto"/>
                <w:sz w:val="24"/>
                <w:szCs w:val="24"/>
                <w:highlight w:val="none"/>
              </w:rPr>
              <w:t>②</w:t>
            </w:r>
            <w:r>
              <w:rPr>
                <w:rFonts w:hint="eastAsia" w:ascii="Times New Roman" w:hAnsi="Times New Roman" w:eastAsia="宋体" w:cs="Times New Roman"/>
                <w:b/>
                <w:bCs/>
                <w:color w:val="auto"/>
                <w:spacing w:val="0"/>
                <w:kern w:val="0"/>
                <w:position w:val="0"/>
                <w:sz w:val="24"/>
                <w:szCs w:val="24"/>
                <w:highlight w:val="none"/>
                <w:lang w:val="en-US" w:eastAsia="zh-CN" w:bidi="ar"/>
              </w:rPr>
              <w:fldChar w:fldCharType="end"/>
            </w:r>
            <w:r>
              <w:rPr>
                <w:rFonts w:hint="eastAsia" w:ascii="Times New Roman" w:hAnsi="Times New Roman" w:eastAsia="宋体" w:cs="Times New Roman"/>
                <w:b/>
                <w:bCs/>
                <w:color w:val="auto"/>
                <w:spacing w:val="0"/>
                <w:position w:val="0"/>
                <w:sz w:val="24"/>
                <w:szCs w:val="24"/>
                <w:highlight w:val="none"/>
              </w:rPr>
              <w:t>废活性炭</w:t>
            </w:r>
          </w:p>
          <w:p w14:paraId="592A3EBC">
            <w:pPr>
              <w:spacing w:line="360" w:lineRule="auto"/>
              <w:ind w:firstLine="480" w:firstLineChars="200"/>
              <w:rPr>
                <w:rFonts w:hint="default" w:cs="宋体"/>
                <w:color w:val="auto"/>
                <w:sz w:val="24"/>
                <w:highlight w:val="none"/>
                <w:lang w:val="en-US"/>
              </w:rPr>
            </w:pPr>
            <w:r>
              <w:rPr>
                <w:rFonts w:hint="eastAsia" w:cs="宋体"/>
                <w:color w:val="auto"/>
                <w:sz w:val="24"/>
                <w:highlight w:val="none"/>
              </w:rPr>
              <w:t>项目调漆、喷漆、晾干废气配套的两级活性炭吸附废气治理设施运行一段时间后，活性炭吸附有机污染物后将达到饱和状态，需定期更换。根据上述废气产排污情况，项目有机废气消减量为</w:t>
            </w:r>
            <w:r>
              <w:rPr>
                <w:rFonts w:hint="eastAsia" w:cs="宋体"/>
                <w:color w:val="auto"/>
                <w:sz w:val="24"/>
                <w:highlight w:val="none"/>
                <w:lang w:val="en-US" w:eastAsia="zh-CN"/>
              </w:rPr>
              <w:t>1.1189</w:t>
            </w:r>
            <w:r>
              <w:rPr>
                <w:rFonts w:hint="eastAsia" w:cs="宋体"/>
                <w:color w:val="auto"/>
                <w:sz w:val="24"/>
                <w:highlight w:val="none"/>
              </w:rPr>
              <w:t>t/a，</w:t>
            </w:r>
            <w:r>
              <w:rPr>
                <w:rFonts w:hint="eastAsia" w:ascii="Times New Roman" w:hAnsi="Times New Roman" w:eastAsia="宋体" w:cs="Times New Roman"/>
                <w:color w:val="auto"/>
                <w:sz w:val="24"/>
                <w:highlight w:val="none"/>
                <w:shd w:val="clear" w:color="auto" w:fill="auto"/>
                <w:lang w:val="en-US" w:eastAsia="zh-CN"/>
              </w:rPr>
              <w:t>风机风量为3</w:t>
            </w:r>
            <w:r>
              <w:rPr>
                <w:rFonts w:hint="eastAsia" w:cs="Times New Roman"/>
                <w:color w:val="auto"/>
                <w:sz w:val="24"/>
                <w:highlight w:val="none"/>
                <w:shd w:val="clear" w:color="auto" w:fill="auto"/>
                <w:lang w:val="en-US" w:eastAsia="zh-CN"/>
              </w:rPr>
              <w:t>0</w:t>
            </w:r>
            <w:r>
              <w:rPr>
                <w:rFonts w:hint="eastAsia" w:ascii="Times New Roman" w:hAnsi="Times New Roman" w:eastAsia="宋体" w:cs="Times New Roman"/>
                <w:color w:val="auto"/>
                <w:sz w:val="24"/>
                <w:highlight w:val="none"/>
                <w:shd w:val="clear" w:color="auto" w:fill="auto"/>
                <w:lang w:val="en-US" w:eastAsia="zh-CN"/>
              </w:rPr>
              <w:t>000</w:t>
            </w:r>
            <w:r>
              <w:rPr>
                <w:rFonts w:hint="eastAsia" w:ascii="Times New Roman" w:hAnsi="Times New Roman" w:eastAsia="宋体" w:cs="Times New Roman"/>
                <w:color w:val="auto"/>
                <w:sz w:val="21"/>
                <w:szCs w:val="21"/>
                <w:highlight w:val="none"/>
                <w:shd w:val="clear" w:color="auto" w:fill="auto"/>
                <w:vertAlign w:val="baseline"/>
                <w:lang w:val="en-US" w:eastAsia="zh-CN"/>
              </w:rPr>
              <w:t>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vertAlign w:val="baseline"/>
                <w:lang w:val="en-US" w:eastAsia="zh-CN"/>
              </w:rPr>
              <w:t>/h</w:t>
            </w:r>
            <w:r>
              <w:rPr>
                <w:rFonts w:hint="eastAsia" w:cs="Times New Roman"/>
                <w:color w:val="auto"/>
                <w:sz w:val="21"/>
                <w:szCs w:val="21"/>
                <w:highlight w:val="none"/>
                <w:shd w:val="clear" w:color="auto" w:fill="auto"/>
                <w:vertAlign w:val="baseline"/>
                <w:lang w:val="en-US" w:eastAsia="zh-CN"/>
              </w:rPr>
              <w:t>，</w:t>
            </w:r>
            <w:r>
              <w:rPr>
                <w:rFonts w:hint="eastAsia" w:ascii="Times New Roman" w:hAnsi="Times New Roman" w:eastAsia="宋体" w:cs="Times New Roman"/>
                <w:color w:val="auto"/>
                <w:sz w:val="24"/>
                <w:highlight w:val="none"/>
              </w:rPr>
              <w:t>采用颗粒活性炭（碘值≥800mg/g），装填厚度不宜低于</w:t>
            </w:r>
            <w:r>
              <w:rPr>
                <w:rFonts w:hint="eastAsia" w:ascii="Times New Roman" w:hAnsi="Times New Roman" w:eastAsia="宋体" w:cs="Times New Roman"/>
                <w:color w:val="auto"/>
                <w:sz w:val="24"/>
                <w:highlight w:val="none"/>
                <w:lang w:val="en-US" w:eastAsia="zh-CN"/>
              </w:rPr>
              <w:t>0.3</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设计参数符合《深圳市工业有机废气治理用活性炭更换技术指引》要求，</w:t>
            </w:r>
            <w:r>
              <w:rPr>
                <w:rFonts w:hint="eastAsia" w:cs="Times New Roman"/>
                <w:color w:val="auto"/>
                <w:sz w:val="24"/>
                <w:szCs w:val="24"/>
                <w:highlight w:val="none"/>
                <w:shd w:val="clear" w:color="auto" w:fill="auto"/>
                <w:vertAlign w:val="baseline"/>
                <w:lang w:val="en-US" w:eastAsia="zh-CN"/>
              </w:rPr>
              <w:t>活性炭设计参数详见下表</w:t>
            </w:r>
            <w:r>
              <w:rPr>
                <w:rFonts w:hint="eastAsia" w:cs="Times New Roman"/>
                <w:color w:val="auto"/>
                <w:sz w:val="21"/>
                <w:szCs w:val="21"/>
                <w:highlight w:val="none"/>
                <w:shd w:val="clear" w:color="auto" w:fill="auto"/>
                <w:vertAlign w:val="baseline"/>
                <w:lang w:val="en-US" w:eastAsia="zh-CN"/>
              </w:rPr>
              <w:t>。</w:t>
            </w:r>
          </w:p>
          <w:p w14:paraId="668E03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auto"/>
                <w:sz w:val="24"/>
                <w:szCs w:val="24"/>
                <w:highlight w:val="none"/>
                <w:shd w:val="clear" w:color="auto" w:fill="auto"/>
                <w:vertAlign w:val="baseline"/>
                <w:lang w:val="en-US" w:eastAsia="zh-CN"/>
              </w:rPr>
            </w:pPr>
            <w:r>
              <w:rPr>
                <w:rFonts w:hint="eastAsia" w:cs="Times New Roman"/>
                <w:b/>
                <w:bCs/>
                <w:color w:val="auto"/>
                <w:sz w:val="24"/>
                <w:szCs w:val="24"/>
                <w:highlight w:val="none"/>
                <w:shd w:val="clear" w:color="auto" w:fill="auto"/>
                <w:vertAlign w:val="baseline"/>
                <w:lang w:val="en-US" w:eastAsia="zh-CN"/>
              </w:rPr>
              <w:t>表4.4-1 活性炭设计参数</w:t>
            </w:r>
          </w:p>
          <w:tbl>
            <w:tblPr>
              <w:tblStyle w:val="30"/>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84"/>
              <w:gridCol w:w="3189"/>
              <w:gridCol w:w="3332"/>
            </w:tblGrid>
            <w:tr w14:paraId="3F11B6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tcBorders>
                    <w:tl2br w:val="nil"/>
                    <w:tr2bl w:val="nil"/>
                  </w:tcBorders>
                  <w:vAlign w:val="center"/>
                </w:tcPr>
                <w:p w14:paraId="35CCEA89">
                  <w:pPr>
                    <w:pStyle w:val="3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活性炭吸附装置</w:t>
                  </w:r>
                </w:p>
              </w:tc>
              <w:tc>
                <w:tcPr>
                  <w:tcW w:w="3189" w:type="dxa"/>
                  <w:tcBorders>
                    <w:tl2br w:val="nil"/>
                    <w:tr2bl w:val="nil"/>
                  </w:tcBorders>
                  <w:vAlign w:val="center"/>
                </w:tcPr>
                <w:p w14:paraId="6E2C775F">
                  <w:pPr>
                    <w:pStyle w:val="3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val="0"/>
                      <w:bCs w:val="0"/>
                      <w:color w:val="auto"/>
                      <w:sz w:val="21"/>
                      <w:szCs w:val="21"/>
                      <w:highlight w:val="none"/>
                      <w:vertAlign w:val="baseline"/>
                      <w:lang w:val="en-US" w:eastAsia="zh-CN"/>
                    </w:rPr>
                  </w:pPr>
                  <w:r>
                    <w:rPr>
                      <w:rFonts w:hint="default"/>
                      <w:b w:val="0"/>
                      <w:bCs w:val="0"/>
                      <w:color w:val="auto"/>
                      <w:sz w:val="21"/>
                      <w:szCs w:val="21"/>
                      <w:highlight w:val="none"/>
                      <w:vertAlign w:val="baseline"/>
                      <w:lang w:val="en-US" w:eastAsia="zh-CN"/>
                    </w:rPr>
                    <w:t>二级</w:t>
                  </w:r>
                  <w:r>
                    <w:rPr>
                      <w:rFonts w:hint="eastAsia"/>
                      <w:b w:val="0"/>
                      <w:bCs w:val="0"/>
                      <w:color w:val="auto"/>
                      <w:sz w:val="21"/>
                      <w:szCs w:val="21"/>
                      <w:highlight w:val="none"/>
                      <w:vertAlign w:val="baseline"/>
                      <w:lang w:val="en-US" w:eastAsia="zh-CN"/>
                    </w:rPr>
                    <w:t>活性炭</w:t>
                  </w:r>
                </w:p>
              </w:tc>
              <w:tc>
                <w:tcPr>
                  <w:tcW w:w="3332" w:type="dxa"/>
                  <w:tcBorders>
                    <w:tl2br w:val="nil"/>
                    <w:tr2bl w:val="nil"/>
                  </w:tcBorders>
                  <w:vAlign w:val="center"/>
                </w:tcPr>
                <w:p w14:paraId="3E2E3514">
                  <w:pPr>
                    <w:pStyle w:val="3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备注</w:t>
                  </w:r>
                </w:p>
              </w:tc>
            </w:tr>
            <w:tr w14:paraId="6261A8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tcBorders>
                    <w:tl2br w:val="nil"/>
                    <w:tr2bl w:val="nil"/>
                  </w:tcBorders>
                  <w:shd w:val="clear" w:color="auto" w:fill="auto"/>
                  <w:vAlign w:val="center"/>
                </w:tcPr>
                <w:p w14:paraId="46C9B7BA">
                  <w:pPr>
                    <w:keepNext w:val="0"/>
                    <w:keepLines w:val="0"/>
                    <w:widowControl/>
                    <w:suppressLineNumbers w:val="0"/>
                    <w:jc w:val="center"/>
                    <w:rPr>
                      <w:rFonts w:hint="eastAsia" w:ascii="Times New Roman" w:hAnsi="Times New Roman" w:eastAsia="宋体" w:cs="Times New Roman"/>
                      <w:color w:val="auto"/>
                      <w:kern w:val="0"/>
                      <w:sz w:val="21"/>
                      <w:szCs w:val="21"/>
                      <w:highlight w:val="none"/>
                      <w:vertAlign w:val="baseline"/>
                      <w:lang w:val="en-US" w:eastAsia="zh-CN" w:bidi="ar-SA"/>
                    </w:rPr>
                  </w:pPr>
                </w:p>
              </w:tc>
              <w:tc>
                <w:tcPr>
                  <w:tcW w:w="3189" w:type="dxa"/>
                  <w:tcBorders>
                    <w:tl2br w:val="nil"/>
                    <w:tr2bl w:val="nil"/>
                  </w:tcBorders>
                  <w:shd w:val="clear" w:color="auto" w:fill="auto"/>
                  <w:vAlign w:val="center"/>
                </w:tcPr>
                <w:p w14:paraId="523AEFA0">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3332" w:type="dxa"/>
                  <w:tcBorders>
                    <w:tl2br w:val="nil"/>
                    <w:tr2bl w:val="nil"/>
                  </w:tcBorders>
                  <w:shd w:val="clear" w:color="auto" w:fill="auto"/>
                  <w:vAlign w:val="center"/>
                </w:tcPr>
                <w:p w14:paraId="6CF2946F">
                  <w:pPr>
                    <w:keepNext w:val="0"/>
                    <w:keepLines w:val="0"/>
                    <w:widowControl/>
                    <w:suppressLineNumbers w:val="0"/>
                    <w:jc w:val="center"/>
                    <w:rPr>
                      <w:rFonts w:hint="default"/>
                      <w:color w:val="auto"/>
                      <w:sz w:val="21"/>
                      <w:szCs w:val="21"/>
                      <w:highlight w:val="none"/>
                      <w:vertAlign w:val="baseline"/>
                      <w:lang w:val="en-US" w:eastAsia="zh-CN"/>
                    </w:rPr>
                  </w:pPr>
                </w:p>
              </w:tc>
            </w:tr>
            <w:tr w14:paraId="2E7285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tcBorders>
                    <w:tl2br w:val="nil"/>
                    <w:tr2bl w:val="nil"/>
                  </w:tcBorders>
                  <w:shd w:val="clear" w:color="auto" w:fill="auto"/>
                  <w:vAlign w:val="center"/>
                </w:tcPr>
                <w:p w14:paraId="3E46E85B">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3189" w:type="dxa"/>
                  <w:tcBorders>
                    <w:tl2br w:val="nil"/>
                    <w:tr2bl w:val="nil"/>
                  </w:tcBorders>
                  <w:shd w:val="clear" w:color="auto" w:fill="auto"/>
                  <w:vAlign w:val="center"/>
                </w:tcPr>
                <w:p w14:paraId="4BDC34BF">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3332" w:type="dxa"/>
                  <w:tcBorders>
                    <w:tl2br w:val="nil"/>
                    <w:tr2bl w:val="nil"/>
                  </w:tcBorders>
                  <w:shd w:val="clear" w:color="auto" w:fill="auto"/>
                  <w:vAlign w:val="center"/>
                </w:tcPr>
                <w:p w14:paraId="55D063E9">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p>
              </w:tc>
            </w:tr>
            <w:tr w14:paraId="5C0BFB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tcBorders>
                    <w:tl2br w:val="nil"/>
                    <w:tr2bl w:val="nil"/>
                  </w:tcBorders>
                  <w:shd w:val="clear" w:color="auto" w:fill="auto"/>
                  <w:vAlign w:val="center"/>
                </w:tcPr>
                <w:p w14:paraId="2C4A21D0">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3189" w:type="dxa"/>
                  <w:tcBorders>
                    <w:tl2br w:val="nil"/>
                    <w:tr2bl w:val="nil"/>
                  </w:tcBorders>
                  <w:shd w:val="clear" w:color="auto" w:fill="auto"/>
                  <w:vAlign w:val="center"/>
                </w:tcPr>
                <w:p w14:paraId="33A11ED5">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3332" w:type="dxa"/>
                  <w:tcBorders>
                    <w:tl2br w:val="nil"/>
                    <w:tr2bl w:val="nil"/>
                  </w:tcBorders>
                  <w:shd w:val="clear" w:color="auto" w:fill="auto"/>
                  <w:vAlign w:val="center"/>
                </w:tcPr>
                <w:p w14:paraId="34FCEE66">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p>
              </w:tc>
            </w:tr>
            <w:tr w14:paraId="4C4F58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tcBorders>
                    <w:tl2br w:val="nil"/>
                    <w:tr2bl w:val="nil"/>
                  </w:tcBorders>
                  <w:vAlign w:val="center"/>
                </w:tcPr>
                <w:p w14:paraId="444A6AC0">
                  <w:pPr>
                    <w:keepNext w:val="0"/>
                    <w:keepLines w:val="0"/>
                    <w:widowControl/>
                    <w:suppressLineNumbers w:val="0"/>
                    <w:jc w:val="center"/>
                    <w:rPr>
                      <w:rFonts w:hint="default"/>
                      <w:color w:val="auto"/>
                      <w:sz w:val="21"/>
                      <w:szCs w:val="21"/>
                      <w:highlight w:val="none"/>
                      <w:vertAlign w:val="baseline"/>
                      <w:lang w:val="en-US" w:eastAsia="zh-CN"/>
                    </w:rPr>
                  </w:pPr>
                </w:p>
              </w:tc>
              <w:tc>
                <w:tcPr>
                  <w:tcW w:w="3189" w:type="dxa"/>
                  <w:tcBorders>
                    <w:tl2br w:val="nil"/>
                    <w:tr2bl w:val="nil"/>
                  </w:tcBorders>
                  <w:vAlign w:val="center"/>
                </w:tcPr>
                <w:p w14:paraId="346FF2E2">
                  <w:pPr>
                    <w:keepNext w:val="0"/>
                    <w:keepLines w:val="0"/>
                    <w:widowControl/>
                    <w:suppressLineNumbers w:val="0"/>
                    <w:jc w:val="center"/>
                    <w:rPr>
                      <w:rFonts w:hint="default"/>
                      <w:color w:val="auto"/>
                      <w:sz w:val="21"/>
                      <w:szCs w:val="21"/>
                      <w:highlight w:val="none"/>
                      <w:vertAlign w:val="baseline"/>
                      <w:lang w:val="en-US" w:eastAsia="zh-CN"/>
                    </w:rPr>
                  </w:pPr>
                </w:p>
              </w:tc>
              <w:tc>
                <w:tcPr>
                  <w:tcW w:w="3332" w:type="dxa"/>
                  <w:tcBorders>
                    <w:tl2br w:val="nil"/>
                    <w:tr2bl w:val="nil"/>
                  </w:tcBorders>
                  <w:shd w:val="clear" w:color="auto" w:fill="auto"/>
                  <w:vAlign w:val="center"/>
                </w:tcPr>
                <w:p w14:paraId="4FC33885">
                  <w:pPr>
                    <w:keepNext w:val="0"/>
                    <w:keepLines w:val="0"/>
                    <w:widowControl/>
                    <w:suppressLineNumbers w:val="0"/>
                    <w:jc w:val="center"/>
                    <w:rPr>
                      <w:rFonts w:hint="eastAsia" w:ascii="Times New Roman" w:hAnsi="Times New Roman" w:eastAsia="宋体" w:cs="Times New Roman"/>
                      <w:color w:val="auto"/>
                      <w:sz w:val="21"/>
                      <w:szCs w:val="21"/>
                      <w:highlight w:val="none"/>
                      <w:vertAlign w:val="baseline"/>
                      <w:lang w:val="en-US" w:eastAsia="zh-CN"/>
                    </w:rPr>
                  </w:pPr>
                </w:p>
              </w:tc>
            </w:tr>
            <w:tr w14:paraId="08E550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tcBorders>
                    <w:tl2br w:val="nil"/>
                    <w:tr2bl w:val="nil"/>
                  </w:tcBorders>
                  <w:vAlign w:val="center"/>
                </w:tcPr>
                <w:p w14:paraId="175F8515">
                  <w:pPr>
                    <w:keepNext w:val="0"/>
                    <w:keepLines w:val="0"/>
                    <w:widowControl/>
                    <w:suppressLineNumbers w:val="0"/>
                    <w:jc w:val="center"/>
                    <w:rPr>
                      <w:rFonts w:hint="default"/>
                      <w:color w:val="auto"/>
                      <w:sz w:val="21"/>
                      <w:szCs w:val="21"/>
                      <w:highlight w:val="none"/>
                      <w:vertAlign w:val="baseline"/>
                      <w:lang w:val="en-US" w:eastAsia="zh-CN"/>
                    </w:rPr>
                  </w:pPr>
                </w:p>
              </w:tc>
              <w:tc>
                <w:tcPr>
                  <w:tcW w:w="3189" w:type="dxa"/>
                  <w:tcBorders>
                    <w:tl2br w:val="nil"/>
                    <w:tr2bl w:val="nil"/>
                  </w:tcBorders>
                  <w:vAlign w:val="center"/>
                </w:tcPr>
                <w:p w14:paraId="22660550">
                  <w:pPr>
                    <w:keepNext w:val="0"/>
                    <w:keepLines w:val="0"/>
                    <w:widowControl/>
                    <w:suppressLineNumbers w:val="0"/>
                    <w:jc w:val="center"/>
                    <w:rPr>
                      <w:rFonts w:hint="default"/>
                      <w:color w:val="auto"/>
                      <w:sz w:val="21"/>
                      <w:szCs w:val="21"/>
                      <w:highlight w:val="none"/>
                      <w:vertAlign w:val="baseline"/>
                      <w:lang w:val="en-US" w:eastAsia="zh-CN"/>
                    </w:rPr>
                  </w:pPr>
                </w:p>
              </w:tc>
              <w:tc>
                <w:tcPr>
                  <w:tcW w:w="3332" w:type="dxa"/>
                  <w:tcBorders>
                    <w:tl2br w:val="nil"/>
                    <w:tr2bl w:val="nil"/>
                  </w:tcBorders>
                  <w:vAlign w:val="center"/>
                </w:tcPr>
                <w:p w14:paraId="3EFAB196">
                  <w:pPr>
                    <w:keepNext w:val="0"/>
                    <w:keepLines w:val="0"/>
                    <w:widowControl/>
                    <w:suppressLineNumbers w:val="0"/>
                    <w:jc w:val="center"/>
                    <w:rPr>
                      <w:rFonts w:hint="default"/>
                      <w:color w:val="auto"/>
                      <w:sz w:val="21"/>
                      <w:szCs w:val="21"/>
                      <w:highlight w:val="none"/>
                      <w:vertAlign w:val="baseline"/>
                      <w:lang w:val="en-US" w:eastAsia="zh-CN"/>
                    </w:rPr>
                  </w:pPr>
                </w:p>
              </w:tc>
            </w:tr>
            <w:tr w14:paraId="207C78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tcBorders>
                    <w:tl2br w:val="nil"/>
                    <w:tr2bl w:val="nil"/>
                  </w:tcBorders>
                  <w:shd w:val="clear" w:color="auto" w:fill="auto"/>
                  <w:vAlign w:val="center"/>
                </w:tcPr>
                <w:p w14:paraId="7200AB4C">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3189" w:type="dxa"/>
                  <w:tcBorders>
                    <w:tl2br w:val="nil"/>
                    <w:tr2bl w:val="nil"/>
                  </w:tcBorders>
                  <w:shd w:val="clear" w:color="auto" w:fill="auto"/>
                  <w:vAlign w:val="center"/>
                </w:tcPr>
                <w:p w14:paraId="6C0F64A7">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3332" w:type="dxa"/>
                  <w:tcBorders>
                    <w:tl2br w:val="nil"/>
                    <w:tr2bl w:val="nil"/>
                  </w:tcBorders>
                  <w:shd w:val="clear" w:color="auto" w:fill="auto"/>
                  <w:vAlign w:val="center"/>
                </w:tcPr>
                <w:p w14:paraId="7076D917">
                  <w:pPr>
                    <w:keepNext w:val="0"/>
                    <w:keepLines w:val="0"/>
                    <w:widowControl/>
                    <w:suppressLineNumbers w:val="0"/>
                    <w:jc w:val="center"/>
                    <w:rPr>
                      <w:rFonts w:hint="default"/>
                      <w:color w:val="auto"/>
                      <w:sz w:val="21"/>
                      <w:szCs w:val="21"/>
                      <w:highlight w:val="none"/>
                      <w:vertAlign w:val="baseline"/>
                      <w:lang w:val="en-US" w:eastAsia="zh-CN"/>
                    </w:rPr>
                  </w:pPr>
                </w:p>
              </w:tc>
            </w:tr>
            <w:tr w14:paraId="5C7D9E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tcBorders>
                    <w:tl2br w:val="nil"/>
                    <w:tr2bl w:val="nil"/>
                  </w:tcBorders>
                  <w:shd w:val="clear" w:color="auto" w:fill="auto"/>
                  <w:vAlign w:val="center"/>
                </w:tcPr>
                <w:p w14:paraId="200EFADD">
                  <w:pPr>
                    <w:keepNext w:val="0"/>
                    <w:keepLines w:val="0"/>
                    <w:widowControl/>
                    <w:suppressLineNumbers w:val="0"/>
                    <w:jc w:val="center"/>
                    <w:rPr>
                      <w:rFonts w:hint="default"/>
                      <w:color w:val="auto"/>
                      <w:sz w:val="21"/>
                      <w:szCs w:val="21"/>
                      <w:highlight w:val="none"/>
                      <w:vertAlign w:val="baseline"/>
                      <w:lang w:val="en-US" w:eastAsia="zh-CN"/>
                    </w:rPr>
                  </w:pPr>
                </w:p>
              </w:tc>
              <w:tc>
                <w:tcPr>
                  <w:tcW w:w="3189" w:type="dxa"/>
                  <w:tcBorders>
                    <w:tl2br w:val="nil"/>
                    <w:tr2bl w:val="nil"/>
                  </w:tcBorders>
                  <w:shd w:val="clear" w:color="auto" w:fill="auto"/>
                  <w:vAlign w:val="center"/>
                </w:tcPr>
                <w:p w14:paraId="6F7D08BD">
                  <w:pPr>
                    <w:keepNext w:val="0"/>
                    <w:keepLines w:val="0"/>
                    <w:widowControl/>
                    <w:suppressLineNumbers w:val="0"/>
                    <w:jc w:val="center"/>
                    <w:rPr>
                      <w:rFonts w:hint="default"/>
                      <w:color w:val="auto"/>
                      <w:sz w:val="21"/>
                      <w:szCs w:val="21"/>
                      <w:highlight w:val="none"/>
                      <w:vertAlign w:val="baseline"/>
                      <w:lang w:val="en-US" w:eastAsia="zh-CN"/>
                    </w:rPr>
                  </w:pPr>
                </w:p>
              </w:tc>
              <w:tc>
                <w:tcPr>
                  <w:tcW w:w="3332" w:type="dxa"/>
                  <w:tcBorders>
                    <w:tl2br w:val="nil"/>
                    <w:tr2bl w:val="nil"/>
                  </w:tcBorders>
                  <w:shd w:val="clear" w:color="auto" w:fill="auto"/>
                  <w:vAlign w:val="center"/>
                </w:tcPr>
                <w:p w14:paraId="503318BB">
                  <w:pPr>
                    <w:keepNext w:val="0"/>
                    <w:keepLines w:val="0"/>
                    <w:widowControl/>
                    <w:suppressLineNumbers w:val="0"/>
                    <w:jc w:val="center"/>
                    <w:rPr>
                      <w:rFonts w:hint="default"/>
                      <w:color w:val="auto"/>
                      <w:sz w:val="21"/>
                      <w:szCs w:val="21"/>
                      <w:highlight w:val="none"/>
                      <w:vertAlign w:val="baseline"/>
                      <w:lang w:val="en-US" w:eastAsia="zh-CN"/>
                    </w:rPr>
                  </w:pPr>
                </w:p>
              </w:tc>
            </w:tr>
            <w:tr w14:paraId="15F9E4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tcBorders>
                    <w:tl2br w:val="nil"/>
                    <w:tr2bl w:val="nil"/>
                  </w:tcBorders>
                  <w:shd w:val="clear" w:color="auto" w:fill="auto"/>
                  <w:vAlign w:val="center"/>
                </w:tcPr>
                <w:p w14:paraId="46BD43D5">
                  <w:pPr>
                    <w:keepNext w:val="0"/>
                    <w:keepLines w:val="0"/>
                    <w:widowControl/>
                    <w:suppressLineNumbers w:val="0"/>
                    <w:jc w:val="center"/>
                    <w:rPr>
                      <w:rFonts w:hint="default"/>
                      <w:color w:val="auto"/>
                      <w:sz w:val="21"/>
                      <w:szCs w:val="21"/>
                      <w:highlight w:val="none"/>
                      <w:vertAlign w:val="baseline"/>
                      <w:lang w:val="en-US" w:eastAsia="zh-CN"/>
                    </w:rPr>
                  </w:pPr>
                </w:p>
              </w:tc>
              <w:tc>
                <w:tcPr>
                  <w:tcW w:w="3189" w:type="dxa"/>
                  <w:tcBorders>
                    <w:tl2br w:val="nil"/>
                    <w:tr2bl w:val="nil"/>
                  </w:tcBorders>
                  <w:shd w:val="clear" w:color="auto" w:fill="auto"/>
                  <w:vAlign w:val="center"/>
                </w:tcPr>
                <w:p w14:paraId="7999885B">
                  <w:pPr>
                    <w:keepNext w:val="0"/>
                    <w:keepLines w:val="0"/>
                    <w:widowControl/>
                    <w:suppressLineNumbers w:val="0"/>
                    <w:jc w:val="center"/>
                    <w:rPr>
                      <w:rFonts w:hint="default"/>
                      <w:color w:val="auto"/>
                      <w:sz w:val="21"/>
                      <w:szCs w:val="21"/>
                      <w:highlight w:val="none"/>
                      <w:vertAlign w:val="baseline"/>
                      <w:lang w:val="en-US" w:eastAsia="zh-CN"/>
                    </w:rPr>
                  </w:pPr>
                </w:p>
              </w:tc>
              <w:tc>
                <w:tcPr>
                  <w:tcW w:w="3332" w:type="dxa"/>
                  <w:tcBorders>
                    <w:tl2br w:val="nil"/>
                    <w:tr2bl w:val="nil"/>
                  </w:tcBorders>
                  <w:shd w:val="clear" w:color="auto" w:fill="auto"/>
                  <w:vAlign w:val="center"/>
                </w:tcPr>
                <w:p w14:paraId="384A77CD">
                  <w:pPr>
                    <w:keepNext w:val="0"/>
                    <w:keepLines w:val="0"/>
                    <w:widowControl/>
                    <w:suppressLineNumbers w:val="0"/>
                    <w:jc w:val="center"/>
                    <w:rPr>
                      <w:rFonts w:hint="default"/>
                      <w:color w:val="auto"/>
                      <w:sz w:val="21"/>
                      <w:szCs w:val="21"/>
                      <w:highlight w:val="none"/>
                      <w:vertAlign w:val="baseline"/>
                      <w:lang w:val="en-US" w:eastAsia="zh-CN"/>
                    </w:rPr>
                  </w:pPr>
                </w:p>
              </w:tc>
            </w:tr>
            <w:tr w14:paraId="6E7AD2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tcBorders>
                    <w:tl2br w:val="nil"/>
                    <w:tr2bl w:val="nil"/>
                  </w:tcBorders>
                  <w:shd w:val="clear" w:color="auto" w:fill="auto"/>
                  <w:vAlign w:val="center"/>
                </w:tcPr>
                <w:p w14:paraId="311DE4EF">
                  <w:pPr>
                    <w:keepNext w:val="0"/>
                    <w:keepLines w:val="0"/>
                    <w:widowControl/>
                    <w:suppressLineNumbers w:val="0"/>
                    <w:jc w:val="center"/>
                    <w:rPr>
                      <w:rFonts w:hint="eastAsia"/>
                      <w:color w:val="auto"/>
                      <w:sz w:val="21"/>
                      <w:szCs w:val="21"/>
                      <w:highlight w:val="none"/>
                      <w:vertAlign w:val="baseline"/>
                      <w:lang w:val="en-US" w:eastAsia="zh-CN"/>
                    </w:rPr>
                  </w:pPr>
                </w:p>
              </w:tc>
              <w:tc>
                <w:tcPr>
                  <w:tcW w:w="3189" w:type="dxa"/>
                  <w:tcBorders>
                    <w:tl2br w:val="nil"/>
                    <w:tr2bl w:val="nil"/>
                  </w:tcBorders>
                  <w:shd w:val="clear" w:color="auto" w:fill="auto"/>
                  <w:vAlign w:val="center"/>
                </w:tcPr>
                <w:p w14:paraId="455C0D0E">
                  <w:pPr>
                    <w:keepNext w:val="0"/>
                    <w:keepLines w:val="0"/>
                    <w:widowControl/>
                    <w:suppressLineNumbers w:val="0"/>
                    <w:jc w:val="center"/>
                    <w:rPr>
                      <w:rFonts w:hint="eastAsia"/>
                      <w:color w:val="auto"/>
                      <w:sz w:val="21"/>
                      <w:szCs w:val="21"/>
                      <w:highlight w:val="none"/>
                      <w:vertAlign w:val="baseline"/>
                      <w:lang w:val="en-US" w:eastAsia="zh-CN"/>
                    </w:rPr>
                  </w:pPr>
                </w:p>
              </w:tc>
              <w:tc>
                <w:tcPr>
                  <w:tcW w:w="3332" w:type="dxa"/>
                  <w:tcBorders>
                    <w:tl2br w:val="nil"/>
                    <w:tr2bl w:val="nil"/>
                  </w:tcBorders>
                  <w:shd w:val="clear" w:color="auto" w:fill="auto"/>
                  <w:vAlign w:val="center"/>
                </w:tcPr>
                <w:p w14:paraId="4BA19BB5">
                  <w:pPr>
                    <w:keepNext w:val="0"/>
                    <w:keepLines w:val="0"/>
                    <w:widowControl/>
                    <w:suppressLineNumbers w:val="0"/>
                    <w:jc w:val="center"/>
                    <w:rPr>
                      <w:rFonts w:hint="eastAsia"/>
                      <w:color w:val="auto"/>
                      <w:sz w:val="21"/>
                      <w:szCs w:val="21"/>
                      <w:highlight w:val="none"/>
                      <w:vertAlign w:val="baseline"/>
                      <w:lang w:val="en-US" w:eastAsia="zh-CN"/>
                    </w:rPr>
                  </w:pPr>
                </w:p>
              </w:tc>
            </w:tr>
            <w:tr w14:paraId="47FCB9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9005" w:type="dxa"/>
                  <w:gridSpan w:val="3"/>
                  <w:tcBorders>
                    <w:tl2br w:val="nil"/>
                    <w:tr2bl w:val="nil"/>
                  </w:tcBorders>
                  <w:shd w:val="clear" w:color="auto" w:fill="auto"/>
                  <w:vAlign w:val="center"/>
                </w:tcPr>
                <w:p w14:paraId="73AB9BA8">
                  <w:pPr>
                    <w:pStyle w:val="3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color w:val="auto"/>
                      <w:sz w:val="21"/>
                      <w:szCs w:val="21"/>
                      <w:highlight w:val="none"/>
                      <w:vertAlign w:val="baseline"/>
                      <w:lang w:val="en-US" w:eastAsia="zh-CN"/>
                    </w:rPr>
                  </w:pPr>
                </w:p>
              </w:tc>
            </w:tr>
          </w:tbl>
          <w:p w14:paraId="2243CC0D">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cs="宋体"/>
                <w:color w:val="auto"/>
                <w:sz w:val="24"/>
                <w:highlight w:val="none"/>
              </w:rPr>
            </w:pPr>
            <w:r>
              <w:rPr>
                <w:rFonts w:hint="eastAsia" w:cs="宋体"/>
                <w:color w:val="auto"/>
                <w:sz w:val="24"/>
                <w:highlight w:val="none"/>
              </w:rPr>
              <w:t>参考《江苏省生态环境厅关于将排污单位活性炭使用更换纳入排污许可管理的通知》，项目活性炭更换周期计算公式如下：</w:t>
            </w:r>
          </w:p>
          <w:p w14:paraId="159557B0">
            <w:pPr>
              <w:pStyle w:val="27"/>
              <w:ind w:firstLine="0" w:firstLineChars="0"/>
              <w:rPr>
                <w:rFonts w:hint="eastAsia"/>
                <w:color w:val="auto"/>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haracter">
                        <wp:posOffset>2032000</wp:posOffset>
                      </wp:positionH>
                      <wp:positionV relativeFrom="line">
                        <wp:posOffset>73025</wp:posOffset>
                      </wp:positionV>
                      <wp:extent cx="1692910" cy="300990"/>
                      <wp:effectExtent l="0" t="0" r="2540" b="3810"/>
                      <wp:wrapNone/>
                      <wp:docPr id="183" name="文本框 183"/>
                      <wp:cNvGraphicFramePr/>
                      <a:graphic xmlns:a="http://schemas.openxmlformats.org/drawingml/2006/main">
                        <a:graphicData uri="http://schemas.microsoft.com/office/word/2010/wordprocessingShape">
                          <wps:wsp>
                            <wps:cNvSpPr txBox="1"/>
                            <wps:spPr>
                              <a:xfrm>
                                <a:off x="994410" y="121285"/>
                                <a:ext cx="2359660" cy="297815"/>
                              </a:xfrm>
                              <a:prstGeom prst="rect">
                                <a:avLst/>
                              </a:prstGeom>
                              <a:solidFill>
                                <a:srgbClr val="FFFFFF"/>
                              </a:solidFill>
                              <a:ln>
                                <a:noFill/>
                              </a:ln>
                              <a:effectLst/>
                            </wps:spPr>
                            <wps:txbx>
                              <w:txbxContent>
                                <w:p w14:paraId="11005EBF">
                                  <w:pPr>
                                    <w:jc w:val="center"/>
                                    <w:rPr>
                                      <w:sz w:val="24"/>
                                    </w:rPr>
                                  </w:pPr>
                                  <w:r>
                                    <w:rPr>
                                      <w:sz w:val="24"/>
                                    </w:rPr>
                                    <w:t>T=m×s÷（c×10</w:t>
                                  </w:r>
                                  <w:r>
                                    <w:rPr>
                                      <w:sz w:val="24"/>
                                      <w:vertAlign w:val="superscript"/>
                                    </w:rPr>
                                    <w:t>-6</w:t>
                                  </w:r>
                                  <w:r>
                                    <w:rPr>
                                      <w:sz w:val="24"/>
                                    </w:rPr>
                                    <w:t>×Q×t）</w:t>
                                  </w:r>
                                </w:p>
                              </w:txbxContent>
                            </wps:txbx>
                            <wps:bodyPr upright="1"/>
                          </wps:wsp>
                        </a:graphicData>
                      </a:graphic>
                    </wp:anchor>
                  </w:drawing>
                </mc:Choice>
                <mc:Fallback>
                  <w:pict>
                    <v:shape id="_x0000_s1026" o:spid="_x0000_s1026" o:spt="202" type="#_x0000_t202" style="position:absolute;left:0pt;margin-left:160pt;margin-top:5.75pt;height:23.7pt;width:133.3pt;mso-position-horizontal-relative:char;mso-position-vertical-relative:line;z-index:251666432;mso-width-relative:page;mso-height-relative:page;" fillcolor="#FFFFFF" filled="t" stroked="f" coordsize="21600,21600" o:gfxdata="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OqfQdUAAAAJAQAADwAAAAAAAAABACAAAAAi&#10;AAAAZHJzL2Rvd25yZXYueG1sUEsBAhQAFAAAAAgAh07iQJTQ87DUAQAAkwMAAA4AAAAAAAAAAQAg&#10;AAAAJAEAAGRycy9lMm9Eb2MueG1sUEsFBgAAAAAGAAYAWQEAAGoFAAAAAA==&#10;">
                      <v:fill on="t" focussize="0,0"/>
                      <v:stroke on="f"/>
                      <v:imagedata o:title=""/>
                      <o:lock v:ext="edit" aspectratio="f"/>
                      <v:textbox>
                        <w:txbxContent>
                          <w:p w14:paraId="11005EBF">
                            <w:pPr>
                              <w:jc w:val="center"/>
                              <w:rPr>
                                <w:sz w:val="24"/>
                              </w:rPr>
                            </w:pPr>
                            <w:r>
                              <w:rPr>
                                <w:sz w:val="24"/>
                              </w:rPr>
                              <w:t>T=m×s÷（c×10</w:t>
                            </w:r>
                            <w:r>
                              <w:rPr>
                                <w:sz w:val="24"/>
                                <w:vertAlign w:val="superscript"/>
                              </w:rPr>
                              <w:t>-6</w:t>
                            </w:r>
                            <w:r>
                              <w:rPr>
                                <w:sz w:val="24"/>
                              </w:rPr>
                              <w:t>×Q×t）</w:t>
                            </w:r>
                          </w:p>
                        </w:txbxContent>
                      </v:textbox>
                    </v:shape>
                  </w:pict>
                </mc:Fallback>
              </mc:AlternateContent>
            </w:r>
          </w:p>
          <w:p w14:paraId="785F07D5">
            <w:pPr>
              <w:spacing w:line="360" w:lineRule="auto"/>
              <w:ind w:firstLine="480" w:firstLineChars="200"/>
              <w:rPr>
                <w:rFonts w:hint="eastAsia" w:cs="宋体"/>
                <w:color w:val="auto"/>
                <w:sz w:val="24"/>
                <w:highlight w:val="none"/>
              </w:rPr>
            </w:pPr>
            <w:r>
              <w:rPr>
                <w:rFonts w:hint="eastAsia" w:cs="宋体"/>
                <w:color w:val="auto"/>
                <w:sz w:val="24"/>
                <w:highlight w:val="none"/>
              </w:rPr>
              <w:t xml:space="preserve"> </w:t>
            </w:r>
          </w:p>
          <w:p w14:paraId="7C7BDE28">
            <w:pPr>
              <w:spacing w:line="360" w:lineRule="auto"/>
              <w:ind w:firstLine="480" w:firstLineChars="200"/>
              <w:rPr>
                <w:rFonts w:hint="eastAsia" w:cs="宋体"/>
                <w:color w:val="auto"/>
                <w:sz w:val="24"/>
                <w:highlight w:val="none"/>
              </w:rPr>
            </w:pPr>
            <w:r>
              <w:rPr>
                <w:rFonts w:hint="eastAsia" w:cs="宋体"/>
                <w:color w:val="auto"/>
                <w:sz w:val="24"/>
                <w:highlight w:val="none"/>
              </w:rPr>
              <w:t xml:space="preserve">式中：T—更换周期，天； </w:t>
            </w:r>
          </w:p>
          <w:p w14:paraId="786571A3">
            <w:pPr>
              <w:spacing w:line="360" w:lineRule="auto"/>
              <w:ind w:firstLine="480" w:firstLineChars="200"/>
              <w:rPr>
                <w:rFonts w:hint="eastAsia" w:cs="宋体"/>
                <w:color w:val="auto"/>
                <w:sz w:val="24"/>
                <w:highlight w:val="none"/>
              </w:rPr>
            </w:pPr>
            <w:r>
              <w:rPr>
                <w:rFonts w:hint="eastAsia" w:cs="宋体"/>
                <w:color w:val="auto"/>
                <w:sz w:val="24"/>
                <w:highlight w:val="none"/>
              </w:rPr>
              <w:t>m—活性炭的用量，kg；（</w:t>
            </w:r>
            <w:r>
              <w:rPr>
                <w:rFonts w:hint="eastAsia" w:cs="宋体"/>
                <w:color w:val="auto"/>
                <w:sz w:val="24"/>
                <w:highlight w:val="none"/>
                <w:lang w:val="en-US" w:eastAsia="zh-CN"/>
              </w:rPr>
              <w:t>2810</w:t>
            </w:r>
            <w:r>
              <w:rPr>
                <w:rFonts w:hint="eastAsia" w:cs="宋体"/>
                <w:color w:val="auto"/>
                <w:sz w:val="24"/>
                <w:highlight w:val="none"/>
              </w:rPr>
              <w:t>kg/a）</w:t>
            </w:r>
          </w:p>
          <w:p w14:paraId="47720EF5">
            <w:pPr>
              <w:spacing w:line="360" w:lineRule="auto"/>
              <w:ind w:firstLine="480" w:firstLineChars="200"/>
              <w:rPr>
                <w:rFonts w:hint="eastAsia" w:cs="宋体"/>
                <w:color w:val="auto"/>
                <w:sz w:val="24"/>
                <w:highlight w:val="none"/>
              </w:rPr>
            </w:pPr>
            <w:r>
              <w:rPr>
                <w:rFonts w:hint="eastAsia" w:cs="宋体"/>
                <w:color w:val="auto"/>
                <w:sz w:val="24"/>
                <w:highlight w:val="none"/>
              </w:rPr>
              <w:t xml:space="preserve">s—动态吸附量，%；（一般取值10%） </w:t>
            </w:r>
          </w:p>
          <w:p w14:paraId="603B678F">
            <w:pPr>
              <w:spacing w:line="360" w:lineRule="auto"/>
              <w:ind w:firstLine="480" w:firstLineChars="200"/>
              <w:rPr>
                <w:rFonts w:hint="eastAsia" w:cs="宋体"/>
                <w:color w:val="auto"/>
                <w:sz w:val="24"/>
                <w:highlight w:val="none"/>
              </w:rPr>
            </w:pPr>
            <w:r>
              <w:rPr>
                <w:rFonts w:hint="eastAsia" w:cs="宋体"/>
                <w:color w:val="auto"/>
                <w:sz w:val="24"/>
                <w:highlight w:val="none"/>
              </w:rPr>
              <w:t>c—活性炭削减的VOCs浓度，mg/m</w:t>
            </w:r>
            <w:r>
              <w:rPr>
                <w:rFonts w:hint="eastAsia" w:cs="宋体"/>
                <w:color w:val="auto"/>
                <w:sz w:val="24"/>
                <w:highlight w:val="none"/>
                <w:vertAlign w:val="superscript"/>
              </w:rPr>
              <w:t>3</w:t>
            </w:r>
            <w:r>
              <w:rPr>
                <w:rFonts w:hint="eastAsia" w:cs="宋体"/>
                <w:color w:val="auto"/>
                <w:sz w:val="24"/>
                <w:highlight w:val="none"/>
              </w:rPr>
              <w:t>；（</w:t>
            </w:r>
            <w:r>
              <w:rPr>
                <w:rFonts w:hint="eastAsia" w:cs="宋体"/>
                <w:color w:val="auto"/>
                <w:sz w:val="24"/>
                <w:highlight w:val="none"/>
                <w:lang w:val="en-US" w:eastAsia="zh-CN"/>
              </w:rPr>
              <w:t>15.54</w:t>
            </w:r>
            <w:r>
              <w:rPr>
                <w:rFonts w:hint="eastAsia" w:cs="宋体"/>
                <w:color w:val="auto"/>
                <w:sz w:val="24"/>
                <w:highlight w:val="none"/>
              </w:rPr>
              <w:t>mg/m</w:t>
            </w:r>
            <w:r>
              <w:rPr>
                <w:rFonts w:hint="eastAsia" w:cs="宋体"/>
                <w:color w:val="auto"/>
                <w:sz w:val="24"/>
                <w:highlight w:val="none"/>
                <w:vertAlign w:val="superscript"/>
              </w:rPr>
              <w:t>3</w:t>
            </w:r>
            <w:r>
              <w:rPr>
                <w:rFonts w:hint="eastAsia" w:cs="宋体"/>
                <w:color w:val="auto"/>
                <w:sz w:val="24"/>
                <w:highlight w:val="none"/>
              </w:rPr>
              <w:t>）</w:t>
            </w:r>
          </w:p>
          <w:p w14:paraId="626E3608">
            <w:pPr>
              <w:spacing w:line="360" w:lineRule="auto"/>
              <w:ind w:firstLine="480" w:firstLineChars="200"/>
              <w:rPr>
                <w:rFonts w:hint="eastAsia" w:cs="宋体"/>
                <w:color w:val="auto"/>
                <w:sz w:val="24"/>
                <w:highlight w:val="none"/>
              </w:rPr>
            </w:pPr>
            <w:r>
              <w:rPr>
                <w:rFonts w:hint="eastAsia" w:cs="宋体"/>
                <w:color w:val="auto"/>
                <w:sz w:val="24"/>
                <w:highlight w:val="none"/>
              </w:rPr>
              <w:t>Q—风量，单位m</w:t>
            </w:r>
            <w:r>
              <w:rPr>
                <w:rFonts w:hint="eastAsia" w:cs="宋体"/>
                <w:color w:val="auto"/>
                <w:sz w:val="24"/>
                <w:highlight w:val="none"/>
                <w:vertAlign w:val="superscript"/>
              </w:rPr>
              <w:t>3</w:t>
            </w:r>
            <w:r>
              <w:rPr>
                <w:rFonts w:hint="eastAsia" w:cs="宋体"/>
                <w:color w:val="auto"/>
                <w:sz w:val="24"/>
                <w:highlight w:val="none"/>
              </w:rPr>
              <w:t>/h；（</w:t>
            </w:r>
            <w:r>
              <w:rPr>
                <w:rFonts w:hint="eastAsia" w:cs="宋体"/>
                <w:color w:val="auto"/>
                <w:sz w:val="24"/>
                <w:highlight w:val="none"/>
                <w:lang w:val="en-US" w:eastAsia="zh-CN"/>
              </w:rPr>
              <w:t>30</w:t>
            </w:r>
            <w:r>
              <w:rPr>
                <w:rFonts w:hint="eastAsia" w:cs="宋体"/>
                <w:color w:val="auto"/>
                <w:sz w:val="24"/>
                <w:highlight w:val="none"/>
              </w:rPr>
              <w:t>000m</w:t>
            </w:r>
            <w:r>
              <w:rPr>
                <w:rFonts w:hint="eastAsia" w:cs="宋体"/>
                <w:color w:val="auto"/>
                <w:sz w:val="24"/>
                <w:highlight w:val="none"/>
                <w:vertAlign w:val="superscript"/>
              </w:rPr>
              <w:t>3</w:t>
            </w:r>
            <w:r>
              <w:rPr>
                <w:rFonts w:hint="eastAsia" w:cs="宋体"/>
                <w:color w:val="auto"/>
                <w:sz w:val="24"/>
                <w:highlight w:val="none"/>
              </w:rPr>
              <w:t>/h）</w:t>
            </w:r>
          </w:p>
          <w:p w14:paraId="3527B791">
            <w:pPr>
              <w:spacing w:line="360" w:lineRule="auto"/>
              <w:ind w:firstLine="480" w:firstLineChars="200"/>
              <w:rPr>
                <w:rFonts w:hint="eastAsia" w:cs="宋体"/>
                <w:color w:val="auto"/>
                <w:sz w:val="24"/>
                <w:highlight w:val="none"/>
              </w:rPr>
            </w:pPr>
            <w:r>
              <w:rPr>
                <w:rFonts w:hint="eastAsia" w:cs="宋体"/>
                <w:color w:val="auto"/>
                <w:sz w:val="24"/>
                <w:highlight w:val="none"/>
              </w:rPr>
              <w:t xml:space="preserve"> t—运行时间，单位h/d。（</w:t>
            </w:r>
            <w:r>
              <w:rPr>
                <w:rFonts w:hint="eastAsia" w:cs="宋体"/>
                <w:color w:val="auto"/>
                <w:sz w:val="24"/>
                <w:highlight w:val="none"/>
                <w:lang w:val="en-US" w:eastAsia="zh-CN"/>
              </w:rPr>
              <w:t>8</w:t>
            </w:r>
            <w:r>
              <w:rPr>
                <w:rFonts w:hint="eastAsia" w:cs="宋体"/>
                <w:color w:val="auto"/>
                <w:sz w:val="24"/>
                <w:highlight w:val="none"/>
              </w:rPr>
              <w:t>h/d）</w:t>
            </w:r>
          </w:p>
          <w:p w14:paraId="21EF59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宋体"/>
                <w:color w:val="auto"/>
                <w:sz w:val="24"/>
                <w:highlight w:val="none"/>
                <w:lang w:val="en-US" w:eastAsia="zh-CN"/>
              </w:rPr>
            </w:pPr>
            <w:r>
              <w:rPr>
                <w:rFonts w:hint="eastAsia" w:cs="宋体"/>
                <w:color w:val="auto"/>
                <w:sz w:val="24"/>
                <w:highlight w:val="none"/>
              </w:rPr>
              <w:t>经计算项目废气治理</w:t>
            </w:r>
            <w:r>
              <w:rPr>
                <w:color w:val="auto"/>
                <w:sz w:val="24"/>
                <w:highlight w:val="none"/>
              </w:rPr>
              <w:t>活性炭更换周期为</w:t>
            </w:r>
            <w:r>
              <w:rPr>
                <w:rFonts w:hint="eastAsia"/>
                <w:color w:val="auto"/>
                <w:sz w:val="24"/>
                <w:highlight w:val="none"/>
                <w:lang w:val="en-US" w:eastAsia="zh-CN"/>
              </w:rPr>
              <w:t>75</w:t>
            </w:r>
            <w:r>
              <w:rPr>
                <w:rFonts w:hint="eastAsia"/>
                <w:color w:val="auto"/>
                <w:sz w:val="24"/>
                <w:highlight w:val="none"/>
              </w:rPr>
              <w:t>天，考虑过饱和现象，项目年工作300天，则一年需更换</w:t>
            </w:r>
            <w:r>
              <w:rPr>
                <w:rFonts w:hint="eastAsia"/>
                <w:color w:val="auto"/>
                <w:sz w:val="24"/>
                <w:highlight w:val="none"/>
                <w:lang w:val="en-US" w:eastAsia="zh-CN"/>
              </w:rPr>
              <w:t>4</w:t>
            </w:r>
            <w:r>
              <w:rPr>
                <w:rFonts w:hint="eastAsia"/>
                <w:color w:val="auto"/>
                <w:sz w:val="24"/>
                <w:highlight w:val="none"/>
              </w:rPr>
              <w:t>次，平均每</w:t>
            </w:r>
            <w:r>
              <w:rPr>
                <w:rFonts w:hint="eastAsia"/>
                <w:color w:val="auto"/>
                <w:sz w:val="24"/>
                <w:highlight w:val="none"/>
                <w:lang w:val="en-US" w:eastAsia="zh-CN"/>
              </w:rPr>
              <w:t>75</w:t>
            </w:r>
            <w:r>
              <w:rPr>
                <w:rFonts w:hint="eastAsia"/>
                <w:color w:val="auto"/>
                <w:sz w:val="24"/>
                <w:highlight w:val="none"/>
              </w:rPr>
              <w:t>个工作日需更换一次</w:t>
            </w:r>
            <w:r>
              <w:rPr>
                <w:rFonts w:hint="eastAsia" w:cs="宋体"/>
                <w:color w:val="auto"/>
                <w:sz w:val="24"/>
                <w:highlight w:val="none"/>
                <w:lang w:eastAsia="zh-CN"/>
              </w:rPr>
              <w:t>。</w:t>
            </w:r>
          </w:p>
          <w:p w14:paraId="47C6F31C">
            <w:pPr>
              <w:keepNext w:val="0"/>
              <w:keepLines w:val="0"/>
              <w:pageBreakBefore w:val="0"/>
              <w:widowControl/>
              <w:suppressLineNumbers w:val="0"/>
              <w:kinsoku/>
              <w:wordWrap/>
              <w:overflowPunct/>
              <w:topLinePunct w:val="0"/>
              <w:autoSpaceDE/>
              <w:autoSpaceDN/>
              <w:bidi w:val="0"/>
              <w:adjustRightInd/>
              <w:snapToGrid/>
              <w:spacing w:line="353" w:lineRule="auto"/>
              <w:ind w:firstLine="480" w:firstLineChars="200"/>
              <w:jc w:val="both"/>
              <w:textAlignment w:val="auto"/>
              <w:rPr>
                <w:rFonts w:hint="eastAsia"/>
                <w:color w:val="auto"/>
                <w:kern w:val="0"/>
                <w:sz w:val="24"/>
                <w:szCs w:val="24"/>
                <w:highlight w:val="none"/>
                <w:lang w:bidi="ar"/>
              </w:rPr>
            </w:pPr>
            <w:r>
              <w:rPr>
                <w:rFonts w:hint="eastAsia" w:cs="宋体"/>
                <w:color w:val="auto"/>
                <w:sz w:val="24"/>
                <w:highlight w:val="none"/>
              </w:rPr>
              <w:t>废活性炭产生量为</w:t>
            </w:r>
            <w:r>
              <w:rPr>
                <w:rFonts w:hint="eastAsia" w:cs="宋体"/>
                <w:color w:val="auto"/>
                <w:sz w:val="24"/>
                <w:highlight w:val="none"/>
                <w:lang w:val="en-US" w:eastAsia="zh-CN"/>
              </w:rPr>
              <w:t>2.81×4+1.1189=12.3589</w:t>
            </w:r>
            <w:r>
              <w:rPr>
                <w:rFonts w:hint="eastAsia" w:cs="宋体"/>
                <w:color w:val="auto"/>
                <w:sz w:val="24"/>
                <w:highlight w:val="none"/>
              </w:rPr>
              <w:t>t/a。根据工程经验数据分析，为了保证活性炭的吸附效率，建设单位应选择碘值不低于800毫克/克的活性炭，并按设计要求足量添加、及时更换。根据《国家危险废物名录》（2025版），废活性炭属于“HW49其他废物”，废物代码为900-039-49（烟气、VOCs治理过程（不包含餐饮行业油烟治理过程）产生的废活性炭）</w:t>
            </w:r>
            <w:r>
              <w:rPr>
                <w:rFonts w:hint="eastAsia" w:cs="宋体"/>
                <w:color w:val="auto"/>
                <w:sz w:val="24"/>
                <w:highlight w:val="none"/>
                <w:lang w:eastAsia="zh-CN"/>
              </w:rPr>
              <w:t>，</w:t>
            </w:r>
            <w:r>
              <w:rPr>
                <w:rFonts w:hint="eastAsia" w:ascii="Times New Roman" w:hAnsi="Times New Roman" w:eastAsia="宋体" w:cs="Times New Roman"/>
                <w:caps w:val="0"/>
                <w:snapToGrid w:val="0"/>
                <w:color w:val="auto"/>
                <w:kern w:val="0"/>
                <w:sz w:val="24"/>
                <w:szCs w:val="24"/>
                <w:highlight w:val="none"/>
                <w:lang w:val="en-US" w:eastAsia="zh-CN"/>
              </w:rPr>
              <w:t>集中收集后暂存于</w:t>
            </w:r>
            <w:r>
              <w:rPr>
                <w:rFonts w:hint="eastAsia" w:cs="Times New Roman"/>
                <w:caps w:val="0"/>
                <w:snapToGrid w:val="0"/>
                <w:color w:val="auto"/>
                <w:kern w:val="0"/>
                <w:sz w:val="24"/>
                <w:szCs w:val="24"/>
                <w:highlight w:val="none"/>
                <w:lang w:val="en-US" w:eastAsia="zh-CN"/>
              </w:rPr>
              <w:t>危废暂存间</w:t>
            </w:r>
            <w:r>
              <w:rPr>
                <w:rFonts w:hint="eastAsia" w:ascii="Times New Roman" w:hAnsi="Times New Roman" w:eastAsia="宋体" w:cs="Times New Roman"/>
                <w:caps w:val="0"/>
                <w:snapToGrid w:val="0"/>
                <w:color w:val="auto"/>
                <w:kern w:val="0"/>
                <w:sz w:val="24"/>
                <w:szCs w:val="24"/>
                <w:highlight w:val="none"/>
                <w:lang w:val="en-US" w:eastAsia="zh-CN"/>
              </w:rPr>
              <w:t>，更换当日执行委外进行处置</w:t>
            </w:r>
            <w:r>
              <w:rPr>
                <w:rFonts w:hint="eastAsia"/>
                <w:color w:val="auto"/>
                <w:kern w:val="0"/>
                <w:sz w:val="24"/>
                <w:szCs w:val="24"/>
                <w:highlight w:val="none"/>
                <w:lang w:bidi="ar"/>
              </w:rPr>
              <w:t>。</w:t>
            </w:r>
          </w:p>
          <w:p w14:paraId="302A3C7A">
            <w:pPr>
              <w:pStyle w:val="37"/>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eastAsia" w:ascii="Times New Roman" w:hAnsi="Times New Roman" w:eastAsia="宋体" w:cs="Times New Roman"/>
                <w:b/>
                <w:bCs/>
                <w:color w:val="auto"/>
                <w:spacing w:val="0"/>
                <w:kern w:val="2"/>
                <w:position w:val="0"/>
                <w:sz w:val="24"/>
                <w:szCs w:val="24"/>
                <w:highlight w:val="none"/>
                <w:lang w:val="en-US" w:eastAsia="zh-CN" w:bidi="ar-SA"/>
              </w:rPr>
            </w:pPr>
            <w:r>
              <w:rPr>
                <w:rFonts w:hint="eastAsia" w:ascii="Times New Roman" w:hAnsi="Times New Roman" w:eastAsia="宋体" w:cs="Times New Roman"/>
                <w:b/>
                <w:bCs/>
                <w:color w:val="auto"/>
                <w:spacing w:val="0"/>
                <w:kern w:val="2"/>
                <w:position w:val="0"/>
                <w:sz w:val="24"/>
                <w:szCs w:val="24"/>
                <w:highlight w:val="none"/>
                <w:lang w:val="en-US" w:eastAsia="zh-CN" w:bidi="ar-SA"/>
              </w:rPr>
              <w:fldChar w:fldCharType="begin"/>
            </w:r>
            <w:r>
              <w:rPr>
                <w:rFonts w:hint="eastAsia" w:ascii="Times New Roman" w:hAnsi="Times New Roman" w:eastAsia="宋体" w:cs="Times New Roman"/>
                <w:b/>
                <w:bCs/>
                <w:color w:val="auto"/>
                <w:spacing w:val="0"/>
                <w:kern w:val="2"/>
                <w:position w:val="0"/>
                <w:sz w:val="24"/>
                <w:szCs w:val="24"/>
                <w:highlight w:val="none"/>
                <w:lang w:val="en-US" w:eastAsia="zh-CN" w:bidi="ar-SA"/>
              </w:rPr>
              <w:instrText xml:space="preserve"> = 3 \* GB3 \* MERGEFORMAT </w:instrText>
            </w:r>
            <w:r>
              <w:rPr>
                <w:rFonts w:hint="eastAsia" w:ascii="Times New Roman" w:hAnsi="Times New Roman" w:eastAsia="宋体" w:cs="Times New Roman"/>
                <w:b/>
                <w:bCs/>
                <w:color w:val="auto"/>
                <w:spacing w:val="0"/>
                <w:kern w:val="2"/>
                <w:position w:val="0"/>
                <w:sz w:val="24"/>
                <w:szCs w:val="24"/>
                <w:highlight w:val="none"/>
                <w:lang w:val="en-US" w:eastAsia="zh-CN" w:bidi="ar-SA"/>
              </w:rPr>
              <w:fldChar w:fldCharType="separate"/>
            </w:r>
            <w:r>
              <w:rPr>
                <w:b/>
                <w:bCs/>
                <w:color w:val="auto"/>
                <w:sz w:val="24"/>
                <w:szCs w:val="24"/>
                <w:highlight w:val="none"/>
              </w:rPr>
              <w:t>③</w:t>
            </w:r>
            <w:r>
              <w:rPr>
                <w:rFonts w:hint="eastAsia" w:ascii="Times New Roman" w:hAnsi="Times New Roman" w:eastAsia="宋体" w:cs="Times New Roman"/>
                <w:b/>
                <w:bCs/>
                <w:color w:val="auto"/>
                <w:spacing w:val="0"/>
                <w:kern w:val="2"/>
                <w:position w:val="0"/>
                <w:sz w:val="24"/>
                <w:szCs w:val="24"/>
                <w:highlight w:val="none"/>
                <w:lang w:val="en-US" w:eastAsia="zh-CN" w:bidi="ar-SA"/>
              </w:rPr>
              <w:fldChar w:fldCharType="end"/>
            </w:r>
            <w:r>
              <w:rPr>
                <w:rFonts w:hint="eastAsia" w:ascii="Times New Roman" w:hAnsi="Times New Roman" w:eastAsia="宋体" w:cs="Times New Roman"/>
                <w:b/>
                <w:bCs/>
                <w:color w:val="auto"/>
                <w:spacing w:val="0"/>
                <w:kern w:val="2"/>
                <w:position w:val="0"/>
                <w:sz w:val="24"/>
                <w:szCs w:val="24"/>
                <w:highlight w:val="none"/>
                <w:lang w:val="en-US" w:eastAsia="zh-CN" w:bidi="ar-SA"/>
              </w:rPr>
              <w:t>废过滤棉</w:t>
            </w:r>
          </w:p>
          <w:p w14:paraId="681A3E34">
            <w:pPr>
              <w:pStyle w:val="37"/>
              <w:keepNext w:val="0"/>
              <w:keepLines w:val="0"/>
              <w:pageBreakBefore w:val="0"/>
              <w:widowControl w:val="0"/>
              <w:kinsoku/>
              <w:wordWrap/>
              <w:overflowPunct/>
              <w:topLinePunct w:val="0"/>
              <w:autoSpaceDE/>
              <w:autoSpaceDN/>
              <w:bidi w:val="0"/>
              <w:adjustRightInd/>
              <w:snapToGrid/>
              <w:spacing w:after="0"/>
              <w:ind w:left="0" w:leftChars="0" w:firstLine="480" w:firstLineChars="200"/>
              <w:jc w:val="both"/>
              <w:textAlignment w:val="auto"/>
              <w:rPr>
                <w:rFonts w:hint="default" w:ascii="Times New Roman" w:hAnsi="Times New Roman" w:eastAsia="宋体" w:cs="Times New Roman"/>
                <w:b/>
                <w:bCs/>
                <w:color w:val="auto"/>
                <w:spacing w:val="0"/>
                <w:kern w:val="2"/>
                <w:position w:val="0"/>
                <w:sz w:val="24"/>
                <w:szCs w:val="24"/>
                <w:highlight w:val="none"/>
                <w:lang w:val="en-US" w:eastAsia="zh-CN" w:bidi="ar-SA"/>
              </w:rPr>
            </w:pPr>
            <w:r>
              <w:rPr>
                <w:rFonts w:eastAsia="宋体" w:hAnsiTheme="minorEastAsia"/>
                <w:color w:val="auto"/>
                <w:sz w:val="24"/>
                <w:highlight w:val="none"/>
              </w:rPr>
              <w:t>为了降低漆雾对后端有机废气处理设施的性能的影响，项目使用干式过滤器（过滤棉）处理喷漆过程中产生的漆雾，此过程会产生废过滤棉，根据《漆雾高效干式净化法的关键</w:t>
            </w:r>
            <w:r>
              <w:rPr>
                <w:rFonts w:eastAsia="宋体"/>
                <w:color w:val="auto"/>
                <w:sz w:val="24"/>
                <w:highlight w:val="none"/>
              </w:rPr>
              <w:t>—</w:t>
            </w:r>
            <w:r>
              <w:rPr>
                <w:rFonts w:eastAsia="宋体" w:hAnsiTheme="minorEastAsia"/>
                <w:color w:val="auto"/>
                <w:sz w:val="24"/>
                <w:highlight w:val="none"/>
              </w:rPr>
              <w:t>过滤材料》文中同类型过滤棉数据，纤维过滤棉重量为</w:t>
            </w:r>
            <w:r>
              <w:rPr>
                <w:rFonts w:eastAsia="宋体"/>
                <w:color w:val="auto"/>
                <w:sz w:val="24"/>
                <w:highlight w:val="none"/>
              </w:rPr>
              <w:t>0.25kg/m</w:t>
            </w:r>
            <w:r>
              <w:rPr>
                <w:rFonts w:eastAsia="宋体"/>
                <w:color w:val="auto"/>
                <w:sz w:val="24"/>
                <w:highlight w:val="none"/>
                <w:vertAlign w:val="superscript"/>
              </w:rPr>
              <w:t>2</w:t>
            </w:r>
            <w:r>
              <w:rPr>
                <w:rFonts w:eastAsia="宋体" w:hAnsiTheme="minorEastAsia"/>
                <w:color w:val="auto"/>
                <w:sz w:val="24"/>
                <w:highlight w:val="none"/>
              </w:rPr>
              <w:t>，容尘量</w:t>
            </w:r>
            <w:r>
              <w:rPr>
                <w:rFonts w:hint="eastAsia" w:eastAsia="宋体" w:hAnsiTheme="minorEastAsia"/>
                <w:color w:val="auto"/>
                <w:sz w:val="24"/>
                <w:highlight w:val="none"/>
                <w:lang w:val="en-US" w:eastAsia="zh-CN"/>
              </w:rPr>
              <w:t>一般在3</w:t>
            </w:r>
            <w:r>
              <w:rPr>
                <w:rFonts w:eastAsia="宋体"/>
                <w:color w:val="auto"/>
                <w:sz w:val="24"/>
                <w:highlight w:val="none"/>
              </w:rPr>
              <w:t>kg/m</w:t>
            </w:r>
            <w:r>
              <w:rPr>
                <w:rFonts w:eastAsia="宋体"/>
                <w:color w:val="auto"/>
                <w:sz w:val="24"/>
                <w:highlight w:val="none"/>
                <w:vertAlign w:val="superscript"/>
              </w:rPr>
              <w:t>2</w:t>
            </w:r>
            <w:r>
              <w:rPr>
                <w:rFonts w:hint="eastAsia" w:eastAsia="宋体" w:hAnsiTheme="minorEastAsia"/>
                <w:color w:val="auto"/>
                <w:sz w:val="24"/>
                <w:highlight w:val="none"/>
                <w:lang w:val="en-US" w:eastAsia="zh-CN"/>
              </w:rPr>
              <w:t>~8</w:t>
            </w:r>
            <w:r>
              <w:rPr>
                <w:rFonts w:eastAsia="宋体"/>
                <w:color w:val="auto"/>
                <w:sz w:val="24"/>
                <w:highlight w:val="none"/>
              </w:rPr>
              <w:t>kg/m</w:t>
            </w:r>
            <w:r>
              <w:rPr>
                <w:rFonts w:eastAsia="宋体"/>
                <w:color w:val="auto"/>
                <w:sz w:val="24"/>
                <w:highlight w:val="none"/>
                <w:vertAlign w:val="superscript"/>
              </w:rPr>
              <w:t>2</w:t>
            </w:r>
            <w:r>
              <w:rPr>
                <w:rFonts w:hint="eastAsia"/>
                <w:color w:val="auto"/>
                <w:sz w:val="24"/>
                <w:highlight w:val="none"/>
                <w:vertAlign w:val="baseline"/>
                <w:lang w:eastAsia="zh-CN"/>
              </w:rPr>
              <w:t>，</w:t>
            </w:r>
            <w:r>
              <w:rPr>
                <w:rFonts w:hint="eastAsia"/>
                <w:color w:val="auto"/>
                <w:sz w:val="24"/>
                <w:highlight w:val="none"/>
                <w:vertAlign w:val="baseline"/>
                <w:lang w:val="en-US" w:eastAsia="zh-CN"/>
              </w:rPr>
              <w:t>本项目取中间值</w:t>
            </w:r>
            <w:r>
              <w:rPr>
                <w:rFonts w:hint="eastAsia" w:eastAsia="宋体"/>
                <w:color w:val="auto"/>
                <w:sz w:val="24"/>
                <w:highlight w:val="none"/>
                <w:lang w:val="en-US" w:eastAsia="zh-CN"/>
              </w:rPr>
              <w:t>5</w:t>
            </w:r>
            <w:r>
              <w:rPr>
                <w:rFonts w:eastAsia="宋体"/>
                <w:color w:val="auto"/>
                <w:sz w:val="24"/>
                <w:highlight w:val="none"/>
              </w:rPr>
              <w:t>.5kg/m</w:t>
            </w:r>
            <w:r>
              <w:rPr>
                <w:rFonts w:eastAsia="宋体"/>
                <w:color w:val="auto"/>
                <w:sz w:val="24"/>
                <w:highlight w:val="none"/>
                <w:vertAlign w:val="superscript"/>
              </w:rPr>
              <w:t>2</w:t>
            </w:r>
            <w:r>
              <w:rPr>
                <w:rFonts w:eastAsia="宋体" w:hAnsiTheme="minorEastAsia"/>
                <w:color w:val="auto"/>
                <w:sz w:val="24"/>
                <w:highlight w:val="none"/>
              </w:rPr>
              <w:t>，根据工程分析可知过滤棉过滤的颗粒物总量为</w:t>
            </w:r>
            <w:r>
              <w:rPr>
                <w:rFonts w:hint="eastAsia" w:eastAsia="宋体"/>
                <w:color w:val="auto"/>
                <w:sz w:val="24"/>
                <w:highlight w:val="none"/>
                <w:lang w:val="en-US" w:eastAsia="zh-CN"/>
              </w:rPr>
              <w:t>0.</w:t>
            </w:r>
            <w:r>
              <w:rPr>
                <w:rFonts w:hint="eastAsia"/>
                <w:color w:val="auto"/>
                <w:sz w:val="24"/>
                <w:highlight w:val="none"/>
                <w:lang w:val="en-US" w:eastAsia="zh-CN"/>
              </w:rPr>
              <w:t>2563</w:t>
            </w:r>
            <w:r>
              <w:rPr>
                <w:rFonts w:eastAsia="宋体"/>
                <w:color w:val="auto"/>
                <w:sz w:val="24"/>
                <w:highlight w:val="none"/>
              </w:rPr>
              <w:t>t/a</w:t>
            </w:r>
            <w:r>
              <w:rPr>
                <w:rFonts w:eastAsia="宋体" w:hAnsiTheme="minorEastAsia"/>
                <w:color w:val="auto"/>
                <w:sz w:val="24"/>
                <w:highlight w:val="none"/>
              </w:rPr>
              <w:t>，则过滤棉的用量约为</w:t>
            </w:r>
            <w:r>
              <w:rPr>
                <w:rFonts w:hint="eastAsia"/>
                <w:color w:val="auto"/>
                <w:sz w:val="24"/>
                <w:highlight w:val="none"/>
                <w:lang w:val="en-US" w:eastAsia="zh-CN"/>
              </w:rPr>
              <w:t>46.6</w:t>
            </w:r>
            <w:r>
              <w:rPr>
                <w:rFonts w:eastAsia="宋体"/>
                <w:color w:val="auto"/>
                <w:sz w:val="24"/>
                <w:highlight w:val="none"/>
              </w:rPr>
              <w:t>m</w:t>
            </w:r>
            <w:r>
              <w:rPr>
                <w:rFonts w:eastAsia="宋体"/>
                <w:color w:val="auto"/>
                <w:sz w:val="24"/>
                <w:highlight w:val="none"/>
                <w:vertAlign w:val="superscript"/>
              </w:rPr>
              <w:t>2</w:t>
            </w:r>
            <w:r>
              <w:rPr>
                <w:rFonts w:eastAsia="宋体" w:hAnsiTheme="minorEastAsia"/>
                <w:color w:val="auto"/>
                <w:sz w:val="24"/>
                <w:highlight w:val="none"/>
              </w:rPr>
              <w:t>，则本项目过滤棉的用量约为</w:t>
            </w:r>
            <w:r>
              <w:rPr>
                <w:rFonts w:hint="eastAsia" w:eastAsia="宋体"/>
                <w:color w:val="auto"/>
                <w:sz w:val="24"/>
                <w:highlight w:val="none"/>
              </w:rPr>
              <w:t>0.</w:t>
            </w:r>
            <w:r>
              <w:rPr>
                <w:rFonts w:hint="eastAsia"/>
                <w:color w:val="auto"/>
                <w:sz w:val="24"/>
                <w:highlight w:val="none"/>
                <w:lang w:val="en-US" w:eastAsia="zh-CN"/>
              </w:rPr>
              <w:t>0117</w:t>
            </w:r>
            <w:r>
              <w:rPr>
                <w:rFonts w:eastAsia="宋体"/>
                <w:color w:val="auto"/>
                <w:sz w:val="24"/>
                <w:highlight w:val="none"/>
              </w:rPr>
              <w:t>t/a</w:t>
            </w:r>
            <w:r>
              <w:rPr>
                <w:rFonts w:eastAsia="宋体" w:hAnsiTheme="minorEastAsia"/>
                <w:color w:val="auto"/>
                <w:sz w:val="24"/>
                <w:highlight w:val="none"/>
              </w:rPr>
              <w:t>，则本项目含废漆渣的废过滤棉的产生量为</w:t>
            </w:r>
            <w:r>
              <w:rPr>
                <w:rFonts w:hint="eastAsia" w:eastAsia="宋体"/>
                <w:color w:val="auto"/>
                <w:sz w:val="24"/>
                <w:highlight w:val="none"/>
                <w:lang w:val="en-US" w:eastAsia="zh-CN"/>
              </w:rPr>
              <w:t>0.</w:t>
            </w:r>
            <w:r>
              <w:rPr>
                <w:rFonts w:hint="eastAsia"/>
                <w:color w:val="auto"/>
                <w:sz w:val="24"/>
                <w:highlight w:val="none"/>
                <w:lang w:val="en-US" w:eastAsia="zh-CN"/>
              </w:rPr>
              <w:t>268</w:t>
            </w:r>
            <w:r>
              <w:rPr>
                <w:rFonts w:eastAsia="宋体"/>
                <w:color w:val="auto"/>
                <w:sz w:val="24"/>
                <w:highlight w:val="none"/>
              </w:rPr>
              <w:t>t/a</w:t>
            </w:r>
            <w:r>
              <w:rPr>
                <w:rFonts w:eastAsia="宋体" w:hAnsiTheme="minorEastAsia"/>
                <w:color w:val="auto"/>
                <w:sz w:val="24"/>
                <w:highlight w:val="none"/>
              </w:rPr>
              <w:t>（包括更换的废纤维过滤棉</w:t>
            </w:r>
            <w:r>
              <w:rPr>
                <w:rFonts w:eastAsia="宋体"/>
                <w:color w:val="auto"/>
                <w:sz w:val="24"/>
                <w:highlight w:val="none"/>
              </w:rPr>
              <w:t>+</w:t>
            </w:r>
            <w:r>
              <w:rPr>
                <w:rFonts w:eastAsia="宋体" w:hAnsiTheme="minorEastAsia"/>
                <w:color w:val="auto"/>
                <w:sz w:val="24"/>
                <w:highlight w:val="none"/>
              </w:rPr>
              <w:t>吸附的漆雾颗粒物）</w:t>
            </w:r>
            <w:r>
              <w:rPr>
                <w:rFonts w:hint="eastAsia" w:ascii="Times New Roman" w:hAnsi="Times New Roman" w:eastAsia="宋体" w:cs="Times New Roman"/>
                <w:color w:val="auto"/>
                <w:sz w:val="24"/>
                <w:szCs w:val="24"/>
                <w:highlight w:val="none"/>
                <w:lang w:val="en-US" w:eastAsia="zh-CN" w:bidi="ar"/>
              </w:rPr>
              <w:t>，与活性炭同步更换</w:t>
            </w:r>
            <w:r>
              <w:rPr>
                <w:rFonts w:hint="eastAsia" w:eastAsia="宋体" w:cs="Times New Roman"/>
                <w:color w:val="auto"/>
                <w:sz w:val="24"/>
                <w:szCs w:val="24"/>
                <w:highlight w:val="none"/>
                <w:lang w:val="en-US" w:eastAsia="zh-CN" w:bidi="ar"/>
              </w:rPr>
              <w:t>。</w:t>
            </w:r>
            <w:r>
              <w:rPr>
                <w:rFonts w:hint="eastAsia" w:cs="宋体"/>
                <w:color w:val="auto"/>
                <w:sz w:val="24"/>
                <w:highlight w:val="none"/>
              </w:rPr>
              <w:t>根据《国家危险废物名录》（2025版），废</w:t>
            </w:r>
            <w:r>
              <w:rPr>
                <w:rFonts w:hint="eastAsia" w:cs="宋体"/>
                <w:color w:val="auto"/>
                <w:sz w:val="24"/>
                <w:highlight w:val="none"/>
                <w:lang w:val="en-US" w:eastAsia="zh-CN"/>
              </w:rPr>
              <w:t>过滤棉</w:t>
            </w:r>
            <w:r>
              <w:rPr>
                <w:rFonts w:hint="eastAsia" w:cs="宋体"/>
                <w:color w:val="auto"/>
                <w:sz w:val="24"/>
                <w:highlight w:val="none"/>
              </w:rPr>
              <w:t>属于</w:t>
            </w:r>
            <w:r>
              <w:rPr>
                <w:rFonts w:hint="eastAsia" w:ascii="Times New Roman" w:hAnsi="Times New Roman" w:eastAsia="宋体" w:cs="Times New Roman"/>
                <w:b w:val="0"/>
                <w:bCs/>
                <w:color w:val="auto"/>
                <w:spacing w:val="0"/>
                <w:sz w:val="24"/>
                <w:szCs w:val="24"/>
                <w:highlight w:val="none"/>
              </w:rPr>
              <w:t>HW49（其他废物），废物代码为900-041-49（含有或沾染毒性、感染性危险废物的废弃包装物、容器、过滤吸附介质）</w:t>
            </w:r>
            <w:r>
              <w:rPr>
                <w:rFonts w:hint="eastAsia"/>
                <w:color w:val="auto"/>
                <w:kern w:val="0"/>
                <w:sz w:val="24"/>
                <w:szCs w:val="24"/>
                <w:highlight w:val="none"/>
                <w:lang w:bidi="ar"/>
              </w:rPr>
              <w:t>。</w:t>
            </w:r>
          </w:p>
          <w:p w14:paraId="01612408">
            <w:pPr>
              <w:keepNext w:val="0"/>
              <w:keepLines w:val="0"/>
              <w:pageBreakBefore w:val="0"/>
              <w:widowControl/>
              <w:numPr>
                <w:ilvl w:val="0"/>
                <w:numId w:val="0"/>
              </w:numPr>
              <w:kinsoku/>
              <w:wordWrap/>
              <w:topLinePunct w:val="0"/>
              <w:bidi w:val="0"/>
              <w:adjustRightInd/>
              <w:snapToGrid w:val="0"/>
              <w:spacing w:line="353" w:lineRule="auto"/>
              <w:ind w:left="0" w:leftChars="0" w:firstLine="482" w:firstLineChars="200"/>
              <w:rPr>
                <w:rFonts w:hint="eastAsia"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b/>
                <w:bCs/>
                <w:color w:val="auto"/>
                <w:sz w:val="24"/>
                <w:szCs w:val="24"/>
                <w:highlight w:val="none"/>
                <w:lang w:val="en-US" w:eastAsia="zh-CN"/>
              </w:rPr>
              <w:fldChar w:fldCharType="begin"/>
            </w:r>
            <w:r>
              <w:rPr>
                <w:rFonts w:hint="eastAsia" w:ascii="Times New Roman" w:hAnsi="Times New Roman" w:eastAsia="宋体" w:cs="Times New Roman"/>
                <w:b/>
                <w:bCs/>
                <w:color w:val="auto"/>
                <w:sz w:val="24"/>
                <w:szCs w:val="24"/>
                <w:highlight w:val="none"/>
                <w:lang w:val="en-US" w:eastAsia="zh-CN"/>
              </w:rPr>
              <w:instrText xml:space="preserve"> = 4 \* GB3 \* MERGEFORMAT </w:instrText>
            </w:r>
            <w:r>
              <w:rPr>
                <w:rFonts w:hint="eastAsia" w:ascii="Times New Roman" w:hAnsi="Times New Roman" w:eastAsia="宋体" w:cs="Times New Roman"/>
                <w:b/>
                <w:bCs/>
                <w:color w:val="auto"/>
                <w:sz w:val="24"/>
                <w:szCs w:val="24"/>
                <w:highlight w:val="none"/>
                <w:lang w:val="en-US" w:eastAsia="zh-CN"/>
              </w:rPr>
              <w:fldChar w:fldCharType="separate"/>
            </w:r>
            <w:r>
              <w:rPr>
                <w:b/>
                <w:bCs/>
                <w:color w:val="auto"/>
                <w:sz w:val="24"/>
                <w:szCs w:val="24"/>
                <w:highlight w:val="none"/>
              </w:rPr>
              <w:t>④</w:t>
            </w:r>
            <w:r>
              <w:rPr>
                <w:rFonts w:hint="eastAsia" w:ascii="Times New Roman" w:hAnsi="Times New Roman" w:eastAsia="宋体" w:cs="Times New Roman"/>
                <w:b/>
                <w:bCs/>
                <w:color w:val="auto"/>
                <w:sz w:val="24"/>
                <w:szCs w:val="24"/>
                <w:highlight w:val="none"/>
                <w:lang w:val="en-US" w:eastAsia="zh-CN"/>
              </w:rPr>
              <w:fldChar w:fldCharType="end"/>
            </w:r>
            <w:r>
              <w:rPr>
                <w:rFonts w:hint="eastAsia" w:ascii="Times New Roman" w:hAnsi="Times New Roman" w:eastAsia="宋体" w:cs="Times New Roman"/>
                <w:b/>
                <w:bCs/>
                <w:color w:val="auto"/>
                <w:spacing w:val="0"/>
                <w:position w:val="0"/>
                <w:sz w:val="24"/>
                <w:szCs w:val="24"/>
                <w:highlight w:val="none"/>
                <w:lang w:val="en-US" w:eastAsia="zh-CN"/>
              </w:rPr>
              <w:t>沉淀</w:t>
            </w:r>
            <w:r>
              <w:rPr>
                <w:rFonts w:hint="eastAsia" w:ascii="Times New Roman" w:hAnsi="Times New Roman" w:eastAsia="宋体" w:cs="Times New Roman"/>
                <w:b/>
                <w:bCs/>
                <w:color w:val="auto"/>
                <w:spacing w:val="0"/>
                <w:position w:val="0"/>
                <w:sz w:val="24"/>
                <w:szCs w:val="24"/>
                <w:highlight w:val="none"/>
              </w:rPr>
              <w:t>污泥</w:t>
            </w:r>
          </w:p>
          <w:p w14:paraId="48A19459">
            <w:pPr>
              <w:keepNext w:val="0"/>
              <w:keepLines w:val="0"/>
              <w:pageBreakBefore w:val="0"/>
              <w:widowControl/>
              <w:suppressLineNumbers w:val="0"/>
              <w:kinsoku/>
              <w:wordWrap/>
              <w:overflowPunct/>
              <w:topLinePunct w:val="0"/>
              <w:autoSpaceDE/>
              <w:autoSpaceDN/>
              <w:bidi w:val="0"/>
              <w:adjustRightInd/>
              <w:snapToGrid/>
              <w:spacing w:line="353"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kern w:val="0"/>
                <w:position w:val="0"/>
                <w:sz w:val="24"/>
                <w:szCs w:val="24"/>
                <w:highlight w:val="none"/>
                <w:lang w:val="en-US" w:eastAsia="zh-CN" w:bidi="ar"/>
              </w:rPr>
              <w:t>项目</w:t>
            </w:r>
            <w:r>
              <w:rPr>
                <w:rFonts w:hint="eastAsia" w:cs="Times New Roman"/>
                <w:color w:val="auto"/>
                <w:spacing w:val="0"/>
                <w:kern w:val="0"/>
                <w:position w:val="0"/>
                <w:sz w:val="24"/>
                <w:szCs w:val="24"/>
                <w:highlight w:val="none"/>
                <w:lang w:val="en-US" w:eastAsia="zh-CN" w:bidi="ar"/>
              </w:rPr>
              <w:t>水帘气旋废水</w:t>
            </w:r>
            <w:r>
              <w:rPr>
                <w:rFonts w:hint="eastAsia" w:ascii="Times New Roman" w:hAnsi="Times New Roman" w:eastAsia="宋体" w:cs="Times New Roman"/>
                <w:color w:val="auto"/>
                <w:spacing w:val="0"/>
                <w:kern w:val="0"/>
                <w:position w:val="0"/>
                <w:sz w:val="24"/>
                <w:szCs w:val="24"/>
                <w:highlight w:val="none"/>
                <w:lang w:val="en-US" w:eastAsia="zh-CN" w:bidi="ar"/>
              </w:rPr>
              <w:t>定期排入自建污水处理设施处理后回用于生产，污水处理絮凝沉淀过程中会产生少量污泥，参照《第一次全国污染源普查集中式污染治理设施产排污系数手册》污水处理污泥产生系数一级强化处理公式（S=k</w:t>
            </w:r>
            <w:r>
              <w:rPr>
                <w:rFonts w:hint="eastAsia" w:ascii="Times New Roman" w:hAnsi="Times New Roman" w:eastAsia="宋体" w:cs="Times New Roman"/>
                <w:color w:val="auto"/>
                <w:spacing w:val="0"/>
                <w:kern w:val="0"/>
                <w:position w:val="0"/>
                <w:sz w:val="24"/>
                <w:szCs w:val="24"/>
                <w:highlight w:val="none"/>
                <w:vertAlign w:val="subscript"/>
                <w:lang w:val="en-US" w:eastAsia="zh-CN" w:bidi="ar"/>
              </w:rPr>
              <w:t>1</w:t>
            </w:r>
            <w:r>
              <w:rPr>
                <w:rFonts w:hint="eastAsia" w:ascii="Times New Roman" w:hAnsi="Times New Roman" w:eastAsia="宋体" w:cs="Times New Roman"/>
                <w:color w:val="auto"/>
                <w:spacing w:val="0"/>
                <w:kern w:val="0"/>
                <w:position w:val="0"/>
                <w:sz w:val="24"/>
                <w:szCs w:val="24"/>
                <w:highlight w:val="none"/>
                <w:lang w:val="en-US" w:eastAsia="zh-CN" w:bidi="ar"/>
              </w:rPr>
              <w:t>Q+k</w:t>
            </w:r>
            <w:r>
              <w:rPr>
                <w:rFonts w:hint="eastAsia" w:ascii="Times New Roman" w:hAnsi="Times New Roman" w:eastAsia="宋体" w:cs="Times New Roman"/>
                <w:color w:val="auto"/>
                <w:spacing w:val="0"/>
                <w:kern w:val="0"/>
                <w:position w:val="0"/>
                <w:sz w:val="24"/>
                <w:szCs w:val="24"/>
                <w:highlight w:val="none"/>
                <w:vertAlign w:val="subscript"/>
                <w:lang w:val="en-US" w:eastAsia="zh-CN" w:bidi="ar"/>
              </w:rPr>
              <w:t>3</w:t>
            </w:r>
            <w:r>
              <w:rPr>
                <w:rFonts w:hint="eastAsia" w:ascii="Times New Roman" w:hAnsi="Times New Roman" w:eastAsia="宋体" w:cs="Times New Roman"/>
                <w:color w:val="auto"/>
                <w:spacing w:val="0"/>
                <w:kern w:val="0"/>
                <w:position w:val="0"/>
                <w:sz w:val="24"/>
                <w:szCs w:val="24"/>
                <w:highlight w:val="none"/>
                <w:lang w:val="en-US" w:eastAsia="zh-CN" w:bidi="ar"/>
              </w:rPr>
              <w:t>C）：</w:t>
            </w:r>
          </w:p>
          <w:p w14:paraId="4CD8A886">
            <w:pPr>
              <w:keepNext w:val="0"/>
              <w:keepLines w:val="0"/>
              <w:pageBreakBefore w:val="0"/>
              <w:widowControl/>
              <w:suppressLineNumbers w:val="0"/>
              <w:kinsoku/>
              <w:wordWrap/>
              <w:overflowPunct/>
              <w:topLinePunct w:val="0"/>
              <w:autoSpaceDE/>
              <w:autoSpaceDN/>
              <w:bidi w:val="0"/>
              <w:adjustRightInd/>
              <w:snapToGrid/>
              <w:spacing w:line="353"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kern w:val="0"/>
                <w:position w:val="0"/>
                <w:sz w:val="24"/>
                <w:szCs w:val="24"/>
                <w:highlight w:val="none"/>
                <w:lang w:val="en-US" w:eastAsia="zh-CN" w:bidi="ar"/>
              </w:rPr>
              <w:t>其中S：污水处理厂含水率80%的污泥产生量，t/a；</w:t>
            </w:r>
          </w:p>
          <w:p w14:paraId="79A1301D">
            <w:pPr>
              <w:keepNext w:val="0"/>
              <w:keepLines w:val="0"/>
              <w:pageBreakBefore w:val="0"/>
              <w:widowControl/>
              <w:suppressLineNumbers w:val="0"/>
              <w:kinsoku/>
              <w:wordWrap/>
              <w:overflowPunct/>
              <w:topLinePunct w:val="0"/>
              <w:autoSpaceDE/>
              <w:autoSpaceDN/>
              <w:bidi w:val="0"/>
              <w:adjustRightInd/>
              <w:snapToGrid/>
              <w:spacing w:line="353"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kern w:val="0"/>
                <w:position w:val="0"/>
                <w:sz w:val="24"/>
                <w:szCs w:val="24"/>
                <w:highlight w:val="none"/>
                <w:lang w:val="en-US" w:eastAsia="zh-CN" w:bidi="ar"/>
              </w:rPr>
              <w:t>k</w:t>
            </w:r>
            <w:r>
              <w:rPr>
                <w:rFonts w:hint="eastAsia" w:ascii="Times New Roman" w:hAnsi="Times New Roman" w:eastAsia="宋体" w:cs="Times New Roman"/>
                <w:color w:val="auto"/>
                <w:spacing w:val="0"/>
                <w:kern w:val="0"/>
                <w:position w:val="0"/>
                <w:sz w:val="24"/>
                <w:szCs w:val="24"/>
                <w:highlight w:val="none"/>
                <w:vertAlign w:val="subscript"/>
                <w:lang w:val="en-US" w:eastAsia="zh-CN" w:bidi="ar"/>
              </w:rPr>
              <w:t>1</w:t>
            </w:r>
            <w:r>
              <w:rPr>
                <w:rFonts w:hint="eastAsia" w:ascii="Times New Roman" w:hAnsi="Times New Roman" w:eastAsia="宋体" w:cs="Times New Roman"/>
                <w:color w:val="auto"/>
                <w:spacing w:val="0"/>
                <w:kern w:val="0"/>
                <w:position w:val="0"/>
                <w:sz w:val="24"/>
                <w:szCs w:val="24"/>
                <w:highlight w:val="none"/>
                <w:lang w:val="en-US" w:eastAsia="zh-CN" w:bidi="ar"/>
              </w:rPr>
              <w:t>：表1中城镇污水处理厂的物理污泥产生系数，t/万吨</w:t>
            </w:r>
            <w:r>
              <w:rPr>
                <w:rFonts w:hint="eastAsia" w:cs="Times New Roman"/>
                <w:color w:val="auto"/>
                <w:spacing w:val="0"/>
                <w:kern w:val="0"/>
                <w:position w:val="0"/>
                <w:sz w:val="24"/>
                <w:szCs w:val="24"/>
                <w:highlight w:val="none"/>
                <w:lang w:val="en-US" w:eastAsia="zh-CN" w:bidi="ar"/>
              </w:rPr>
              <w:t>－</w:t>
            </w:r>
            <w:r>
              <w:rPr>
                <w:rFonts w:hint="eastAsia" w:ascii="Times New Roman" w:hAnsi="Times New Roman" w:eastAsia="宋体" w:cs="Times New Roman"/>
                <w:color w:val="auto"/>
                <w:spacing w:val="0"/>
                <w:kern w:val="0"/>
                <w:position w:val="0"/>
                <w:sz w:val="24"/>
                <w:szCs w:val="24"/>
                <w:highlight w:val="none"/>
                <w:lang w:val="en-US" w:eastAsia="zh-CN" w:bidi="ar"/>
              </w:rPr>
              <w:t>污水处理量，本项目取值4.09；</w:t>
            </w:r>
          </w:p>
          <w:p w14:paraId="7261CE93">
            <w:pPr>
              <w:keepNext w:val="0"/>
              <w:keepLines w:val="0"/>
              <w:pageBreakBefore w:val="0"/>
              <w:widowControl/>
              <w:suppressLineNumbers w:val="0"/>
              <w:kinsoku/>
              <w:wordWrap/>
              <w:overflowPunct/>
              <w:topLinePunct w:val="0"/>
              <w:autoSpaceDE/>
              <w:autoSpaceDN/>
              <w:bidi w:val="0"/>
              <w:adjustRightInd/>
              <w:snapToGrid/>
              <w:spacing w:line="353"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kern w:val="0"/>
                <w:position w:val="0"/>
                <w:sz w:val="24"/>
                <w:szCs w:val="24"/>
                <w:highlight w:val="none"/>
                <w:lang w:val="en-US" w:eastAsia="zh-CN" w:bidi="ar"/>
              </w:rPr>
              <w:t>k</w:t>
            </w:r>
            <w:r>
              <w:rPr>
                <w:rFonts w:hint="eastAsia" w:ascii="Times New Roman" w:hAnsi="Times New Roman" w:eastAsia="宋体" w:cs="Times New Roman"/>
                <w:color w:val="auto"/>
                <w:spacing w:val="0"/>
                <w:kern w:val="0"/>
                <w:position w:val="0"/>
                <w:sz w:val="24"/>
                <w:szCs w:val="24"/>
                <w:highlight w:val="none"/>
                <w:vertAlign w:val="subscript"/>
                <w:lang w:val="en-US" w:eastAsia="zh-CN" w:bidi="ar"/>
              </w:rPr>
              <w:t>3</w:t>
            </w:r>
            <w:r>
              <w:rPr>
                <w:rFonts w:hint="eastAsia" w:ascii="Times New Roman" w:hAnsi="Times New Roman" w:eastAsia="宋体" w:cs="Times New Roman"/>
                <w:color w:val="auto"/>
                <w:spacing w:val="0"/>
                <w:kern w:val="0"/>
                <w:position w:val="0"/>
                <w:sz w:val="24"/>
                <w:szCs w:val="24"/>
                <w:highlight w:val="none"/>
                <w:lang w:val="en-US" w:eastAsia="zh-CN" w:bidi="ar"/>
              </w:rPr>
              <w:t>：表3中城镇污水处理厂和工业废水集中处理设施的化学污泥产生系数，吨/吨</w:t>
            </w:r>
            <w:r>
              <w:rPr>
                <w:rFonts w:hint="eastAsia" w:cs="Times New Roman"/>
                <w:color w:val="auto"/>
                <w:spacing w:val="0"/>
                <w:kern w:val="0"/>
                <w:position w:val="0"/>
                <w:sz w:val="24"/>
                <w:szCs w:val="24"/>
                <w:highlight w:val="none"/>
                <w:lang w:val="en-US" w:eastAsia="zh-CN" w:bidi="ar"/>
              </w:rPr>
              <w:t>－</w:t>
            </w:r>
            <w:r>
              <w:rPr>
                <w:rFonts w:hint="eastAsia" w:ascii="Times New Roman" w:hAnsi="Times New Roman" w:eastAsia="宋体" w:cs="Times New Roman"/>
                <w:color w:val="auto"/>
                <w:spacing w:val="0"/>
                <w:kern w:val="0"/>
                <w:position w:val="0"/>
                <w:sz w:val="24"/>
                <w:szCs w:val="24"/>
                <w:highlight w:val="none"/>
                <w:lang w:val="en-US" w:eastAsia="zh-CN" w:bidi="ar"/>
              </w:rPr>
              <w:t>絮凝剂使用量，本项目取值4.53；</w:t>
            </w:r>
          </w:p>
          <w:p w14:paraId="4B9EFB2D">
            <w:pPr>
              <w:keepNext w:val="0"/>
              <w:keepLines w:val="0"/>
              <w:pageBreakBefore w:val="0"/>
              <w:widowControl/>
              <w:suppressLineNumbers w:val="0"/>
              <w:kinsoku/>
              <w:wordWrap/>
              <w:overflowPunct/>
              <w:topLinePunct w:val="0"/>
              <w:autoSpaceDE/>
              <w:autoSpaceDN/>
              <w:bidi w:val="0"/>
              <w:adjustRightInd/>
              <w:snapToGrid/>
              <w:spacing w:line="353"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kern w:val="0"/>
                <w:position w:val="0"/>
                <w:sz w:val="24"/>
                <w:szCs w:val="24"/>
                <w:highlight w:val="none"/>
                <w:lang w:val="en-US" w:eastAsia="zh-CN" w:bidi="ar"/>
              </w:rPr>
              <w:t>Q：污水处理厂的实际污（废）水处理量，万t/a；</w:t>
            </w:r>
          </w:p>
          <w:p w14:paraId="1CF63F59">
            <w:pPr>
              <w:keepNext w:val="0"/>
              <w:keepLines w:val="0"/>
              <w:pageBreakBefore w:val="0"/>
              <w:widowControl/>
              <w:suppressLineNumbers w:val="0"/>
              <w:kinsoku/>
              <w:wordWrap/>
              <w:overflowPunct/>
              <w:topLinePunct w:val="0"/>
              <w:autoSpaceDE/>
              <w:autoSpaceDN/>
              <w:bidi w:val="0"/>
              <w:adjustRightInd/>
              <w:snapToGrid/>
              <w:spacing w:line="353"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kern w:val="0"/>
                <w:position w:val="0"/>
                <w:sz w:val="24"/>
                <w:szCs w:val="24"/>
                <w:highlight w:val="none"/>
                <w:lang w:val="en-US" w:eastAsia="zh-CN" w:bidi="ar"/>
              </w:rPr>
              <w:t>C：污水处理厂的无机絮凝剂（PAC）使用总量，t/a。有机絮凝剂（PAM）由于用量较少，对总的污泥产生量影响不大，本手册将其忽略不计。</w:t>
            </w:r>
          </w:p>
          <w:p w14:paraId="2BA74062">
            <w:pPr>
              <w:keepNext w:val="0"/>
              <w:keepLines w:val="0"/>
              <w:pageBreakBefore w:val="0"/>
              <w:widowControl/>
              <w:suppressLineNumbers w:val="0"/>
              <w:kinsoku/>
              <w:wordWrap/>
              <w:overflowPunct/>
              <w:topLinePunct w:val="0"/>
              <w:autoSpaceDE/>
              <w:autoSpaceDN/>
              <w:bidi w:val="0"/>
              <w:adjustRightInd/>
              <w:snapToGrid/>
              <w:spacing w:line="353"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highlight w:val="none"/>
                <w:lang w:val="en-US" w:eastAsia="zh-CN" w:bidi="ar"/>
              </w:rPr>
            </w:pPr>
            <w:r>
              <w:rPr>
                <w:rFonts w:hint="eastAsia" w:ascii="Times New Roman" w:hAnsi="Times New Roman" w:eastAsia="宋体" w:cs="Times New Roman"/>
                <w:color w:val="auto"/>
                <w:spacing w:val="0"/>
                <w:kern w:val="0"/>
                <w:position w:val="0"/>
                <w:sz w:val="24"/>
                <w:szCs w:val="24"/>
                <w:highlight w:val="none"/>
                <w:lang w:val="en-US" w:eastAsia="zh-CN" w:bidi="ar"/>
              </w:rPr>
              <w:t>项目自建污水处理设施废水处理量为</w:t>
            </w:r>
            <w:r>
              <w:rPr>
                <w:rFonts w:hint="eastAsia" w:cs="Times New Roman"/>
                <w:color w:val="auto"/>
                <w:spacing w:val="0"/>
                <w:kern w:val="0"/>
                <w:position w:val="0"/>
                <w:sz w:val="24"/>
                <w:szCs w:val="24"/>
                <w:highlight w:val="none"/>
                <w:lang w:val="en-US" w:eastAsia="zh-CN" w:bidi="ar"/>
              </w:rPr>
              <w:t>63.504</w:t>
            </w:r>
            <w:r>
              <w:rPr>
                <w:rFonts w:hint="eastAsia" w:ascii="Times New Roman" w:hAnsi="Times New Roman" w:eastAsia="宋体" w:cs="Times New Roman"/>
                <w:color w:val="auto"/>
                <w:spacing w:val="0"/>
                <w:kern w:val="0"/>
                <w:position w:val="0"/>
                <w:sz w:val="24"/>
                <w:szCs w:val="24"/>
                <w:highlight w:val="none"/>
                <w:lang w:val="en-US" w:eastAsia="zh-CN" w:bidi="ar"/>
              </w:rPr>
              <w:t>t/a，无机絮凝剂使用量为</w:t>
            </w:r>
            <w:r>
              <w:rPr>
                <w:rFonts w:hint="eastAsia" w:cs="Times New Roman"/>
                <w:color w:val="auto"/>
                <w:spacing w:val="0"/>
                <w:kern w:val="0"/>
                <w:position w:val="0"/>
                <w:sz w:val="24"/>
                <w:szCs w:val="24"/>
                <w:highlight w:val="none"/>
                <w:lang w:val="en-US" w:eastAsia="zh-CN" w:bidi="ar"/>
              </w:rPr>
              <w:t>0.0063</w:t>
            </w:r>
            <w:r>
              <w:rPr>
                <w:rFonts w:hint="eastAsia" w:ascii="Times New Roman" w:hAnsi="Times New Roman" w:eastAsia="宋体" w:cs="Times New Roman"/>
                <w:color w:val="auto"/>
                <w:spacing w:val="0"/>
                <w:kern w:val="0"/>
                <w:position w:val="0"/>
                <w:sz w:val="24"/>
                <w:szCs w:val="24"/>
                <w:highlight w:val="none"/>
                <w:lang w:val="en-US" w:eastAsia="zh-CN" w:bidi="ar"/>
              </w:rPr>
              <w:t>t/a，则项目自建污水处理设施污泥产生量约</w:t>
            </w:r>
            <w:r>
              <w:rPr>
                <w:rFonts w:hint="eastAsia" w:cs="Times New Roman"/>
                <w:color w:val="auto"/>
                <w:spacing w:val="0"/>
                <w:kern w:val="0"/>
                <w:position w:val="0"/>
                <w:sz w:val="24"/>
                <w:szCs w:val="24"/>
                <w:highlight w:val="none"/>
                <w:lang w:val="en-US" w:eastAsia="zh-CN" w:bidi="ar"/>
              </w:rPr>
              <w:t>0.0545</w:t>
            </w:r>
            <w:r>
              <w:rPr>
                <w:rFonts w:hint="eastAsia" w:ascii="Times New Roman" w:hAnsi="Times New Roman" w:eastAsia="宋体" w:cs="Times New Roman"/>
                <w:color w:val="auto"/>
                <w:spacing w:val="0"/>
                <w:kern w:val="0"/>
                <w:position w:val="0"/>
                <w:sz w:val="24"/>
                <w:szCs w:val="24"/>
                <w:highlight w:val="none"/>
                <w:lang w:val="en-US" w:eastAsia="zh-CN" w:bidi="ar"/>
              </w:rPr>
              <w:t>t/a，根据《国家危险废物名录》（2025版），项目废水处理设施产生的污泥属于</w:t>
            </w:r>
            <w:r>
              <w:rPr>
                <w:rFonts w:hint="eastAsia" w:cs="Times New Roman"/>
                <w:color w:val="auto"/>
                <w:spacing w:val="0"/>
                <w:kern w:val="0"/>
                <w:position w:val="0"/>
                <w:sz w:val="24"/>
                <w:szCs w:val="24"/>
                <w:highlight w:val="none"/>
                <w:lang w:val="en-US" w:eastAsia="zh-CN" w:bidi="ar"/>
              </w:rPr>
              <w:t>编号</w:t>
            </w:r>
            <w:r>
              <w:rPr>
                <w:rFonts w:hint="eastAsia" w:ascii="Times New Roman" w:hAnsi="Times New Roman" w:eastAsia="宋体" w:cs="Times New Roman"/>
                <w:color w:val="auto"/>
                <w:spacing w:val="0"/>
                <w:kern w:val="0"/>
                <w:position w:val="0"/>
                <w:sz w:val="24"/>
                <w:szCs w:val="24"/>
                <w:highlight w:val="none"/>
                <w:lang w:val="en-US" w:eastAsia="zh-CN" w:bidi="ar"/>
              </w:rPr>
              <w:t>“HW49其他废物”，废物代码772-006-49（采用物理、化学、物理化学或生物方法处理或处置毒性或感染性危险废物过程中产生的废水处理污泥、残渣（液）），污水处理污泥脱水后，统一收集后放置在专用桶中暂存于</w:t>
            </w:r>
            <w:r>
              <w:rPr>
                <w:rFonts w:hint="eastAsia" w:cs="Times New Roman"/>
                <w:color w:val="auto"/>
                <w:spacing w:val="0"/>
                <w:kern w:val="0"/>
                <w:position w:val="0"/>
                <w:sz w:val="24"/>
                <w:szCs w:val="24"/>
                <w:highlight w:val="none"/>
                <w:lang w:val="en-US" w:eastAsia="zh-CN" w:bidi="ar"/>
              </w:rPr>
              <w:t>危废暂存间</w:t>
            </w:r>
            <w:r>
              <w:rPr>
                <w:rFonts w:hint="eastAsia" w:ascii="Times New Roman" w:hAnsi="Times New Roman" w:eastAsia="宋体" w:cs="Times New Roman"/>
                <w:color w:val="auto"/>
                <w:spacing w:val="0"/>
                <w:kern w:val="0"/>
                <w:position w:val="0"/>
                <w:sz w:val="24"/>
                <w:szCs w:val="24"/>
                <w:highlight w:val="none"/>
                <w:lang w:val="en-US" w:eastAsia="zh-CN" w:bidi="ar"/>
              </w:rPr>
              <w:t>，定期委托有资质的单位进行处置。</w:t>
            </w:r>
          </w:p>
          <w:p w14:paraId="21151B4E">
            <w:pPr>
              <w:keepNext w:val="0"/>
              <w:keepLines w:val="0"/>
              <w:pageBreakBefore w:val="0"/>
              <w:widowControl/>
              <w:numPr>
                <w:ilvl w:val="0"/>
                <w:numId w:val="0"/>
              </w:numPr>
              <w:kinsoku/>
              <w:wordWrap/>
              <w:topLinePunct w:val="0"/>
              <w:bidi w:val="0"/>
              <w:adjustRightInd/>
              <w:snapToGrid w:val="0"/>
              <w:spacing w:line="353" w:lineRule="auto"/>
              <w:ind w:left="0" w:leftChars="0" w:right="0" w:rightChars="0" w:firstLine="482" w:firstLineChars="200"/>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fldChar w:fldCharType="begin"/>
            </w:r>
            <w:r>
              <w:rPr>
                <w:rFonts w:hint="eastAsia" w:cs="Times New Roman"/>
                <w:b/>
                <w:bCs/>
                <w:color w:val="auto"/>
                <w:sz w:val="24"/>
                <w:szCs w:val="24"/>
                <w:highlight w:val="none"/>
                <w:lang w:val="en-US" w:eastAsia="zh-CN"/>
              </w:rPr>
              <w:instrText xml:space="preserve"> = 5 \* GB3 \* MERGEFORMAT </w:instrText>
            </w:r>
            <w:r>
              <w:rPr>
                <w:rFonts w:hint="eastAsia" w:cs="Times New Roman"/>
                <w:b/>
                <w:bCs/>
                <w:color w:val="auto"/>
                <w:sz w:val="24"/>
                <w:szCs w:val="24"/>
                <w:highlight w:val="none"/>
                <w:lang w:val="en-US" w:eastAsia="zh-CN"/>
              </w:rPr>
              <w:fldChar w:fldCharType="separate"/>
            </w:r>
            <w:r>
              <w:rPr>
                <w:b/>
                <w:bCs/>
                <w:color w:val="auto"/>
                <w:sz w:val="24"/>
                <w:szCs w:val="24"/>
                <w:highlight w:val="none"/>
              </w:rPr>
              <w:t>⑤</w:t>
            </w:r>
            <w:r>
              <w:rPr>
                <w:rFonts w:hint="eastAsia" w:cs="Times New Roman"/>
                <w:b/>
                <w:bCs/>
                <w:color w:val="auto"/>
                <w:sz w:val="24"/>
                <w:szCs w:val="24"/>
                <w:highlight w:val="none"/>
                <w:lang w:val="en-US" w:eastAsia="zh-CN"/>
              </w:rPr>
              <w:fldChar w:fldCharType="end"/>
            </w:r>
            <w:r>
              <w:rPr>
                <w:rFonts w:hint="eastAsia" w:cs="Times New Roman"/>
                <w:b/>
                <w:bCs/>
                <w:color w:val="auto"/>
                <w:sz w:val="24"/>
                <w:szCs w:val="24"/>
                <w:highlight w:val="none"/>
                <w:lang w:val="en-US" w:eastAsia="zh-CN"/>
              </w:rPr>
              <w:t>废液</w:t>
            </w:r>
          </w:p>
          <w:p w14:paraId="21D9B249">
            <w:pPr>
              <w:keepNext w:val="0"/>
              <w:keepLines w:val="0"/>
              <w:pageBreakBefore w:val="0"/>
              <w:widowControl/>
              <w:numPr>
                <w:ilvl w:val="0"/>
                <w:numId w:val="0"/>
              </w:numPr>
              <w:kinsoku/>
              <w:wordWrap/>
              <w:topLinePunct w:val="0"/>
              <w:bidi w:val="0"/>
              <w:adjustRightInd/>
              <w:snapToGrid w:val="0"/>
              <w:spacing w:line="353" w:lineRule="auto"/>
              <w:ind w:left="0" w:leftChars="0" w:right="0" w:rightChars="0" w:firstLine="482" w:firstLineChars="200"/>
              <w:rPr>
                <w:rFonts w:ascii="Times New Roman" w:hAnsi="Times New Roman" w:eastAsia="宋体" w:cs="Times New Roman"/>
                <w:b/>
                <w:bCs/>
                <w:caps w:val="0"/>
                <w:snapToGrid w:val="0"/>
                <w:color w:val="auto"/>
                <w:kern w:val="0"/>
                <w:sz w:val="24"/>
                <w:szCs w:val="24"/>
                <w:highlight w:val="none"/>
              </w:rPr>
            </w:pPr>
            <w:r>
              <w:rPr>
                <w:rFonts w:hint="eastAsia" w:cs="Times New Roman"/>
                <w:b/>
                <w:bCs/>
                <w:color w:val="auto"/>
                <w:sz w:val="24"/>
                <w:highlight w:val="none"/>
                <w:lang w:val="en-US" w:eastAsia="zh-CN"/>
              </w:rPr>
              <w:t>A.水帘气旋废液</w:t>
            </w:r>
          </w:p>
          <w:p w14:paraId="1FA13974">
            <w:pPr>
              <w:widowControl/>
              <w:snapToGrid w:val="0"/>
              <w:spacing w:line="360" w:lineRule="auto"/>
              <w:ind w:firstLine="480" w:firstLineChars="200"/>
              <w:rPr>
                <w:rFonts w:hint="eastAsia" w:ascii="Times New Roman" w:hAnsi="Times New Roman" w:eastAsia="宋体" w:cs="Times New Roman"/>
                <w:caps w:val="0"/>
                <w:snapToGrid w:val="0"/>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rPr>
              <w:t>根据</w:t>
            </w:r>
            <w:r>
              <w:rPr>
                <w:rFonts w:hint="eastAsia" w:cs="Times New Roman"/>
                <w:color w:val="auto"/>
                <w:sz w:val="24"/>
                <w:szCs w:val="24"/>
                <w:highlight w:val="none"/>
                <w:lang w:val="en-US" w:eastAsia="zh-CN"/>
              </w:rPr>
              <w:t>第二章节“2.7 项目水平衡及物料平衡”</w:t>
            </w:r>
            <w:r>
              <w:rPr>
                <w:rFonts w:hint="default" w:ascii="Times New Roman" w:hAnsi="Times New Roman" w:eastAsia="宋体" w:cs="Times New Roman"/>
                <w:color w:val="auto"/>
                <w:sz w:val="24"/>
                <w:szCs w:val="24"/>
                <w:highlight w:val="none"/>
              </w:rPr>
              <w:t>分析</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项目水帘气旋废液</w:t>
            </w:r>
            <w:r>
              <w:rPr>
                <w:rFonts w:hint="eastAsia" w:cs="Times New Roman"/>
                <w:color w:val="auto"/>
                <w:sz w:val="24"/>
                <w:highlight w:val="none"/>
                <w:lang w:val="en-US" w:eastAsia="zh-CN"/>
              </w:rPr>
              <w:t>总</w:t>
            </w:r>
            <w:r>
              <w:rPr>
                <w:rFonts w:hint="default" w:ascii="Times New Roman" w:hAnsi="Times New Roman" w:eastAsia="宋体" w:cs="Times New Roman"/>
                <w:caps w:val="0"/>
                <w:snapToGrid w:val="0"/>
                <w:color w:val="auto"/>
                <w:kern w:val="0"/>
                <w:sz w:val="24"/>
                <w:szCs w:val="24"/>
                <w:highlight w:val="none"/>
              </w:rPr>
              <w:t>产生量为</w:t>
            </w:r>
            <w:r>
              <w:rPr>
                <w:rFonts w:hint="eastAsia" w:cs="Times New Roman"/>
                <w:caps w:val="0"/>
                <w:snapToGrid w:val="0"/>
                <w:color w:val="auto"/>
                <w:kern w:val="0"/>
                <w:sz w:val="24"/>
                <w:szCs w:val="24"/>
                <w:highlight w:val="none"/>
                <w:lang w:val="en-US" w:eastAsia="zh-CN"/>
              </w:rPr>
              <w:t>5.292</w:t>
            </w:r>
            <w:r>
              <w:rPr>
                <w:rFonts w:hint="default" w:ascii="Times New Roman" w:hAnsi="Times New Roman" w:eastAsia="宋体" w:cs="Times New Roman"/>
                <w:caps w:val="0"/>
                <w:snapToGrid w:val="0"/>
                <w:color w:val="auto"/>
                <w:kern w:val="0"/>
                <w:sz w:val="24"/>
                <w:szCs w:val="24"/>
                <w:highlight w:val="none"/>
              </w:rPr>
              <w:t>t/a。根据《国家危险废物名录》</w:t>
            </w:r>
            <w:r>
              <w:rPr>
                <w:rFonts w:hint="eastAsia" w:cs="宋体"/>
                <w:color w:val="auto"/>
                <w:sz w:val="24"/>
                <w:highlight w:val="none"/>
              </w:rPr>
              <w:t>（2025版）</w:t>
            </w:r>
            <w:r>
              <w:rPr>
                <w:rFonts w:hint="default" w:ascii="Times New Roman" w:hAnsi="Times New Roman" w:eastAsia="宋体" w:cs="Times New Roman"/>
                <w:caps w:val="0"/>
                <w:snapToGrid w:val="0"/>
                <w:color w:val="auto"/>
                <w:kern w:val="0"/>
                <w:sz w:val="24"/>
                <w:szCs w:val="24"/>
                <w:highlight w:val="none"/>
              </w:rPr>
              <w:t>附录，</w:t>
            </w:r>
            <w:r>
              <w:rPr>
                <w:rFonts w:hint="eastAsia" w:cs="Times New Roman"/>
                <w:color w:val="auto"/>
                <w:sz w:val="24"/>
                <w:szCs w:val="24"/>
                <w:highlight w:val="none"/>
                <w:lang w:val="en-US" w:eastAsia="zh-CN"/>
              </w:rPr>
              <w:t>水帘气旋废液</w:t>
            </w:r>
            <w:r>
              <w:rPr>
                <w:rFonts w:hint="default" w:ascii="Times New Roman" w:hAnsi="Times New Roman" w:eastAsia="宋体" w:cs="Times New Roman"/>
                <w:caps w:val="0"/>
                <w:snapToGrid w:val="0"/>
                <w:color w:val="auto"/>
                <w:kern w:val="0"/>
                <w:sz w:val="24"/>
                <w:szCs w:val="24"/>
                <w:highlight w:val="none"/>
              </w:rPr>
              <w:t>属于危险废物，编号为HW</w:t>
            </w:r>
            <w:r>
              <w:rPr>
                <w:rFonts w:hint="eastAsia" w:cs="Times New Roman"/>
                <w:caps w:val="0"/>
                <w:snapToGrid w:val="0"/>
                <w:color w:val="auto"/>
                <w:kern w:val="0"/>
                <w:sz w:val="24"/>
                <w:szCs w:val="24"/>
                <w:highlight w:val="none"/>
                <w:lang w:val="en-US" w:eastAsia="zh-CN"/>
              </w:rPr>
              <w:t>09</w:t>
            </w:r>
            <w:r>
              <w:rPr>
                <w:rFonts w:hint="default" w:ascii="Times New Roman" w:hAnsi="Times New Roman" w:eastAsia="宋体" w:cs="Times New Roman"/>
                <w:caps w:val="0"/>
                <w:snapToGrid w:val="0"/>
                <w:color w:val="auto"/>
                <w:kern w:val="0"/>
                <w:sz w:val="24"/>
                <w:szCs w:val="24"/>
                <w:highlight w:val="none"/>
              </w:rPr>
              <w:t>（</w:t>
            </w:r>
            <w:r>
              <w:rPr>
                <w:rFonts w:hint="eastAsia" w:cs="Times New Roman"/>
                <w:caps w:val="0"/>
                <w:snapToGrid w:val="0"/>
                <w:color w:val="auto"/>
                <w:kern w:val="0"/>
                <w:sz w:val="24"/>
                <w:szCs w:val="24"/>
                <w:highlight w:val="none"/>
                <w:lang w:val="en-US" w:eastAsia="zh-CN"/>
              </w:rPr>
              <w:t>油/水、烃/水混合物或者乳化液</w:t>
            </w:r>
            <w:r>
              <w:rPr>
                <w:rFonts w:hint="default" w:ascii="Times New Roman" w:hAnsi="Times New Roman" w:eastAsia="宋体" w:cs="Times New Roman"/>
                <w:caps w:val="0"/>
                <w:snapToGrid w:val="0"/>
                <w:color w:val="auto"/>
                <w:kern w:val="0"/>
                <w:sz w:val="24"/>
                <w:szCs w:val="24"/>
                <w:highlight w:val="none"/>
              </w:rPr>
              <w:t>），废物代码900-</w:t>
            </w:r>
            <w:r>
              <w:rPr>
                <w:rFonts w:hint="eastAsia" w:cs="Times New Roman"/>
                <w:caps w:val="0"/>
                <w:snapToGrid w:val="0"/>
                <w:color w:val="auto"/>
                <w:kern w:val="0"/>
                <w:sz w:val="24"/>
                <w:szCs w:val="24"/>
                <w:highlight w:val="none"/>
                <w:lang w:val="en-US" w:eastAsia="zh-CN"/>
              </w:rPr>
              <w:t>007</w:t>
            </w:r>
            <w:r>
              <w:rPr>
                <w:rFonts w:hint="default" w:ascii="Times New Roman" w:hAnsi="Times New Roman" w:eastAsia="宋体" w:cs="Times New Roman"/>
                <w:caps w:val="0"/>
                <w:snapToGrid w:val="0"/>
                <w:color w:val="auto"/>
                <w:kern w:val="0"/>
                <w:sz w:val="24"/>
                <w:szCs w:val="24"/>
                <w:highlight w:val="none"/>
              </w:rPr>
              <w:t>-</w:t>
            </w:r>
            <w:r>
              <w:rPr>
                <w:rFonts w:hint="eastAsia" w:cs="Times New Roman"/>
                <w:caps w:val="0"/>
                <w:snapToGrid w:val="0"/>
                <w:color w:val="auto"/>
                <w:kern w:val="0"/>
                <w:sz w:val="24"/>
                <w:szCs w:val="24"/>
                <w:highlight w:val="none"/>
                <w:lang w:val="en-US" w:eastAsia="zh-CN"/>
              </w:rPr>
              <w:t>09（其他工艺过程中产生的废弃的油/水、烃/水混合物或者乳化液）</w:t>
            </w:r>
            <w:r>
              <w:rPr>
                <w:rFonts w:hint="default" w:ascii="Times New Roman" w:hAnsi="Times New Roman" w:eastAsia="宋体" w:cs="Times New Roman"/>
                <w:caps w:val="0"/>
                <w:snapToGrid w:val="0"/>
                <w:color w:val="auto"/>
                <w:kern w:val="0"/>
                <w:sz w:val="24"/>
                <w:szCs w:val="24"/>
                <w:highlight w:val="none"/>
              </w:rPr>
              <w:t>，</w:t>
            </w:r>
            <w:r>
              <w:rPr>
                <w:rFonts w:hint="eastAsia" w:ascii="Times New Roman" w:hAnsi="Times New Roman" w:eastAsia="宋体" w:cs="Times New Roman"/>
                <w:caps w:val="0"/>
                <w:snapToGrid w:val="0"/>
                <w:color w:val="auto"/>
                <w:kern w:val="0"/>
                <w:sz w:val="24"/>
                <w:szCs w:val="24"/>
                <w:highlight w:val="none"/>
                <w:lang w:val="en-US" w:eastAsia="zh-CN"/>
              </w:rPr>
              <w:t>集中收集后暂存于</w:t>
            </w:r>
            <w:r>
              <w:rPr>
                <w:rFonts w:hint="eastAsia" w:cs="Times New Roman"/>
                <w:caps w:val="0"/>
                <w:snapToGrid w:val="0"/>
                <w:color w:val="auto"/>
                <w:kern w:val="0"/>
                <w:sz w:val="24"/>
                <w:szCs w:val="24"/>
                <w:highlight w:val="none"/>
                <w:lang w:val="en-US" w:eastAsia="zh-CN"/>
              </w:rPr>
              <w:t>危废暂存间</w:t>
            </w:r>
            <w:r>
              <w:rPr>
                <w:rFonts w:hint="eastAsia" w:ascii="Times New Roman" w:hAnsi="Times New Roman" w:eastAsia="宋体" w:cs="Times New Roman"/>
                <w:caps w:val="0"/>
                <w:snapToGrid w:val="0"/>
                <w:color w:val="auto"/>
                <w:kern w:val="0"/>
                <w:sz w:val="24"/>
                <w:szCs w:val="24"/>
                <w:highlight w:val="none"/>
                <w:lang w:val="en-US" w:eastAsia="zh-CN"/>
              </w:rPr>
              <w:t>，并委托有资质单位进行处置。</w:t>
            </w:r>
          </w:p>
          <w:p w14:paraId="7CC28C5E">
            <w:pPr>
              <w:widowControl/>
              <w:numPr>
                <w:ilvl w:val="0"/>
                <w:numId w:val="0"/>
              </w:numPr>
              <w:snapToGrid w:val="0"/>
              <w:spacing w:line="360" w:lineRule="auto"/>
              <w:ind w:firstLine="482" w:firstLineChars="200"/>
              <w:rPr>
                <w:rFonts w:hint="eastAsia" w:cs="Times New Roman"/>
                <w:b/>
                <w:bCs/>
                <w:caps w:val="0"/>
                <w:snapToGrid w:val="0"/>
                <w:color w:val="auto"/>
                <w:kern w:val="0"/>
                <w:sz w:val="24"/>
                <w:szCs w:val="24"/>
                <w:highlight w:val="none"/>
                <w:lang w:val="en-US" w:eastAsia="zh-CN"/>
              </w:rPr>
            </w:pPr>
            <w:r>
              <w:rPr>
                <w:rFonts w:hint="eastAsia" w:ascii="Times New Roman" w:hAnsi="Times New Roman" w:eastAsia="宋体" w:cs="Times New Roman"/>
                <w:b/>
                <w:bCs/>
                <w:caps w:val="0"/>
                <w:snapToGrid w:val="0"/>
                <w:color w:val="auto"/>
                <w:kern w:val="0"/>
                <w:sz w:val="24"/>
                <w:szCs w:val="24"/>
                <w:highlight w:val="none"/>
                <w:lang w:val="en-US" w:eastAsia="zh-CN" w:bidi="ar-SA"/>
              </w:rPr>
              <w:t>B.</w:t>
            </w:r>
            <w:r>
              <w:rPr>
                <w:rFonts w:hint="eastAsia" w:cs="Times New Roman"/>
                <w:b/>
                <w:bCs/>
                <w:caps w:val="0"/>
                <w:snapToGrid w:val="0"/>
                <w:color w:val="auto"/>
                <w:kern w:val="0"/>
                <w:sz w:val="24"/>
                <w:szCs w:val="24"/>
                <w:highlight w:val="none"/>
                <w:lang w:val="en-US" w:eastAsia="zh-CN"/>
              </w:rPr>
              <w:t>喷枪清洗废液</w:t>
            </w:r>
          </w:p>
          <w:p w14:paraId="24B714AF">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cs="Times New Roman"/>
                <w:caps w:val="0"/>
                <w:snapToGrid w:val="0"/>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rPr>
              <w:t>根据</w:t>
            </w:r>
            <w:r>
              <w:rPr>
                <w:rFonts w:hint="eastAsia" w:cs="Times New Roman"/>
                <w:color w:val="auto"/>
                <w:sz w:val="24"/>
                <w:szCs w:val="24"/>
                <w:highlight w:val="none"/>
                <w:lang w:val="en-US" w:eastAsia="zh-CN"/>
              </w:rPr>
              <w:t>第二章节“2.7 项目水平衡及物料平衡”</w:t>
            </w:r>
            <w:r>
              <w:rPr>
                <w:rFonts w:hint="default" w:ascii="Times New Roman" w:hAnsi="Times New Roman" w:eastAsia="宋体" w:cs="Times New Roman"/>
                <w:color w:val="auto"/>
                <w:sz w:val="24"/>
                <w:szCs w:val="24"/>
                <w:highlight w:val="none"/>
              </w:rPr>
              <w:t>分析</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项目喷枪清洗废液</w:t>
            </w:r>
            <w:r>
              <w:rPr>
                <w:rFonts w:hint="eastAsia" w:cs="Times New Roman"/>
                <w:color w:val="auto"/>
                <w:sz w:val="24"/>
                <w:highlight w:val="none"/>
                <w:lang w:val="en-US" w:eastAsia="zh-CN"/>
              </w:rPr>
              <w:t>总</w:t>
            </w:r>
            <w:r>
              <w:rPr>
                <w:rFonts w:hint="default" w:ascii="Times New Roman" w:hAnsi="Times New Roman" w:eastAsia="宋体" w:cs="Times New Roman"/>
                <w:caps w:val="0"/>
                <w:snapToGrid w:val="0"/>
                <w:color w:val="auto"/>
                <w:kern w:val="0"/>
                <w:sz w:val="24"/>
                <w:szCs w:val="24"/>
                <w:highlight w:val="none"/>
              </w:rPr>
              <w:t>产生量为</w:t>
            </w:r>
            <w:r>
              <w:rPr>
                <w:rFonts w:hint="eastAsia" w:cs="Times New Roman"/>
                <w:caps w:val="0"/>
                <w:snapToGrid w:val="0"/>
                <w:color w:val="auto"/>
                <w:kern w:val="0"/>
                <w:sz w:val="24"/>
                <w:szCs w:val="24"/>
                <w:highlight w:val="none"/>
                <w:lang w:val="en-US" w:eastAsia="zh-CN"/>
              </w:rPr>
              <w:t>0.3</w:t>
            </w:r>
            <w:r>
              <w:rPr>
                <w:rFonts w:hint="default" w:ascii="Times New Roman" w:hAnsi="Times New Roman" w:eastAsia="宋体" w:cs="Times New Roman"/>
                <w:caps w:val="0"/>
                <w:snapToGrid w:val="0"/>
                <w:color w:val="auto"/>
                <w:kern w:val="0"/>
                <w:sz w:val="24"/>
                <w:szCs w:val="24"/>
                <w:highlight w:val="none"/>
              </w:rPr>
              <w:t>t/a。根据《国家危险废物名录》</w:t>
            </w:r>
            <w:r>
              <w:rPr>
                <w:rFonts w:hint="eastAsia" w:cs="宋体"/>
                <w:color w:val="auto"/>
                <w:sz w:val="24"/>
                <w:highlight w:val="none"/>
              </w:rPr>
              <w:t>（2025版）</w:t>
            </w:r>
            <w:r>
              <w:rPr>
                <w:rFonts w:hint="default" w:ascii="Times New Roman" w:hAnsi="Times New Roman" w:eastAsia="宋体" w:cs="Times New Roman"/>
                <w:caps w:val="0"/>
                <w:snapToGrid w:val="0"/>
                <w:color w:val="auto"/>
                <w:kern w:val="0"/>
                <w:sz w:val="24"/>
                <w:szCs w:val="24"/>
                <w:highlight w:val="none"/>
              </w:rPr>
              <w:t>附录，</w:t>
            </w:r>
            <w:r>
              <w:rPr>
                <w:rFonts w:hint="eastAsia" w:cs="Times New Roman"/>
                <w:color w:val="auto"/>
                <w:sz w:val="24"/>
                <w:szCs w:val="24"/>
                <w:highlight w:val="none"/>
                <w:lang w:val="en-US" w:eastAsia="zh-CN"/>
              </w:rPr>
              <w:t>喷枪清洗废液</w:t>
            </w:r>
            <w:r>
              <w:rPr>
                <w:rFonts w:hint="default" w:ascii="Times New Roman" w:hAnsi="Times New Roman" w:eastAsia="宋体" w:cs="Times New Roman"/>
                <w:caps w:val="0"/>
                <w:snapToGrid w:val="0"/>
                <w:color w:val="auto"/>
                <w:kern w:val="0"/>
                <w:sz w:val="24"/>
                <w:szCs w:val="24"/>
                <w:highlight w:val="none"/>
              </w:rPr>
              <w:t>属于危险废物，编号为HW</w:t>
            </w:r>
            <w:r>
              <w:rPr>
                <w:rFonts w:hint="eastAsia" w:cs="Times New Roman"/>
                <w:caps w:val="0"/>
                <w:snapToGrid w:val="0"/>
                <w:color w:val="auto"/>
                <w:kern w:val="0"/>
                <w:sz w:val="24"/>
                <w:szCs w:val="24"/>
                <w:highlight w:val="none"/>
                <w:lang w:val="en-US" w:eastAsia="zh-CN"/>
              </w:rPr>
              <w:t>09</w:t>
            </w:r>
            <w:r>
              <w:rPr>
                <w:rFonts w:hint="default" w:ascii="Times New Roman" w:hAnsi="Times New Roman" w:eastAsia="宋体" w:cs="Times New Roman"/>
                <w:caps w:val="0"/>
                <w:snapToGrid w:val="0"/>
                <w:color w:val="auto"/>
                <w:kern w:val="0"/>
                <w:sz w:val="24"/>
                <w:szCs w:val="24"/>
                <w:highlight w:val="none"/>
              </w:rPr>
              <w:t>（</w:t>
            </w:r>
            <w:r>
              <w:rPr>
                <w:rFonts w:hint="eastAsia" w:cs="Times New Roman"/>
                <w:caps w:val="0"/>
                <w:snapToGrid w:val="0"/>
                <w:color w:val="auto"/>
                <w:kern w:val="0"/>
                <w:sz w:val="24"/>
                <w:szCs w:val="24"/>
                <w:highlight w:val="none"/>
                <w:lang w:val="en-US" w:eastAsia="zh-CN"/>
              </w:rPr>
              <w:t>油/水、烃/水混合物或者乳化液</w:t>
            </w:r>
            <w:r>
              <w:rPr>
                <w:rFonts w:hint="default" w:ascii="Times New Roman" w:hAnsi="Times New Roman" w:eastAsia="宋体" w:cs="Times New Roman"/>
                <w:caps w:val="0"/>
                <w:snapToGrid w:val="0"/>
                <w:color w:val="auto"/>
                <w:kern w:val="0"/>
                <w:sz w:val="24"/>
                <w:szCs w:val="24"/>
                <w:highlight w:val="none"/>
              </w:rPr>
              <w:t>），废物代码900-</w:t>
            </w:r>
            <w:r>
              <w:rPr>
                <w:rFonts w:hint="eastAsia" w:cs="Times New Roman"/>
                <w:caps w:val="0"/>
                <w:snapToGrid w:val="0"/>
                <w:color w:val="auto"/>
                <w:kern w:val="0"/>
                <w:sz w:val="24"/>
                <w:szCs w:val="24"/>
                <w:highlight w:val="none"/>
                <w:lang w:val="en-US" w:eastAsia="zh-CN"/>
              </w:rPr>
              <w:t>007</w:t>
            </w:r>
            <w:r>
              <w:rPr>
                <w:rFonts w:hint="default" w:ascii="Times New Roman" w:hAnsi="Times New Roman" w:eastAsia="宋体" w:cs="Times New Roman"/>
                <w:caps w:val="0"/>
                <w:snapToGrid w:val="0"/>
                <w:color w:val="auto"/>
                <w:kern w:val="0"/>
                <w:sz w:val="24"/>
                <w:szCs w:val="24"/>
                <w:highlight w:val="none"/>
              </w:rPr>
              <w:t>-</w:t>
            </w:r>
            <w:r>
              <w:rPr>
                <w:rFonts w:hint="eastAsia" w:cs="Times New Roman"/>
                <w:caps w:val="0"/>
                <w:snapToGrid w:val="0"/>
                <w:color w:val="auto"/>
                <w:kern w:val="0"/>
                <w:sz w:val="24"/>
                <w:szCs w:val="24"/>
                <w:highlight w:val="none"/>
                <w:lang w:val="en-US" w:eastAsia="zh-CN"/>
              </w:rPr>
              <w:t>09（其他工艺过程中产生的废弃的油/水、烃/水混合物或者乳化液）</w:t>
            </w:r>
            <w:r>
              <w:rPr>
                <w:rFonts w:hint="default" w:ascii="Times New Roman" w:hAnsi="Times New Roman" w:eastAsia="宋体" w:cs="Times New Roman"/>
                <w:caps w:val="0"/>
                <w:snapToGrid w:val="0"/>
                <w:color w:val="auto"/>
                <w:kern w:val="0"/>
                <w:sz w:val="24"/>
                <w:szCs w:val="24"/>
                <w:highlight w:val="none"/>
              </w:rPr>
              <w:t>，</w:t>
            </w:r>
            <w:r>
              <w:rPr>
                <w:rFonts w:hint="eastAsia" w:ascii="Times New Roman" w:hAnsi="Times New Roman" w:eastAsia="宋体" w:cs="Times New Roman"/>
                <w:caps w:val="0"/>
                <w:snapToGrid w:val="0"/>
                <w:color w:val="auto"/>
                <w:kern w:val="0"/>
                <w:sz w:val="24"/>
                <w:szCs w:val="24"/>
                <w:highlight w:val="none"/>
                <w:lang w:val="en-US" w:eastAsia="zh-CN"/>
              </w:rPr>
              <w:t>集中收集后暂存于</w:t>
            </w:r>
            <w:r>
              <w:rPr>
                <w:rFonts w:hint="eastAsia" w:cs="Times New Roman"/>
                <w:caps w:val="0"/>
                <w:snapToGrid w:val="0"/>
                <w:color w:val="auto"/>
                <w:kern w:val="0"/>
                <w:sz w:val="24"/>
                <w:szCs w:val="24"/>
                <w:highlight w:val="none"/>
                <w:lang w:val="en-US" w:eastAsia="zh-CN"/>
              </w:rPr>
              <w:t>危废暂存间</w:t>
            </w:r>
            <w:r>
              <w:rPr>
                <w:rFonts w:hint="eastAsia" w:ascii="Times New Roman" w:hAnsi="Times New Roman" w:eastAsia="宋体" w:cs="Times New Roman"/>
                <w:caps w:val="0"/>
                <w:snapToGrid w:val="0"/>
                <w:color w:val="auto"/>
                <w:kern w:val="0"/>
                <w:sz w:val="24"/>
                <w:szCs w:val="24"/>
                <w:highlight w:val="none"/>
                <w:lang w:val="en-US" w:eastAsia="zh-CN"/>
              </w:rPr>
              <w:t>，并委托有资质单位进行处置。</w:t>
            </w:r>
          </w:p>
          <w:p w14:paraId="0CD2FE03">
            <w:pPr>
              <w:keepNext w:val="0"/>
              <w:keepLines w:val="0"/>
              <w:pageBreakBefore w:val="0"/>
              <w:widowControl/>
              <w:numPr>
                <w:ilvl w:val="0"/>
                <w:numId w:val="0"/>
              </w:numPr>
              <w:kinsoku/>
              <w:wordWrap/>
              <w:topLinePunct w:val="0"/>
              <w:bidi w:val="0"/>
              <w:adjustRightInd/>
              <w:snapToGrid w:val="0"/>
              <w:spacing w:line="353" w:lineRule="auto"/>
              <w:ind w:left="0" w:leftChars="0" w:right="0" w:rightChars="0" w:firstLine="482" w:firstLineChars="200"/>
              <w:rPr>
                <w:rFonts w:hint="eastAsia" w:ascii="Times New Roman" w:hAnsi="Times New Roman" w:eastAsia="宋体" w:cs="Times New Roman"/>
                <w:b/>
                <w:bCs/>
                <w:color w:val="auto"/>
                <w:spacing w:val="0"/>
                <w:position w:val="0"/>
                <w:sz w:val="24"/>
                <w:szCs w:val="24"/>
                <w:highlight w:val="none"/>
                <w:lang w:eastAsia="zh-CN"/>
              </w:rPr>
            </w:pPr>
            <w:r>
              <w:rPr>
                <w:rFonts w:hint="eastAsia" w:ascii="Times New Roman" w:hAnsi="Times New Roman" w:eastAsia="宋体" w:cs="Times New Roman"/>
                <w:b/>
                <w:bCs/>
                <w:color w:val="auto"/>
                <w:spacing w:val="0"/>
                <w:kern w:val="2"/>
                <w:position w:val="0"/>
                <w:sz w:val="24"/>
                <w:szCs w:val="24"/>
                <w:highlight w:val="none"/>
                <w:lang w:val="en-US" w:eastAsia="zh-CN" w:bidi="ar-SA"/>
              </w:rPr>
              <w:fldChar w:fldCharType="begin"/>
            </w:r>
            <w:r>
              <w:rPr>
                <w:rFonts w:hint="eastAsia" w:ascii="Times New Roman" w:hAnsi="Times New Roman" w:eastAsia="宋体" w:cs="Times New Roman"/>
                <w:b/>
                <w:bCs/>
                <w:color w:val="auto"/>
                <w:spacing w:val="0"/>
                <w:kern w:val="2"/>
                <w:position w:val="0"/>
                <w:sz w:val="24"/>
                <w:szCs w:val="24"/>
                <w:highlight w:val="none"/>
                <w:lang w:val="en-US" w:eastAsia="zh-CN" w:bidi="ar-SA"/>
              </w:rPr>
              <w:instrText xml:space="preserve"> = 6 \* GB3 \* MERGEFORMAT </w:instrText>
            </w:r>
            <w:r>
              <w:rPr>
                <w:rFonts w:hint="eastAsia" w:ascii="Times New Roman" w:hAnsi="Times New Roman" w:eastAsia="宋体" w:cs="Times New Roman"/>
                <w:b/>
                <w:bCs/>
                <w:color w:val="auto"/>
                <w:spacing w:val="0"/>
                <w:kern w:val="2"/>
                <w:position w:val="0"/>
                <w:sz w:val="24"/>
                <w:szCs w:val="24"/>
                <w:highlight w:val="none"/>
                <w:lang w:val="en-US" w:eastAsia="zh-CN" w:bidi="ar-SA"/>
              </w:rPr>
              <w:fldChar w:fldCharType="separate"/>
            </w:r>
            <w:r>
              <w:rPr>
                <w:b/>
                <w:bCs/>
                <w:color w:val="auto"/>
                <w:sz w:val="24"/>
                <w:szCs w:val="24"/>
                <w:highlight w:val="none"/>
              </w:rPr>
              <w:t>⑥</w:t>
            </w:r>
            <w:r>
              <w:rPr>
                <w:rFonts w:hint="eastAsia" w:ascii="Times New Roman" w:hAnsi="Times New Roman" w:eastAsia="宋体" w:cs="Times New Roman"/>
                <w:b/>
                <w:bCs/>
                <w:color w:val="auto"/>
                <w:spacing w:val="0"/>
                <w:kern w:val="2"/>
                <w:position w:val="0"/>
                <w:sz w:val="24"/>
                <w:szCs w:val="24"/>
                <w:highlight w:val="none"/>
                <w:lang w:val="en-US" w:eastAsia="zh-CN" w:bidi="ar-SA"/>
              </w:rPr>
              <w:fldChar w:fldCharType="end"/>
            </w:r>
            <w:r>
              <w:rPr>
                <w:rFonts w:hint="eastAsia" w:cs="Times New Roman"/>
                <w:b/>
                <w:bCs/>
                <w:color w:val="auto"/>
                <w:spacing w:val="0"/>
                <w:position w:val="0"/>
                <w:sz w:val="24"/>
                <w:szCs w:val="24"/>
                <w:highlight w:val="none"/>
                <w:lang w:eastAsia="zh-CN"/>
              </w:rPr>
              <w:t>废化学品包装物</w:t>
            </w:r>
          </w:p>
          <w:p w14:paraId="05F445C7">
            <w:pPr>
              <w:keepNext w:val="0"/>
              <w:keepLines w:val="0"/>
              <w:pageBreakBefore w:val="0"/>
              <w:widowControl/>
              <w:kinsoku/>
              <w:wordWrap/>
              <w:topLinePunct w:val="0"/>
              <w:bidi w:val="0"/>
              <w:adjustRightInd/>
              <w:snapToGrid w:val="0"/>
              <w:spacing w:line="353" w:lineRule="auto"/>
              <w:ind w:right="0" w:firstLine="482" w:firstLineChars="200"/>
              <w:rPr>
                <w:rFonts w:hint="default" w:cs="Times New Roman"/>
                <w:b w:val="0"/>
                <w:bCs w:val="0"/>
                <w:color w:val="auto"/>
                <w:spacing w:val="0"/>
                <w:position w:val="0"/>
                <w:sz w:val="24"/>
                <w:szCs w:val="24"/>
                <w:highlight w:val="none"/>
                <w:lang w:val="en-US" w:eastAsia="zh-CN"/>
              </w:rPr>
            </w:pPr>
            <w:r>
              <w:rPr>
                <w:rFonts w:hint="eastAsia" w:cs="Times New Roman"/>
                <w:b/>
                <w:bCs/>
                <w:color w:val="auto"/>
                <w:spacing w:val="0"/>
                <w:position w:val="0"/>
                <w:sz w:val="24"/>
                <w:szCs w:val="24"/>
                <w:highlight w:val="none"/>
                <w:lang w:val="en-US" w:eastAsia="zh-CN"/>
              </w:rPr>
              <w:t>A.废化学品包装桶</w:t>
            </w:r>
          </w:p>
          <w:p w14:paraId="2ECCD356">
            <w:pPr>
              <w:keepNext w:val="0"/>
              <w:keepLines w:val="0"/>
              <w:pageBreakBefore w:val="0"/>
              <w:widowControl/>
              <w:kinsoku/>
              <w:wordWrap/>
              <w:topLinePunct w:val="0"/>
              <w:bidi w:val="0"/>
              <w:adjustRightInd/>
              <w:snapToGrid w:val="0"/>
              <w:spacing w:line="353" w:lineRule="auto"/>
              <w:ind w:right="0" w:firstLine="480" w:firstLineChars="200"/>
              <w:rPr>
                <w:rFonts w:ascii="Times New Roman" w:hAnsi="Times New Roman" w:eastAsia="宋体" w:cs="Times New Roman"/>
                <w:b w:val="0"/>
                <w:bCs/>
                <w:color w:val="auto"/>
                <w:spacing w:val="0"/>
                <w:kern w:val="0"/>
                <w:sz w:val="24"/>
                <w:szCs w:val="24"/>
                <w:highlight w:val="none"/>
                <w:lang w:bidi="ar"/>
              </w:rPr>
            </w:pPr>
            <w:r>
              <w:rPr>
                <w:rFonts w:hint="default" w:ascii="Times New Roman" w:hAnsi="Times New Roman" w:eastAsia="宋体" w:cs="Times New Roman"/>
                <w:b w:val="0"/>
                <w:bCs w:val="0"/>
                <w:color w:val="auto"/>
                <w:spacing w:val="0"/>
                <w:position w:val="0"/>
                <w:sz w:val="24"/>
                <w:szCs w:val="24"/>
                <w:highlight w:val="none"/>
                <w:lang w:eastAsia="zh-CN"/>
              </w:rPr>
              <w:t>项目生产过程中使用</w:t>
            </w:r>
            <w:r>
              <w:rPr>
                <w:rFonts w:hint="eastAsia" w:cs="Times New Roman"/>
                <w:color w:val="auto"/>
                <w:spacing w:val="0"/>
                <w:kern w:val="0"/>
                <w:position w:val="0"/>
                <w:sz w:val="24"/>
                <w:szCs w:val="24"/>
                <w:highlight w:val="none"/>
                <w:lang w:val="en-US" w:eastAsia="zh-CN" w:bidi="ar"/>
              </w:rPr>
              <w:t>油性漆、水性漆</w:t>
            </w:r>
            <w:r>
              <w:rPr>
                <w:rFonts w:hint="eastAsia" w:ascii="Times New Roman" w:hAnsi="Times New Roman" w:eastAsia="宋体" w:cs="Times New Roman"/>
                <w:color w:val="auto"/>
                <w:spacing w:val="0"/>
                <w:kern w:val="0"/>
                <w:position w:val="0"/>
                <w:sz w:val="24"/>
                <w:szCs w:val="24"/>
                <w:highlight w:val="none"/>
                <w:lang w:val="en-US" w:eastAsia="zh-CN" w:bidi="ar"/>
              </w:rPr>
              <w:t>、</w:t>
            </w:r>
            <w:r>
              <w:rPr>
                <w:rFonts w:hint="eastAsia" w:cs="Times New Roman"/>
                <w:color w:val="auto"/>
                <w:spacing w:val="0"/>
                <w:kern w:val="0"/>
                <w:position w:val="0"/>
                <w:sz w:val="24"/>
                <w:szCs w:val="24"/>
                <w:highlight w:val="none"/>
                <w:lang w:val="en-US" w:eastAsia="zh-CN" w:bidi="ar"/>
              </w:rPr>
              <w:t>固化剂</w:t>
            </w:r>
            <w:r>
              <w:rPr>
                <w:rFonts w:hint="eastAsia" w:ascii="Times New Roman" w:hAnsi="Times New Roman" w:eastAsia="宋体" w:cs="Times New Roman"/>
                <w:color w:val="auto"/>
                <w:spacing w:val="0"/>
                <w:kern w:val="0"/>
                <w:position w:val="0"/>
                <w:sz w:val="24"/>
                <w:szCs w:val="24"/>
                <w:highlight w:val="none"/>
                <w:lang w:val="en-US" w:eastAsia="zh-CN" w:bidi="ar"/>
              </w:rPr>
              <w:t>、</w:t>
            </w:r>
            <w:r>
              <w:rPr>
                <w:rFonts w:hint="eastAsia" w:cs="Times New Roman"/>
                <w:color w:val="auto"/>
                <w:spacing w:val="0"/>
                <w:kern w:val="0"/>
                <w:position w:val="0"/>
                <w:sz w:val="24"/>
                <w:szCs w:val="24"/>
                <w:highlight w:val="none"/>
                <w:lang w:val="en-US" w:eastAsia="zh-CN" w:bidi="ar"/>
              </w:rPr>
              <w:t>稀释剂</w:t>
            </w:r>
            <w:r>
              <w:rPr>
                <w:rFonts w:hint="default" w:ascii="Times New Roman" w:hAnsi="Times New Roman" w:eastAsia="宋体" w:cs="Times New Roman"/>
                <w:b w:val="0"/>
                <w:bCs w:val="0"/>
                <w:color w:val="auto"/>
                <w:spacing w:val="0"/>
                <w:position w:val="0"/>
                <w:sz w:val="24"/>
                <w:szCs w:val="24"/>
                <w:highlight w:val="none"/>
                <w:lang w:eastAsia="zh-CN"/>
              </w:rPr>
              <w:t>会产生</w:t>
            </w:r>
            <w:r>
              <w:rPr>
                <w:rFonts w:hint="eastAsia" w:cs="Times New Roman"/>
                <w:b w:val="0"/>
                <w:bCs w:val="0"/>
                <w:color w:val="auto"/>
                <w:spacing w:val="0"/>
                <w:position w:val="0"/>
                <w:sz w:val="24"/>
                <w:szCs w:val="24"/>
                <w:highlight w:val="none"/>
                <w:lang w:eastAsia="zh-CN"/>
              </w:rPr>
              <w:t>废化学品包装</w:t>
            </w:r>
            <w:r>
              <w:rPr>
                <w:rFonts w:hint="eastAsia" w:cs="Times New Roman"/>
                <w:b w:val="0"/>
                <w:bCs w:val="0"/>
                <w:color w:val="auto"/>
                <w:spacing w:val="0"/>
                <w:position w:val="0"/>
                <w:sz w:val="24"/>
                <w:szCs w:val="24"/>
                <w:highlight w:val="none"/>
                <w:lang w:val="en-US" w:eastAsia="zh-CN"/>
              </w:rPr>
              <w:t>桶</w:t>
            </w:r>
            <w:r>
              <w:rPr>
                <w:rFonts w:ascii="Times New Roman" w:hAnsi="Times New Roman" w:eastAsia="宋体" w:cs="Times New Roman"/>
                <w:b w:val="0"/>
                <w:bCs w:val="0"/>
                <w:color w:val="auto"/>
                <w:spacing w:val="0"/>
                <w:kern w:val="0"/>
                <w:sz w:val="24"/>
                <w:szCs w:val="24"/>
                <w:highlight w:val="none"/>
                <w:lang w:bidi="ar"/>
              </w:rPr>
              <w:t>。</w:t>
            </w:r>
            <w:r>
              <w:rPr>
                <w:rFonts w:hint="eastAsia" w:ascii="Times New Roman" w:hAnsi="Times New Roman" w:eastAsia="宋体" w:cs="Times New Roman"/>
                <w:b w:val="0"/>
                <w:bCs/>
                <w:color w:val="auto"/>
                <w:spacing w:val="0"/>
                <w:sz w:val="24"/>
                <w:szCs w:val="24"/>
                <w:highlight w:val="none"/>
              </w:rPr>
              <w:t>产生情况如下表</w:t>
            </w:r>
            <w:r>
              <w:rPr>
                <w:rFonts w:ascii="Times New Roman" w:hAnsi="Times New Roman" w:eastAsia="宋体" w:cs="Times New Roman"/>
                <w:b w:val="0"/>
                <w:bCs/>
                <w:color w:val="auto"/>
                <w:spacing w:val="0"/>
                <w:kern w:val="0"/>
                <w:sz w:val="24"/>
                <w:szCs w:val="24"/>
                <w:highlight w:val="none"/>
              </w:rPr>
              <w:t>见</w:t>
            </w:r>
            <w:r>
              <w:rPr>
                <w:rFonts w:ascii="Times New Roman" w:hAnsi="Times New Roman" w:eastAsia="宋体" w:cs="Times New Roman"/>
                <w:b w:val="0"/>
                <w:bCs/>
                <w:color w:val="auto"/>
                <w:spacing w:val="0"/>
                <w:sz w:val="24"/>
                <w:szCs w:val="24"/>
                <w:highlight w:val="none"/>
              </w:rPr>
              <w:t>表</w:t>
            </w:r>
            <w:r>
              <w:rPr>
                <w:rFonts w:hint="eastAsia" w:ascii="Times New Roman" w:hAnsi="Times New Roman" w:eastAsia="宋体" w:cs="Times New Roman"/>
                <w:b w:val="0"/>
                <w:bCs/>
                <w:color w:val="auto"/>
                <w:spacing w:val="0"/>
                <w:sz w:val="24"/>
                <w:szCs w:val="24"/>
                <w:highlight w:val="none"/>
              </w:rPr>
              <w:t>4</w:t>
            </w:r>
            <w:r>
              <w:rPr>
                <w:rFonts w:hint="eastAsia" w:ascii="Times New Roman" w:hAnsi="Times New Roman" w:eastAsia="宋体" w:cs="Times New Roman"/>
                <w:b w:val="0"/>
                <w:bCs/>
                <w:color w:val="auto"/>
                <w:spacing w:val="0"/>
                <w:sz w:val="24"/>
                <w:szCs w:val="24"/>
                <w:highlight w:val="none"/>
                <w:lang w:val="en-US" w:eastAsia="zh-CN"/>
              </w:rPr>
              <w:t>.4-</w:t>
            </w:r>
            <w:r>
              <w:rPr>
                <w:rFonts w:hint="eastAsia" w:cs="Times New Roman"/>
                <w:b w:val="0"/>
                <w:bCs/>
                <w:color w:val="auto"/>
                <w:spacing w:val="0"/>
                <w:sz w:val="24"/>
                <w:szCs w:val="24"/>
                <w:highlight w:val="none"/>
                <w:lang w:val="en-US" w:eastAsia="zh-CN"/>
              </w:rPr>
              <w:t>1</w:t>
            </w:r>
            <w:r>
              <w:rPr>
                <w:rFonts w:hint="eastAsia" w:ascii="Times New Roman" w:hAnsi="Times New Roman" w:eastAsia="宋体" w:cs="Times New Roman"/>
                <w:b w:val="0"/>
                <w:bCs/>
                <w:color w:val="auto"/>
                <w:spacing w:val="0"/>
                <w:sz w:val="24"/>
                <w:szCs w:val="24"/>
                <w:highlight w:val="none"/>
              </w:rPr>
              <w:t>。</w:t>
            </w:r>
          </w:p>
          <w:p w14:paraId="7430EDC4">
            <w:pPr>
              <w:adjustRightInd w:val="0"/>
              <w:snapToGrid w:val="0"/>
              <w:spacing w:line="240" w:lineRule="auto"/>
              <w:jc w:val="center"/>
              <w:rPr>
                <w:rFonts w:hint="eastAsia" w:ascii="Times New Roman" w:hAnsi="Times New Roman" w:eastAsia="宋体" w:cs="Times New Roman"/>
                <w:b/>
                <w:bCs/>
                <w:color w:val="auto"/>
                <w:spacing w:val="0"/>
                <w:sz w:val="24"/>
                <w:szCs w:val="24"/>
                <w:highlight w:val="none"/>
              </w:rPr>
            </w:pPr>
            <w:r>
              <w:rPr>
                <w:rFonts w:ascii="Times New Roman" w:hAnsi="Times New Roman" w:eastAsia="宋体" w:cs="Times New Roman"/>
                <w:b/>
                <w:color w:val="auto"/>
                <w:spacing w:val="0"/>
                <w:sz w:val="24"/>
                <w:szCs w:val="24"/>
                <w:highlight w:val="none"/>
              </w:rPr>
              <w:t>表</w:t>
            </w:r>
            <w:r>
              <w:rPr>
                <w:rFonts w:hint="eastAsia" w:ascii="Times New Roman" w:hAnsi="Times New Roman" w:eastAsia="宋体" w:cs="Times New Roman"/>
                <w:b/>
                <w:color w:val="auto"/>
                <w:spacing w:val="0"/>
                <w:sz w:val="24"/>
                <w:szCs w:val="24"/>
                <w:highlight w:val="none"/>
              </w:rPr>
              <w:t>4</w:t>
            </w:r>
            <w:r>
              <w:rPr>
                <w:rFonts w:hint="eastAsia" w:ascii="Times New Roman" w:hAnsi="Times New Roman" w:eastAsia="宋体" w:cs="Times New Roman"/>
                <w:b/>
                <w:color w:val="auto"/>
                <w:spacing w:val="0"/>
                <w:sz w:val="24"/>
                <w:szCs w:val="24"/>
                <w:highlight w:val="none"/>
                <w:lang w:val="en-US" w:eastAsia="zh-CN"/>
              </w:rPr>
              <w:t>.4-</w:t>
            </w:r>
            <w:r>
              <w:rPr>
                <w:rFonts w:hint="eastAsia" w:cs="Times New Roman"/>
                <w:b/>
                <w:color w:val="auto"/>
                <w:spacing w:val="0"/>
                <w:sz w:val="24"/>
                <w:szCs w:val="24"/>
                <w:highlight w:val="none"/>
                <w:lang w:val="en-US" w:eastAsia="zh-CN"/>
              </w:rPr>
              <w:t xml:space="preserve">1 </w:t>
            </w:r>
            <w:r>
              <w:rPr>
                <w:rFonts w:hint="eastAsia" w:ascii="Times New Roman" w:hAnsi="Times New Roman" w:eastAsia="宋体" w:cs="Times New Roman"/>
                <w:b/>
                <w:bCs/>
                <w:color w:val="auto"/>
                <w:spacing w:val="0"/>
                <w:sz w:val="24"/>
                <w:szCs w:val="24"/>
                <w:highlight w:val="none"/>
              </w:rPr>
              <w:t>废化学品包装</w:t>
            </w:r>
            <w:r>
              <w:rPr>
                <w:rFonts w:hint="eastAsia" w:cs="Times New Roman"/>
                <w:b/>
                <w:bCs/>
                <w:color w:val="auto"/>
                <w:spacing w:val="0"/>
                <w:sz w:val="24"/>
                <w:szCs w:val="24"/>
                <w:highlight w:val="none"/>
                <w:lang w:val="en-US" w:eastAsia="zh-CN"/>
              </w:rPr>
              <w:t>桶</w:t>
            </w:r>
            <w:r>
              <w:rPr>
                <w:rFonts w:hint="eastAsia" w:ascii="Times New Roman" w:hAnsi="Times New Roman" w:eastAsia="宋体" w:cs="Times New Roman"/>
                <w:b/>
                <w:bCs/>
                <w:color w:val="auto"/>
                <w:spacing w:val="0"/>
                <w:sz w:val="24"/>
                <w:szCs w:val="24"/>
                <w:highlight w:val="none"/>
              </w:rPr>
              <w:t>产生情况一览表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1299"/>
              <w:gridCol w:w="1535"/>
              <w:gridCol w:w="1585"/>
              <w:gridCol w:w="1706"/>
              <w:gridCol w:w="1503"/>
            </w:tblGrid>
            <w:tr w14:paraId="574E5E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1" w:type="dxa"/>
                  <w:tcBorders>
                    <w:tl2br w:val="nil"/>
                    <w:tr2bl w:val="nil"/>
                  </w:tcBorders>
                  <w:noWrap w:val="0"/>
                  <w:vAlign w:val="center"/>
                </w:tcPr>
                <w:p w14:paraId="5B588617">
                  <w:pPr>
                    <w:adjustRightInd w:val="0"/>
                    <w:snapToGrid w:val="0"/>
                    <w:spacing w:line="240" w:lineRule="auto"/>
                    <w:ind w:firstLine="0" w:firstLineChars="0"/>
                    <w:jc w:val="center"/>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原辅料名称</w:t>
                  </w:r>
                </w:p>
              </w:tc>
              <w:tc>
                <w:tcPr>
                  <w:tcW w:w="1305" w:type="dxa"/>
                  <w:tcBorders>
                    <w:tl2br w:val="nil"/>
                    <w:tr2bl w:val="nil"/>
                  </w:tcBorders>
                  <w:noWrap w:val="0"/>
                  <w:vAlign w:val="center"/>
                </w:tcPr>
                <w:p w14:paraId="6B7C21C2">
                  <w:pPr>
                    <w:adjustRightInd w:val="0"/>
                    <w:snapToGrid w:val="0"/>
                    <w:spacing w:line="240" w:lineRule="auto"/>
                    <w:ind w:firstLine="0" w:firstLineChars="0"/>
                    <w:jc w:val="center"/>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使用量（t/a）</w:t>
                  </w:r>
                </w:p>
              </w:tc>
              <w:tc>
                <w:tcPr>
                  <w:tcW w:w="1545" w:type="dxa"/>
                  <w:tcBorders>
                    <w:tl2br w:val="nil"/>
                    <w:tr2bl w:val="nil"/>
                  </w:tcBorders>
                  <w:noWrap w:val="0"/>
                  <w:vAlign w:val="center"/>
                </w:tcPr>
                <w:p w14:paraId="25FA85EE">
                  <w:pPr>
                    <w:adjustRightInd w:val="0"/>
                    <w:snapToGrid w:val="0"/>
                    <w:spacing w:line="240" w:lineRule="auto"/>
                    <w:ind w:firstLine="0" w:firstLineChars="0"/>
                    <w:jc w:val="center"/>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每桶重量（kg）</w:t>
                  </w:r>
                </w:p>
              </w:tc>
              <w:tc>
                <w:tcPr>
                  <w:tcW w:w="1596" w:type="dxa"/>
                  <w:tcBorders>
                    <w:tl2br w:val="nil"/>
                    <w:tr2bl w:val="nil"/>
                  </w:tcBorders>
                  <w:noWrap w:val="0"/>
                  <w:vAlign w:val="center"/>
                </w:tcPr>
                <w:p w14:paraId="34C36F45">
                  <w:pPr>
                    <w:adjustRightInd w:val="0"/>
                    <w:snapToGrid w:val="0"/>
                    <w:spacing w:line="240" w:lineRule="auto"/>
                    <w:ind w:firstLine="0" w:firstLineChars="0"/>
                    <w:jc w:val="center"/>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空桶重量（kg）</w:t>
                  </w:r>
                </w:p>
              </w:tc>
              <w:tc>
                <w:tcPr>
                  <w:tcW w:w="1719" w:type="dxa"/>
                  <w:tcBorders>
                    <w:tl2br w:val="nil"/>
                    <w:tr2bl w:val="nil"/>
                  </w:tcBorders>
                  <w:noWrap w:val="0"/>
                  <w:vAlign w:val="center"/>
                </w:tcPr>
                <w:p w14:paraId="794139D2">
                  <w:pPr>
                    <w:adjustRightInd w:val="0"/>
                    <w:snapToGrid w:val="0"/>
                    <w:spacing w:line="240" w:lineRule="auto"/>
                    <w:ind w:firstLine="0" w:firstLineChars="0"/>
                    <w:jc w:val="center"/>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产生空桶量（个）</w:t>
                  </w:r>
                </w:p>
              </w:tc>
              <w:tc>
                <w:tcPr>
                  <w:tcW w:w="1512" w:type="dxa"/>
                  <w:tcBorders>
                    <w:tl2br w:val="nil"/>
                    <w:tr2bl w:val="nil"/>
                  </w:tcBorders>
                  <w:noWrap w:val="0"/>
                  <w:vAlign w:val="center"/>
                </w:tcPr>
                <w:p w14:paraId="643B9751">
                  <w:pPr>
                    <w:adjustRightInd w:val="0"/>
                    <w:snapToGrid w:val="0"/>
                    <w:spacing w:line="240" w:lineRule="auto"/>
                    <w:ind w:firstLine="0" w:firstLineChars="0"/>
                    <w:jc w:val="center"/>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重量（t/a）</w:t>
                  </w:r>
                </w:p>
              </w:tc>
            </w:tr>
            <w:tr w14:paraId="20B357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1" w:type="dxa"/>
                  <w:tcBorders>
                    <w:tl2br w:val="nil"/>
                    <w:tr2bl w:val="nil"/>
                  </w:tcBorders>
                  <w:noWrap w:val="0"/>
                  <w:vAlign w:val="center"/>
                </w:tcPr>
                <w:p w14:paraId="2169C4DE">
                  <w:pPr>
                    <w:autoSpaceDE w:val="0"/>
                    <w:autoSpaceDN w:val="0"/>
                    <w:jc w:val="center"/>
                    <w:rPr>
                      <w:rFonts w:ascii="Times New Roman" w:hAnsi="Times New Roman" w:eastAsia="宋体" w:cs="Times New Roman"/>
                      <w:color w:val="auto"/>
                      <w:spacing w:val="0"/>
                      <w:sz w:val="21"/>
                      <w:szCs w:val="21"/>
                      <w:highlight w:val="none"/>
                    </w:rPr>
                  </w:pPr>
                  <w:r>
                    <w:rPr>
                      <w:rFonts w:hint="eastAsia" w:cs="Times New Roman"/>
                      <w:b w:val="0"/>
                      <w:bCs/>
                      <w:color w:val="auto"/>
                      <w:spacing w:val="0"/>
                      <w:kern w:val="2"/>
                      <w:position w:val="0"/>
                      <w:sz w:val="21"/>
                      <w:szCs w:val="21"/>
                      <w:highlight w:val="none"/>
                      <w:lang w:val="en-US" w:eastAsia="zh-CN" w:bidi="ar-SA"/>
                    </w:rPr>
                    <w:t>油性</w:t>
                  </w:r>
                  <w:r>
                    <w:rPr>
                      <w:rFonts w:hint="eastAsia" w:ascii="Times New Roman" w:hAnsi="Times New Roman" w:eastAsia="宋体" w:cs="Times New Roman"/>
                      <w:b w:val="0"/>
                      <w:bCs/>
                      <w:color w:val="auto"/>
                      <w:spacing w:val="0"/>
                      <w:kern w:val="2"/>
                      <w:position w:val="0"/>
                      <w:sz w:val="21"/>
                      <w:szCs w:val="21"/>
                      <w:highlight w:val="none"/>
                      <w:lang w:val="en-US" w:eastAsia="zh-CN" w:bidi="ar-SA"/>
                    </w:rPr>
                    <w:t>漆</w:t>
                  </w:r>
                </w:p>
              </w:tc>
              <w:tc>
                <w:tcPr>
                  <w:tcW w:w="1305" w:type="dxa"/>
                  <w:tcBorders>
                    <w:tl2br w:val="nil"/>
                    <w:tr2bl w:val="nil"/>
                  </w:tcBorders>
                  <w:noWrap w:val="0"/>
                  <w:vAlign w:val="center"/>
                </w:tcPr>
                <w:p w14:paraId="4BF30115">
                  <w:pPr>
                    <w:autoSpaceDE w:val="0"/>
                    <w:autoSpaceDN w:val="0"/>
                    <w:jc w:val="center"/>
                    <w:rPr>
                      <w:rFonts w:hint="default" w:ascii="Times New Roman" w:hAnsi="Times New Roman" w:eastAsia="宋体" w:cs="Times New Roman"/>
                      <w:color w:val="auto"/>
                      <w:spacing w:val="0"/>
                      <w:sz w:val="21"/>
                      <w:szCs w:val="21"/>
                      <w:highlight w:val="none"/>
                      <w:lang w:val="en-US" w:eastAsia="zh-CN"/>
                    </w:rPr>
                  </w:pPr>
                </w:p>
              </w:tc>
              <w:tc>
                <w:tcPr>
                  <w:tcW w:w="1545" w:type="dxa"/>
                  <w:tcBorders>
                    <w:tl2br w:val="nil"/>
                    <w:tr2bl w:val="nil"/>
                  </w:tcBorders>
                  <w:noWrap w:val="0"/>
                  <w:vAlign w:val="center"/>
                </w:tcPr>
                <w:p w14:paraId="5D302D63">
                  <w:pPr>
                    <w:autoSpaceDE w:val="0"/>
                    <w:autoSpaceDN w:val="0"/>
                    <w:jc w:val="center"/>
                    <w:rPr>
                      <w:rFonts w:hint="default" w:ascii="Times New Roman" w:hAnsi="Times New Roman" w:eastAsia="宋体" w:cs="Times New Roman"/>
                      <w:color w:val="auto"/>
                      <w:spacing w:val="0"/>
                      <w:sz w:val="21"/>
                      <w:szCs w:val="21"/>
                      <w:highlight w:val="none"/>
                      <w:lang w:val="en-US" w:eastAsia="zh-CN"/>
                    </w:rPr>
                  </w:pPr>
                </w:p>
              </w:tc>
              <w:tc>
                <w:tcPr>
                  <w:tcW w:w="1596" w:type="dxa"/>
                  <w:tcBorders>
                    <w:tl2br w:val="nil"/>
                    <w:tr2bl w:val="nil"/>
                  </w:tcBorders>
                  <w:noWrap w:val="0"/>
                  <w:vAlign w:val="center"/>
                </w:tcPr>
                <w:p w14:paraId="1DB2C5AC">
                  <w:pPr>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lang w:val="en-US" w:eastAsia="zh-CN"/>
                    </w:rPr>
                  </w:pPr>
                </w:p>
              </w:tc>
              <w:tc>
                <w:tcPr>
                  <w:tcW w:w="1719" w:type="dxa"/>
                  <w:tcBorders>
                    <w:tl2br w:val="nil"/>
                    <w:tr2bl w:val="nil"/>
                  </w:tcBorders>
                  <w:noWrap w:val="0"/>
                  <w:vAlign w:val="center"/>
                </w:tcPr>
                <w:p w14:paraId="36861C6A">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p>
              </w:tc>
              <w:tc>
                <w:tcPr>
                  <w:tcW w:w="1512" w:type="dxa"/>
                  <w:tcBorders>
                    <w:tl2br w:val="nil"/>
                    <w:tr2bl w:val="nil"/>
                  </w:tcBorders>
                  <w:noWrap w:val="0"/>
                  <w:vAlign w:val="center"/>
                </w:tcPr>
                <w:p w14:paraId="76F96124">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p>
              </w:tc>
            </w:tr>
            <w:tr w14:paraId="7C3204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1" w:type="dxa"/>
                  <w:tcBorders>
                    <w:tl2br w:val="nil"/>
                    <w:tr2bl w:val="nil"/>
                  </w:tcBorders>
                  <w:noWrap w:val="0"/>
                  <w:vAlign w:val="center"/>
                </w:tcPr>
                <w:p w14:paraId="53F9152B">
                  <w:pPr>
                    <w:autoSpaceDE w:val="0"/>
                    <w:autoSpaceDN w:val="0"/>
                    <w:jc w:val="center"/>
                    <w:rPr>
                      <w:rFonts w:hint="eastAsia" w:ascii="Times New Roman" w:hAnsi="Times New Roman" w:eastAsia="宋体" w:cs="Times New Roman"/>
                      <w:bCs/>
                      <w:color w:val="auto"/>
                      <w:spacing w:val="0"/>
                      <w:sz w:val="21"/>
                      <w:szCs w:val="21"/>
                      <w:highlight w:val="none"/>
                    </w:rPr>
                  </w:pPr>
                  <w:r>
                    <w:rPr>
                      <w:rFonts w:hint="eastAsia" w:cs="Times New Roman"/>
                      <w:b w:val="0"/>
                      <w:bCs/>
                      <w:color w:val="auto"/>
                      <w:spacing w:val="0"/>
                      <w:kern w:val="2"/>
                      <w:position w:val="0"/>
                      <w:sz w:val="21"/>
                      <w:szCs w:val="21"/>
                      <w:highlight w:val="none"/>
                      <w:lang w:val="en-US" w:eastAsia="zh-CN" w:bidi="ar-SA"/>
                    </w:rPr>
                    <w:t>水性</w:t>
                  </w:r>
                  <w:r>
                    <w:rPr>
                      <w:rFonts w:hint="eastAsia" w:ascii="Times New Roman" w:hAnsi="Times New Roman" w:eastAsia="宋体" w:cs="Times New Roman"/>
                      <w:b w:val="0"/>
                      <w:bCs/>
                      <w:color w:val="auto"/>
                      <w:spacing w:val="0"/>
                      <w:kern w:val="2"/>
                      <w:position w:val="0"/>
                      <w:sz w:val="21"/>
                      <w:szCs w:val="21"/>
                      <w:highlight w:val="none"/>
                      <w:lang w:val="en-US" w:eastAsia="zh-CN" w:bidi="ar-SA"/>
                    </w:rPr>
                    <w:t>漆</w:t>
                  </w:r>
                </w:p>
              </w:tc>
              <w:tc>
                <w:tcPr>
                  <w:tcW w:w="1305" w:type="dxa"/>
                  <w:tcBorders>
                    <w:tl2br w:val="nil"/>
                    <w:tr2bl w:val="nil"/>
                  </w:tcBorders>
                  <w:noWrap w:val="0"/>
                  <w:vAlign w:val="center"/>
                </w:tcPr>
                <w:p w14:paraId="1DECC859">
                  <w:pPr>
                    <w:autoSpaceDE w:val="0"/>
                    <w:autoSpaceDN w:val="0"/>
                    <w:jc w:val="center"/>
                    <w:rPr>
                      <w:rFonts w:hint="default" w:ascii="Times New Roman" w:hAnsi="Times New Roman" w:eastAsia="宋体" w:cs="Times New Roman"/>
                      <w:color w:val="auto"/>
                      <w:spacing w:val="0"/>
                      <w:sz w:val="21"/>
                      <w:szCs w:val="21"/>
                      <w:highlight w:val="none"/>
                      <w:lang w:val="en-US" w:eastAsia="zh-CN"/>
                    </w:rPr>
                  </w:pPr>
                </w:p>
              </w:tc>
              <w:tc>
                <w:tcPr>
                  <w:tcW w:w="1545" w:type="dxa"/>
                  <w:tcBorders>
                    <w:tl2br w:val="nil"/>
                    <w:tr2bl w:val="nil"/>
                  </w:tcBorders>
                  <w:noWrap w:val="0"/>
                  <w:vAlign w:val="center"/>
                </w:tcPr>
                <w:p w14:paraId="65932021">
                  <w:pPr>
                    <w:autoSpaceDE w:val="0"/>
                    <w:autoSpaceDN w:val="0"/>
                    <w:jc w:val="center"/>
                    <w:rPr>
                      <w:rFonts w:hint="default" w:ascii="Times New Roman" w:hAnsi="Times New Roman" w:eastAsia="宋体" w:cs="Times New Roman"/>
                      <w:color w:val="auto"/>
                      <w:spacing w:val="0"/>
                      <w:sz w:val="21"/>
                      <w:szCs w:val="21"/>
                      <w:highlight w:val="none"/>
                      <w:lang w:val="en-US" w:eastAsia="zh-CN"/>
                    </w:rPr>
                  </w:pPr>
                </w:p>
              </w:tc>
              <w:tc>
                <w:tcPr>
                  <w:tcW w:w="1596" w:type="dxa"/>
                  <w:tcBorders>
                    <w:tl2br w:val="nil"/>
                    <w:tr2bl w:val="nil"/>
                  </w:tcBorders>
                  <w:noWrap w:val="0"/>
                  <w:vAlign w:val="center"/>
                </w:tcPr>
                <w:p w14:paraId="15E46369">
                  <w:pPr>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lang w:val="en-US" w:eastAsia="zh-CN"/>
                    </w:rPr>
                  </w:pPr>
                </w:p>
              </w:tc>
              <w:tc>
                <w:tcPr>
                  <w:tcW w:w="1719" w:type="dxa"/>
                  <w:tcBorders>
                    <w:tl2br w:val="nil"/>
                    <w:tr2bl w:val="nil"/>
                  </w:tcBorders>
                  <w:noWrap w:val="0"/>
                  <w:vAlign w:val="center"/>
                </w:tcPr>
                <w:p w14:paraId="6BE64E9C">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p>
              </w:tc>
              <w:tc>
                <w:tcPr>
                  <w:tcW w:w="1512" w:type="dxa"/>
                  <w:tcBorders>
                    <w:tl2br w:val="nil"/>
                    <w:tr2bl w:val="nil"/>
                  </w:tcBorders>
                  <w:noWrap w:val="0"/>
                  <w:vAlign w:val="center"/>
                </w:tcPr>
                <w:p w14:paraId="771884FF">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p>
              </w:tc>
            </w:tr>
            <w:tr w14:paraId="503B5D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1" w:type="dxa"/>
                  <w:tcBorders>
                    <w:tl2br w:val="nil"/>
                    <w:tr2bl w:val="nil"/>
                  </w:tcBorders>
                  <w:noWrap w:val="0"/>
                  <w:vAlign w:val="center"/>
                </w:tcPr>
                <w:p w14:paraId="44F738AB">
                  <w:pPr>
                    <w:autoSpaceDE w:val="0"/>
                    <w:autoSpaceDN w:val="0"/>
                    <w:jc w:val="center"/>
                    <w:rPr>
                      <w:rFonts w:hint="default" w:ascii="Times New Roman" w:hAnsi="Times New Roman" w:eastAsia="宋体" w:cs="Times New Roman"/>
                      <w:b w:val="0"/>
                      <w:bCs w:val="0"/>
                      <w:color w:val="auto"/>
                      <w:spacing w:val="0"/>
                      <w:position w:val="0"/>
                      <w:sz w:val="21"/>
                      <w:szCs w:val="21"/>
                      <w:highlight w:val="none"/>
                      <w:lang w:eastAsia="zh-CN"/>
                    </w:rPr>
                  </w:pPr>
                  <w:r>
                    <w:rPr>
                      <w:rFonts w:hint="eastAsia" w:cs="Times New Roman"/>
                      <w:b w:val="0"/>
                      <w:bCs/>
                      <w:color w:val="auto"/>
                      <w:spacing w:val="0"/>
                      <w:kern w:val="2"/>
                      <w:position w:val="0"/>
                      <w:sz w:val="21"/>
                      <w:szCs w:val="21"/>
                      <w:highlight w:val="none"/>
                      <w:lang w:val="en-US" w:eastAsia="zh-CN" w:bidi="ar-SA"/>
                    </w:rPr>
                    <w:t>固化剂</w:t>
                  </w:r>
                </w:p>
              </w:tc>
              <w:tc>
                <w:tcPr>
                  <w:tcW w:w="1305" w:type="dxa"/>
                  <w:tcBorders>
                    <w:tl2br w:val="nil"/>
                    <w:tr2bl w:val="nil"/>
                  </w:tcBorders>
                  <w:noWrap w:val="0"/>
                  <w:vAlign w:val="center"/>
                </w:tcPr>
                <w:p w14:paraId="1EDB5883">
                  <w:pPr>
                    <w:autoSpaceDE w:val="0"/>
                    <w:autoSpaceDN w:val="0"/>
                    <w:jc w:val="center"/>
                    <w:rPr>
                      <w:rFonts w:hint="default" w:ascii="Times New Roman" w:hAnsi="Times New Roman" w:eastAsia="宋体" w:cs="Times New Roman"/>
                      <w:color w:val="auto"/>
                      <w:spacing w:val="0"/>
                      <w:sz w:val="21"/>
                      <w:szCs w:val="21"/>
                      <w:highlight w:val="none"/>
                      <w:lang w:val="en-US" w:eastAsia="zh-CN"/>
                    </w:rPr>
                  </w:pPr>
                </w:p>
              </w:tc>
              <w:tc>
                <w:tcPr>
                  <w:tcW w:w="1545" w:type="dxa"/>
                  <w:tcBorders>
                    <w:tl2br w:val="nil"/>
                    <w:tr2bl w:val="nil"/>
                  </w:tcBorders>
                  <w:noWrap w:val="0"/>
                  <w:vAlign w:val="center"/>
                </w:tcPr>
                <w:p w14:paraId="5FE5A6B3">
                  <w:pPr>
                    <w:autoSpaceDE w:val="0"/>
                    <w:autoSpaceDN w:val="0"/>
                    <w:jc w:val="center"/>
                    <w:rPr>
                      <w:rFonts w:hint="default" w:ascii="Times New Roman" w:hAnsi="Times New Roman" w:eastAsia="宋体" w:cs="Times New Roman"/>
                      <w:color w:val="auto"/>
                      <w:spacing w:val="0"/>
                      <w:sz w:val="21"/>
                      <w:szCs w:val="21"/>
                      <w:highlight w:val="none"/>
                      <w:lang w:val="en-US" w:eastAsia="zh-CN"/>
                    </w:rPr>
                  </w:pPr>
                </w:p>
              </w:tc>
              <w:tc>
                <w:tcPr>
                  <w:tcW w:w="1596" w:type="dxa"/>
                  <w:tcBorders>
                    <w:tl2br w:val="nil"/>
                    <w:tr2bl w:val="nil"/>
                  </w:tcBorders>
                  <w:noWrap w:val="0"/>
                  <w:vAlign w:val="center"/>
                </w:tcPr>
                <w:p w14:paraId="4F90A9B7">
                  <w:pPr>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lang w:val="en-US" w:eastAsia="zh-CN"/>
                    </w:rPr>
                  </w:pPr>
                </w:p>
              </w:tc>
              <w:tc>
                <w:tcPr>
                  <w:tcW w:w="1719" w:type="dxa"/>
                  <w:tcBorders>
                    <w:tl2br w:val="nil"/>
                    <w:tr2bl w:val="nil"/>
                  </w:tcBorders>
                  <w:noWrap w:val="0"/>
                  <w:vAlign w:val="center"/>
                </w:tcPr>
                <w:p w14:paraId="311BC336">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p>
              </w:tc>
              <w:tc>
                <w:tcPr>
                  <w:tcW w:w="1512" w:type="dxa"/>
                  <w:tcBorders>
                    <w:tl2br w:val="nil"/>
                    <w:tr2bl w:val="nil"/>
                  </w:tcBorders>
                  <w:noWrap w:val="0"/>
                  <w:vAlign w:val="center"/>
                </w:tcPr>
                <w:p w14:paraId="4754EB01">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p>
              </w:tc>
            </w:tr>
            <w:tr w14:paraId="7013EA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1" w:type="dxa"/>
                  <w:tcBorders>
                    <w:tl2br w:val="nil"/>
                    <w:tr2bl w:val="nil"/>
                  </w:tcBorders>
                  <w:noWrap w:val="0"/>
                  <w:vAlign w:val="center"/>
                </w:tcPr>
                <w:p w14:paraId="1B82FE4B">
                  <w:pPr>
                    <w:autoSpaceDE w:val="0"/>
                    <w:autoSpaceDN w:val="0"/>
                    <w:jc w:val="center"/>
                    <w:rPr>
                      <w:rFonts w:hint="default" w:ascii="Times New Roman" w:hAnsi="Times New Roman" w:eastAsia="宋体" w:cs="Times New Roman"/>
                      <w:b w:val="0"/>
                      <w:bCs w:val="0"/>
                      <w:color w:val="auto"/>
                      <w:spacing w:val="0"/>
                      <w:position w:val="0"/>
                      <w:sz w:val="21"/>
                      <w:szCs w:val="21"/>
                      <w:highlight w:val="none"/>
                      <w:lang w:eastAsia="zh-CN"/>
                    </w:rPr>
                  </w:pPr>
                  <w:r>
                    <w:rPr>
                      <w:rFonts w:hint="eastAsia" w:cs="Times New Roman"/>
                      <w:b w:val="0"/>
                      <w:bCs/>
                      <w:color w:val="auto"/>
                      <w:spacing w:val="0"/>
                      <w:kern w:val="2"/>
                      <w:position w:val="0"/>
                      <w:sz w:val="21"/>
                      <w:szCs w:val="21"/>
                      <w:highlight w:val="none"/>
                      <w:lang w:val="en-US" w:eastAsia="zh-CN" w:bidi="ar-SA"/>
                    </w:rPr>
                    <w:t>稀释剂</w:t>
                  </w:r>
                </w:p>
              </w:tc>
              <w:tc>
                <w:tcPr>
                  <w:tcW w:w="1305" w:type="dxa"/>
                  <w:tcBorders>
                    <w:tl2br w:val="nil"/>
                    <w:tr2bl w:val="nil"/>
                  </w:tcBorders>
                  <w:noWrap w:val="0"/>
                  <w:vAlign w:val="center"/>
                </w:tcPr>
                <w:p w14:paraId="005C89F9">
                  <w:pPr>
                    <w:autoSpaceDE w:val="0"/>
                    <w:autoSpaceDN w:val="0"/>
                    <w:jc w:val="center"/>
                    <w:rPr>
                      <w:rFonts w:hint="default" w:ascii="Times New Roman" w:hAnsi="Times New Roman" w:eastAsia="宋体" w:cs="Times New Roman"/>
                      <w:color w:val="auto"/>
                      <w:spacing w:val="0"/>
                      <w:sz w:val="21"/>
                      <w:szCs w:val="21"/>
                      <w:highlight w:val="none"/>
                      <w:lang w:val="en-US" w:eastAsia="zh-CN"/>
                    </w:rPr>
                  </w:pPr>
                </w:p>
              </w:tc>
              <w:tc>
                <w:tcPr>
                  <w:tcW w:w="1545" w:type="dxa"/>
                  <w:tcBorders>
                    <w:tl2br w:val="nil"/>
                    <w:tr2bl w:val="nil"/>
                  </w:tcBorders>
                  <w:noWrap w:val="0"/>
                  <w:vAlign w:val="center"/>
                </w:tcPr>
                <w:p w14:paraId="4FF7B54F">
                  <w:pPr>
                    <w:autoSpaceDE w:val="0"/>
                    <w:autoSpaceDN w:val="0"/>
                    <w:jc w:val="center"/>
                    <w:rPr>
                      <w:rFonts w:hint="default" w:ascii="Times New Roman" w:hAnsi="Times New Roman" w:eastAsia="宋体" w:cs="Times New Roman"/>
                      <w:color w:val="auto"/>
                      <w:spacing w:val="0"/>
                      <w:sz w:val="21"/>
                      <w:szCs w:val="21"/>
                      <w:highlight w:val="none"/>
                      <w:lang w:val="en-US" w:eastAsia="zh-CN"/>
                    </w:rPr>
                  </w:pPr>
                </w:p>
              </w:tc>
              <w:tc>
                <w:tcPr>
                  <w:tcW w:w="1596" w:type="dxa"/>
                  <w:tcBorders>
                    <w:tl2br w:val="nil"/>
                    <w:tr2bl w:val="nil"/>
                  </w:tcBorders>
                  <w:noWrap w:val="0"/>
                  <w:vAlign w:val="center"/>
                </w:tcPr>
                <w:p w14:paraId="227EBE4A">
                  <w:pPr>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lang w:val="en-US" w:eastAsia="zh-CN"/>
                    </w:rPr>
                  </w:pPr>
                </w:p>
              </w:tc>
              <w:tc>
                <w:tcPr>
                  <w:tcW w:w="1719" w:type="dxa"/>
                  <w:tcBorders>
                    <w:tl2br w:val="nil"/>
                    <w:tr2bl w:val="nil"/>
                  </w:tcBorders>
                  <w:noWrap w:val="0"/>
                  <w:vAlign w:val="center"/>
                </w:tcPr>
                <w:p w14:paraId="5DBECF38">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p>
              </w:tc>
              <w:tc>
                <w:tcPr>
                  <w:tcW w:w="1512" w:type="dxa"/>
                  <w:tcBorders>
                    <w:tl2br w:val="nil"/>
                    <w:tr2bl w:val="nil"/>
                  </w:tcBorders>
                  <w:noWrap w:val="0"/>
                  <w:vAlign w:val="center"/>
                </w:tcPr>
                <w:p w14:paraId="697C003C">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p>
              </w:tc>
            </w:tr>
            <w:tr w14:paraId="2BE38A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7" w:type="dxa"/>
                  <w:gridSpan w:val="4"/>
                  <w:tcBorders>
                    <w:tl2br w:val="nil"/>
                    <w:tr2bl w:val="nil"/>
                  </w:tcBorders>
                  <w:noWrap w:val="0"/>
                  <w:vAlign w:val="center"/>
                </w:tcPr>
                <w:p w14:paraId="5E4257FE">
                  <w:pPr>
                    <w:adjustRightInd w:val="0"/>
                    <w:snapToGrid w:val="0"/>
                    <w:spacing w:line="240" w:lineRule="auto"/>
                    <w:ind w:firstLine="420"/>
                    <w:jc w:val="center"/>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总计</w:t>
                  </w:r>
                </w:p>
              </w:tc>
              <w:tc>
                <w:tcPr>
                  <w:tcW w:w="1719" w:type="dxa"/>
                  <w:tcBorders>
                    <w:tl2br w:val="nil"/>
                    <w:tr2bl w:val="nil"/>
                  </w:tcBorders>
                  <w:noWrap w:val="0"/>
                  <w:vAlign w:val="center"/>
                </w:tcPr>
                <w:p w14:paraId="634D0B46">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306</w:t>
                  </w:r>
                </w:p>
              </w:tc>
              <w:tc>
                <w:tcPr>
                  <w:tcW w:w="1512" w:type="dxa"/>
                  <w:tcBorders>
                    <w:tl2br w:val="nil"/>
                    <w:tr2bl w:val="nil"/>
                  </w:tcBorders>
                  <w:noWrap w:val="0"/>
                  <w:vAlign w:val="center"/>
                </w:tcPr>
                <w:p w14:paraId="07DCCB8D">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0.522</w:t>
                  </w:r>
                </w:p>
              </w:tc>
            </w:tr>
          </w:tbl>
          <w:p w14:paraId="1AA97FA2">
            <w:pPr>
              <w:pStyle w:val="37"/>
              <w:keepNext w:val="0"/>
              <w:keepLines w:val="0"/>
              <w:pageBreakBefore w:val="0"/>
              <w:widowControl w:val="0"/>
              <w:kinsoku/>
              <w:wordWrap/>
              <w:overflowPunct/>
              <w:topLinePunct w:val="0"/>
              <w:autoSpaceDE/>
              <w:autoSpaceDN/>
              <w:bidi w:val="0"/>
              <w:adjustRightInd/>
              <w:snapToGrid/>
              <w:spacing w:before="157" w:beforeLines="50" w:after="0"/>
              <w:ind w:left="0" w:leftChars="0"/>
              <w:jc w:val="both"/>
              <w:textAlignment w:val="auto"/>
              <w:rPr>
                <w:rFonts w:hint="default" w:ascii="Times New Roman" w:hAnsi="Times New Roman" w:eastAsia="宋体" w:cs="Times New Roman"/>
                <w:color w:val="auto"/>
                <w:spacing w:val="0"/>
                <w:position w:val="0"/>
                <w:sz w:val="24"/>
                <w:highlight w:val="none"/>
                <w:lang w:val="en-US" w:eastAsia="zh-CN"/>
              </w:rPr>
            </w:pPr>
            <w:r>
              <w:rPr>
                <w:rFonts w:hint="eastAsia" w:ascii="Times New Roman" w:hAnsi="Times New Roman" w:eastAsia="宋体" w:cs="Times New Roman"/>
                <w:b/>
                <w:bCs/>
                <w:color w:val="auto"/>
                <w:spacing w:val="0"/>
                <w:position w:val="0"/>
                <w:sz w:val="24"/>
                <w:highlight w:val="none"/>
                <w:lang w:val="en-US" w:eastAsia="zh-CN"/>
              </w:rPr>
              <w:t>B.废包装袋</w:t>
            </w:r>
          </w:p>
          <w:p w14:paraId="3863708B">
            <w:pPr>
              <w:pStyle w:val="37"/>
              <w:keepNext w:val="0"/>
              <w:keepLines w:val="0"/>
              <w:pageBreakBefore w:val="0"/>
              <w:widowControl w:val="0"/>
              <w:kinsoku/>
              <w:wordWrap/>
              <w:overflowPunct/>
              <w:topLinePunct w:val="0"/>
              <w:autoSpaceDE/>
              <w:autoSpaceDN/>
              <w:bidi w:val="0"/>
              <w:adjustRightInd/>
              <w:snapToGrid/>
              <w:spacing w:after="0"/>
              <w:ind w:left="0" w:leftChars="0"/>
              <w:jc w:val="both"/>
              <w:textAlignment w:val="auto"/>
              <w:rPr>
                <w:rFonts w:hint="eastAsia" w:ascii="Times New Roman" w:hAnsi="Times New Roman" w:eastAsia="宋体" w:cs="Times New Roman"/>
                <w:color w:val="auto"/>
                <w:spacing w:val="0"/>
                <w:position w:val="0"/>
                <w:sz w:val="24"/>
                <w:highlight w:val="none"/>
                <w:lang w:val="en-US" w:eastAsia="zh-CN"/>
              </w:rPr>
            </w:pPr>
            <w:r>
              <w:rPr>
                <w:rFonts w:hint="eastAsia" w:ascii="Times New Roman" w:hAnsi="Times New Roman" w:eastAsia="宋体" w:cs="Times New Roman"/>
                <w:color w:val="auto"/>
                <w:spacing w:val="0"/>
                <w:position w:val="0"/>
                <w:sz w:val="24"/>
                <w:highlight w:val="none"/>
                <w:lang w:val="en-US" w:eastAsia="zh-CN"/>
              </w:rPr>
              <w:t>项目</w:t>
            </w:r>
            <w:r>
              <w:rPr>
                <w:rFonts w:hint="eastAsia" w:cs="Times New Roman"/>
                <w:color w:val="auto"/>
                <w:spacing w:val="0"/>
                <w:position w:val="0"/>
                <w:sz w:val="24"/>
                <w:highlight w:val="none"/>
                <w:lang w:val="en-US" w:eastAsia="zh-CN"/>
              </w:rPr>
              <w:t>生产过程中产生废包装袋（PAM、PAC），根据业主提供资料，废</w:t>
            </w:r>
            <w:r>
              <w:rPr>
                <w:rFonts w:hint="eastAsia" w:ascii="Times New Roman" w:hAnsi="Times New Roman" w:eastAsia="宋体" w:cs="Times New Roman"/>
                <w:color w:val="auto"/>
                <w:spacing w:val="0"/>
                <w:position w:val="0"/>
                <w:sz w:val="24"/>
                <w:highlight w:val="none"/>
                <w:lang w:val="en-US" w:eastAsia="zh-CN"/>
              </w:rPr>
              <w:t>包装</w:t>
            </w:r>
            <w:r>
              <w:rPr>
                <w:rFonts w:hint="eastAsia" w:cs="Times New Roman"/>
                <w:color w:val="auto"/>
                <w:spacing w:val="0"/>
                <w:position w:val="0"/>
                <w:sz w:val="24"/>
                <w:highlight w:val="none"/>
                <w:lang w:val="en-US" w:eastAsia="zh-CN"/>
              </w:rPr>
              <w:t>袋产生量为0.0002t/a。</w:t>
            </w:r>
          </w:p>
          <w:p w14:paraId="207F18C2">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Times New Roman"/>
                <w:b w:val="0"/>
                <w:bCs/>
                <w:color w:val="auto"/>
                <w:spacing w:val="0"/>
                <w:sz w:val="24"/>
                <w:szCs w:val="24"/>
                <w:highlight w:val="none"/>
              </w:rPr>
            </w:pPr>
            <w:r>
              <w:rPr>
                <w:rFonts w:hint="eastAsia" w:cs="Times New Roman"/>
                <w:b w:val="0"/>
                <w:bCs/>
                <w:color w:val="auto"/>
                <w:spacing w:val="0"/>
                <w:sz w:val="24"/>
                <w:szCs w:val="24"/>
                <w:highlight w:val="none"/>
                <w:lang w:val="en-US" w:eastAsia="zh-CN"/>
              </w:rPr>
              <w:t>根据以上</w:t>
            </w:r>
            <w:r>
              <w:rPr>
                <w:rFonts w:hint="eastAsia" w:ascii="Times New Roman" w:hAnsi="Times New Roman" w:eastAsia="宋体" w:cs="Times New Roman"/>
                <w:b w:val="0"/>
                <w:bCs/>
                <w:color w:val="auto"/>
                <w:spacing w:val="0"/>
                <w:sz w:val="24"/>
                <w:szCs w:val="24"/>
                <w:highlight w:val="none"/>
              </w:rPr>
              <w:t>分析，</w:t>
            </w:r>
            <w:r>
              <w:rPr>
                <w:rFonts w:hint="eastAsia" w:cs="Times New Roman"/>
                <w:b w:val="0"/>
                <w:bCs/>
                <w:color w:val="auto"/>
                <w:spacing w:val="0"/>
                <w:sz w:val="24"/>
                <w:szCs w:val="24"/>
                <w:highlight w:val="none"/>
                <w:lang w:eastAsia="zh-CN"/>
              </w:rPr>
              <w:t>废化学品包装物</w:t>
            </w:r>
            <w:r>
              <w:rPr>
                <w:rFonts w:ascii="Times New Roman" w:hAnsi="Times New Roman" w:eastAsia="宋体" w:cs="Times New Roman"/>
                <w:b w:val="0"/>
                <w:bCs/>
                <w:color w:val="auto"/>
                <w:spacing w:val="0"/>
                <w:sz w:val="24"/>
                <w:szCs w:val="24"/>
                <w:highlight w:val="none"/>
              </w:rPr>
              <w:t>总计产生量约</w:t>
            </w:r>
            <w:r>
              <w:rPr>
                <w:rFonts w:hint="eastAsia" w:ascii="Times New Roman" w:hAnsi="Times New Roman" w:eastAsia="宋体" w:cs="Times New Roman"/>
                <w:b w:val="0"/>
                <w:bCs/>
                <w:color w:val="auto"/>
                <w:spacing w:val="0"/>
                <w:sz w:val="24"/>
                <w:szCs w:val="24"/>
                <w:highlight w:val="none"/>
                <w:lang w:val="en-US" w:eastAsia="zh-CN"/>
              </w:rPr>
              <w:t>0</w:t>
            </w:r>
            <w:r>
              <w:rPr>
                <w:rFonts w:hint="eastAsia" w:cs="Times New Roman"/>
                <w:b w:val="0"/>
                <w:bCs/>
                <w:color w:val="auto"/>
                <w:spacing w:val="0"/>
                <w:sz w:val="24"/>
                <w:szCs w:val="24"/>
                <w:highlight w:val="none"/>
                <w:lang w:val="en-US" w:eastAsia="zh-CN"/>
              </w:rPr>
              <w:t>.5222</w:t>
            </w:r>
            <w:r>
              <w:rPr>
                <w:rFonts w:ascii="Times New Roman" w:hAnsi="Times New Roman" w:eastAsia="宋体" w:cs="Times New Roman"/>
                <w:b w:val="0"/>
                <w:bCs/>
                <w:color w:val="auto"/>
                <w:spacing w:val="0"/>
                <w:sz w:val="24"/>
                <w:szCs w:val="24"/>
                <w:highlight w:val="none"/>
              </w:rPr>
              <w:t>t</w:t>
            </w:r>
            <w:r>
              <w:rPr>
                <w:rFonts w:hint="eastAsia" w:cs="Times New Roman"/>
                <w:b w:val="0"/>
                <w:bCs/>
                <w:color w:val="auto"/>
                <w:spacing w:val="0"/>
                <w:sz w:val="24"/>
                <w:szCs w:val="24"/>
                <w:highlight w:val="none"/>
                <w:lang w:val="en-US" w:eastAsia="zh-CN"/>
              </w:rPr>
              <w:t>/a</w:t>
            </w:r>
            <w:r>
              <w:rPr>
                <w:rFonts w:ascii="Times New Roman" w:hAnsi="Times New Roman" w:eastAsia="宋体" w:cs="Times New Roman"/>
                <w:b w:val="0"/>
                <w:bCs/>
                <w:color w:val="auto"/>
                <w:spacing w:val="0"/>
                <w:sz w:val="24"/>
                <w:szCs w:val="24"/>
                <w:highlight w:val="none"/>
              </w:rPr>
              <w:t>。根据</w:t>
            </w:r>
            <w:r>
              <w:rPr>
                <w:rStyle w:val="122"/>
                <w:rFonts w:ascii="Times New Roman" w:hAnsi="Times New Roman" w:eastAsia="宋体" w:cs="Times New Roman"/>
                <w:b w:val="0"/>
                <w:bCs/>
                <w:color w:val="auto"/>
                <w:spacing w:val="0"/>
                <w:sz w:val="24"/>
                <w:szCs w:val="24"/>
                <w:highlight w:val="none"/>
              </w:rPr>
              <w:t>《国家危险废物名录》（202</w:t>
            </w:r>
            <w:r>
              <w:rPr>
                <w:rStyle w:val="122"/>
                <w:rFonts w:hint="eastAsia" w:ascii="Times New Roman" w:hAnsi="Times New Roman" w:eastAsia="宋体" w:cs="Times New Roman"/>
                <w:b w:val="0"/>
                <w:bCs/>
                <w:color w:val="auto"/>
                <w:spacing w:val="0"/>
                <w:sz w:val="24"/>
                <w:szCs w:val="24"/>
                <w:highlight w:val="none"/>
                <w:lang w:val="en-US" w:eastAsia="zh-CN"/>
              </w:rPr>
              <w:t>5</w:t>
            </w:r>
            <w:r>
              <w:rPr>
                <w:rStyle w:val="122"/>
                <w:rFonts w:ascii="Times New Roman" w:hAnsi="Times New Roman" w:eastAsia="宋体" w:cs="Times New Roman"/>
                <w:b w:val="0"/>
                <w:bCs/>
                <w:color w:val="auto"/>
                <w:spacing w:val="0"/>
                <w:sz w:val="24"/>
                <w:szCs w:val="24"/>
                <w:highlight w:val="none"/>
              </w:rPr>
              <w:t>版），</w:t>
            </w:r>
            <w:r>
              <w:rPr>
                <w:rFonts w:hint="eastAsia" w:ascii="Times New Roman" w:hAnsi="Times New Roman" w:eastAsia="宋体" w:cs="Times New Roman"/>
                <w:b w:val="0"/>
                <w:bCs/>
                <w:color w:val="auto"/>
                <w:spacing w:val="0"/>
                <w:sz w:val="24"/>
                <w:szCs w:val="24"/>
                <w:highlight w:val="none"/>
              </w:rPr>
              <w:t>这部分空桶属于危险废物，编号为HW49（其他废物），废物代码为900-041-49（含有或沾染毒性、感染性危险废物的废弃包装物、容器、过滤吸附介质），收集后暂存于</w:t>
            </w:r>
            <w:r>
              <w:rPr>
                <w:rFonts w:hint="eastAsia" w:cs="Times New Roman"/>
                <w:b w:val="0"/>
                <w:bCs/>
                <w:color w:val="auto"/>
                <w:spacing w:val="0"/>
                <w:sz w:val="24"/>
                <w:szCs w:val="24"/>
                <w:highlight w:val="none"/>
                <w:lang w:eastAsia="zh-CN"/>
              </w:rPr>
              <w:t>危废暂存间</w:t>
            </w:r>
            <w:r>
              <w:rPr>
                <w:rFonts w:hint="eastAsia" w:ascii="Times New Roman" w:hAnsi="Times New Roman" w:eastAsia="宋体" w:cs="Times New Roman"/>
                <w:b w:val="0"/>
                <w:bCs/>
                <w:color w:val="auto"/>
                <w:spacing w:val="0"/>
                <w:sz w:val="24"/>
                <w:szCs w:val="24"/>
                <w:highlight w:val="none"/>
              </w:rPr>
              <w:t>，</w:t>
            </w:r>
            <w:r>
              <w:rPr>
                <w:rStyle w:val="122"/>
                <w:rFonts w:hint="eastAsia" w:ascii="Times New Roman" w:hAnsi="Times New Roman" w:eastAsia="宋体" w:cs="Times New Roman"/>
                <w:b w:val="0"/>
                <w:bCs/>
                <w:color w:val="auto"/>
                <w:spacing w:val="0"/>
                <w:sz w:val="24"/>
                <w:szCs w:val="24"/>
                <w:highlight w:val="none"/>
              </w:rPr>
              <w:t>定期委托有资质的单位进行处置</w:t>
            </w:r>
            <w:r>
              <w:rPr>
                <w:rFonts w:hint="eastAsia" w:ascii="Times New Roman" w:hAnsi="Times New Roman" w:eastAsia="宋体" w:cs="Times New Roman"/>
                <w:b w:val="0"/>
                <w:bCs/>
                <w:color w:val="auto"/>
                <w:spacing w:val="0"/>
                <w:sz w:val="24"/>
                <w:szCs w:val="24"/>
                <w:highlight w:val="none"/>
              </w:rPr>
              <w:t>。</w:t>
            </w:r>
          </w:p>
          <w:p w14:paraId="5CE47854">
            <w:pPr>
              <w:pageBreakBefore w:val="0"/>
              <w:kinsoku/>
              <w:wordWrap w:val="0"/>
              <w:overflowPunct/>
              <w:topLinePunct w:val="0"/>
              <w:autoSpaceDE/>
              <w:autoSpaceDN/>
              <w:bidi w:val="0"/>
              <w:spacing w:line="360" w:lineRule="auto"/>
              <w:ind w:left="0" w:leftChars="0" w:right="0" w:firstLine="482" w:firstLineChars="200"/>
              <w:textAlignment w:val="auto"/>
              <w:rPr>
                <w:rFonts w:hint="eastAsia" w:ascii="Times New Roman" w:hAnsi="Times New Roman" w:eastAsia="宋体" w:cs="宋体"/>
                <w:b/>
                <w:bCs/>
                <w:color w:val="auto"/>
                <w:sz w:val="24"/>
                <w:szCs w:val="24"/>
                <w:highlight w:val="none"/>
              </w:rPr>
            </w:pPr>
            <w:r>
              <w:rPr>
                <w:rFonts w:hint="default" w:ascii="Times New Roman" w:hAnsi="Times New Roman" w:eastAsia="宋体" w:cs="宋体"/>
                <w:b/>
                <w:bCs/>
                <w:color w:val="auto"/>
                <w:sz w:val="24"/>
                <w:szCs w:val="24"/>
                <w:highlight w:val="none"/>
                <w:lang w:val="en-US" w:eastAsia="zh-CN"/>
              </w:rPr>
              <w:fldChar w:fldCharType="begin"/>
            </w:r>
            <w:r>
              <w:rPr>
                <w:rFonts w:hint="default" w:ascii="Times New Roman" w:hAnsi="Times New Roman" w:eastAsia="宋体" w:cs="宋体"/>
                <w:b/>
                <w:bCs/>
                <w:color w:val="auto"/>
                <w:sz w:val="24"/>
                <w:szCs w:val="24"/>
                <w:highlight w:val="none"/>
                <w:lang w:val="en-US" w:eastAsia="zh-CN"/>
              </w:rPr>
              <w:instrText xml:space="preserve"> = 7 \* GB3 \* MERGEFORMAT </w:instrText>
            </w:r>
            <w:r>
              <w:rPr>
                <w:rFonts w:hint="default" w:ascii="Times New Roman" w:hAnsi="Times New Roman" w:eastAsia="宋体" w:cs="宋体"/>
                <w:b/>
                <w:bCs/>
                <w:color w:val="auto"/>
                <w:sz w:val="24"/>
                <w:szCs w:val="24"/>
                <w:highlight w:val="none"/>
                <w:lang w:val="en-US" w:eastAsia="zh-CN"/>
              </w:rPr>
              <w:fldChar w:fldCharType="separate"/>
            </w:r>
            <w:r>
              <w:rPr>
                <w:b/>
                <w:bCs/>
                <w:color w:val="auto"/>
                <w:sz w:val="24"/>
                <w:szCs w:val="24"/>
                <w:highlight w:val="none"/>
              </w:rPr>
              <w:t>⑦</w:t>
            </w:r>
            <w:r>
              <w:rPr>
                <w:rFonts w:hint="default" w:ascii="Times New Roman" w:hAnsi="Times New Roman" w:eastAsia="宋体" w:cs="宋体"/>
                <w:b/>
                <w:bCs/>
                <w:color w:val="auto"/>
                <w:sz w:val="24"/>
                <w:szCs w:val="24"/>
                <w:highlight w:val="none"/>
                <w:lang w:val="en-US" w:eastAsia="zh-CN"/>
              </w:rPr>
              <w:fldChar w:fldCharType="end"/>
            </w:r>
            <w:r>
              <w:rPr>
                <w:rFonts w:ascii="Times New Roman" w:hAnsi="Times New Roman" w:eastAsia="宋体" w:cs="宋体"/>
                <w:b/>
                <w:bCs/>
                <w:color w:val="auto"/>
                <w:sz w:val="24"/>
                <w:szCs w:val="24"/>
                <w:highlight w:val="none"/>
              </w:rPr>
              <w:t>废</w:t>
            </w:r>
            <w:r>
              <w:rPr>
                <w:rFonts w:hint="eastAsia" w:ascii="Times New Roman" w:hAnsi="Times New Roman" w:eastAsia="宋体" w:cs="宋体"/>
                <w:b/>
                <w:bCs/>
                <w:color w:val="auto"/>
                <w:sz w:val="24"/>
                <w:szCs w:val="24"/>
                <w:highlight w:val="none"/>
              </w:rPr>
              <w:t>润滑油</w:t>
            </w:r>
          </w:p>
          <w:p w14:paraId="03601B69">
            <w:pPr>
              <w:pageBreakBefore w:val="0"/>
              <w:kinsoku/>
              <w:wordWrap w:val="0"/>
              <w:overflowPunct/>
              <w:topLinePunct w:val="0"/>
              <w:autoSpaceDE/>
              <w:autoSpaceDN/>
              <w:bidi w:val="0"/>
              <w:spacing w:line="360" w:lineRule="auto"/>
              <w:ind w:left="0" w:leftChars="0" w:right="0" w:firstLine="480" w:firstLineChars="200"/>
              <w:textAlignment w:val="auto"/>
              <w:rPr>
                <w:rFonts w:hint="default" w:ascii="Times New Roman" w:hAnsi="Times New Roman" w:eastAsia="宋体" w:cs="宋体"/>
                <w:b/>
                <w:bCs/>
                <w:color w:val="auto"/>
                <w:sz w:val="24"/>
                <w:szCs w:val="24"/>
                <w:highlight w:val="none"/>
                <w:lang w:val="en-US" w:eastAsia="zh-CN"/>
              </w:rPr>
            </w:pPr>
            <w:r>
              <w:rPr>
                <w:rFonts w:hint="eastAsia" w:ascii="Times New Roman" w:hAnsi="Times New Roman" w:eastAsia="宋体" w:cs="宋体"/>
                <w:color w:val="auto"/>
                <w:sz w:val="24"/>
                <w:szCs w:val="24"/>
                <w:highlight w:val="none"/>
              </w:rPr>
              <w:t>项目设备维护、检修更换会产生废润滑油，根据建设单位提供资料，项目年需添加润滑油</w:t>
            </w:r>
            <w:r>
              <w:rPr>
                <w:rFonts w:hint="eastAsia" w:ascii="Times New Roman" w:hAnsi="Times New Roman" w:eastAsia="宋体" w:cs="宋体"/>
                <w:color w:val="auto"/>
                <w:sz w:val="24"/>
                <w:szCs w:val="24"/>
                <w:highlight w:val="none"/>
                <w:lang w:val="en-US" w:eastAsia="zh-CN"/>
              </w:rPr>
              <w:t>0.05t/a</w:t>
            </w:r>
            <w:r>
              <w:rPr>
                <w:rFonts w:hint="eastAsia" w:ascii="Times New Roman" w:hAnsi="Times New Roman" w:eastAsia="宋体" w:cs="宋体"/>
                <w:color w:val="auto"/>
                <w:sz w:val="24"/>
                <w:szCs w:val="24"/>
                <w:highlight w:val="none"/>
              </w:rPr>
              <w:t>，更换废润滑油产生量约为0.0</w:t>
            </w:r>
            <w:r>
              <w:rPr>
                <w:rFonts w:hint="eastAsia" w:ascii="Times New Roman" w:hAnsi="Times New Roman" w:eastAsia="宋体" w:cs="宋体"/>
                <w:color w:val="auto"/>
                <w:sz w:val="24"/>
                <w:szCs w:val="24"/>
                <w:highlight w:val="none"/>
                <w:lang w:val="en-US" w:eastAsia="zh-CN"/>
              </w:rPr>
              <w:t>05t</w:t>
            </w:r>
            <w:r>
              <w:rPr>
                <w:rFonts w:hint="eastAsia" w:ascii="Times New Roman" w:hAnsi="Times New Roman" w:eastAsia="宋体" w:cs="宋体"/>
                <w:color w:val="auto"/>
                <w:sz w:val="24"/>
                <w:szCs w:val="24"/>
                <w:highlight w:val="none"/>
              </w:rPr>
              <w:t>/a</w:t>
            </w:r>
            <w:r>
              <w:rPr>
                <w:rFonts w:hint="eastAsia" w:ascii="Times New Roman" w:hAnsi="Times New Roman" w:eastAsia="宋体" w:cs="Times New Roman"/>
                <w:color w:val="auto"/>
                <w:sz w:val="24"/>
                <w:szCs w:val="24"/>
                <w:highlight w:val="none"/>
                <w:shd w:val="clear" w:color="auto" w:fill="auto"/>
                <w:lang w:eastAsia="zh-CN"/>
              </w:rPr>
              <w:t>（其产生量一般为年用量的5-10%，本环评以最大量10%计</w:t>
            </w:r>
            <w:r>
              <w:rPr>
                <w:rFonts w:hint="eastAsia" w:cs="Times New Roman"/>
                <w:color w:val="auto"/>
                <w:sz w:val="24"/>
                <w:szCs w:val="24"/>
                <w:highlight w:val="none"/>
                <w:shd w:val="clear" w:color="auto" w:fill="auto"/>
                <w:lang w:eastAsia="zh-CN"/>
              </w:rPr>
              <w:t>）</w:t>
            </w:r>
            <w:r>
              <w:rPr>
                <w:rFonts w:hint="eastAsia" w:ascii="Times New Roman" w:hAnsi="Times New Roman" w:eastAsia="宋体" w:cs="宋体"/>
                <w:color w:val="auto"/>
                <w:sz w:val="24"/>
                <w:szCs w:val="24"/>
                <w:highlight w:val="none"/>
              </w:rPr>
              <w:t>。对照《国家危险废物名录》（2025</w:t>
            </w:r>
            <w:r>
              <w:rPr>
                <w:rStyle w:val="122"/>
                <w:rFonts w:hint="eastAsia" w:ascii="Times New Roman" w:hAnsi="Times New Roman" w:eastAsia="宋体" w:cs="宋体"/>
                <w:color w:val="auto"/>
                <w:sz w:val="24"/>
                <w:szCs w:val="24"/>
                <w:highlight w:val="none"/>
              </w:rPr>
              <w:t>版</w:t>
            </w: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lang w:eastAsia="zh-CN"/>
              </w:rPr>
              <w:t>，</w:t>
            </w:r>
            <w:r>
              <w:rPr>
                <w:rFonts w:hint="eastAsia" w:ascii="Times New Roman" w:hAnsi="Times New Roman" w:eastAsia="宋体" w:cs="宋体"/>
                <w:color w:val="auto"/>
                <w:sz w:val="24"/>
                <w:szCs w:val="24"/>
                <w:highlight w:val="none"/>
              </w:rPr>
              <w:t>废润滑油属 HW08废矿物油，废物代码 900-249-08（其他生产、销售、使用过程中产生的废矿物油及沾染矿物油的废弃包装物），经收集后委托有资质的</w:t>
            </w:r>
            <w:r>
              <w:rPr>
                <w:rStyle w:val="122"/>
                <w:rFonts w:hint="eastAsia" w:ascii="Times New Roman" w:hAnsi="Times New Roman" w:eastAsia="宋体" w:cs="宋体"/>
                <w:color w:val="auto"/>
                <w:sz w:val="24"/>
                <w:szCs w:val="24"/>
                <w:highlight w:val="none"/>
              </w:rPr>
              <w:t>单位进行处置</w:t>
            </w:r>
            <w:r>
              <w:rPr>
                <w:rFonts w:ascii="Times New Roman" w:hAnsi="Times New Roman" w:eastAsia="宋体" w:cs="宋体"/>
                <w:color w:val="auto"/>
                <w:sz w:val="24"/>
                <w:szCs w:val="24"/>
                <w:highlight w:val="none"/>
              </w:rPr>
              <w:t>。</w:t>
            </w:r>
          </w:p>
          <w:p w14:paraId="0415B559">
            <w:pPr>
              <w:spacing w:line="360" w:lineRule="auto"/>
              <w:ind w:firstLine="482" w:firstLineChars="200"/>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pacing w:val="0"/>
                <w:position w:val="0"/>
                <w:sz w:val="24"/>
                <w:szCs w:val="24"/>
                <w:highlight w:val="none"/>
                <w:lang w:eastAsia="zh-CN"/>
              </w:rPr>
              <w:fldChar w:fldCharType="begin"/>
            </w:r>
            <w:r>
              <w:rPr>
                <w:rFonts w:hint="eastAsia" w:ascii="Times New Roman" w:hAnsi="Times New Roman" w:eastAsia="宋体" w:cs="宋体"/>
                <w:b/>
                <w:bCs/>
                <w:color w:val="auto"/>
                <w:spacing w:val="0"/>
                <w:position w:val="0"/>
                <w:sz w:val="24"/>
                <w:szCs w:val="24"/>
                <w:highlight w:val="none"/>
                <w:lang w:eastAsia="zh-CN"/>
              </w:rPr>
              <w:instrText xml:space="preserve"> = 8 \* GB3 \* MERGEFORMAT </w:instrText>
            </w:r>
            <w:r>
              <w:rPr>
                <w:rFonts w:hint="eastAsia" w:ascii="Times New Roman" w:hAnsi="Times New Roman" w:eastAsia="宋体" w:cs="宋体"/>
                <w:b/>
                <w:bCs/>
                <w:color w:val="auto"/>
                <w:spacing w:val="0"/>
                <w:position w:val="0"/>
                <w:sz w:val="24"/>
                <w:szCs w:val="24"/>
                <w:highlight w:val="none"/>
                <w:lang w:eastAsia="zh-CN"/>
              </w:rPr>
              <w:fldChar w:fldCharType="separate"/>
            </w:r>
            <w:r>
              <w:rPr>
                <w:b/>
                <w:bCs/>
                <w:color w:val="auto"/>
                <w:sz w:val="24"/>
                <w:szCs w:val="24"/>
                <w:highlight w:val="none"/>
              </w:rPr>
              <w:t>⑧</w:t>
            </w:r>
            <w:r>
              <w:rPr>
                <w:rFonts w:hint="eastAsia" w:ascii="Times New Roman" w:hAnsi="Times New Roman" w:eastAsia="宋体" w:cs="宋体"/>
                <w:b/>
                <w:bCs/>
                <w:color w:val="auto"/>
                <w:spacing w:val="0"/>
                <w:position w:val="0"/>
                <w:sz w:val="24"/>
                <w:szCs w:val="24"/>
                <w:highlight w:val="none"/>
                <w:lang w:eastAsia="zh-CN"/>
              </w:rPr>
              <w:fldChar w:fldCharType="end"/>
            </w:r>
            <w:r>
              <w:rPr>
                <w:rFonts w:hint="eastAsia" w:ascii="Times New Roman" w:hAnsi="Times New Roman" w:eastAsia="宋体" w:cs="宋体"/>
                <w:b/>
                <w:bCs/>
                <w:color w:val="auto"/>
                <w:sz w:val="24"/>
                <w:szCs w:val="24"/>
                <w:highlight w:val="none"/>
              </w:rPr>
              <w:t>润滑油空桶</w:t>
            </w:r>
          </w:p>
          <w:p w14:paraId="37A923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项目年更换润滑油</w:t>
            </w:r>
            <w:r>
              <w:rPr>
                <w:rFonts w:hint="eastAsia" w:ascii="Times New Roman" w:hAnsi="Times New Roman" w:eastAsia="宋体" w:cs="宋体"/>
                <w:color w:val="auto"/>
                <w:sz w:val="24"/>
                <w:szCs w:val="24"/>
                <w:highlight w:val="none"/>
                <w:lang w:val="en-US" w:eastAsia="zh-CN"/>
              </w:rPr>
              <w:t>0.05t/a</w:t>
            </w:r>
            <w:r>
              <w:rPr>
                <w:rFonts w:hint="eastAsia" w:ascii="Times New Roman" w:hAnsi="Times New Roman" w:eastAsia="宋体" w:cs="宋体"/>
                <w:color w:val="auto"/>
                <w:sz w:val="24"/>
                <w:szCs w:val="24"/>
                <w:highlight w:val="none"/>
              </w:rPr>
              <w:t>，每桶约</w:t>
            </w:r>
            <w:r>
              <w:rPr>
                <w:rFonts w:hint="eastAsia" w:ascii="Times New Roman" w:hAnsi="Times New Roman" w:eastAsia="宋体" w:cs="宋体"/>
                <w:color w:val="auto"/>
                <w:sz w:val="24"/>
                <w:szCs w:val="24"/>
                <w:highlight w:val="none"/>
                <w:lang w:val="en-US" w:eastAsia="zh-CN"/>
              </w:rPr>
              <w:t>25kg</w:t>
            </w: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lang w:val="en-US" w:eastAsia="zh-CN"/>
              </w:rPr>
              <w:t>共使用2桶，</w:t>
            </w:r>
            <w:r>
              <w:rPr>
                <w:rFonts w:hint="eastAsia" w:ascii="Times New Roman" w:hAnsi="Times New Roman" w:eastAsia="宋体" w:cs="宋体"/>
                <w:color w:val="auto"/>
                <w:sz w:val="24"/>
                <w:szCs w:val="24"/>
                <w:highlight w:val="none"/>
              </w:rPr>
              <w:t>润滑油空桶</w:t>
            </w:r>
            <w:r>
              <w:rPr>
                <w:rFonts w:hint="eastAsia" w:ascii="Times New Roman" w:hAnsi="Times New Roman" w:eastAsia="宋体" w:cs="宋体"/>
                <w:color w:val="auto"/>
                <w:sz w:val="24"/>
                <w:szCs w:val="24"/>
                <w:highlight w:val="none"/>
                <w:lang w:val="en-US" w:eastAsia="zh-CN"/>
              </w:rPr>
              <w:t>约2kg，则项目</w:t>
            </w:r>
            <w:r>
              <w:rPr>
                <w:rFonts w:hint="eastAsia" w:ascii="Times New Roman" w:hAnsi="Times New Roman" w:eastAsia="宋体" w:cs="宋体"/>
                <w:color w:val="auto"/>
                <w:sz w:val="24"/>
                <w:szCs w:val="24"/>
                <w:highlight w:val="none"/>
              </w:rPr>
              <w:t>润滑油空桶产生量为0.00</w:t>
            </w:r>
            <w:r>
              <w:rPr>
                <w:rFonts w:hint="eastAsia" w:ascii="Times New Roman" w:hAnsi="Times New Roman" w:eastAsia="宋体" w:cs="宋体"/>
                <w:color w:val="auto"/>
                <w:sz w:val="24"/>
                <w:szCs w:val="24"/>
                <w:highlight w:val="none"/>
                <w:lang w:val="en-US" w:eastAsia="zh-CN"/>
              </w:rPr>
              <w:t>4</w:t>
            </w:r>
            <w:r>
              <w:rPr>
                <w:rFonts w:hint="eastAsia" w:ascii="Times New Roman" w:hAnsi="Times New Roman" w:eastAsia="宋体" w:cs="宋体"/>
                <w:color w:val="auto"/>
                <w:sz w:val="24"/>
                <w:szCs w:val="24"/>
                <w:highlight w:val="none"/>
              </w:rPr>
              <w:t>t/a。对照《国家危险废物名录》（2025</w:t>
            </w:r>
            <w:r>
              <w:rPr>
                <w:rStyle w:val="122"/>
                <w:rFonts w:hint="eastAsia" w:ascii="Times New Roman" w:hAnsi="Times New Roman" w:eastAsia="宋体" w:cs="宋体"/>
                <w:color w:val="auto"/>
                <w:sz w:val="24"/>
                <w:szCs w:val="24"/>
                <w:highlight w:val="none"/>
              </w:rPr>
              <w:t>版</w:t>
            </w:r>
            <w:r>
              <w:rPr>
                <w:rFonts w:hint="eastAsia" w:ascii="Times New Roman" w:hAnsi="Times New Roman" w:eastAsia="宋体" w:cs="宋体"/>
                <w:color w:val="auto"/>
                <w:sz w:val="24"/>
                <w:szCs w:val="24"/>
                <w:highlight w:val="none"/>
              </w:rPr>
              <w:t>），润滑油空桶属HW08废矿物油（代码 900-249-08（其他生产、销售、使用过程中产生的废矿物油及沾染矿物油的废弃包装物），经收集后委托有资质的单位</w:t>
            </w:r>
            <w:r>
              <w:rPr>
                <w:rStyle w:val="122"/>
                <w:rFonts w:hint="eastAsia" w:ascii="Times New Roman" w:hAnsi="Times New Roman" w:eastAsia="宋体" w:cs="宋体"/>
                <w:color w:val="auto"/>
                <w:sz w:val="24"/>
                <w:szCs w:val="24"/>
                <w:highlight w:val="none"/>
              </w:rPr>
              <w:t>进行</w:t>
            </w:r>
            <w:r>
              <w:rPr>
                <w:rFonts w:hint="eastAsia" w:ascii="Times New Roman" w:hAnsi="Times New Roman" w:eastAsia="宋体" w:cs="宋体"/>
                <w:color w:val="auto"/>
                <w:sz w:val="24"/>
                <w:szCs w:val="24"/>
                <w:highlight w:val="none"/>
              </w:rPr>
              <w:t>处置。</w:t>
            </w:r>
          </w:p>
          <w:p w14:paraId="2AFB2A13">
            <w:pPr>
              <w:pageBreakBefore w:val="0"/>
              <w:widowControl/>
              <w:numPr>
                <w:ilvl w:val="0"/>
                <w:numId w:val="0"/>
              </w:numPr>
              <w:kinsoku/>
              <w:wordWrap w:val="0"/>
              <w:overflowPunct/>
              <w:topLinePunct w:val="0"/>
              <w:autoSpaceDE/>
              <w:autoSpaceDN/>
              <w:bidi w:val="0"/>
              <w:spacing w:line="360" w:lineRule="auto"/>
              <w:ind w:left="0" w:leftChars="0" w:right="0" w:rightChars="0" w:firstLine="482" w:firstLineChars="200"/>
              <w:jc w:val="left"/>
              <w:textAlignment w:val="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宋体"/>
                <w:b/>
                <w:bCs/>
                <w:color w:val="auto"/>
                <w:sz w:val="24"/>
                <w:szCs w:val="24"/>
                <w:highlight w:val="none"/>
              </w:rPr>
              <w:fldChar w:fldCharType="begin"/>
            </w:r>
            <w:r>
              <w:rPr>
                <w:rFonts w:hint="eastAsia" w:ascii="Times New Roman" w:hAnsi="Times New Roman" w:eastAsia="宋体" w:cs="宋体"/>
                <w:b/>
                <w:bCs/>
                <w:color w:val="auto"/>
                <w:sz w:val="24"/>
                <w:szCs w:val="24"/>
                <w:highlight w:val="none"/>
              </w:rPr>
              <w:instrText xml:space="preserve"> = 9 \* GB3 \* MERGEFORMAT </w:instrText>
            </w:r>
            <w:r>
              <w:rPr>
                <w:rFonts w:hint="eastAsia" w:ascii="Times New Roman" w:hAnsi="Times New Roman" w:eastAsia="宋体" w:cs="宋体"/>
                <w:b/>
                <w:bCs/>
                <w:color w:val="auto"/>
                <w:sz w:val="24"/>
                <w:szCs w:val="24"/>
                <w:highlight w:val="none"/>
              </w:rPr>
              <w:fldChar w:fldCharType="separate"/>
            </w:r>
            <w:r>
              <w:rPr>
                <w:b/>
                <w:bCs/>
                <w:color w:val="auto"/>
              </w:rPr>
              <w:t>⑨</w:t>
            </w:r>
            <w:r>
              <w:rPr>
                <w:rFonts w:hint="eastAsia" w:ascii="Times New Roman" w:hAnsi="Times New Roman" w:eastAsia="宋体" w:cs="宋体"/>
                <w:b/>
                <w:bCs/>
                <w:color w:val="auto"/>
                <w:sz w:val="24"/>
                <w:szCs w:val="24"/>
                <w:highlight w:val="none"/>
              </w:rPr>
              <w:fldChar w:fldCharType="end"/>
            </w:r>
            <w:r>
              <w:rPr>
                <w:rFonts w:hint="eastAsia" w:ascii="Times New Roman" w:hAnsi="Times New Roman" w:eastAsia="宋体" w:cs="Times New Roman"/>
                <w:b/>
                <w:bCs/>
                <w:color w:val="auto"/>
                <w:kern w:val="2"/>
                <w:sz w:val="24"/>
                <w:szCs w:val="24"/>
                <w:highlight w:val="none"/>
                <w:lang w:val="en-US" w:eastAsia="zh-CN"/>
              </w:rPr>
              <w:t>废</w:t>
            </w:r>
            <w:r>
              <w:rPr>
                <w:rFonts w:hint="eastAsia" w:ascii="Times New Roman" w:hAnsi="Times New Roman" w:cs="Times New Roman"/>
                <w:b/>
                <w:bCs/>
                <w:color w:val="auto"/>
                <w:kern w:val="2"/>
                <w:sz w:val="24"/>
                <w:szCs w:val="24"/>
                <w:highlight w:val="none"/>
                <w:lang w:val="en-US" w:eastAsia="zh-CN"/>
              </w:rPr>
              <w:t>含油</w:t>
            </w:r>
            <w:r>
              <w:rPr>
                <w:rFonts w:hint="eastAsia" w:ascii="Times New Roman" w:hAnsi="Times New Roman" w:eastAsia="宋体" w:cs="Times New Roman"/>
                <w:b/>
                <w:bCs/>
                <w:color w:val="auto"/>
                <w:kern w:val="2"/>
                <w:sz w:val="24"/>
                <w:szCs w:val="24"/>
                <w:highlight w:val="none"/>
                <w:lang w:val="en-US" w:eastAsia="zh-CN"/>
              </w:rPr>
              <w:t>抹布及手套</w:t>
            </w:r>
          </w:p>
          <w:p w14:paraId="1C6F4F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根据业主提供资料，项目在进行设备维护时会产生</w:t>
            </w:r>
            <w:r>
              <w:rPr>
                <w:rFonts w:hint="eastAsia" w:ascii="Times New Roman" w:hAnsi="Times New Roman" w:cs="Times New Roman"/>
                <w:color w:val="auto"/>
                <w:sz w:val="24"/>
                <w:szCs w:val="24"/>
                <w:highlight w:val="none"/>
                <w:lang w:val="en-US" w:eastAsia="zh-CN"/>
              </w:rPr>
              <w:t>废</w:t>
            </w:r>
            <w:r>
              <w:rPr>
                <w:rFonts w:hint="eastAsia" w:ascii="Times New Roman" w:hAnsi="Times New Roman" w:cs="Times New Roman"/>
                <w:color w:val="auto"/>
                <w:kern w:val="2"/>
                <w:sz w:val="24"/>
                <w:szCs w:val="24"/>
                <w:highlight w:val="none"/>
                <w:lang w:val="en-US" w:eastAsia="zh-CN"/>
              </w:rPr>
              <w:t>含油</w:t>
            </w:r>
            <w:r>
              <w:rPr>
                <w:rFonts w:hint="eastAsia" w:ascii="Times New Roman" w:hAnsi="Times New Roman" w:eastAsia="宋体" w:cs="Times New Roman"/>
                <w:color w:val="auto"/>
                <w:sz w:val="24"/>
                <w:szCs w:val="24"/>
                <w:highlight w:val="none"/>
                <w:lang w:val="en-US" w:eastAsia="zh-CN"/>
              </w:rPr>
              <w:t>抹布及手套，产生量约0.0</w:t>
            </w:r>
            <w:r>
              <w:rPr>
                <w:rFonts w:hint="eastAsia" w:ascii="Times New Roman" w:hAnsi="Times New Roman" w:cs="Times New Roman"/>
                <w:color w:val="auto"/>
                <w:sz w:val="24"/>
                <w:szCs w:val="24"/>
                <w:highlight w:val="none"/>
                <w:lang w:val="en-US" w:eastAsia="zh-CN"/>
              </w:rPr>
              <w:t>48</w:t>
            </w:r>
            <w:r>
              <w:rPr>
                <w:rFonts w:hint="eastAsia"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val="en-US" w:eastAsia="zh-CN"/>
              </w:rPr>
              <w:t>，对照《国家危险废物名录》（2025版），废含油抹布及手套属于HW49（其他废物），废物代码为900-041-49（含有或沾染毒性、感染性危险废物的废弃包装物、容器、过滤吸附介质），收集后暂存于危废间，定期委托有资质的单位进行处置。</w:t>
            </w:r>
          </w:p>
          <w:p w14:paraId="5443EB9B">
            <w:pPr>
              <w:pageBreakBefore w:val="0"/>
              <w:widowControl/>
              <w:numPr>
                <w:ilvl w:val="0"/>
                <w:numId w:val="0"/>
              </w:numPr>
              <w:kinsoku/>
              <w:wordWrap/>
              <w:overflowPunct/>
              <w:topLinePunct w:val="0"/>
              <w:autoSpaceDE/>
              <w:autoSpaceDN/>
              <w:bidi w:val="0"/>
              <w:snapToGrid w:val="0"/>
              <w:spacing w:line="360" w:lineRule="auto"/>
              <w:ind w:leftChars="200"/>
              <w:textAlignment w:val="auto"/>
              <w:rPr>
                <w:rFonts w:ascii="Times New Roman" w:hAnsi="Times New Roman" w:eastAsia="宋体" w:cs="Times New Roman"/>
                <w:color w:val="auto"/>
                <w:spacing w:val="0"/>
                <w:position w:val="0"/>
                <w:sz w:val="24"/>
                <w:szCs w:val="32"/>
                <w:highlight w:val="none"/>
              </w:rPr>
            </w:pPr>
            <w:r>
              <w:rPr>
                <w:rFonts w:hint="eastAsia" w:ascii="Times New Roman" w:hAnsi="Times New Roman" w:eastAsia="宋体" w:cs="Times New Roman"/>
                <w:b/>
                <w:bCs/>
                <w:color w:val="auto"/>
                <w:spacing w:val="0"/>
                <w:position w:val="0"/>
                <w:sz w:val="24"/>
                <w:szCs w:val="32"/>
                <w:highlight w:val="none"/>
              </w:rPr>
              <w:t>（</w:t>
            </w:r>
            <w:r>
              <w:rPr>
                <w:rFonts w:hint="eastAsia" w:ascii="Times New Roman" w:hAnsi="Times New Roman" w:eastAsia="宋体" w:cs="Times New Roman"/>
                <w:b/>
                <w:bCs/>
                <w:color w:val="auto"/>
                <w:spacing w:val="0"/>
                <w:position w:val="0"/>
                <w:sz w:val="24"/>
                <w:szCs w:val="32"/>
                <w:highlight w:val="none"/>
                <w:lang w:val="en-US" w:eastAsia="zh-CN"/>
              </w:rPr>
              <w:t>3</w:t>
            </w:r>
            <w:r>
              <w:rPr>
                <w:rFonts w:hint="eastAsia" w:ascii="Times New Roman" w:hAnsi="Times New Roman" w:eastAsia="宋体" w:cs="Times New Roman"/>
                <w:b/>
                <w:bCs/>
                <w:color w:val="auto"/>
                <w:spacing w:val="0"/>
                <w:position w:val="0"/>
                <w:sz w:val="24"/>
                <w:szCs w:val="32"/>
                <w:highlight w:val="none"/>
              </w:rPr>
              <w:t>）生活垃圾</w:t>
            </w:r>
          </w:p>
          <w:p w14:paraId="03C9D15B">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生活垃圾的产生量由下式得出：</w:t>
            </w:r>
          </w:p>
          <w:p w14:paraId="70AA272B">
            <w:pPr>
              <w:pageBreakBefore w:val="0"/>
              <w:kinsoku/>
              <w:wordWrap/>
              <w:overflowPunct/>
              <w:topLinePunct w:val="0"/>
              <w:autoSpaceDE/>
              <w:autoSpaceDN/>
              <w:bidi w:val="0"/>
              <w:adjustRightInd w:val="0"/>
              <w:snapToGrid w:val="0"/>
              <w:spacing w:line="360" w:lineRule="auto"/>
              <w:ind w:firstLine="1680" w:firstLineChars="700"/>
              <w:textAlignment w:val="auto"/>
              <w:rPr>
                <w:rFonts w:ascii="Times New Roman" w:hAnsi="Times New Roman" w:eastAsia="宋体" w:cs="Times New Roman"/>
                <w:i/>
                <w:iCs/>
                <w:color w:val="auto"/>
                <w:spacing w:val="0"/>
                <w:position w:val="0"/>
                <w:sz w:val="24"/>
                <w:highlight w:val="none"/>
              </w:rPr>
            </w:pPr>
            <w:r>
              <w:rPr>
                <w:rFonts w:ascii="Times New Roman" w:hAnsi="Times New Roman" w:eastAsia="宋体" w:cs="Times New Roman"/>
                <w:i/>
                <w:iCs/>
                <w:color w:val="auto"/>
                <w:spacing w:val="0"/>
                <w:position w:val="0"/>
                <w:sz w:val="24"/>
                <w:highlight w:val="none"/>
              </w:rPr>
              <w:t>G＝K·N</w:t>
            </w:r>
          </w:p>
          <w:p w14:paraId="0BCC7F3C">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式中：G</w:t>
            </w:r>
            <w:r>
              <w:rPr>
                <w:rFonts w:hint="eastAsia"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生活垃圾产量（kg/d</w:t>
            </w:r>
            <w:r>
              <w:rPr>
                <w:rFonts w:hint="eastAsia"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w:t>
            </w:r>
          </w:p>
          <w:p w14:paraId="74C2964C">
            <w:pPr>
              <w:pageBreakBefore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K</w:t>
            </w:r>
            <w:r>
              <w:rPr>
                <w:rFonts w:hint="eastAsia"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人均排放系数（kg/人·天）；</w:t>
            </w:r>
          </w:p>
          <w:p w14:paraId="597D9C94">
            <w:pPr>
              <w:pageBreakBefore w:val="0"/>
              <w:kinsoku/>
              <w:wordWrap/>
              <w:overflowPunct/>
              <w:topLinePunct w:val="0"/>
              <w:autoSpaceDE/>
              <w:autoSpaceDN/>
              <w:bidi w:val="0"/>
              <w:spacing w:line="360" w:lineRule="auto"/>
              <w:ind w:firstLine="1200" w:firstLineChars="500"/>
              <w:textAlignment w:val="auto"/>
              <w:rPr>
                <w:rFonts w:hint="eastAsia"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N</w:t>
            </w:r>
            <w:r>
              <w:rPr>
                <w:rFonts w:hint="eastAsia"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人口数（人）</w:t>
            </w:r>
            <w:r>
              <w:rPr>
                <w:rFonts w:hint="eastAsia" w:ascii="Times New Roman" w:hAnsi="Times New Roman" w:eastAsia="宋体" w:cs="Times New Roman"/>
                <w:color w:val="auto"/>
                <w:spacing w:val="0"/>
                <w:position w:val="0"/>
                <w:sz w:val="24"/>
                <w:highlight w:val="none"/>
              </w:rPr>
              <w:t>。</w:t>
            </w:r>
          </w:p>
          <w:p w14:paraId="6180FE82">
            <w:pPr>
              <w:pageBreakBefore w:val="0"/>
              <w:widowControl/>
              <w:kinsoku/>
              <w:wordWrap/>
              <w:overflowPunct/>
              <w:topLinePunct w:val="0"/>
              <w:autoSpaceDE/>
              <w:autoSpaceDN/>
              <w:bidi w:val="0"/>
              <w:snapToGrid w:val="0"/>
              <w:spacing w:line="360" w:lineRule="auto"/>
              <w:ind w:firstLine="480" w:firstLineChars="200"/>
              <w:textAlignment w:val="auto"/>
              <w:rPr>
                <w:rFonts w:hint="eastAsia" w:ascii="Times New Roman" w:hAnsi="Times New Roman" w:eastAsia="宋体" w:cs="Times New Roman"/>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项目共有职工</w:t>
            </w:r>
            <w:r>
              <w:rPr>
                <w:rFonts w:hint="eastAsia" w:cs="Times New Roman"/>
                <w:color w:val="auto"/>
                <w:spacing w:val="0"/>
                <w:position w:val="0"/>
                <w:sz w:val="24"/>
                <w:szCs w:val="24"/>
                <w:highlight w:val="none"/>
                <w:lang w:val="en-US" w:eastAsia="zh-CN"/>
              </w:rPr>
              <w:t>20</w:t>
            </w:r>
            <w:r>
              <w:rPr>
                <w:rFonts w:ascii="Times New Roman" w:hAnsi="Times New Roman" w:eastAsia="宋体" w:cs="Times New Roman"/>
                <w:color w:val="auto"/>
                <w:spacing w:val="0"/>
                <w:position w:val="0"/>
                <w:sz w:val="24"/>
                <w:szCs w:val="24"/>
                <w:highlight w:val="none"/>
              </w:rPr>
              <w:t>人（均不住厂</w:t>
            </w:r>
            <w:r>
              <w:rPr>
                <w:rFonts w:hint="eastAsia" w:ascii="Times New Roman" w:hAnsi="Times New Roman" w:eastAsia="宋体" w:cs="Times New Roman"/>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参照我国生活垃圾排放系数，不住厂职工取K=0.5kg/</w:t>
            </w:r>
            <w:r>
              <w:rPr>
                <w:rFonts w:hint="eastAsia" w:cs="Times New Roman"/>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人·天</w:t>
            </w:r>
            <w:r>
              <w:rPr>
                <w:rFonts w:hint="eastAsia" w:cs="Times New Roman"/>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，年工作300天，则项目生活垃圾的产生量为</w:t>
            </w:r>
            <w:r>
              <w:rPr>
                <w:rFonts w:hint="eastAsia" w:cs="Times New Roman"/>
                <w:color w:val="auto"/>
                <w:spacing w:val="0"/>
                <w:position w:val="0"/>
                <w:sz w:val="24"/>
                <w:szCs w:val="24"/>
                <w:highlight w:val="none"/>
                <w:lang w:val="en-US" w:eastAsia="zh-CN"/>
              </w:rPr>
              <w:t>10</w:t>
            </w:r>
            <w:r>
              <w:rPr>
                <w:rFonts w:ascii="Times New Roman" w:hAnsi="Times New Roman" w:eastAsia="宋体" w:cs="Times New Roman"/>
                <w:color w:val="auto"/>
                <w:spacing w:val="0"/>
                <w:position w:val="0"/>
                <w:sz w:val="24"/>
                <w:szCs w:val="24"/>
                <w:highlight w:val="none"/>
              </w:rPr>
              <w:t>kg/d，年产生量为</w:t>
            </w:r>
            <w:r>
              <w:rPr>
                <w:rFonts w:hint="eastAsia" w:cs="Times New Roman"/>
                <w:color w:val="auto"/>
                <w:spacing w:val="0"/>
                <w:position w:val="0"/>
                <w:sz w:val="24"/>
                <w:szCs w:val="24"/>
                <w:highlight w:val="none"/>
                <w:lang w:val="en-US" w:eastAsia="zh-CN"/>
              </w:rPr>
              <w:t>3</w:t>
            </w:r>
            <w:r>
              <w:rPr>
                <w:rFonts w:hint="eastAsia" w:ascii="Times New Roman" w:hAnsi="Times New Roman" w:eastAsia="宋体" w:cs="Times New Roman"/>
                <w:color w:val="auto"/>
                <w:spacing w:val="0"/>
                <w:position w:val="0"/>
                <w:sz w:val="24"/>
                <w:szCs w:val="24"/>
                <w:highlight w:val="none"/>
              </w:rPr>
              <w:t>t/a</w:t>
            </w:r>
            <w:r>
              <w:rPr>
                <w:rFonts w:ascii="Times New Roman" w:hAnsi="Times New Roman" w:eastAsia="宋体" w:cs="Times New Roman"/>
                <w:color w:val="auto"/>
                <w:spacing w:val="0"/>
                <w:position w:val="0"/>
                <w:sz w:val="24"/>
                <w:szCs w:val="24"/>
                <w:highlight w:val="none"/>
              </w:rPr>
              <w:t>。生活垃圾经垃圾桶收集后，定期交由当地环卫部门统一收集清运。</w:t>
            </w:r>
            <w:r>
              <w:rPr>
                <w:rFonts w:hint="eastAsia" w:ascii="Times New Roman" w:hAnsi="Times New Roman" w:eastAsia="宋体" w:cs="Times New Roman"/>
                <w:color w:val="auto"/>
                <w:spacing w:val="0"/>
                <w:position w:val="0"/>
                <w:sz w:val="24"/>
                <w:szCs w:val="24"/>
                <w:highlight w:val="none"/>
              </w:rPr>
              <w:t>根据《固体废物分类与代码目录》（公告2024年第4号），</w:t>
            </w:r>
            <w:r>
              <w:rPr>
                <w:rFonts w:ascii="Times New Roman" w:hAnsi="Times New Roman" w:eastAsia="宋体" w:cs="Times New Roman"/>
                <w:color w:val="auto"/>
                <w:spacing w:val="0"/>
                <w:position w:val="0"/>
                <w:sz w:val="24"/>
                <w:szCs w:val="24"/>
                <w:highlight w:val="none"/>
              </w:rPr>
              <w:t>生活垃圾</w:t>
            </w:r>
            <w:r>
              <w:rPr>
                <w:rFonts w:hint="eastAsia" w:ascii="Times New Roman" w:hAnsi="Times New Roman" w:eastAsia="宋体" w:cs="Times New Roman"/>
                <w:color w:val="auto"/>
                <w:spacing w:val="0"/>
                <w:position w:val="0"/>
                <w:sz w:val="24"/>
                <w:szCs w:val="24"/>
                <w:highlight w:val="none"/>
              </w:rPr>
              <w:t>种类属于SW64其他垃圾，属于非特定行业，废物代码为900-099-S64。</w:t>
            </w:r>
          </w:p>
          <w:p w14:paraId="48A40477">
            <w:pPr>
              <w:pStyle w:val="37"/>
              <w:keepNext w:val="0"/>
              <w:keepLines w:val="0"/>
              <w:pageBreakBefore w:val="0"/>
              <w:widowControl w:val="0"/>
              <w:kinsoku/>
              <w:wordWrap/>
              <w:overflowPunct/>
              <w:topLinePunct w:val="0"/>
              <w:autoSpaceDE/>
              <w:autoSpaceDN/>
              <w:bidi w:val="0"/>
              <w:adjustRightInd/>
              <w:snapToGrid/>
              <w:spacing w:after="0"/>
              <w:ind w:left="0" w:leftChars="0"/>
              <w:jc w:val="both"/>
              <w:textAlignment w:val="auto"/>
              <w:rPr>
                <w:rFonts w:hint="eastAsia" w:cs="Times New Roman"/>
                <w:color w:val="auto"/>
                <w:sz w:val="24"/>
                <w:szCs w:val="24"/>
                <w:highlight w:val="none"/>
                <w:lang w:val="en-US" w:eastAsia="zh-CN"/>
              </w:rPr>
            </w:pPr>
            <w:r>
              <w:rPr>
                <w:rFonts w:ascii="Times New Roman" w:hAnsi="Times New Roman" w:eastAsia="宋体" w:cs="Times New Roman"/>
                <w:color w:val="auto"/>
                <w:spacing w:val="0"/>
                <w:position w:val="0"/>
                <w:sz w:val="24"/>
                <w:szCs w:val="24"/>
                <w:highlight w:val="none"/>
              </w:rPr>
              <w:t>项目固体废物产生情况</w:t>
            </w:r>
            <w:r>
              <w:rPr>
                <w:rFonts w:hint="eastAsia" w:ascii="Times New Roman" w:hAnsi="Times New Roman" w:eastAsia="宋体" w:cs="Times New Roman"/>
                <w:color w:val="auto"/>
                <w:spacing w:val="0"/>
                <w:position w:val="0"/>
                <w:sz w:val="24"/>
                <w:szCs w:val="24"/>
                <w:highlight w:val="none"/>
              </w:rPr>
              <w:t>及管理要求，</w:t>
            </w:r>
            <w:r>
              <w:rPr>
                <w:rFonts w:hint="eastAsia" w:ascii="Times New Roman" w:hAnsi="Times New Roman" w:eastAsia="宋体" w:cs="Times New Roman"/>
                <w:bCs/>
                <w:color w:val="auto"/>
                <w:spacing w:val="0"/>
                <w:position w:val="0"/>
                <w:sz w:val="24"/>
                <w:szCs w:val="24"/>
                <w:highlight w:val="none"/>
                <w:lang w:val="en-US"/>
              </w:rPr>
              <w:t>详</w:t>
            </w:r>
            <w:r>
              <w:rPr>
                <w:rFonts w:ascii="Times New Roman" w:hAnsi="Times New Roman" w:eastAsia="宋体" w:cs="Times New Roman"/>
                <w:bCs/>
                <w:color w:val="auto"/>
                <w:spacing w:val="0"/>
                <w:position w:val="0"/>
                <w:sz w:val="24"/>
                <w:szCs w:val="24"/>
                <w:highlight w:val="none"/>
              </w:rPr>
              <w:t>见表</w:t>
            </w:r>
            <w:r>
              <w:rPr>
                <w:rFonts w:hint="default" w:ascii="Times New Roman" w:hAnsi="Times New Roman" w:eastAsia="宋体" w:cs="Times New Roman"/>
                <w:color w:val="auto"/>
                <w:spacing w:val="0"/>
                <w:position w:val="0"/>
                <w:sz w:val="24"/>
                <w:szCs w:val="24"/>
                <w:highlight w:val="none"/>
                <w:lang w:val="en-US" w:eastAsia="zh-CN"/>
              </w:rPr>
              <w:t>4</w:t>
            </w:r>
            <w:r>
              <w:rPr>
                <w:rFonts w:hint="eastAsia" w:ascii="Times New Roman" w:hAnsi="Times New Roman" w:eastAsia="宋体" w:cs="Times New Roman"/>
                <w:color w:val="auto"/>
                <w:spacing w:val="0"/>
                <w:position w:val="0"/>
                <w:sz w:val="24"/>
                <w:szCs w:val="24"/>
                <w:highlight w:val="none"/>
                <w:lang w:val="en-US" w:eastAsia="zh-CN"/>
              </w:rPr>
              <w:t>.4-</w:t>
            </w:r>
            <w:r>
              <w:rPr>
                <w:rFonts w:hint="eastAsia" w:cs="Times New Roman"/>
                <w:color w:val="auto"/>
                <w:spacing w:val="0"/>
                <w:position w:val="0"/>
                <w:sz w:val="24"/>
                <w:szCs w:val="24"/>
                <w:highlight w:val="none"/>
                <w:lang w:val="en-US" w:eastAsia="zh-CN"/>
              </w:rPr>
              <w:t>2</w:t>
            </w:r>
            <w:r>
              <w:rPr>
                <w:rFonts w:hint="default" w:ascii="Times New Roman" w:hAnsi="Times New Roman" w:eastAsia="宋体" w:cs="Times New Roman"/>
                <w:color w:val="auto"/>
                <w:spacing w:val="0"/>
                <w:position w:val="0"/>
                <w:sz w:val="24"/>
                <w:szCs w:val="24"/>
                <w:highlight w:val="none"/>
              </w:rPr>
              <w:t>。</w:t>
            </w:r>
          </w:p>
        </w:tc>
      </w:tr>
    </w:tbl>
    <w:p w14:paraId="614AE091">
      <w:pPr>
        <w:pStyle w:val="37"/>
        <w:ind w:left="0" w:leftChars="0" w:firstLine="0" w:firstLineChars="0"/>
        <w:rPr>
          <w:color w:val="auto"/>
          <w:highlight w:val="none"/>
        </w:rPr>
        <w:sectPr>
          <w:pgSz w:w="11905" w:h="16838"/>
          <w:pgMar w:top="1134" w:right="1134" w:bottom="1134" w:left="1134"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9"/>
        <w:tblW w:w="150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4624"/>
      </w:tblGrid>
      <w:tr w14:paraId="24CC4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0" w:hRule="atLeast"/>
          <w:jc w:val="center"/>
        </w:trPr>
        <w:tc>
          <w:tcPr>
            <w:tcW w:w="468" w:type="dxa"/>
            <w:noWrap w:val="0"/>
            <w:tcMar>
              <w:left w:w="28" w:type="dxa"/>
              <w:right w:w="28" w:type="dxa"/>
            </w:tcMar>
            <w:vAlign w:val="center"/>
          </w:tcPr>
          <w:p w14:paraId="27676088">
            <w:pPr>
              <w:adjustRightInd w:val="0"/>
              <w:snapToGrid w:val="0"/>
              <w:jc w:val="center"/>
              <w:rPr>
                <w:rFonts w:ascii="Times New Roman" w:hAnsi="Times New Roman" w:eastAsia="宋体" w:cs="Times New Roman"/>
                <w:bCs/>
                <w:color w:val="auto"/>
                <w:spacing w:val="0"/>
                <w:position w:val="0"/>
                <w:sz w:val="24"/>
                <w:highlight w:val="none"/>
              </w:rPr>
            </w:pPr>
            <w:r>
              <w:rPr>
                <w:rFonts w:ascii="Times New Roman" w:hAnsi="Times New Roman" w:eastAsia="宋体" w:cs="Times New Roman"/>
                <w:bCs/>
                <w:color w:val="auto"/>
                <w:spacing w:val="0"/>
                <w:position w:val="0"/>
                <w:sz w:val="24"/>
                <w:highlight w:val="none"/>
              </w:rPr>
              <w:t>运营</w:t>
            </w:r>
          </w:p>
          <w:p w14:paraId="5D26EB9F">
            <w:pPr>
              <w:adjustRightInd w:val="0"/>
              <w:snapToGrid w:val="0"/>
              <w:jc w:val="center"/>
              <w:rPr>
                <w:rFonts w:ascii="Times New Roman" w:hAnsi="Times New Roman" w:eastAsia="宋体" w:cs="Times New Roman"/>
                <w:bCs/>
                <w:color w:val="auto"/>
                <w:spacing w:val="0"/>
                <w:position w:val="0"/>
                <w:sz w:val="24"/>
                <w:highlight w:val="none"/>
              </w:rPr>
            </w:pPr>
            <w:r>
              <w:rPr>
                <w:rFonts w:ascii="Times New Roman" w:hAnsi="Times New Roman" w:eastAsia="宋体" w:cs="Times New Roman"/>
                <w:bCs/>
                <w:color w:val="auto"/>
                <w:spacing w:val="0"/>
                <w:position w:val="0"/>
                <w:sz w:val="24"/>
                <w:highlight w:val="none"/>
              </w:rPr>
              <w:t>期环</w:t>
            </w:r>
          </w:p>
          <w:p w14:paraId="684AB595">
            <w:pPr>
              <w:adjustRightInd w:val="0"/>
              <w:snapToGrid w:val="0"/>
              <w:jc w:val="center"/>
              <w:rPr>
                <w:rFonts w:ascii="Times New Roman" w:hAnsi="Times New Roman" w:eastAsia="宋体" w:cs="Times New Roman"/>
                <w:bCs/>
                <w:color w:val="auto"/>
                <w:spacing w:val="0"/>
                <w:position w:val="0"/>
                <w:sz w:val="24"/>
                <w:highlight w:val="none"/>
              </w:rPr>
            </w:pPr>
            <w:r>
              <w:rPr>
                <w:rFonts w:ascii="Times New Roman" w:hAnsi="Times New Roman" w:eastAsia="宋体" w:cs="Times New Roman"/>
                <w:bCs/>
                <w:color w:val="auto"/>
                <w:spacing w:val="0"/>
                <w:position w:val="0"/>
                <w:sz w:val="24"/>
                <w:highlight w:val="none"/>
              </w:rPr>
              <w:t>境影</w:t>
            </w:r>
          </w:p>
          <w:p w14:paraId="7113C0A7">
            <w:pPr>
              <w:adjustRightInd w:val="0"/>
              <w:snapToGrid w:val="0"/>
              <w:jc w:val="center"/>
              <w:rPr>
                <w:rFonts w:ascii="Times New Roman" w:hAnsi="Times New Roman" w:eastAsia="宋体" w:cs="Times New Roman"/>
                <w:bCs/>
                <w:color w:val="auto"/>
                <w:spacing w:val="0"/>
                <w:position w:val="0"/>
                <w:sz w:val="24"/>
                <w:highlight w:val="none"/>
              </w:rPr>
            </w:pPr>
            <w:r>
              <w:rPr>
                <w:rFonts w:ascii="Times New Roman" w:hAnsi="Times New Roman" w:eastAsia="宋体" w:cs="Times New Roman"/>
                <w:bCs/>
                <w:color w:val="auto"/>
                <w:spacing w:val="0"/>
                <w:position w:val="0"/>
                <w:sz w:val="24"/>
                <w:highlight w:val="none"/>
              </w:rPr>
              <w:t>响和</w:t>
            </w:r>
          </w:p>
          <w:p w14:paraId="633A04A8">
            <w:pPr>
              <w:adjustRightInd w:val="0"/>
              <w:snapToGrid w:val="0"/>
              <w:jc w:val="center"/>
              <w:rPr>
                <w:rFonts w:ascii="Times New Roman" w:hAnsi="Times New Roman" w:eastAsia="宋体" w:cs="Times New Roman"/>
                <w:bCs/>
                <w:color w:val="auto"/>
                <w:spacing w:val="0"/>
                <w:position w:val="0"/>
                <w:sz w:val="24"/>
                <w:highlight w:val="none"/>
              </w:rPr>
            </w:pPr>
            <w:r>
              <w:rPr>
                <w:rFonts w:ascii="Times New Roman" w:hAnsi="Times New Roman" w:eastAsia="宋体" w:cs="Times New Roman"/>
                <w:bCs/>
                <w:color w:val="auto"/>
                <w:spacing w:val="0"/>
                <w:position w:val="0"/>
                <w:sz w:val="24"/>
                <w:highlight w:val="none"/>
              </w:rPr>
              <w:t>保护</w:t>
            </w:r>
          </w:p>
          <w:p w14:paraId="5FB7EB2E">
            <w:pPr>
              <w:adjustRightInd w:val="0"/>
              <w:snapToGrid w:val="0"/>
              <w:jc w:val="center"/>
              <w:rPr>
                <w:rFonts w:hint="eastAsia" w:ascii="Times New Roman" w:hAnsi="Times New Roman" w:eastAsia="宋体" w:cs="Times New Roman"/>
                <w:color w:val="auto"/>
                <w:spacing w:val="0"/>
                <w:position w:val="0"/>
                <w:szCs w:val="21"/>
                <w:highlight w:val="none"/>
              </w:rPr>
            </w:pPr>
            <w:r>
              <w:rPr>
                <w:rFonts w:ascii="Times New Roman" w:hAnsi="Times New Roman" w:eastAsia="宋体" w:cs="Times New Roman"/>
                <w:bCs/>
                <w:color w:val="auto"/>
                <w:spacing w:val="0"/>
                <w:position w:val="0"/>
                <w:sz w:val="24"/>
                <w:highlight w:val="none"/>
              </w:rPr>
              <w:t>措施</w:t>
            </w:r>
          </w:p>
        </w:tc>
        <w:tc>
          <w:tcPr>
            <w:tcW w:w="14624" w:type="dxa"/>
            <w:noWrap w:val="0"/>
            <w:vAlign w:val="center"/>
          </w:tcPr>
          <w:p w14:paraId="1E87AB0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pacing w:val="0"/>
                <w:position w:val="0"/>
                <w:szCs w:val="21"/>
                <w:highlight w:val="none"/>
              </w:rPr>
            </w:pPr>
            <w:r>
              <w:rPr>
                <w:rFonts w:hint="eastAsia" w:ascii="Times New Roman" w:hAnsi="Times New Roman" w:eastAsia="宋体" w:cs="Times New Roman"/>
                <w:b/>
                <w:color w:val="auto"/>
                <w:spacing w:val="0"/>
                <w:position w:val="0"/>
                <w:sz w:val="24"/>
                <w:highlight w:val="none"/>
              </w:rPr>
              <w:t>表4</w:t>
            </w:r>
            <w:r>
              <w:rPr>
                <w:rFonts w:hint="eastAsia" w:ascii="Times New Roman" w:hAnsi="Times New Roman" w:eastAsia="宋体" w:cs="Times New Roman"/>
                <w:b/>
                <w:color w:val="auto"/>
                <w:spacing w:val="0"/>
                <w:position w:val="0"/>
                <w:sz w:val="24"/>
                <w:highlight w:val="none"/>
                <w:lang w:val="en-US" w:eastAsia="zh-CN"/>
              </w:rPr>
              <w:t>.4-2</w:t>
            </w:r>
            <w:r>
              <w:rPr>
                <w:rFonts w:hint="eastAsia" w:ascii="Times New Roman" w:hAnsi="Times New Roman" w:eastAsia="宋体" w:cs="Times New Roman"/>
                <w:b/>
                <w:color w:val="auto"/>
                <w:spacing w:val="0"/>
                <w:position w:val="0"/>
                <w:sz w:val="24"/>
                <w:highlight w:val="none"/>
              </w:rPr>
              <w:t xml:space="preserve"> </w:t>
            </w:r>
            <w:r>
              <w:rPr>
                <w:rFonts w:hint="eastAsia" w:ascii="Times New Roman" w:hAnsi="Times New Roman" w:eastAsia="宋体" w:cs="Times New Roman"/>
                <w:b/>
                <w:bCs w:val="0"/>
                <w:color w:val="auto"/>
                <w:spacing w:val="0"/>
                <w:position w:val="0"/>
                <w:sz w:val="24"/>
                <w:szCs w:val="24"/>
                <w:highlight w:val="none"/>
              </w:rPr>
              <w:t>固体废物产生情况及相关特性一览表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51"/>
              <w:gridCol w:w="825"/>
              <w:gridCol w:w="953"/>
              <w:gridCol w:w="751"/>
              <w:gridCol w:w="783"/>
              <w:gridCol w:w="1386"/>
              <w:gridCol w:w="1054"/>
              <w:gridCol w:w="827"/>
              <w:gridCol w:w="709"/>
              <w:gridCol w:w="676"/>
              <w:gridCol w:w="765"/>
              <w:gridCol w:w="767"/>
              <w:gridCol w:w="1090"/>
              <w:gridCol w:w="980"/>
              <w:gridCol w:w="693"/>
            </w:tblGrid>
            <w:tr w14:paraId="1906F5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98" w:type="dxa"/>
                  <w:vMerge w:val="restart"/>
                  <w:tcBorders>
                    <w:tl2br w:val="nil"/>
                    <w:tr2bl w:val="nil"/>
                  </w:tcBorders>
                  <w:noWrap w:val="0"/>
                  <w:tcMar>
                    <w:top w:w="0" w:type="dxa"/>
                    <w:left w:w="28" w:type="dxa"/>
                    <w:bottom w:w="0" w:type="dxa"/>
                    <w:right w:w="28" w:type="dxa"/>
                  </w:tcMar>
                  <w:vAlign w:val="center"/>
                </w:tcPr>
                <w:p w14:paraId="0076CF08">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产生环节</w:t>
                  </w:r>
                </w:p>
              </w:tc>
              <w:tc>
                <w:tcPr>
                  <w:tcW w:w="1151" w:type="dxa"/>
                  <w:vMerge w:val="restart"/>
                  <w:tcBorders>
                    <w:tl2br w:val="nil"/>
                    <w:tr2bl w:val="nil"/>
                  </w:tcBorders>
                  <w:noWrap w:val="0"/>
                  <w:tcMar>
                    <w:top w:w="0" w:type="dxa"/>
                    <w:left w:w="28" w:type="dxa"/>
                    <w:bottom w:w="0" w:type="dxa"/>
                    <w:right w:w="28" w:type="dxa"/>
                  </w:tcMar>
                  <w:vAlign w:val="center"/>
                </w:tcPr>
                <w:p w14:paraId="6BC746A2">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固体废</w:t>
                  </w:r>
                </w:p>
                <w:p w14:paraId="2A13CCD5">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物名称</w:t>
                  </w:r>
                </w:p>
              </w:tc>
              <w:tc>
                <w:tcPr>
                  <w:tcW w:w="825" w:type="dxa"/>
                  <w:vMerge w:val="restart"/>
                  <w:tcBorders>
                    <w:tl2br w:val="nil"/>
                    <w:tr2bl w:val="nil"/>
                  </w:tcBorders>
                  <w:noWrap w:val="0"/>
                  <w:tcMar>
                    <w:top w:w="0" w:type="dxa"/>
                    <w:left w:w="28" w:type="dxa"/>
                    <w:bottom w:w="0" w:type="dxa"/>
                    <w:right w:w="28" w:type="dxa"/>
                  </w:tcMar>
                  <w:vAlign w:val="center"/>
                </w:tcPr>
                <w:p w14:paraId="5873C8DC">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属性</w:t>
                  </w:r>
                </w:p>
              </w:tc>
              <w:tc>
                <w:tcPr>
                  <w:tcW w:w="953" w:type="dxa"/>
                  <w:vMerge w:val="restart"/>
                  <w:tcBorders>
                    <w:tl2br w:val="nil"/>
                    <w:tr2bl w:val="nil"/>
                  </w:tcBorders>
                  <w:noWrap w:val="0"/>
                  <w:tcMar>
                    <w:top w:w="0" w:type="dxa"/>
                    <w:left w:w="28" w:type="dxa"/>
                    <w:bottom w:w="0" w:type="dxa"/>
                    <w:right w:w="28" w:type="dxa"/>
                  </w:tcMar>
                  <w:vAlign w:val="center"/>
                </w:tcPr>
                <w:p w14:paraId="1C574E8D">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主要有毒有害物质名称</w:t>
                  </w:r>
                </w:p>
              </w:tc>
              <w:tc>
                <w:tcPr>
                  <w:tcW w:w="751" w:type="dxa"/>
                  <w:vMerge w:val="restart"/>
                  <w:tcBorders>
                    <w:tl2br w:val="nil"/>
                    <w:tr2bl w:val="nil"/>
                  </w:tcBorders>
                  <w:noWrap w:val="0"/>
                  <w:tcMar>
                    <w:top w:w="0" w:type="dxa"/>
                    <w:left w:w="28" w:type="dxa"/>
                    <w:bottom w:w="0" w:type="dxa"/>
                    <w:right w:w="28" w:type="dxa"/>
                  </w:tcMar>
                  <w:vAlign w:val="center"/>
                </w:tcPr>
                <w:p w14:paraId="38A34C32">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物理性状</w:t>
                  </w:r>
                </w:p>
              </w:tc>
              <w:tc>
                <w:tcPr>
                  <w:tcW w:w="783" w:type="dxa"/>
                  <w:vMerge w:val="restart"/>
                  <w:tcBorders>
                    <w:tl2br w:val="nil"/>
                    <w:tr2bl w:val="nil"/>
                  </w:tcBorders>
                  <w:noWrap w:val="0"/>
                  <w:tcMar>
                    <w:top w:w="0" w:type="dxa"/>
                    <w:left w:w="28" w:type="dxa"/>
                    <w:bottom w:w="0" w:type="dxa"/>
                    <w:right w:w="28" w:type="dxa"/>
                  </w:tcMar>
                  <w:vAlign w:val="center"/>
                </w:tcPr>
                <w:p w14:paraId="05E6397C">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危险</w:t>
                  </w:r>
                </w:p>
                <w:p w14:paraId="5B0E1255">
                  <w:pPr>
                    <w:spacing w:line="240" w:lineRule="exact"/>
                    <w:jc w:val="center"/>
                    <w:rPr>
                      <w:rFonts w:hint="eastAsia"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特</w:t>
                  </w:r>
                  <w:r>
                    <w:rPr>
                      <w:rFonts w:hint="eastAsia" w:ascii="Times New Roman" w:hAnsi="Times New Roman" w:eastAsia="宋体" w:cs="Times New Roman"/>
                      <w:b/>
                      <w:bCs/>
                      <w:color w:val="auto"/>
                      <w:spacing w:val="0"/>
                      <w:position w:val="0"/>
                      <w:sz w:val="21"/>
                      <w:szCs w:val="21"/>
                      <w:highlight w:val="none"/>
                    </w:rPr>
                    <w:t>性</w:t>
                  </w:r>
                </w:p>
              </w:tc>
              <w:tc>
                <w:tcPr>
                  <w:tcW w:w="1386" w:type="dxa"/>
                  <w:vMerge w:val="restart"/>
                  <w:tcBorders>
                    <w:tl2br w:val="nil"/>
                    <w:tr2bl w:val="nil"/>
                  </w:tcBorders>
                  <w:noWrap w:val="0"/>
                  <w:tcMar>
                    <w:top w:w="0" w:type="dxa"/>
                    <w:left w:w="28" w:type="dxa"/>
                    <w:bottom w:w="0" w:type="dxa"/>
                    <w:right w:w="28" w:type="dxa"/>
                  </w:tcMar>
                  <w:vAlign w:val="center"/>
                </w:tcPr>
                <w:p w14:paraId="3B8FE6EC">
                  <w:pPr>
                    <w:spacing w:line="240" w:lineRule="exact"/>
                    <w:jc w:val="center"/>
                    <w:rPr>
                      <w:rFonts w:hint="eastAsia"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废物</w:t>
                  </w:r>
                  <w:r>
                    <w:rPr>
                      <w:rFonts w:hint="eastAsia" w:ascii="Times New Roman" w:hAnsi="Times New Roman" w:eastAsia="宋体" w:cs="Times New Roman"/>
                      <w:b/>
                      <w:bCs/>
                      <w:color w:val="auto"/>
                      <w:spacing w:val="0"/>
                      <w:position w:val="0"/>
                      <w:sz w:val="21"/>
                      <w:szCs w:val="21"/>
                      <w:highlight w:val="none"/>
                    </w:rPr>
                    <w:t>种类/</w:t>
                  </w:r>
                </w:p>
                <w:p w14:paraId="030EEE34">
                  <w:pPr>
                    <w:spacing w:line="240" w:lineRule="exact"/>
                    <w:jc w:val="center"/>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类别、</w:t>
                  </w:r>
                  <w:r>
                    <w:rPr>
                      <w:rFonts w:ascii="Times New Roman" w:hAnsi="Times New Roman" w:eastAsia="宋体" w:cs="Times New Roman"/>
                      <w:b/>
                      <w:bCs/>
                      <w:color w:val="auto"/>
                      <w:spacing w:val="0"/>
                      <w:position w:val="0"/>
                      <w:sz w:val="21"/>
                      <w:szCs w:val="21"/>
                      <w:highlight w:val="none"/>
                    </w:rPr>
                    <w:t>代码</w:t>
                  </w:r>
                </w:p>
              </w:tc>
              <w:tc>
                <w:tcPr>
                  <w:tcW w:w="1054" w:type="dxa"/>
                  <w:vMerge w:val="restart"/>
                  <w:tcBorders>
                    <w:tl2br w:val="nil"/>
                    <w:tr2bl w:val="nil"/>
                  </w:tcBorders>
                  <w:noWrap w:val="0"/>
                  <w:tcMar>
                    <w:top w:w="0" w:type="dxa"/>
                    <w:left w:w="28" w:type="dxa"/>
                    <w:bottom w:w="0" w:type="dxa"/>
                    <w:right w:w="28" w:type="dxa"/>
                  </w:tcMar>
                  <w:vAlign w:val="center"/>
                </w:tcPr>
                <w:p w14:paraId="45588788">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年度产生量（t/a）</w:t>
                  </w:r>
                </w:p>
              </w:tc>
              <w:tc>
                <w:tcPr>
                  <w:tcW w:w="827" w:type="dxa"/>
                  <w:vMerge w:val="restart"/>
                  <w:tcBorders>
                    <w:tl2br w:val="nil"/>
                    <w:tr2bl w:val="nil"/>
                  </w:tcBorders>
                  <w:noWrap w:val="0"/>
                  <w:tcMar>
                    <w:top w:w="0" w:type="dxa"/>
                    <w:left w:w="28" w:type="dxa"/>
                    <w:bottom w:w="0" w:type="dxa"/>
                    <w:right w:w="28" w:type="dxa"/>
                  </w:tcMar>
                  <w:vAlign w:val="center"/>
                </w:tcPr>
                <w:p w14:paraId="0EDB113F">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贮存</w:t>
                  </w:r>
                </w:p>
                <w:p w14:paraId="5A8CB600">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方式</w:t>
                  </w:r>
                </w:p>
              </w:tc>
              <w:tc>
                <w:tcPr>
                  <w:tcW w:w="4007" w:type="dxa"/>
                  <w:gridSpan w:val="5"/>
                  <w:tcBorders>
                    <w:tl2br w:val="nil"/>
                    <w:tr2bl w:val="nil"/>
                  </w:tcBorders>
                  <w:noWrap w:val="0"/>
                  <w:tcMar>
                    <w:top w:w="0" w:type="dxa"/>
                    <w:left w:w="28" w:type="dxa"/>
                    <w:bottom w:w="0" w:type="dxa"/>
                    <w:right w:w="28" w:type="dxa"/>
                  </w:tcMar>
                  <w:vAlign w:val="center"/>
                </w:tcPr>
                <w:p w14:paraId="5D346519">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利用及处置去向</w:t>
                  </w:r>
                </w:p>
              </w:tc>
              <w:tc>
                <w:tcPr>
                  <w:tcW w:w="980" w:type="dxa"/>
                  <w:vMerge w:val="restart"/>
                  <w:tcBorders>
                    <w:tl2br w:val="nil"/>
                    <w:tr2bl w:val="nil"/>
                  </w:tcBorders>
                  <w:noWrap w:val="0"/>
                  <w:tcMar>
                    <w:top w:w="0" w:type="dxa"/>
                    <w:left w:w="28" w:type="dxa"/>
                    <w:bottom w:w="0" w:type="dxa"/>
                    <w:right w:w="28" w:type="dxa"/>
                  </w:tcMar>
                  <w:vAlign w:val="center"/>
                </w:tcPr>
                <w:p w14:paraId="096B412B">
                  <w:pPr>
                    <w:spacing w:line="240" w:lineRule="exact"/>
                    <w:jc w:val="center"/>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暂存周期</w:t>
                  </w:r>
                </w:p>
              </w:tc>
              <w:tc>
                <w:tcPr>
                  <w:tcW w:w="693" w:type="dxa"/>
                  <w:vMerge w:val="restart"/>
                  <w:tcBorders>
                    <w:tl2br w:val="nil"/>
                    <w:tr2bl w:val="nil"/>
                  </w:tcBorders>
                  <w:noWrap w:val="0"/>
                  <w:tcMar>
                    <w:top w:w="0" w:type="dxa"/>
                    <w:left w:w="28" w:type="dxa"/>
                    <w:bottom w:w="0" w:type="dxa"/>
                    <w:right w:w="28" w:type="dxa"/>
                  </w:tcMar>
                  <w:vAlign w:val="center"/>
                </w:tcPr>
                <w:p w14:paraId="4D76A204">
                  <w:pPr>
                    <w:spacing w:line="240" w:lineRule="exact"/>
                    <w:jc w:val="center"/>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暂存区面积（m</w:t>
                  </w:r>
                  <w:r>
                    <w:rPr>
                      <w:rFonts w:hint="eastAsia" w:ascii="Times New Roman" w:hAnsi="Times New Roman" w:eastAsia="宋体" w:cs="Times New Roman"/>
                      <w:b/>
                      <w:bCs/>
                      <w:color w:val="auto"/>
                      <w:spacing w:val="0"/>
                      <w:position w:val="0"/>
                      <w:sz w:val="21"/>
                      <w:szCs w:val="21"/>
                      <w:highlight w:val="none"/>
                      <w:vertAlign w:val="superscript"/>
                    </w:rPr>
                    <w:t>2</w:t>
                  </w:r>
                  <w:r>
                    <w:rPr>
                      <w:rFonts w:hint="eastAsia" w:ascii="Times New Roman" w:hAnsi="Times New Roman" w:eastAsia="宋体" w:cs="Times New Roman"/>
                      <w:b/>
                      <w:bCs/>
                      <w:color w:val="auto"/>
                      <w:spacing w:val="0"/>
                      <w:position w:val="0"/>
                      <w:sz w:val="21"/>
                      <w:szCs w:val="21"/>
                      <w:highlight w:val="none"/>
                    </w:rPr>
                    <w:t>）</w:t>
                  </w:r>
                </w:p>
              </w:tc>
            </w:tr>
            <w:tr w14:paraId="73AC61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vMerge w:val="continue"/>
                  <w:tcBorders>
                    <w:tl2br w:val="nil"/>
                    <w:tr2bl w:val="nil"/>
                  </w:tcBorders>
                  <w:noWrap w:val="0"/>
                  <w:tcMar>
                    <w:top w:w="0" w:type="dxa"/>
                    <w:left w:w="28" w:type="dxa"/>
                    <w:bottom w:w="0" w:type="dxa"/>
                    <w:right w:w="28" w:type="dxa"/>
                  </w:tcMar>
                  <w:vAlign w:val="center"/>
                </w:tcPr>
                <w:p w14:paraId="2D7D2112">
                  <w:pPr>
                    <w:spacing w:line="240" w:lineRule="exact"/>
                    <w:jc w:val="center"/>
                    <w:rPr>
                      <w:rFonts w:ascii="Times New Roman" w:hAnsi="Times New Roman" w:eastAsia="宋体" w:cs="Times New Roman"/>
                      <w:color w:val="auto"/>
                      <w:spacing w:val="0"/>
                      <w:position w:val="0"/>
                      <w:sz w:val="21"/>
                      <w:szCs w:val="21"/>
                      <w:highlight w:val="none"/>
                    </w:rPr>
                  </w:pPr>
                </w:p>
              </w:tc>
              <w:tc>
                <w:tcPr>
                  <w:tcW w:w="1151" w:type="dxa"/>
                  <w:vMerge w:val="continue"/>
                  <w:tcBorders>
                    <w:tl2br w:val="nil"/>
                    <w:tr2bl w:val="nil"/>
                  </w:tcBorders>
                  <w:noWrap w:val="0"/>
                  <w:tcMar>
                    <w:top w:w="0" w:type="dxa"/>
                    <w:left w:w="28" w:type="dxa"/>
                    <w:bottom w:w="0" w:type="dxa"/>
                    <w:right w:w="28" w:type="dxa"/>
                  </w:tcMar>
                  <w:vAlign w:val="center"/>
                </w:tcPr>
                <w:p w14:paraId="727F8075">
                  <w:pPr>
                    <w:spacing w:line="240" w:lineRule="exact"/>
                    <w:jc w:val="center"/>
                    <w:rPr>
                      <w:rFonts w:ascii="Times New Roman" w:hAnsi="Times New Roman" w:eastAsia="宋体" w:cs="Times New Roman"/>
                      <w:color w:val="auto"/>
                      <w:spacing w:val="0"/>
                      <w:position w:val="0"/>
                      <w:sz w:val="21"/>
                      <w:szCs w:val="21"/>
                      <w:highlight w:val="none"/>
                    </w:rPr>
                  </w:pPr>
                </w:p>
              </w:tc>
              <w:tc>
                <w:tcPr>
                  <w:tcW w:w="825" w:type="dxa"/>
                  <w:vMerge w:val="continue"/>
                  <w:tcBorders>
                    <w:tl2br w:val="nil"/>
                    <w:tr2bl w:val="nil"/>
                  </w:tcBorders>
                  <w:noWrap w:val="0"/>
                  <w:tcMar>
                    <w:top w:w="0" w:type="dxa"/>
                    <w:left w:w="28" w:type="dxa"/>
                    <w:bottom w:w="0" w:type="dxa"/>
                    <w:right w:w="28" w:type="dxa"/>
                  </w:tcMar>
                  <w:vAlign w:val="center"/>
                </w:tcPr>
                <w:p w14:paraId="1D7883BC">
                  <w:pPr>
                    <w:spacing w:line="240" w:lineRule="exact"/>
                    <w:jc w:val="center"/>
                    <w:rPr>
                      <w:rFonts w:ascii="Times New Roman" w:hAnsi="Times New Roman" w:eastAsia="宋体" w:cs="Times New Roman"/>
                      <w:color w:val="auto"/>
                      <w:spacing w:val="0"/>
                      <w:position w:val="0"/>
                      <w:sz w:val="21"/>
                      <w:szCs w:val="21"/>
                      <w:highlight w:val="none"/>
                    </w:rPr>
                  </w:pPr>
                </w:p>
              </w:tc>
              <w:tc>
                <w:tcPr>
                  <w:tcW w:w="953" w:type="dxa"/>
                  <w:vMerge w:val="continue"/>
                  <w:tcBorders>
                    <w:tl2br w:val="nil"/>
                    <w:tr2bl w:val="nil"/>
                  </w:tcBorders>
                  <w:noWrap w:val="0"/>
                  <w:tcMar>
                    <w:top w:w="0" w:type="dxa"/>
                    <w:left w:w="28" w:type="dxa"/>
                    <w:bottom w:w="0" w:type="dxa"/>
                    <w:right w:w="28" w:type="dxa"/>
                  </w:tcMar>
                  <w:vAlign w:val="center"/>
                </w:tcPr>
                <w:p w14:paraId="0AEED9C0">
                  <w:pPr>
                    <w:spacing w:line="240" w:lineRule="exact"/>
                    <w:jc w:val="center"/>
                    <w:rPr>
                      <w:rFonts w:ascii="Times New Roman" w:hAnsi="Times New Roman" w:eastAsia="宋体" w:cs="Times New Roman"/>
                      <w:color w:val="auto"/>
                      <w:spacing w:val="0"/>
                      <w:position w:val="0"/>
                      <w:sz w:val="21"/>
                      <w:szCs w:val="21"/>
                      <w:highlight w:val="none"/>
                    </w:rPr>
                  </w:pPr>
                </w:p>
              </w:tc>
              <w:tc>
                <w:tcPr>
                  <w:tcW w:w="751" w:type="dxa"/>
                  <w:vMerge w:val="continue"/>
                  <w:tcBorders>
                    <w:tl2br w:val="nil"/>
                    <w:tr2bl w:val="nil"/>
                  </w:tcBorders>
                  <w:noWrap w:val="0"/>
                  <w:tcMar>
                    <w:top w:w="0" w:type="dxa"/>
                    <w:left w:w="28" w:type="dxa"/>
                    <w:bottom w:w="0" w:type="dxa"/>
                    <w:right w:w="28" w:type="dxa"/>
                  </w:tcMar>
                  <w:vAlign w:val="center"/>
                </w:tcPr>
                <w:p w14:paraId="0CFF0292">
                  <w:pPr>
                    <w:spacing w:line="240" w:lineRule="exact"/>
                    <w:jc w:val="center"/>
                    <w:rPr>
                      <w:rFonts w:ascii="Times New Roman" w:hAnsi="Times New Roman" w:eastAsia="宋体" w:cs="Times New Roman"/>
                      <w:color w:val="auto"/>
                      <w:spacing w:val="0"/>
                      <w:position w:val="0"/>
                      <w:sz w:val="21"/>
                      <w:szCs w:val="21"/>
                      <w:highlight w:val="none"/>
                    </w:rPr>
                  </w:pPr>
                </w:p>
              </w:tc>
              <w:tc>
                <w:tcPr>
                  <w:tcW w:w="783" w:type="dxa"/>
                  <w:vMerge w:val="continue"/>
                  <w:tcBorders>
                    <w:tl2br w:val="nil"/>
                    <w:tr2bl w:val="nil"/>
                  </w:tcBorders>
                  <w:noWrap w:val="0"/>
                  <w:tcMar>
                    <w:top w:w="0" w:type="dxa"/>
                    <w:left w:w="28" w:type="dxa"/>
                    <w:bottom w:w="0" w:type="dxa"/>
                    <w:right w:w="28" w:type="dxa"/>
                  </w:tcMar>
                  <w:vAlign w:val="center"/>
                </w:tcPr>
                <w:p w14:paraId="00A9F639">
                  <w:pPr>
                    <w:spacing w:line="240" w:lineRule="exact"/>
                    <w:jc w:val="center"/>
                    <w:rPr>
                      <w:rFonts w:ascii="Times New Roman" w:hAnsi="Times New Roman" w:eastAsia="宋体" w:cs="Times New Roman"/>
                      <w:color w:val="auto"/>
                      <w:spacing w:val="0"/>
                      <w:position w:val="0"/>
                      <w:sz w:val="21"/>
                      <w:szCs w:val="21"/>
                      <w:highlight w:val="none"/>
                    </w:rPr>
                  </w:pPr>
                </w:p>
              </w:tc>
              <w:tc>
                <w:tcPr>
                  <w:tcW w:w="1386" w:type="dxa"/>
                  <w:vMerge w:val="continue"/>
                  <w:tcBorders>
                    <w:tl2br w:val="nil"/>
                    <w:tr2bl w:val="nil"/>
                  </w:tcBorders>
                  <w:noWrap w:val="0"/>
                  <w:tcMar>
                    <w:top w:w="0" w:type="dxa"/>
                    <w:left w:w="28" w:type="dxa"/>
                    <w:bottom w:w="0" w:type="dxa"/>
                    <w:right w:w="28" w:type="dxa"/>
                  </w:tcMar>
                  <w:vAlign w:val="center"/>
                </w:tcPr>
                <w:p w14:paraId="0ABCE487">
                  <w:pPr>
                    <w:spacing w:line="240" w:lineRule="exact"/>
                    <w:jc w:val="center"/>
                    <w:rPr>
                      <w:rFonts w:ascii="Times New Roman" w:hAnsi="Times New Roman" w:eastAsia="宋体" w:cs="Times New Roman"/>
                      <w:color w:val="auto"/>
                      <w:spacing w:val="0"/>
                      <w:position w:val="0"/>
                      <w:sz w:val="21"/>
                      <w:szCs w:val="21"/>
                      <w:highlight w:val="none"/>
                    </w:rPr>
                  </w:pPr>
                </w:p>
              </w:tc>
              <w:tc>
                <w:tcPr>
                  <w:tcW w:w="1054" w:type="dxa"/>
                  <w:vMerge w:val="continue"/>
                  <w:tcBorders>
                    <w:tl2br w:val="nil"/>
                    <w:tr2bl w:val="nil"/>
                  </w:tcBorders>
                  <w:noWrap w:val="0"/>
                  <w:tcMar>
                    <w:top w:w="0" w:type="dxa"/>
                    <w:left w:w="28" w:type="dxa"/>
                    <w:bottom w:w="0" w:type="dxa"/>
                    <w:right w:w="28" w:type="dxa"/>
                  </w:tcMar>
                  <w:vAlign w:val="center"/>
                </w:tcPr>
                <w:p w14:paraId="245527AA">
                  <w:pPr>
                    <w:spacing w:line="240" w:lineRule="exact"/>
                    <w:jc w:val="center"/>
                    <w:rPr>
                      <w:rFonts w:ascii="Times New Roman" w:hAnsi="Times New Roman" w:eastAsia="宋体" w:cs="Times New Roman"/>
                      <w:color w:val="auto"/>
                      <w:spacing w:val="0"/>
                      <w:position w:val="0"/>
                      <w:sz w:val="21"/>
                      <w:szCs w:val="21"/>
                      <w:highlight w:val="none"/>
                    </w:rPr>
                  </w:pPr>
                </w:p>
              </w:tc>
              <w:tc>
                <w:tcPr>
                  <w:tcW w:w="827" w:type="dxa"/>
                  <w:vMerge w:val="continue"/>
                  <w:tcBorders>
                    <w:tl2br w:val="nil"/>
                    <w:tr2bl w:val="nil"/>
                  </w:tcBorders>
                  <w:noWrap w:val="0"/>
                  <w:tcMar>
                    <w:top w:w="0" w:type="dxa"/>
                    <w:left w:w="28" w:type="dxa"/>
                    <w:bottom w:w="0" w:type="dxa"/>
                    <w:right w:w="28" w:type="dxa"/>
                  </w:tcMar>
                  <w:vAlign w:val="center"/>
                </w:tcPr>
                <w:p w14:paraId="44989B39">
                  <w:pPr>
                    <w:spacing w:line="240" w:lineRule="exact"/>
                    <w:jc w:val="center"/>
                    <w:rPr>
                      <w:rFonts w:ascii="Times New Roman" w:hAnsi="Times New Roman" w:eastAsia="宋体" w:cs="Times New Roman"/>
                      <w:color w:val="auto"/>
                      <w:spacing w:val="0"/>
                      <w:position w:val="0"/>
                      <w:sz w:val="21"/>
                      <w:szCs w:val="21"/>
                      <w:highlight w:val="none"/>
                    </w:rPr>
                  </w:pPr>
                </w:p>
              </w:tc>
              <w:tc>
                <w:tcPr>
                  <w:tcW w:w="2917" w:type="dxa"/>
                  <w:gridSpan w:val="4"/>
                  <w:tcBorders>
                    <w:tl2br w:val="nil"/>
                    <w:tr2bl w:val="nil"/>
                  </w:tcBorders>
                  <w:noWrap w:val="0"/>
                  <w:tcMar>
                    <w:top w:w="0" w:type="dxa"/>
                    <w:left w:w="28" w:type="dxa"/>
                    <w:bottom w:w="0" w:type="dxa"/>
                    <w:right w:w="28" w:type="dxa"/>
                  </w:tcMar>
                  <w:vAlign w:val="center"/>
                </w:tcPr>
                <w:p w14:paraId="1391627B">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利用及处置量</w:t>
                  </w:r>
                </w:p>
              </w:tc>
              <w:tc>
                <w:tcPr>
                  <w:tcW w:w="1090" w:type="dxa"/>
                  <w:vMerge w:val="restart"/>
                  <w:tcBorders>
                    <w:tl2br w:val="nil"/>
                    <w:tr2bl w:val="nil"/>
                  </w:tcBorders>
                  <w:noWrap w:val="0"/>
                  <w:tcMar>
                    <w:top w:w="0" w:type="dxa"/>
                    <w:left w:w="28" w:type="dxa"/>
                    <w:bottom w:w="0" w:type="dxa"/>
                    <w:right w:w="28" w:type="dxa"/>
                  </w:tcMar>
                  <w:vAlign w:val="center"/>
                </w:tcPr>
                <w:p w14:paraId="63F26C73">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去向</w:t>
                  </w:r>
                </w:p>
              </w:tc>
              <w:tc>
                <w:tcPr>
                  <w:tcW w:w="980" w:type="dxa"/>
                  <w:vMerge w:val="continue"/>
                  <w:tcBorders>
                    <w:tl2br w:val="nil"/>
                    <w:tr2bl w:val="nil"/>
                  </w:tcBorders>
                  <w:noWrap w:val="0"/>
                  <w:tcMar>
                    <w:top w:w="0" w:type="dxa"/>
                    <w:left w:w="28" w:type="dxa"/>
                    <w:bottom w:w="0" w:type="dxa"/>
                    <w:right w:w="28" w:type="dxa"/>
                  </w:tcMar>
                  <w:vAlign w:val="center"/>
                </w:tcPr>
                <w:p w14:paraId="109E21C4">
                  <w:pPr>
                    <w:spacing w:line="240" w:lineRule="exact"/>
                    <w:jc w:val="center"/>
                    <w:rPr>
                      <w:rFonts w:ascii="Times New Roman" w:hAnsi="Times New Roman" w:eastAsia="宋体" w:cs="Times New Roman"/>
                      <w:color w:val="auto"/>
                      <w:spacing w:val="0"/>
                      <w:position w:val="0"/>
                      <w:sz w:val="21"/>
                      <w:szCs w:val="21"/>
                      <w:highlight w:val="none"/>
                    </w:rPr>
                  </w:pPr>
                </w:p>
              </w:tc>
              <w:tc>
                <w:tcPr>
                  <w:tcW w:w="693" w:type="dxa"/>
                  <w:vMerge w:val="continue"/>
                  <w:tcBorders>
                    <w:tl2br w:val="nil"/>
                    <w:tr2bl w:val="nil"/>
                  </w:tcBorders>
                  <w:noWrap w:val="0"/>
                  <w:tcMar>
                    <w:top w:w="0" w:type="dxa"/>
                    <w:left w:w="28" w:type="dxa"/>
                    <w:bottom w:w="0" w:type="dxa"/>
                    <w:right w:w="28" w:type="dxa"/>
                  </w:tcMar>
                  <w:vAlign w:val="center"/>
                </w:tcPr>
                <w:p w14:paraId="6483C84D">
                  <w:pPr>
                    <w:spacing w:line="240" w:lineRule="exact"/>
                    <w:jc w:val="center"/>
                    <w:rPr>
                      <w:rFonts w:ascii="Times New Roman" w:hAnsi="Times New Roman" w:eastAsia="宋体" w:cs="Times New Roman"/>
                      <w:color w:val="auto"/>
                      <w:spacing w:val="0"/>
                      <w:position w:val="0"/>
                      <w:sz w:val="21"/>
                      <w:szCs w:val="21"/>
                      <w:highlight w:val="none"/>
                    </w:rPr>
                  </w:pPr>
                </w:p>
              </w:tc>
            </w:tr>
            <w:tr w14:paraId="3FCD9B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vMerge w:val="continue"/>
                  <w:tcBorders>
                    <w:tl2br w:val="nil"/>
                    <w:tr2bl w:val="nil"/>
                  </w:tcBorders>
                  <w:noWrap w:val="0"/>
                  <w:tcMar>
                    <w:top w:w="0" w:type="dxa"/>
                    <w:left w:w="28" w:type="dxa"/>
                    <w:bottom w:w="0" w:type="dxa"/>
                    <w:right w:w="28" w:type="dxa"/>
                  </w:tcMar>
                  <w:vAlign w:val="center"/>
                </w:tcPr>
                <w:p w14:paraId="6D8B498E">
                  <w:pPr>
                    <w:spacing w:line="240" w:lineRule="exact"/>
                    <w:jc w:val="center"/>
                    <w:rPr>
                      <w:rFonts w:ascii="Times New Roman" w:hAnsi="Times New Roman" w:eastAsia="宋体" w:cs="Times New Roman"/>
                      <w:color w:val="auto"/>
                      <w:spacing w:val="0"/>
                      <w:position w:val="0"/>
                      <w:sz w:val="21"/>
                      <w:szCs w:val="21"/>
                      <w:highlight w:val="none"/>
                    </w:rPr>
                  </w:pPr>
                </w:p>
              </w:tc>
              <w:tc>
                <w:tcPr>
                  <w:tcW w:w="1151" w:type="dxa"/>
                  <w:vMerge w:val="continue"/>
                  <w:tcBorders>
                    <w:tl2br w:val="nil"/>
                    <w:tr2bl w:val="nil"/>
                  </w:tcBorders>
                  <w:noWrap w:val="0"/>
                  <w:tcMar>
                    <w:top w:w="0" w:type="dxa"/>
                    <w:left w:w="28" w:type="dxa"/>
                    <w:bottom w:w="0" w:type="dxa"/>
                    <w:right w:w="28" w:type="dxa"/>
                  </w:tcMar>
                  <w:vAlign w:val="center"/>
                </w:tcPr>
                <w:p w14:paraId="417D7B22">
                  <w:pPr>
                    <w:spacing w:line="240" w:lineRule="exact"/>
                    <w:jc w:val="center"/>
                    <w:rPr>
                      <w:rFonts w:ascii="Times New Roman" w:hAnsi="Times New Roman" w:eastAsia="宋体" w:cs="Times New Roman"/>
                      <w:color w:val="auto"/>
                      <w:spacing w:val="0"/>
                      <w:position w:val="0"/>
                      <w:sz w:val="21"/>
                      <w:szCs w:val="21"/>
                      <w:highlight w:val="none"/>
                    </w:rPr>
                  </w:pPr>
                </w:p>
              </w:tc>
              <w:tc>
                <w:tcPr>
                  <w:tcW w:w="825" w:type="dxa"/>
                  <w:vMerge w:val="continue"/>
                  <w:tcBorders>
                    <w:tl2br w:val="nil"/>
                    <w:tr2bl w:val="nil"/>
                  </w:tcBorders>
                  <w:noWrap w:val="0"/>
                  <w:tcMar>
                    <w:top w:w="0" w:type="dxa"/>
                    <w:left w:w="28" w:type="dxa"/>
                    <w:bottom w:w="0" w:type="dxa"/>
                    <w:right w:w="28" w:type="dxa"/>
                  </w:tcMar>
                  <w:vAlign w:val="center"/>
                </w:tcPr>
                <w:p w14:paraId="400DCCA6">
                  <w:pPr>
                    <w:spacing w:line="240" w:lineRule="exact"/>
                    <w:jc w:val="center"/>
                    <w:rPr>
                      <w:rFonts w:ascii="Times New Roman" w:hAnsi="Times New Roman" w:eastAsia="宋体" w:cs="Times New Roman"/>
                      <w:color w:val="auto"/>
                      <w:spacing w:val="0"/>
                      <w:position w:val="0"/>
                      <w:sz w:val="21"/>
                      <w:szCs w:val="21"/>
                      <w:highlight w:val="none"/>
                    </w:rPr>
                  </w:pPr>
                </w:p>
              </w:tc>
              <w:tc>
                <w:tcPr>
                  <w:tcW w:w="953" w:type="dxa"/>
                  <w:vMerge w:val="continue"/>
                  <w:tcBorders>
                    <w:tl2br w:val="nil"/>
                    <w:tr2bl w:val="nil"/>
                  </w:tcBorders>
                  <w:noWrap w:val="0"/>
                  <w:tcMar>
                    <w:top w:w="0" w:type="dxa"/>
                    <w:left w:w="28" w:type="dxa"/>
                    <w:bottom w:w="0" w:type="dxa"/>
                    <w:right w:w="28" w:type="dxa"/>
                  </w:tcMar>
                  <w:vAlign w:val="center"/>
                </w:tcPr>
                <w:p w14:paraId="7B38BECE">
                  <w:pPr>
                    <w:spacing w:line="240" w:lineRule="exact"/>
                    <w:jc w:val="center"/>
                    <w:rPr>
                      <w:rFonts w:ascii="Times New Roman" w:hAnsi="Times New Roman" w:eastAsia="宋体" w:cs="Times New Roman"/>
                      <w:color w:val="auto"/>
                      <w:spacing w:val="0"/>
                      <w:position w:val="0"/>
                      <w:sz w:val="21"/>
                      <w:szCs w:val="21"/>
                      <w:highlight w:val="none"/>
                    </w:rPr>
                  </w:pPr>
                </w:p>
              </w:tc>
              <w:tc>
                <w:tcPr>
                  <w:tcW w:w="751" w:type="dxa"/>
                  <w:vMerge w:val="continue"/>
                  <w:tcBorders>
                    <w:tl2br w:val="nil"/>
                    <w:tr2bl w:val="nil"/>
                  </w:tcBorders>
                  <w:noWrap w:val="0"/>
                  <w:tcMar>
                    <w:top w:w="0" w:type="dxa"/>
                    <w:left w:w="28" w:type="dxa"/>
                    <w:bottom w:w="0" w:type="dxa"/>
                    <w:right w:w="28" w:type="dxa"/>
                  </w:tcMar>
                  <w:vAlign w:val="center"/>
                </w:tcPr>
                <w:p w14:paraId="1EF6250A">
                  <w:pPr>
                    <w:spacing w:line="240" w:lineRule="exact"/>
                    <w:jc w:val="center"/>
                    <w:rPr>
                      <w:rFonts w:ascii="Times New Roman" w:hAnsi="Times New Roman" w:eastAsia="宋体" w:cs="Times New Roman"/>
                      <w:color w:val="auto"/>
                      <w:spacing w:val="0"/>
                      <w:position w:val="0"/>
                      <w:sz w:val="21"/>
                      <w:szCs w:val="21"/>
                      <w:highlight w:val="none"/>
                    </w:rPr>
                  </w:pPr>
                </w:p>
              </w:tc>
              <w:tc>
                <w:tcPr>
                  <w:tcW w:w="783" w:type="dxa"/>
                  <w:vMerge w:val="continue"/>
                  <w:tcBorders>
                    <w:tl2br w:val="nil"/>
                    <w:tr2bl w:val="nil"/>
                  </w:tcBorders>
                  <w:noWrap w:val="0"/>
                  <w:tcMar>
                    <w:top w:w="0" w:type="dxa"/>
                    <w:left w:w="28" w:type="dxa"/>
                    <w:bottom w:w="0" w:type="dxa"/>
                    <w:right w:w="28" w:type="dxa"/>
                  </w:tcMar>
                  <w:vAlign w:val="center"/>
                </w:tcPr>
                <w:p w14:paraId="7EA2F8A1">
                  <w:pPr>
                    <w:spacing w:line="240" w:lineRule="exact"/>
                    <w:jc w:val="center"/>
                    <w:rPr>
                      <w:rFonts w:ascii="Times New Roman" w:hAnsi="Times New Roman" w:eastAsia="宋体" w:cs="Times New Roman"/>
                      <w:color w:val="auto"/>
                      <w:spacing w:val="0"/>
                      <w:position w:val="0"/>
                      <w:sz w:val="21"/>
                      <w:szCs w:val="21"/>
                      <w:highlight w:val="none"/>
                    </w:rPr>
                  </w:pPr>
                </w:p>
              </w:tc>
              <w:tc>
                <w:tcPr>
                  <w:tcW w:w="1386" w:type="dxa"/>
                  <w:vMerge w:val="continue"/>
                  <w:tcBorders>
                    <w:tl2br w:val="nil"/>
                    <w:tr2bl w:val="nil"/>
                  </w:tcBorders>
                  <w:noWrap w:val="0"/>
                  <w:tcMar>
                    <w:top w:w="0" w:type="dxa"/>
                    <w:left w:w="28" w:type="dxa"/>
                    <w:bottom w:w="0" w:type="dxa"/>
                    <w:right w:w="28" w:type="dxa"/>
                  </w:tcMar>
                  <w:vAlign w:val="center"/>
                </w:tcPr>
                <w:p w14:paraId="546C033B">
                  <w:pPr>
                    <w:spacing w:line="240" w:lineRule="exact"/>
                    <w:jc w:val="center"/>
                    <w:rPr>
                      <w:rFonts w:ascii="Times New Roman" w:hAnsi="Times New Roman" w:eastAsia="宋体" w:cs="Times New Roman"/>
                      <w:color w:val="auto"/>
                      <w:spacing w:val="0"/>
                      <w:position w:val="0"/>
                      <w:sz w:val="21"/>
                      <w:szCs w:val="21"/>
                      <w:highlight w:val="none"/>
                    </w:rPr>
                  </w:pPr>
                </w:p>
              </w:tc>
              <w:tc>
                <w:tcPr>
                  <w:tcW w:w="1054" w:type="dxa"/>
                  <w:vMerge w:val="continue"/>
                  <w:tcBorders>
                    <w:tl2br w:val="nil"/>
                    <w:tr2bl w:val="nil"/>
                  </w:tcBorders>
                  <w:noWrap w:val="0"/>
                  <w:tcMar>
                    <w:top w:w="0" w:type="dxa"/>
                    <w:left w:w="28" w:type="dxa"/>
                    <w:bottom w:w="0" w:type="dxa"/>
                    <w:right w:w="28" w:type="dxa"/>
                  </w:tcMar>
                  <w:vAlign w:val="center"/>
                </w:tcPr>
                <w:p w14:paraId="1228DE43">
                  <w:pPr>
                    <w:spacing w:line="240" w:lineRule="exact"/>
                    <w:jc w:val="center"/>
                    <w:rPr>
                      <w:rFonts w:ascii="Times New Roman" w:hAnsi="Times New Roman" w:eastAsia="宋体" w:cs="Times New Roman"/>
                      <w:color w:val="auto"/>
                      <w:spacing w:val="0"/>
                      <w:position w:val="0"/>
                      <w:sz w:val="21"/>
                      <w:szCs w:val="21"/>
                      <w:highlight w:val="none"/>
                    </w:rPr>
                  </w:pPr>
                </w:p>
              </w:tc>
              <w:tc>
                <w:tcPr>
                  <w:tcW w:w="827" w:type="dxa"/>
                  <w:vMerge w:val="continue"/>
                  <w:tcBorders>
                    <w:tl2br w:val="nil"/>
                    <w:tr2bl w:val="nil"/>
                  </w:tcBorders>
                  <w:noWrap w:val="0"/>
                  <w:tcMar>
                    <w:top w:w="0" w:type="dxa"/>
                    <w:left w:w="28" w:type="dxa"/>
                    <w:bottom w:w="0" w:type="dxa"/>
                    <w:right w:w="28" w:type="dxa"/>
                  </w:tcMar>
                  <w:vAlign w:val="center"/>
                </w:tcPr>
                <w:p w14:paraId="26030F37">
                  <w:pPr>
                    <w:spacing w:line="240" w:lineRule="exact"/>
                    <w:jc w:val="center"/>
                    <w:rPr>
                      <w:rFonts w:ascii="Times New Roman" w:hAnsi="Times New Roman" w:eastAsia="宋体" w:cs="Times New Roman"/>
                      <w:color w:val="auto"/>
                      <w:spacing w:val="0"/>
                      <w:position w:val="0"/>
                      <w:sz w:val="21"/>
                      <w:szCs w:val="21"/>
                      <w:highlight w:val="none"/>
                    </w:rPr>
                  </w:pPr>
                </w:p>
              </w:tc>
              <w:tc>
                <w:tcPr>
                  <w:tcW w:w="709" w:type="dxa"/>
                  <w:vMerge w:val="restart"/>
                  <w:tcBorders>
                    <w:tl2br w:val="nil"/>
                    <w:tr2bl w:val="nil"/>
                  </w:tcBorders>
                  <w:noWrap w:val="0"/>
                  <w:tcMar>
                    <w:top w:w="0" w:type="dxa"/>
                    <w:left w:w="28" w:type="dxa"/>
                    <w:bottom w:w="0" w:type="dxa"/>
                    <w:right w:w="28" w:type="dxa"/>
                  </w:tcMar>
                  <w:vAlign w:val="center"/>
                </w:tcPr>
                <w:p w14:paraId="0249F4DA">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自行</w:t>
                  </w:r>
                </w:p>
                <w:p w14:paraId="1FBE9DDA">
                  <w:pPr>
                    <w:spacing w:line="240" w:lineRule="exact"/>
                    <w:jc w:val="center"/>
                    <w:rPr>
                      <w:rFonts w:hint="eastAsia" w:ascii="Times New Roman" w:hAnsi="Times New Roman" w:eastAsia="宋体" w:cs="Times New Roman"/>
                      <w:b/>
                      <w:bCs/>
                      <w:color w:val="auto"/>
                      <w:spacing w:val="0"/>
                      <w:position w:val="0"/>
                      <w:sz w:val="21"/>
                      <w:szCs w:val="21"/>
                      <w:highlight w:val="none"/>
                      <w:lang w:eastAsia="zh-CN"/>
                    </w:rPr>
                  </w:pPr>
                  <w:r>
                    <w:rPr>
                      <w:rFonts w:ascii="Times New Roman" w:hAnsi="Times New Roman" w:eastAsia="宋体" w:cs="Times New Roman"/>
                      <w:b/>
                      <w:bCs/>
                      <w:color w:val="auto"/>
                      <w:spacing w:val="0"/>
                      <w:position w:val="0"/>
                      <w:sz w:val="21"/>
                      <w:szCs w:val="21"/>
                      <w:highlight w:val="none"/>
                    </w:rPr>
                    <w:t>利用</w:t>
                  </w:r>
                  <w:r>
                    <w:rPr>
                      <w:rFonts w:hint="eastAsia" w:cs="Times New Roman"/>
                      <w:b/>
                      <w:bCs/>
                      <w:color w:val="auto"/>
                      <w:spacing w:val="0"/>
                      <w:position w:val="0"/>
                      <w:sz w:val="21"/>
                      <w:szCs w:val="21"/>
                      <w:highlight w:val="none"/>
                      <w:lang w:eastAsia="zh-CN"/>
                    </w:rPr>
                    <w:t>（</w:t>
                  </w:r>
                  <w:r>
                    <w:rPr>
                      <w:rFonts w:ascii="Times New Roman" w:hAnsi="Times New Roman" w:eastAsia="宋体" w:cs="Times New Roman"/>
                      <w:b/>
                      <w:bCs/>
                      <w:color w:val="auto"/>
                      <w:spacing w:val="0"/>
                      <w:position w:val="0"/>
                      <w:sz w:val="21"/>
                      <w:szCs w:val="21"/>
                      <w:highlight w:val="none"/>
                    </w:rPr>
                    <w:t>t/a</w:t>
                  </w:r>
                  <w:r>
                    <w:rPr>
                      <w:rFonts w:hint="eastAsia" w:cs="Times New Roman"/>
                      <w:b/>
                      <w:bCs/>
                      <w:color w:val="auto"/>
                      <w:spacing w:val="0"/>
                      <w:position w:val="0"/>
                      <w:sz w:val="21"/>
                      <w:szCs w:val="21"/>
                      <w:highlight w:val="none"/>
                      <w:lang w:eastAsia="zh-CN"/>
                    </w:rPr>
                    <w:t>）</w:t>
                  </w:r>
                </w:p>
              </w:tc>
              <w:tc>
                <w:tcPr>
                  <w:tcW w:w="676" w:type="dxa"/>
                  <w:vMerge w:val="restart"/>
                  <w:tcBorders>
                    <w:tl2br w:val="nil"/>
                    <w:tr2bl w:val="nil"/>
                  </w:tcBorders>
                  <w:noWrap w:val="0"/>
                  <w:tcMar>
                    <w:top w:w="0" w:type="dxa"/>
                    <w:left w:w="28" w:type="dxa"/>
                    <w:bottom w:w="0" w:type="dxa"/>
                    <w:right w:w="28" w:type="dxa"/>
                  </w:tcMar>
                  <w:vAlign w:val="center"/>
                </w:tcPr>
                <w:p w14:paraId="3144B6E6">
                  <w:pPr>
                    <w:spacing w:line="240" w:lineRule="exact"/>
                    <w:jc w:val="center"/>
                    <w:rPr>
                      <w:rFonts w:hint="eastAsia" w:ascii="Times New Roman" w:hAnsi="Times New Roman" w:eastAsia="宋体" w:cs="Times New Roman"/>
                      <w:b/>
                      <w:bCs/>
                      <w:color w:val="auto"/>
                      <w:spacing w:val="0"/>
                      <w:position w:val="0"/>
                      <w:sz w:val="21"/>
                      <w:szCs w:val="21"/>
                      <w:highlight w:val="none"/>
                      <w:lang w:eastAsia="zh-CN"/>
                    </w:rPr>
                  </w:pPr>
                  <w:r>
                    <w:rPr>
                      <w:rFonts w:ascii="Times New Roman" w:hAnsi="Times New Roman" w:eastAsia="宋体" w:cs="Times New Roman"/>
                      <w:b/>
                      <w:bCs/>
                      <w:color w:val="auto"/>
                      <w:spacing w:val="0"/>
                      <w:position w:val="0"/>
                      <w:sz w:val="21"/>
                      <w:szCs w:val="21"/>
                      <w:highlight w:val="none"/>
                    </w:rPr>
                    <w:t>自行处置</w:t>
                  </w:r>
                  <w:r>
                    <w:rPr>
                      <w:rFonts w:hint="eastAsia" w:cs="Times New Roman"/>
                      <w:b/>
                      <w:bCs/>
                      <w:color w:val="auto"/>
                      <w:spacing w:val="0"/>
                      <w:position w:val="0"/>
                      <w:sz w:val="21"/>
                      <w:szCs w:val="21"/>
                      <w:highlight w:val="none"/>
                      <w:lang w:eastAsia="zh-CN"/>
                    </w:rPr>
                    <w:t>（</w:t>
                  </w:r>
                  <w:r>
                    <w:rPr>
                      <w:rFonts w:ascii="Times New Roman" w:hAnsi="Times New Roman" w:eastAsia="宋体" w:cs="Times New Roman"/>
                      <w:b/>
                      <w:bCs/>
                      <w:color w:val="auto"/>
                      <w:spacing w:val="0"/>
                      <w:position w:val="0"/>
                      <w:sz w:val="21"/>
                      <w:szCs w:val="21"/>
                      <w:highlight w:val="none"/>
                    </w:rPr>
                    <w:t>t/a</w:t>
                  </w:r>
                  <w:r>
                    <w:rPr>
                      <w:rFonts w:hint="eastAsia" w:cs="Times New Roman"/>
                      <w:b/>
                      <w:bCs/>
                      <w:color w:val="auto"/>
                      <w:spacing w:val="0"/>
                      <w:position w:val="0"/>
                      <w:sz w:val="21"/>
                      <w:szCs w:val="21"/>
                      <w:highlight w:val="none"/>
                      <w:lang w:eastAsia="zh-CN"/>
                    </w:rPr>
                    <w:t>）</w:t>
                  </w:r>
                </w:p>
              </w:tc>
              <w:tc>
                <w:tcPr>
                  <w:tcW w:w="1532" w:type="dxa"/>
                  <w:gridSpan w:val="2"/>
                  <w:tcBorders>
                    <w:tl2br w:val="nil"/>
                    <w:tr2bl w:val="nil"/>
                  </w:tcBorders>
                  <w:noWrap w:val="0"/>
                  <w:tcMar>
                    <w:top w:w="0" w:type="dxa"/>
                    <w:left w:w="28" w:type="dxa"/>
                    <w:bottom w:w="0" w:type="dxa"/>
                    <w:right w:w="28" w:type="dxa"/>
                  </w:tcMar>
                  <w:vAlign w:val="center"/>
                </w:tcPr>
                <w:p w14:paraId="663F3E0F">
                  <w:pPr>
                    <w:spacing w:line="240" w:lineRule="exact"/>
                    <w:jc w:val="center"/>
                    <w:rPr>
                      <w:rFonts w:hint="eastAsia" w:ascii="Times New Roman" w:hAnsi="Times New Roman" w:eastAsia="宋体" w:cs="Times New Roman"/>
                      <w:b/>
                      <w:bCs/>
                      <w:color w:val="auto"/>
                      <w:spacing w:val="0"/>
                      <w:position w:val="0"/>
                      <w:sz w:val="21"/>
                      <w:szCs w:val="21"/>
                      <w:highlight w:val="none"/>
                      <w:lang w:eastAsia="zh-CN"/>
                    </w:rPr>
                  </w:pPr>
                  <w:r>
                    <w:rPr>
                      <w:rFonts w:ascii="Times New Roman" w:hAnsi="Times New Roman" w:eastAsia="宋体" w:cs="Times New Roman"/>
                      <w:b/>
                      <w:bCs/>
                      <w:color w:val="auto"/>
                      <w:spacing w:val="0"/>
                      <w:position w:val="0"/>
                      <w:sz w:val="21"/>
                      <w:szCs w:val="21"/>
                      <w:highlight w:val="none"/>
                    </w:rPr>
                    <w:t>转移量</w:t>
                  </w:r>
                  <w:r>
                    <w:rPr>
                      <w:rFonts w:hint="eastAsia" w:cs="Times New Roman"/>
                      <w:b/>
                      <w:bCs/>
                      <w:color w:val="auto"/>
                      <w:spacing w:val="0"/>
                      <w:position w:val="0"/>
                      <w:sz w:val="21"/>
                      <w:szCs w:val="21"/>
                      <w:highlight w:val="none"/>
                      <w:lang w:eastAsia="zh-CN"/>
                    </w:rPr>
                    <w:t>（</w:t>
                  </w:r>
                  <w:r>
                    <w:rPr>
                      <w:rFonts w:ascii="Times New Roman" w:hAnsi="Times New Roman" w:eastAsia="宋体" w:cs="Times New Roman"/>
                      <w:b/>
                      <w:bCs/>
                      <w:color w:val="auto"/>
                      <w:spacing w:val="0"/>
                      <w:position w:val="0"/>
                      <w:sz w:val="21"/>
                      <w:szCs w:val="21"/>
                      <w:highlight w:val="none"/>
                    </w:rPr>
                    <w:t>t/a</w:t>
                  </w:r>
                  <w:r>
                    <w:rPr>
                      <w:rFonts w:hint="eastAsia" w:cs="Times New Roman"/>
                      <w:b/>
                      <w:bCs/>
                      <w:color w:val="auto"/>
                      <w:spacing w:val="0"/>
                      <w:position w:val="0"/>
                      <w:sz w:val="21"/>
                      <w:szCs w:val="21"/>
                      <w:highlight w:val="none"/>
                      <w:lang w:eastAsia="zh-CN"/>
                    </w:rPr>
                    <w:t>）</w:t>
                  </w:r>
                </w:p>
              </w:tc>
              <w:tc>
                <w:tcPr>
                  <w:tcW w:w="1090" w:type="dxa"/>
                  <w:vMerge w:val="continue"/>
                  <w:tcBorders>
                    <w:tl2br w:val="nil"/>
                    <w:tr2bl w:val="nil"/>
                  </w:tcBorders>
                  <w:noWrap w:val="0"/>
                  <w:tcMar>
                    <w:top w:w="0" w:type="dxa"/>
                    <w:left w:w="28" w:type="dxa"/>
                    <w:bottom w:w="0" w:type="dxa"/>
                    <w:right w:w="28" w:type="dxa"/>
                  </w:tcMar>
                  <w:vAlign w:val="center"/>
                </w:tcPr>
                <w:p w14:paraId="078B223C">
                  <w:pPr>
                    <w:spacing w:line="240" w:lineRule="exact"/>
                    <w:jc w:val="center"/>
                    <w:rPr>
                      <w:rFonts w:ascii="Times New Roman" w:hAnsi="Times New Roman" w:eastAsia="宋体" w:cs="Times New Roman"/>
                      <w:b/>
                      <w:bCs/>
                      <w:color w:val="auto"/>
                      <w:spacing w:val="0"/>
                      <w:position w:val="0"/>
                      <w:sz w:val="21"/>
                      <w:szCs w:val="21"/>
                      <w:highlight w:val="none"/>
                    </w:rPr>
                  </w:pPr>
                </w:p>
              </w:tc>
              <w:tc>
                <w:tcPr>
                  <w:tcW w:w="980" w:type="dxa"/>
                  <w:vMerge w:val="continue"/>
                  <w:tcBorders>
                    <w:tl2br w:val="nil"/>
                    <w:tr2bl w:val="nil"/>
                  </w:tcBorders>
                  <w:noWrap w:val="0"/>
                  <w:tcMar>
                    <w:top w:w="0" w:type="dxa"/>
                    <w:left w:w="28" w:type="dxa"/>
                    <w:bottom w:w="0" w:type="dxa"/>
                    <w:right w:w="28" w:type="dxa"/>
                  </w:tcMar>
                  <w:vAlign w:val="center"/>
                </w:tcPr>
                <w:p w14:paraId="32305AD1">
                  <w:pPr>
                    <w:spacing w:line="240" w:lineRule="exact"/>
                    <w:jc w:val="center"/>
                    <w:rPr>
                      <w:rFonts w:ascii="Times New Roman" w:hAnsi="Times New Roman" w:eastAsia="宋体" w:cs="Times New Roman"/>
                      <w:color w:val="auto"/>
                      <w:spacing w:val="0"/>
                      <w:position w:val="0"/>
                      <w:sz w:val="21"/>
                      <w:szCs w:val="21"/>
                      <w:highlight w:val="none"/>
                    </w:rPr>
                  </w:pPr>
                </w:p>
              </w:tc>
              <w:tc>
                <w:tcPr>
                  <w:tcW w:w="693" w:type="dxa"/>
                  <w:vMerge w:val="continue"/>
                  <w:tcBorders>
                    <w:tl2br w:val="nil"/>
                    <w:tr2bl w:val="nil"/>
                  </w:tcBorders>
                  <w:noWrap w:val="0"/>
                  <w:tcMar>
                    <w:top w:w="0" w:type="dxa"/>
                    <w:left w:w="28" w:type="dxa"/>
                    <w:bottom w:w="0" w:type="dxa"/>
                    <w:right w:w="28" w:type="dxa"/>
                  </w:tcMar>
                  <w:vAlign w:val="center"/>
                </w:tcPr>
                <w:p w14:paraId="62902F27">
                  <w:pPr>
                    <w:spacing w:line="240" w:lineRule="exact"/>
                    <w:jc w:val="center"/>
                    <w:rPr>
                      <w:rFonts w:ascii="Times New Roman" w:hAnsi="Times New Roman" w:eastAsia="宋体" w:cs="Times New Roman"/>
                      <w:color w:val="auto"/>
                      <w:spacing w:val="0"/>
                      <w:position w:val="0"/>
                      <w:sz w:val="21"/>
                      <w:szCs w:val="21"/>
                      <w:highlight w:val="none"/>
                    </w:rPr>
                  </w:pPr>
                </w:p>
              </w:tc>
            </w:tr>
            <w:tr w14:paraId="356994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vMerge w:val="continue"/>
                  <w:tcBorders>
                    <w:tl2br w:val="nil"/>
                    <w:tr2bl w:val="nil"/>
                  </w:tcBorders>
                  <w:noWrap w:val="0"/>
                  <w:tcMar>
                    <w:top w:w="0" w:type="dxa"/>
                    <w:left w:w="28" w:type="dxa"/>
                    <w:bottom w:w="0" w:type="dxa"/>
                    <w:right w:w="28" w:type="dxa"/>
                  </w:tcMar>
                  <w:vAlign w:val="center"/>
                </w:tcPr>
                <w:p w14:paraId="3503A79E">
                  <w:pPr>
                    <w:spacing w:line="240" w:lineRule="exact"/>
                    <w:jc w:val="center"/>
                    <w:rPr>
                      <w:rFonts w:ascii="Times New Roman" w:hAnsi="Times New Roman" w:eastAsia="宋体" w:cs="Times New Roman"/>
                      <w:color w:val="auto"/>
                      <w:spacing w:val="0"/>
                      <w:position w:val="0"/>
                      <w:sz w:val="21"/>
                      <w:szCs w:val="21"/>
                      <w:highlight w:val="none"/>
                    </w:rPr>
                  </w:pPr>
                </w:p>
              </w:tc>
              <w:tc>
                <w:tcPr>
                  <w:tcW w:w="1151" w:type="dxa"/>
                  <w:vMerge w:val="continue"/>
                  <w:tcBorders>
                    <w:tl2br w:val="nil"/>
                    <w:tr2bl w:val="nil"/>
                  </w:tcBorders>
                  <w:noWrap w:val="0"/>
                  <w:tcMar>
                    <w:top w:w="0" w:type="dxa"/>
                    <w:left w:w="28" w:type="dxa"/>
                    <w:bottom w:w="0" w:type="dxa"/>
                    <w:right w:w="28" w:type="dxa"/>
                  </w:tcMar>
                  <w:vAlign w:val="center"/>
                </w:tcPr>
                <w:p w14:paraId="0492A584">
                  <w:pPr>
                    <w:spacing w:line="240" w:lineRule="exact"/>
                    <w:jc w:val="center"/>
                    <w:rPr>
                      <w:rFonts w:ascii="Times New Roman" w:hAnsi="Times New Roman" w:eastAsia="宋体" w:cs="Times New Roman"/>
                      <w:color w:val="auto"/>
                      <w:spacing w:val="0"/>
                      <w:position w:val="0"/>
                      <w:sz w:val="21"/>
                      <w:szCs w:val="21"/>
                      <w:highlight w:val="none"/>
                    </w:rPr>
                  </w:pPr>
                </w:p>
              </w:tc>
              <w:tc>
                <w:tcPr>
                  <w:tcW w:w="825" w:type="dxa"/>
                  <w:vMerge w:val="continue"/>
                  <w:tcBorders>
                    <w:tl2br w:val="nil"/>
                    <w:tr2bl w:val="nil"/>
                  </w:tcBorders>
                  <w:noWrap w:val="0"/>
                  <w:tcMar>
                    <w:top w:w="0" w:type="dxa"/>
                    <w:left w:w="28" w:type="dxa"/>
                    <w:bottom w:w="0" w:type="dxa"/>
                    <w:right w:w="28" w:type="dxa"/>
                  </w:tcMar>
                  <w:vAlign w:val="center"/>
                </w:tcPr>
                <w:p w14:paraId="4DC0673E">
                  <w:pPr>
                    <w:spacing w:line="240" w:lineRule="exact"/>
                    <w:jc w:val="center"/>
                    <w:rPr>
                      <w:rFonts w:ascii="Times New Roman" w:hAnsi="Times New Roman" w:eastAsia="宋体" w:cs="Times New Roman"/>
                      <w:color w:val="auto"/>
                      <w:spacing w:val="0"/>
                      <w:position w:val="0"/>
                      <w:sz w:val="21"/>
                      <w:szCs w:val="21"/>
                      <w:highlight w:val="none"/>
                    </w:rPr>
                  </w:pPr>
                </w:p>
              </w:tc>
              <w:tc>
                <w:tcPr>
                  <w:tcW w:w="953" w:type="dxa"/>
                  <w:vMerge w:val="continue"/>
                  <w:tcBorders>
                    <w:tl2br w:val="nil"/>
                    <w:tr2bl w:val="nil"/>
                  </w:tcBorders>
                  <w:noWrap w:val="0"/>
                  <w:tcMar>
                    <w:top w:w="0" w:type="dxa"/>
                    <w:left w:w="28" w:type="dxa"/>
                    <w:bottom w:w="0" w:type="dxa"/>
                    <w:right w:w="28" w:type="dxa"/>
                  </w:tcMar>
                  <w:vAlign w:val="center"/>
                </w:tcPr>
                <w:p w14:paraId="022B0203">
                  <w:pPr>
                    <w:spacing w:line="240" w:lineRule="exact"/>
                    <w:jc w:val="center"/>
                    <w:rPr>
                      <w:rFonts w:ascii="Times New Roman" w:hAnsi="Times New Roman" w:eastAsia="宋体" w:cs="Times New Roman"/>
                      <w:color w:val="auto"/>
                      <w:spacing w:val="0"/>
                      <w:position w:val="0"/>
                      <w:sz w:val="21"/>
                      <w:szCs w:val="21"/>
                      <w:highlight w:val="none"/>
                    </w:rPr>
                  </w:pPr>
                </w:p>
              </w:tc>
              <w:tc>
                <w:tcPr>
                  <w:tcW w:w="751" w:type="dxa"/>
                  <w:vMerge w:val="continue"/>
                  <w:tcBorders>
                    <w:tl2br w:val="nil"/>
                    <w:tr2bl w:val="nil"/>
                  </w:tcBorders>
                  <w:noWrap w:val="0"/>
                  <w:tcMar>
                    <w:top w:w="0" w:type="dxa"/>
                    <w:left w:w="28" w:type="dxa"/>
                    <w:bottom w:w="0" w:type="dxa"/>
                    <w:right w:w="28" w:type="dxa"/>
                  </w:tcMar>
                  <w:vAlign w:val="center"/>
                </w:tcPr>
                <w:p w14:paraId="02B2AD76">
                  <w:pPr>
                    <w:spacing w:line="240" w:lineRule="exact"/>
                    <w:jc w:val="center"/>
                    <w:rPr>
                      <w:rFonts w:ascii="Times New Roman" w:hAnsi="Times New Roman" w:eastAsia="宋体" w:cs="Times New Roman"/>
                      <w:color w:val="auto"/>
                      <w:spacing w:val="0"/>
                      <w:position w:val="0"/>
                      <w:sz w:val="21"/>
                      <w:szCs w:val="21"/>
                      <w:highlight w:val="none"/>
                    </w:rPr>
                  </w:pPr>
                </w:p>
              </w:tc>
              <w:tc>
                <w:tcPr>
                  <w:tcW w:w="783" w:type="dxa"/>
                  <w:vMerge w:val="continue"/>
                  <w:tcBorders>
                    <w:tl2br w:val="nil"/>
                    <w:tr2bl w:val="nil"/>
                  </w:tcBorders>
                  <w:noWrap w:val="0"/>
                  <w:tcMar>
                    <w:top w:w="0" w:type="dxa"/>
                    <w:left w:w="28" w:type="dxa"/>
                    <w:bottom w:w="0" w:type="dxa"/>
                    <w:right w:w="28" w:type="dxa"/>
                  </w:tcMar>
                  <w:vAlign w:val="center"/>
                </w:tcPr>
                <w:p w14:paraId="2728EFB3">
                  <w:pPr>
                    <w:spacing w:line="240" w:lineRule="exact"/>
                    <w:jc w:val="center"/>
                    <w:rPr>
                      <w:rFonts w:ascii="Times New Roman" w:hAnsi="Times New Roman" w:eastAsia="宋体" w:cs="Times New Roman"/>
                      <w:color w:val="auto"/>
                      <w:spacing w:val="0"/>
                      <w:position w:val="0"/>
                      <w:sz w:val="21"/>
                      <w:szCs w:val="21"/>
                      <w:highlight w:val="none"/>
                    </w:rPr>
                  </w:pPr>
                </w:p>
              </w:tc>
              <w:tc>
                <w:tcPr>
                  <w:tcW w:w="1386" w:type="dxa"/>
                  <w:vMerge w:val="continue"/>
                  <w:tcBorders>
                    <w:tl2br w:val="nil"/>
                    <w:tr2bl w:val="nil"/>
                  </w:tcBorders>
                  <w:noWrap w:val="0"/>
                  <w:tcMar>
                    <w:top w:w="0" w:type="dxa"/>
                    <w:left w:w="28" w:type="dxa"/>
                    <w:bottom w:w="0" w:type="dxa"/>
                    <w:right w:w="28" w:type="dxa"/>
                  </w:tcMar>
                  <w:vAlign w:val="center"/>
                </w:tcPr>
                <w:p w14:paraId="01615937">
                  <w:pPr>
                    <w:spacing w:line="240" w:lineRule="exact"/>
                    <w:jc w:val="center"/>
                    <w:rPr>
                      <w:rFonts w:ascii="Times New Roman" w:hAnsi="Times New Roman" w:eastAsia="宋体" w:cs="Times New Roman"/>
                      <w:color w:val="auto"/>
                      <w:spacing w:val="0"/>
                      <w:position w:val="0"/>
                      <w:sz w:val="21"/>
                      <w:szCs w:val="21"/>
                      <w:highlight w:val="none"/>
                    </w:rPr>
                  </w:pPr>
                </w:p>
              </w:tc>
              <w:tc>
                <w:tcPr>
                  <w:tcW w:w="1054" w:type="dxa"/>
                  <w:vMerge w:val="continue"/>
                  <w:tcBorders>
                    <w:tl2br w:val="nil"/>
                    <w:tr2bl w:val="nil"/>
                  </w:tcBorders>
                  <w:noWrap w:val="0"/>
                  <w:tcMar>
                    <w:top w:w="0" w:type="dxa"/>
                    <w:left w:w="28" w:type="dxa"/>
                    <w:bottom w:w="0" w:type="dxa"/>
                    <w:right w:w="28" w:type="dxa"/>
                  </w:tcMar>
                  <w:vAlign w:val="center"/>
                </w:tcPr>
                <w:p w14:paraId="455455DB">
                  <w:pPr>
                    <w:spacing w:line="240" w:lineRule="exact"/>
                    <w:jc w:val="center"/>
                    <w:rPr>
                      <w:rFonts w:ascii="Times New Roman" w:hAnsi="Times New Roman" w:eastAsia="宋体" w:cs="Times New Roman"/>
                      <w:color w:val="auto"/>
                      <w:spacing w:val="0"/>
                      <w:position w:val="0"/>
                      <w:sz w:val="21"/>
                      <w:szCs w:val="21"/>
                      <w:highlight w:val="none"/>
                    </w:rPr>
                  </w:pPr>
                </w:p>
              </w:tc>
              <w:tc>
                <w:tcPr>
                  <w:tcW w:w="827" w:type="dxa"/>
                  <w:vMerge w:val="continue"/>
                  <w:tcBorders>
                    <w:tl2br w:val="nil"/>
                    <w:tr2bl w:val="nil"/>
                  </w:tcBorders>
                  <w:noWrap w:val="0"/>
                  <w:tcMar>
                    <w:top w:w="0" w:type="dxa"/>
                    <w:left w:w="28" w:type="dxa"/>
                    <w:bottom w:w="0" w:type="dxa"/>
                    <w:right w:w="28" w:type="dxa"/>
                  </w:tcMar>
                  <w:vAlign w:val="center"/>
                </w:tcPr>
                <w:p w14:paraId="09507B24">
                  <w:pPr>
                    <w:spacing w:line="240" w:lineRule="exact"/>
                    <w:jc w:val="center"/>
                    <w:rPr>
                      <w:rFonts w:ascii="Times New Roman" w:hAnsi="Times New Roman" w:eastAsia="宋体" w:cs="Times New Roman"/>
                      <w:color w:val="auto"/>
                      <w:spacing w:val="0"/>
                      <w:position w:val="0"/>
                      <w:sz w:val="21"/>
                      <w:szCs w:val="21"/>
                      <w:highlight w:val="none"/>
                    </w:rPr>
                  </w:pPr>
                </w:p>
              </w:tc>
              <w:tc>
                <w:tcPr>
                  <w:tcW w:w="709" w:type="dxa"/>
                  <w:vMerge w:val="continue"/>
                  <w:tcBorders>
                    <w:tl2br w:val="nil"/>
                    <w:tr2bl w:val="nil"/>
                  </w:tcBorders>
                  <w:noWrap w:val="0"/>
                  <w:tcMar>
                    <w:top w:w="0" w:type="dxa"/>
                    <w:left w:w="28" w:type="dxa"/>
                    <w:bottom w:w="0" w:type="dxa"/>
                    <w:right w:w="28" w:type="dxa"/>
                  </w:tcMar>
                  <w:vAlign w:val="center"/>
                </w:tcPr>
                <w:p w14:paraId="69059AA4">
                  <w:pPr>
                    <w:spacing w:line="240" w:lineRule="exact"/>
                    <w:jc w:val="center"/>
                    <w:rPr>
                      <w:rFonts w:ascii="Times New Roman" w:hAnsi="Times New Roman" w:eastAsia="宋体" w:cs="Times New Roman"/>
                      <w:color w:val="auto"/>
                      <w:spacing w:val="0"/>
                      <w:position w:val="0"/>
                      <w:sz w:val="21"/>
                      <w:szCs w:val="21"/>
                      <w:highlight w:val="none"/>
                    </w:rPr>
                  </w:pPr>
                </w:p>
              </w:tc>
              <w:tc>
                <w:tcPr>
                  <w:tcW w:w="676" w:type="dxa"/>
                  <w:vMerge w:val="continue"/>
                  <w:tcBorders>
                    <w:tl2br w:val="nil"/>
                    <w:tr2bl w:val="nil"/>
                  </w:tcBorders>
                  <w:noWrap w:val="0"/>
                  <w:tcMar>
                    <w:top w:w="0" w:type="dxa"/>
                    <w:left w:w="28" w:type="dxa"/>
                    <w:bottom w:w="0" w:type="dxa"/>
                    <w:right w:w="28" w:type="dxa"/>
                  </w:tcMar>
                  <w:vAlign w:val="center"/>
                </w:tcPr>
                <w:p w14:paraId="26E371E4">
                  <w:pPr>
                    <w:spacing w:line="240" w:lineRule="exact"/>
                    <w:jc w:val="center"/>
                    <w:rPr>
                      <w:rFonts w:ascii="Times New Roman" w:hAnsi="Times New Roman" w:eastAsia="宋体" w:cs="Times New Roman"/>
                      <w:color w:val="auto"/>
                      <w:spacing w:val="0"/>
                      <w:position w:val="0"/>
                      <w:sz w:val="21"/>
                      <w:szCs w:val="21"/>
                      <w:highlight w:val="none"/>
                    </w:rPr>
                  </w:pPr>
                </w:p>
              </w:tc>
              <w:tc>
                <w:tcPr>
                  <w:tcW w:w="765" w:type="dxa"/>
                  <w:tcBorders>
                    <w:tl2br w:val="nil"/>
                    <w:tr2bl w:val="nil"/>
                  </w:tcBorders>
                  <w:noWrap w:val="0"/>
                  <w:tcMar>
                    <w:top w:w="0" w:type="dxa"/>
                    <w:left w:w="28" w:type="dxa"/>
                    <w:bottom w:w="0" w:type="dxa"/>
                    <w:right w:w="28" w:type="dxa"/>
                  </w:tcMar>
                  <w:vAlign w:val="center"/>
                </w:tcPr>
                <w:p w14:paraId="21258161">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委托</w:t>
                  </w:r>
                </w:p>
                <w:p w14:paraId="407F5C35">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利用量</w:t>
                  </w:r>
                </w:p>
              </w:tc>
              <w:tc>
                <w:tcPr>
                  <w:tcW w:w="767" w:type="dxa"/>
                  <w:tcBorders>
                    <w:tl2br w:val="nil"/>
                    <w:tr2bl w:val="nil"/>
                  </w:tcBorders>
                  <w:noWrap w:val="0"/>
                  <w:tcMar>
                    <w:top w:w="0" w:type="dxa"/>
                    <w:left w:w="28" w:type="dxa"/>
                    <w:bottom w:w="0" w:type="dxa"/>
                    <w:right w:w="28" w:type="dxa"/>
                  </w:tcMar>
                  <w:vAlign w:val="center"/>
                </w:tcPr>
                <w:p w14:paraId="7AD06F2C">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委托</w:t>
                  </w:r>
                </w:p>
                <w:p w14:paraId="6EAB6C38">
                  <w:pPr>
                    <w:spacing w:line="240" w:lineRule="exact"/>
                    <w:jc w:val="center"/>
                    <w:rPr>
                      <w:rFonts w:ascii="Times New Roman" w:hAnsi="Times New Roman" w:eastAsia="宋体" w:cs="Times New Roman"/>
                      <w:b/>
                      <w:bCs/>
                      <w:color w:val="auto"/>
                      <w:spacing w:val="0"/>
                      <w:position w:val="0"/>
                      <w:sz w:val="21"/>
                      <w:szCs w:val="21"/>
                      <w:highlight w:val="none"/>
                    </w:rPr>
                  </w:pPr>
                  <w:r>
                    <w:rPr>
                      <w:rFonts w:ascii="Times New Roman" w:hAnsi="Times New Roman" w:eastAsia="宋体" w:cs="Times New Roman"/>
                      <w:b/>
                      <w:bCs/>
                      <w:color w:val="auto"/>
                      <w:spacing w:val="0"/>
                      <w:position w:val="0"/>
                      <w:sz w:val="21"/>
                      <w:szCs w:val="21"/>
                      <w:highlight w:val="none"/>
                    </w:rPr>
                    <w:t>处置量</w:t>
                  </w:r>
                </w:p>
              </w:tc>
              <w:tc>
                <w:tcPr>
                  <w:tcW w:w="1090" w:type="dxa"/>
                  <w:vMerge w:val="continue"/>
                  <w:tcBorders>
                    <w:tl2br w:val="nil"/>
                    <w:tr2bl w:val="nil"/>
                  </w:tcBorders>
                  <w:noWrap w:val="0"/>
                  <w:tcMar>
                    <w:top w:w="0" w:type="dxa"/>
                    <w:left w:w="28" w:type="dxa"/>
                    <w:bottom w:w="0" w:type="dxa"/>
                    <w:right w:w="28" w:type="dxa"/>
                  </w:tcMar>
                  <w:vAlign w:val="center"/>
                </w:tcPr>
                <w:p w14:paraId="0C168FFE">
                  <w:pPr>
                    <w:spacing w:line="240" w:lineRule="exact"/>
                    <w:jc w:val="center"/>
                    <w:rPr>
                      <w:rFonts w:ascii="Times New Roman" w:hAnsi="Times New Roman" w:eastAsia="宋体" w:cs="Times New Roman"/>
                      <w:color w:val="auto"/>
                      <w:spacing w:val="0"/>
                      <w:position w:val="0"/>
                      <w:sz w:val="21"/>
                      <w:szCs w:val="21"/>
                      <w:highlight w:val="none"/>
                    </w:rPr>
                  </w:pPr>
                </w:p>
              </w:tc>
              <w:tc>
                <w:tcPr>
                  <w:tcW w:w="980" w:type="dxa"/>
                  <w:vMerge w:val="continue"/>
                  <w:tcBorders>
                    <w:tl2br w:val="nil"/>
                    <w:tr2bl w:val="nil"/>
                  </w:tcBorders>
                  <w:noWrap w:val="0"/>
                  <w:tcMar>
                    <w:top w:w="0" w:type="dxa"/>
                    <w:left w:w="28" w:type="dxa"/>
                    <w:bottom w:w="0" w:type="dxa"/>
                    <w:right w:w="28" w:type="dxa"/>
                  </w:tcMar>
                  <w:vAlign w:val="center"/>
                </w:tcPr>
                <w:p w14:paraId="583D0103">
                  <w:pPr>
                    <w:spacing w:line="240" w:lineRule="exact"/>
                    <w:jc w:val="center"/>
                    <w:rPr>
                      <w:rFonts w:ascii="Times New Roman" w:hAnsi="Times New Roman" w:eastAsia="宋体" w:cs="Times New Roman"/>
                      <w:color w:val="auto"/>
                      <w:spacing w:val="0"/>
                      <w:position w:val="0"/>
                      <w:sz w:val="21"/>
                      <w:szCs w:val="21"/>
                      <w:highlight w:val="none"/>
                    </w:rPr>
                  </w:pPr>
                </w:p>
              </w:tc>
              <w:tc>
                <w:tcPr>
                  <w:tcW w:w="693" w:type="dxa"/>
                  <w:vMerge w:val="continue"/>
                  <w:tcBorders>
                    <w:tl2br w:val="nil"/>
                    <w:tr2bl w:val="nil"/>
                  </w:tcBorders>
                  <w:noWrap w:val="0"/>
                  <w:tcMar>
                    <w:top w:w="0" w:type="dxa"/>
                    <w:left w:w="28" w:type="dxa"/>
                    <w:bottom w:w="0" w:type="dxa"/>
                    <w:right w:w="28" w:type="dxa"/>
                  </w:tcMar>
                  <w:vAlign w:val="center"/>
                </w:tcPr>
                <w:p w14:paraId="71A0CED0">
                  <w:pPr>
                    <w:spacing w:line="240" w:lineRule="exact"/>
                    <w:jc w:val="center"/>
                    <w:rPr>
                      <w:rFonts w:ascii="Times New Roman" w:hAnsi="Times New Roman" w:eastAsia="宋体" w:cs="Times New Roman"/>
                      <w:color w:val="auto"/>
                      <w:spacing w:val="0"/>
                      <w:position w:val="0"/>
                      <w:sz w:val="21"/>
                      <w:szCs w:val="21"/>
                      <w:highlight w:val="none"/>
                    </w:rPr>
                  </w:pPr>
                </w:p>
              </w:tc>
            </w:tr>
            <w:tr w14:paraId="59C100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tcBorders>
                    <w:tl2br w:val="nil"/>
                    <w:tr2bl w:val="nil"/>
                  </w:tcBorders>
                  <w:noWrap w:val="0"/>
                  <w:tcMar>
                    <w:top w:w="0" w:type="dxa"/>
                    <w:left w:w="28" w:type="dxa"/>
                    <w:bottom w:w="0" w:type="dxa"/>
                    <w:right w:w="28" w:type="dxa"/>
                  </w:tcMar>
                  <w:vAlign w:val="center"/>
                </w:tcPr>
                <w:p w14:paraId="04113213">
                  <w:pPr>
                    <w:pStyle w:val="94"/>
                    <w:adjustRightInd w:val="0"/>
                    <w:snapToGrid w:val="0"/>
                    <w:ind w:left="-63" w:leftChars="-30" w:right="-63" w:rightChars="-30" w:firstLine="0" w:firstLineChars="0"/>
                    <w:jc w:val="center"/>
                    <w:rPr>
                      <w:rFonts w:hint="eastAsia" w:ascii="Times New Roman" w:hAnsi="Times New Roman" w:eastAsia="宋体" w:cs="Times New Roman"/>
                      <w:bCs/>
                      <w:color w:val="auto"/>
                      <w:spacing w:val="0"/>
                      <w:position w:val="0"/>
                      <w:sz w:val="21"/>
                      <w:szCs w:val="21"/>
                      <w:highlight w:val="none"/>
                    </w:rPr>
                  </w:pPr>
                  <w:r>
                    <w:rPr>
                      <w:rFonts w:hint="eastAsia" w:ascii="Times New Roman" w:hAnsi="Times New Roman" w:eastAsia="宋体" w:cs="Times New Roman"/>
                      <w:b w:val="0"/>
                      <w:bCs/>
                      <w:color w:val="auto"/>
                      <w:spacing w:val="0"/>
                      <w:sz w:val="21"/>
                      <w:szCs w:val="21"/>
                      <w:highlight w:val="none"/>
                      <w:lang w:val="en-US" w:eastAsia="zh-CN"/>
                    </w:rPr>
                    <w:t>原料使用</w:t>
                  </w:r>
                </w:p>
              </w:tc>
              <w:tc>
                <w:tcPr>
                  <w:tcW w:w="1151" w:type="dxa"/>
                  <w:tcBorders>
                    <w:tl2br w:val="nil"/>
                    <w:tr2bl w:val="nil"/>
                  </w:tcBorders>
                  <w:noWrap w:val="0"/>
                  <w:tcMar>
                    <w:top w:w="0" w:type="dxa"/>
                    <w:left w:w="28" w:type="dxa"/>
                    <w:bottom w:w="0" w:type="dxa"/>
                    <w:right w:w="28" w:type="dxa"/>
                  </w:tcMar>
                  <w:vAlign w:val="center"/>
                </w:tcPr>
                <w:p w14:paraId="605E1C7A">
                  <w:pPr>
                    <w:pStyle w:val="94"/>
                    <w:adjustRightInd w:val="0"/>
                    <w:snapToGrid w:val="0"/>
                    <w:ind w:left="-63" w:leftChars="-30" w:right="-63" w:rightChars="-30" w:firstLine="0" w:firstLineChars="0"/>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b w:val="0"/>
                      <w:bCs/>
                      <w:color w:val="auto"/>
                      <w:spacing w:val="0"/>
                      <w:sz w:val="21"/>
                      <w:szCs w:val="21"/>
                      <w:highlight w:val="none"/>
                      <w:lang w:val="en-US" w:eastAsia="zh-CN"/>
                    </w:rPr>
                    <w:t>废包装</w:t>
                  </w:r>
                  <w:r>
                    <w:rPr>
                      <w:rFonts w:hint="eastAsia" w:cs="Times New Roman"/>
                      <w:b w:val="0"/>
                      <w:bCs/>
                      <w:color w:val="auto"/>
                      <w:spacing w:val="0"/>
                      <w:sz w:val="21"/>
                      <w:szCs w:val="21"/>
                      <w:highlight w:val="none"/>
                      <w:lang w:val="en-US" w:eastAsia="zh-CN"/>
                    </w:rPr>
                    <w:t>材料</w:t>
                  </w:r>
                </w:p>
              </w:tc>
              <w:tc>
                <w:tcPr>
                  <w:tcW w:w="825" w:type="dxa"/>
                  <w:vMerge w:val="restart"/>
                  <w:tcBorders>
                    <w:tl2br w:val="nil"/>
                    <w:tr2bl w:val="nil"/>
                  </w:tcBorders>
                  <w:noWrap w:val="0"/>
                  <w:tcMar>
                    <w:top w:w="0" w:type="dxa"/>
                    <w:left w:w="28" w:type="dxa"/>
                    <w:bottom w:w="0" w:type="dxa"/>
                    <w:right w:w="28" w:type="dxa"/>
                  </w:tcMar>
                  <w:vAlign w:val="center"/>
                </w:tcPr>
                <w:p w14:paraId="3C4FA90F">
                  <w:pPr>
                    <w:spacing w:line="240" w:lineRule="exact"/>
                    <w:jc w:val="center"/>
                    <w:rPr>
                      <w:rFonts w:hint="eastAsia" w:ascii="Times New Roman" w:hAnsi="Times New Roman" w:eastAsia="宋体" w:cs="Times New Roman"/>
                      <w:bCs/>
                      <w:color w:val="auto"/>
                      <w:spacing w:val="0"/>
                      <w:position w:val="0"/>
                      <w:sz w:val="21"/>
                      <w:szCs w:val="21"/>
                      <w:highlight w:val="none"/>
                    </w:rPr>
                  </w:pPr>
                  <w:r>
                    <w:rPr>
                      <w:rFonts w:hint="eastAsia" w:ascii="Times New Roman" w:hAnsi="Times New Roman" w:eastAsia="宋体" w:cs="Times New Roman"/>
                      <w:bCs/>
                      <w:color w:val="auto"/>
                      <w:spacing w:val="0"/>
                      <w:position w:val="0"/>
                      <w:sz w:val="21"/>
                      <w:szCs w:val="21"/>
                      <w:highlight w:val="none"/>
                    </w:rPr>
                    <w:t>一般</w:t>
                  </w:r>
                </w:p>
                <w:p w14:paraId="6D097834">
                  <w:pPr>
                    <w:spacing w:line="240" w:lineRule="exact"/>
                    <w:jc w:val="center"/>
                    <w:rPr>
                      <w:rFonts w:hint="eastAsia" w:ascii="Times New Roman" w:hAnsi="Times New Roman" w:eastAsia="宋体" w:cs="Times New Roman"/>
                      <w:bCs/>
                      <w:color w:val="auto"/>
                      <w:spacing w:val="0"/>
                      <w:position w:val="0"/>
                      <w:sz w:val="21"/>
                      <w:szCs w:val="21"/>
                      <w:highlight w:val="none"/>
                    </w:rPr>
                  </w:pPr>
                  <w:r>
                    <w:rPr>
                      <w:rFonts w:hint="eastAsia" w:ascii="Times New Roman" w:hAnsi="Times New Roman" w:eastAsia="宋体" w:cs="Times New Roman"/>
                      <w:bCs/>
                      <w:color w:val="auto"/>
                      <w:spacing w:val="0"/>
                      <w:position w:val="0"/>
                      <w:sz w:val="21"/>
                      <w:szCs w:val="21"/>
                      <w:highlight w:val="none"/>
                    </w:rPr>
                    <w:t>固废</w:t>
                  </w:r>
                </w:p>
              </w:tc>
              <w:tc>
                <w:tcPr>
                  <w:tcW w:w="953" w:type="dxa"/>
                  <w:tcBorders>
                    <w:tl2br w:val="nil"/>
                    <w:tr2bl w:val="nil"/>
                  </w:tcBorders>
                  <w:noWrap w:val="0"/>
                  <w:tcMar>
                    <w:top w:w="0" w:type="dxa"/>
                    <w:left w:w="28" w:type="dxa"/>
                    <w:bottom w:w="0" w:type="dxa"/>
                    <w:right w:w="28" w:type="dxa"/>
                  </w:tcMar>
                  <w:vAlign w:val="center"/>
                </w:tcPr>
                <w:p w14:paraId="14B4DAC8">
                  <w:pPr>
                    <w:spacing w:line="240" w:lineRule="exact"/>
                    <w:jc w:val="center"/>
                    <w:rPr>
                      <w:rFonts w:ascii="Times New Roman" w:hAnsi="Times New Roman" w:eastAsia="宋体" w:cs="Times New Roman"/>
                      <w:color w:val="auto"/>
                      <w:spacing w:val="0"/>
                      <w:position w:val="0"/>
                      <w:sz w:val="21"/>
                      <w:szCs w:val="21"/>
                      <w:highlight w:val="none"/>
                    </w:rPr>
                  </w:pPr>
                </w:p>
              </w:tc>
              <w:tc>
                <w:tcPr>
                  <w:tcW w:w="751" w:type="dxa"/>
                  <w:tcBorders>
                    <w:tl2br w:val="nil"/>
                    <w:tr2bl w:val="nil"/>
                  </w:tcBorders>
                  <w:noWrap w:val="0"/>
                  <w:tcMar>
                    <w:top w:w="0" w:type="dxa"/>
                    <w:left w:w="28" w:type="dxa"/>
                    <w:bottom w:w="0" w:type="dxa"/>
                    <w:right w:w="28" w:type="dxa"/>
                  </w:tcMar>
                  <w:vAlign w:val="center"/>
                </w:tcPr>
                <w:p w14:paraId="5B8F680A">
                  <w:pPr>
                    <w:spacing w:line="240" w:lineRule="exact"/>
                    <w:jc w:val="center"/>
                    <w:rPr>
                      <w:rFonts w:ascii="Times New Roman" w:hAnsi="Times New Roman" w:eastAsia="宋体" w:cs="Times New Roman"/>
                      <w:color w:val="auto"/>
                      <w:spacing w:val="0"/>
                      <w:position w:val="0"/>
                      <w:sz w:val="21"/>
                      <w:szCs w:val="21"/>
                      <w:highlight w:val="none"/>
                    </w:rPr>
                  </w:pPr>
                </w:p>
              </w:tc>
              <w:tc>
                <w:tcPr>
                  <w:tcW w:w="783" w:type="dxa"/>
                  <w:tcBorders>
                    <w:tl2br w:val="nil"/>
                    <w:tr2bl w:val="nil"/>
                  </w:tcBorders>
                  <w:noWrap w:val="0"/>
                  <w:tcMar>
                    <w:top w:w="0" w:type="dxa"/>
                    <w:left w:w="28" w:type="dxa"/>
                    <w:bottom w:w="0" w:type="dxa"/>
                    <w:right w:w="28" w:type="dxa"/>
                  </w:tcMar>
                  <w:vAlign w:val="center"/>
                </w:tcPr>
                <w:p w14:paraId="1B4C8C47">
                  <w:pPr>
                    <w:spacing w:line="240" w:lineRule="exact"/>
                    <w:jc w:val="center"/>
                    <w:rPr>
                      <w:rFonts w:ascii="Times New Roman" w:hAnsi="Times New Roman" w:eastAsia="宋体" w:cs="Times New Roman"/>
                      <w:color w:val="auto"/>
                      <w:spacing w:val="0"/>
                      <w:position w:val="0"/>
                      <w:sz w:val="21"/>
                      <w:szCs w:val="21"/>
                      <w:highlight w:val="none"/>
                    </w:rPr>
                  </w:pPr>
                </w:p>
              </w:tc>
              <w:tc>
                <w:tcPr>
                  <w:tcW w:w="1386" w:type="dxa"/>
                  <w:tcBorders>
                    <w:tl2br w:val="nil"/>
                    <w:tr2bl w:val="nil"/>
                  </w:tcBorders>
                  <w:noWrap w:val="0"/>
                  <w:tcMar>
                    <w:top w:w="0" w:type="dxa"/>
                    <w:left w:w="28" w:type="dxa"/>
                    <w:bottom w:w="0" w:type="dxa"/>
                    <w:right w:w="28" w:type="dxa"/>
                  </w:tcMar>
                  <w:vAlign w:val="center"/>
                </w:tcPr>
                <w:p w14:paraId="0F18E760">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1054" w:type="dxa"/>
                  <w:tcBorders>
                    <w:tl2br w:val="nil"/>
                    <w:tr2bl w:val="nil"/>
                  </w:tcBorders>
                  <w:noWrap w:val="0"/>
                  <w:tcMar>
                    <w:top w:w="0" w:type="dxa"/>
                    <w:left w:w="28" w:type="dxa"/>
                    <w:bottom w:w="0" w:type="dxa"/>
                    <w:right w:w="28" w:type="dxa"/>
                  </w:tcMar>
                  <w:vAlign w:val="center"/>
                </w:tcPr>
                <w:p w14:paraId="6FF4B3FE">
                  <w:pPr>
                    <w:pStyle w:val="107"/>
                    <w:rPr>
                      <w:rFonts w:hint="default" w:cs="Times New Roman"/>
                      <w:bCs/>
                      <w:color w:val="auto"/>
                      <w:spacing w:val="0"/>
                      <w:position w:val="0"/>
                      <w:sz w:val="21"/>
                      <w:szCs w:val="21"/>
                      <w:highlight w:val="none"/>
                      <w:lang w:val="en-US" w:eastAsia="zh-CN"/>
                    </w:rPr>
                  </w:pPr>
                </w:p>
              </w:tc>
              <w:tc>
                <w:tcPr>
                  <w:tcW w:w="827" w:type="dxa"/>
                  <w:vMerge w:val="restart"/>
                  <w:tcBorders>
                    <w:tl2br w:val="nil"/>
                    <w:tr2bl w:val="nil"/>
                  </w:tcBorders>
                  <w:noWrap w:val="0"/>
                  <w:tcMar>
                    <w:top w:w="0" w:type="dxa"/>
                    <w:left w:w="28" w:type="dxa"/>
                    <w:bottom w:w="0" w:type="dxa"/>
                    <w:right w:w="28" w:type="dxa"/>
                  </w:tcMar>
                  <w:vAlign w:val="center"/>
                </w:tcPr>
                <w:p w14:paraId="7E3E58B4">
                  <w:pPr>
                    <w:spacing w:line="240" w:lineRule="exact"/>
                    <w:jc w:val="center"/>
                    <w:rPr>
                      <w:rFonts w:ascii="Times New Roman" w:hAnsi="Times New Roman" w:eastAsia="宋体" w:cs="Times New Roman"/>
                      <w:color w:val="auto"/>
                      <w:spacing w:val="0"/>
                      <w:position w:val="0"/>
                      <w:sz w:val="21"/>
                      <w:szCs w:val="21"/>
                      <w:highlight w:val="none"/>
                    </w:rPr>
                  </w:pPr>
                </w:p>
              </w:tc>
              <w:tc>
                <w:tcPr>
                  <w:tcW w:w="709" w:type="dxa"/>
                  <w:tcBorders>
                    <w:tl2br w:val="nil"/>
                    <w:tr2bl w:val="nil"/>
                  </w:tcBorders>
                  <w:noWrap w:val="0"/>
                  <w:tcMar>
                    <w:top w:w="0" w:type="dxa"/>
                    <w:left w:w="28" w:type="dxa"/>
                    <w:bottom w:w="0" w:type="dxa"/>
                    <w:right w:w="28" w:type="dxa"/>
                  </w:tcMar>
                  <w:vAlign w:val="center"/>
                </w:tcPr>
                <w:p w14:paraId="13FDA658">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676" w:type="dxa"/>
                  <w:tcBorders>
                    <w:tl2br w:val="nil"/>
                    <w:tr2bl w:val="nil"/>
                  </w:tcBorders>
                  <w:noWrap w:val="0"/>
                  <w:tcMar>
                    <w:top w:w="0" w:type="dxa"/>
                    <w:left w:w="28" w:type="dxa"/>
                    <w:bottom w:w="0" w:type="dxa"/>
                    <w:right w:w="28" w:type="dxa"/>
                  </w:tcMar>
                  <w:vAlign w:val="center"/>
                </w:tcPr>
                <w:p w14:paraId="7300815D">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65" w:type="dxa"/>
                  <w:tcBorders>
                    <w:tl2br w:val="nil"/>
                    <w:tr2bl w:val="nil"/>
                  </w:tcBorders>
                  <w:noWrap w:val="0"/>
                  <w:tcMar>
                    <w:top w:w="0" w:type="dxa"/>
                    <w:left w:w="28" w:type="dxa"/>
                    <w:bottom w:w="0" w:type="dxa"/>
                    <w:right w:w="28" w:type="dxa"/>
                  </w:tcMar>
                  <w:vAlign w:val="center"/>
                </w:tcPr>
                <w:p w14:paraId="3B4DC295">
                  <w:pPr>
                    <w:pStyle w:val="107"/>
                    <w:ind w:firstLine="0" w:firstLineChars="0"/>
                    <w:rPr>
                      <w:rFonts w:hint="default" w:cs="Times New Roman"/>
                      <w:bCs/>
                      <w:color w:val="auto"/>
                      <w:spacing w:val="0"/>
                      <w:position w:val="0"/>
                      <w:sz w:val="21"/>
                      <w:szCs w:val="21"/>
                      <w:highlight w:val="none"/>
                      <w:lang w:val="en-US" w:eastAsia="zh-CN"/>
                    </w:rPr>
                  </w:pPr>
                </w:p>
              </w:tc>
              <w:tc>
                <w:tcPr>
                  <w:tcW w:w="767" w:type="dxa"/>
                  <w:tcBorders>
                    <w:tl2br w:val="nil"/>
                    <w:tr2bl w:val="nil"/>
                  </w:tcBorders>
                  <w:noWrap w:val="0"/>
                  <w:tcMar>
                    <w:top w:w="0" w:type="dxa"/>
                    <w:left w:w="28" w:type="dxa"/>
                    <w:bottom w:w="0" w:type="dxa"/>
                    <w:right w:w="28" w:type="dxa"/>
                  </w:tcMar>
                  <w:vAlign w:val="center"/>
                </w:tcPr>
                <w:p w14:paraId="52B71070">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1090" w:type="dxa"/>
                  <w:vMerge w:val="restart"/>
                  <w:tcBorders>
                    <w:tl2br w:val="nil"/>
                    <w:tr2bl w:val="nil"/>
                  </w:tcBorders>
                  <w:noWrap w:val="0"/>
                  <w:tcMar>
                    <w:top w:w="0" w:type="dxa"/>
                    <w:left w:w="28" w:type="dxa"/>
                    <w:bottom w:w="0" w:type="dxa"/>
                    <w:right w:w="28" w:type="dxa"/>
                  </w:tcMar>
                  <w:vAlign w:val="center"/>
                </w:tcPr>
                <w:p w14:paraId="0CC0BF0B">
                  <w:pPr>
                    <w:spacing w:line="240" w:lineRule="exact"/>
                    <w:jc w:val="center"/>
                    <w:rPr>
                      <w:rFonts w:hint="eastAsia" w:ascii="Times New Roman" w:hAnsi="Times New Roman" w:eastAsia="宋体" w:cs="Times New Roman"/>
                      <w:b w:val="0"/>
                      <w:bCs/>
                      <w:color w:val="auto"/>
                      <w:spacing w:val="0"/>
                      <w:position w:val="0"/>
                      <w:sz w:val="21"/>
                      <w:szCs w:val="21"/>
                      <w:highlight w:val="none"/>
                    </w:rPr>
                  </w:pPr>
                </w:p>
              </w:tc>
              <w:tc>
                <w:tcPr>
                  <w:tcW w:w="980" w:type="dxa"/>
                  <w:tcBorders>
                    <w:tl2br w:val="nil"/>
                    <w:tr2bl w:val="nil"/>
                  </w:tcBorders>
                  <w:noWrap w:val="0"/>
                  <w:tcMar>
                    <w:top w:w="0" w:type="dxa"/>
                    <w:left w:w="28" w:type="dxa"/>
                    <w:bottom w:w="0" w:type="dxa"/>
                    <w:right w:w="28" w:type="dxa"/>
                  </w:tcMar>
                  <w:vAlign w:val="center"/>
                </w:tcPr>
                <w:p w14:paraId="11C8E70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bCs/>
                      <w:color w:val="auto"/>
                      <w:spacing w:val="0"/>
                      <w:position w:val="0"/>
                      <w:sz w:val="21"/>
                      <w:szCs w:val="21"/>
                      <w:highlight w:val="none"/>
                      <w:lang w:val="en-US" w:eastAsia="zh-CN"/>
                    </w:rPr>
                  </w:pPr>
                </w:p>
              </w:tc>
              <w:tc>
                <w:tcPr>
                  <w:tcW w:w="693" w:type="dxa"/>
                  <w:tcBorders>
                    <w:tl2br w:val="nil"/>
                    <w:tr2bl w:val="nil"/>
                  </w:tcBorders>
                  <w:noWrap w:val="0"/>
                  <w:tcMar>
                    <w:top w:w="0" w:type="dxa"/>
                    <w:left w:w="28" w:type="dxa"/>
                    <w:bottom w:w="0" w:type="dxa"/>
                    <w:right w:w="28" w:type="dxa"/>
                  </w:tcMar>
                  <w:vAlign w:val="center"/>
                </w:tcPr>
                <w:p w14:paraId="54FAD1B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cs="Times New Roman"/>
                      <w:color w:val="auto"/>
                      <w:spacing w:val="0"/>
                      <w:kern w:val="0"/>
                      <w:position w:val="0"/>
                      <w:sz w:val="21"/>
                      <w:szCs w:val="21"/>
                      <w:highlight w:val="none"/>
                      <w:lang w:val="en-US" w:eastAsia="zh-CN" w:bidi="ar"/>
                    </w:rPr>
                  </w:pPr>
                </w:p>
              </w:tc>
            </w:tr>
            <w:tr w14:paraId="73CBD5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vMerge w:val="restart"/>
                  <w:tcBorders>
                    <w:tl2br w:val="nil"/>
                    <w:tr2bl w:val="nil"/>
                  </w:tcBorders>
                  <w:noWrap w:val="0"/>
                  <w:tcMar>
                    <w:top w:w="0" w:type="dxa"/>
                    <w:left w:w="28" w:type="dxa"/>
                    <w:bottom w:w="0" w:type="dxa"/>
                    <w:right w:w="28" w:type="dxa"/>
                  </w:tcMar>
                  <w:vAlign w:val="center"/>
                </w:tcPr>
                <w:p w14:paraId="22A42139">
                  <w:pPr>
                    <w:pStyle w:val="94"/>
                    <w:adjustRightInd w:val="0"/>
                    <w:snapToGrid w:val="0"/>
                    <w:ind w:left="-63" w:leftChars="-30" w:right="-63" w:rightChars="-30" w:firstLine="0" w:firstLineChars="0"/>
                    <w:jc w:val="center"/>
                    <w:rPr>
                      <w:rFonts w:hint="default" w:ascii="Times New Roman" w:hAnsi="Times New Roman" w:eastAsia="宋体" w:cs="Times New Roman"/>
                      <w:b w:val="0"/>
                      <w:bCs/>
                      <w:color w:val="auto"/>
                      <w:spacing w:val="0"/>
                      <w:sz w:val="21"/>
                      <w:szCs w:val="21"/>
                      <w:highlight w:val="none"/>
                      <w:lang w:val="en-US" w:eastAsia="zh-CN"/>
                    </w:rPr>
                  </w:pPr>
                  <w:r>
                    <w:rPr>
                      <w:rFonts w:hint="eastAsia" w:cs="Times New Roman"/>
                      <w:b w:val="0"/>
                      <w:bCs/>
                      <w:color w:val="auto"/>
                      <w:spacing w:val="0"/>
                      <w:sz w:val="21"/>
                      <w:szCs w:val="21"/>
                      <w:highlight w:val="none"/>
                      <w:lang w:val="en-US" w:eastAsia="zh-CN"/>
                    </w:rPr>
                    <w:t>组装</w:t>
                  </w:r>
                </w:p>
              </w:tc>
              <w:tc>
                <w:tcPr>
                  <w:tcW w:w="1151" w:type="dxa"/>
                  <w:tcBorders>
                    <w:tl2br w:val="nil"/>
                    <w:tr2bl w:val="nil"/>
                  </w:tcBorders>
                  <w:noWrap w:val="0"/>
                  <w:tcMar>
                    <w:top w:w="0" w:type="dxa"/>
                    <w:left w:w="28" w:type="dxa"/>
                    <w:bottom w:w="0" w:type="dxa"/>
                    <w:right w:w="28" w:type="dxa"/>
                  </w:tcMar>
                  <w:vAlign w:val="center"/>
                </w:tcPr>
                <w:p w14:paraId="1F02CC61">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sz w:val="21"/>
                      <w:szCs w:val="21"/>
                      <w:highlight w:val="none"/>
                      <w:lang w:val="en-US" w:eastAsia="zh-CN"/>
                    </w:rPr>
                  </w:pPr>
                  <w:r>
                    <w:rPr>
                      <w:rFonts w:hint="eastAsia" w:cs="Times New Roman"/>
                      <w:b w:val="0"/>
                      <w:bCs/>
                      <w:color w:val="auto"/>
                      <w:spacing w:val="0"/>
                      <w:sz w:val="21"/>
                      <w:szCs w:val="21"/>
                      <w:highlight w:val="none"/>
                      <w:lang w:val="en-US" w:eastAsia="zh-CN"/>
                    </w:rPr>
                    <w:t>废钉子</w:t>
                  </w:r>
                </w:p>
              </w:tc>
              <w:tc>
                <w:tcPr>
                  <w:tcW w:w="825" w:type="dxa"/>
                  <w:vMerge w:val="continue"/>
                  <w:tcBorders>
                    <w:tl2br w:val="nil"/>
                    <w:tr2bl w:val="nil"/>
                  </w:tcBorders>
                  <w:noWrap w:val="0"/>
                  <w:tcMar>
                    <w:top w:w="0" w:type="dxa"/>
                    <w:left w:w="28" w:type="dxa"/>
                    <w:bottom w:w="0" w:type="dxa"/>
                    <w:right w:w="28" w:type="dxa"/>
                  </w:tcMar>
                  <w:vAlign w:val="center"/>
                </w:tcPr>
                <w:p w14:paraId="33E3390D">
                  <w:pPr>
                    <w:spacing w:line="240" w:lineRule="exact"/>
                    <w:jc w:val="center"/>
                    <w:rPr>
                      <w:rFonts w:hint="eastAsia" w:ascii="Times New Roman" w:hAnsi="Times New Roman" w:eastAsia="宋体" w:cs="Times New Roman"/>
                      <w:bCs/>
                      <w:color w:val="auto"/>
                      <w:spacing w:val="0"/>
                      <w:position w:val="0"/>
                      <w:sz w:val="21"/>
                      <w:szCs w:val="21"/>
                      <w:highlight w:val="none"/>
                    </w:rPr>
                  </w:pPr>
                </w:p>
              </w:tc>
              <w:tc>
                <w:tcPr>
                  <w:tcW w:w="953" w:type="dxa"/>
                  <w:tcBorders>
                    <w:tl2br w:val="nil"/>
                    <w:tr2bl w:val="nil"/>
                  </w:tcBorders>
                  <w:noWrap w:val="0"/>
                  <w:tcMar>
                    <w:top w:w="0" w:type="dxa"/>
                    <w:left w:w="28" w:type="dxa"/>
                    <w:bottom w:w="0" w:type="dxa"/>
                    <w:right w:w="28" w:type="dxa"/>
                  </w:tcMar>
                  <w:vAlign w:val="center"/>
                </w:tcPr>
                <w:p w14:paraId="0CD9A46B">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751" w:type="dxa"/>
                  <w:tcBorders>
                    <w:tl2br w:val="nil"/>
                    <w:tr2bl w:val="nil"/>
                  </w:tcBorders>
                  <w:noWrap w:val="0"/>
                  <w:tcMar>
                    <w:top w:w="0" w:type="dxa"/>
                    <w:left w:w="28" w:type="dxa"/>
                    <w:bottom w:w="0" w:type="dxa"/>
                    <w:right w:w="28" w:type="dxa"/>
                  </w:tcMar>
                  <w:vAlign w:val="center"/>
                </w:tcPr>
                <w:p w14:paraId="2DBED9EF">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783" w:type="dxa"/>
                  <w:tcBorders>
                    <w:tl2br w:val="nil"/>
                    <w:tr2bl w:val="nil"/>
                  </w:tcBorders>
                  <w:noWrap w:val="0"/>
                  <w:tcMar>
                    <w:top w:w="0" w:type="dxa"/>
                    <w:left w:w="28" w:type="dxa"/>
                    <w:bottom w:w="0" w:type="dxa"/>
                    <w:right w:w="28" w:type="dxa"/>
                  </w:tcMar>
                  <w:vAlign w:val="center"/>
                </w:tcPr>
                <w:p w14:paraId="0CBDBCD6">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1386" w:type="dxa"/>
                  <w:tcBorders>
                    <w:tl2br w:val="nil"/>
                    <w:tr2bl w:val="nil"/>
                  </w:tcBorders>
                  <w:noWrap w:val="0"/>
                  <w:tcMar>
                    <w:top w:w="0" w:type="dxa"/>
                    <w:left w:w="28" w:type="dxa"/>
                    <w:bottom w:w="0" w:type="dxa"/>
                    <w:right w:w="28" w:type="dxa"/>
                  </w:tcMar>
                  <w:vAlign w:val="center"/>
                </w:tcPr>
                <w:p w14:paraId="729588FA">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1054" w:type="dxa"/>
                  <w:tcBorders>
                    <w:tl2br w:val="nil"/>
                    <w:tr2bl w:val="nil"/>
                  </w:tcBorders>
                  <w:noWrap w:val="0"/>
                  <w:tcMar>
                    <w:top w:w="0" w:type="dxa"/>
                    <w:left w:w="28" w:type="dxa"/>
                    <w:bottom w:w="0" w:type="dxa"/>
                    <w:right w:w="28" w:type="dxa"/>
                  </w:tcMar>
                  <w:vAlign w:val="center"/>
                </w:tcPr>
                <w:p w14:paraId="23B4EFA7">
                  <w:pPr>
                    <w:pStyle w:val="107"/>
                    <w:rPr>
                      <w:rFonts w:hint="default" w:cs="Times New Roman"/>
                      <w:bCs/>
                      <w:color w:val="auto"/>
                      <w:spacing w:val="0"/>
                      <w:position w:val="0"/>
                      <w:sz w:val="21"/>
                      <w:szCs w:val="21"/>
                      <w:highlight w:val="none"/>
                      <w:lang w:val="en-US" w:eastAsia="zh-CN"/>
                    </w:rPr>
                  </w:pPr>
                </w:p>
              </w:tc>
              <w:tc>
                <w:tcPr>
                  <w:tcW w:w="827" w:type="dxa"/>
                  <w:vMerge w:val="continue"/>
                  <w:tcBorders>
                    <w:tl2br w:val="nil"/>
                    <w:tr2bl w:val="nil"/>
                  </w:tcBorders>
                  <w:noWrap w:val="0"/>
                  <w:tcMar>
                    <w:top w:w="0" w:type="dxa"/>
                    <w:left w:w="28" w:type="dxa"/>
                    <w:bottom w:w="0" w:type="dxa"/>
                    <w:right w:w="28" w:type="dxa"/>
                  </w:tcMar>
                  <w:vAlign w:val="center"/>
                </w:tcPr>
                <w:p w14:paraId="62AF1994">
                  <w:pPr>
                    <w:spacing w:line="240" w:lineRule="exact"/>
                    <w:jc w:val="center"/>
                    <w:rPr>
                      <w:rFonts w:ascii="Times New Roman" w:hAnsi="Times New Roman" w:eastAsia="宋体" w:cs="Times New Roman"/>
                      <w:color w:val="auto"/>
                      <w:spacing w:val="0"/>
                      <w:position w:val="0"/>
                      <w:sz w:val="21"/>
                      <w:szCs w:val="21"/>
                      <w:highlight w:val="none"/>
                    </w:rPr>
                  </w:pPr>
                </w:p>
              </w:tc>
              <w:tc>
                <w:tcPr>
                  <w:tcW w:w="709" w:type="dxa"/>
                  <w:tcBorders>
                    <w:tl2br w:val="nil"/>
                    <w:tr2bl w:val="nil"/>
                  </w:tcBorders>
                  <w:noWrap w:val="0"/>
                  <w:tcMar>
                    <w:top w:w="0" w:type="dxa"/>
                    <w:left w:w="28" w:type="dxa"/>
                    <w:bottom w:w="0" w:type="dxa"/>
                    <w:right w:w="28" w:type="dxa"/>
                  </w:tcMar>
                  <w:vAlign w:val="center"/>
                </w:tcPr>
                <w:p w14:paraId="2BFE11B9">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676" w:type="dxa"/>
                  <w:tcBorders>
                    <w:tl2br w:val="nil"/>
                    <w:tr2bl w:val="nil"/>
                  </w:tcBorders>
                  <w:noWrap w:val="0"/>
                  <w:tcMar>
                    <w:top w:w="0" w:type="dxa"/>
                    <w:left w:w="28" w:type="dxa"/>
                    <w:bottom w:w="0" w:type="dxa"/>
                    <w:right w:w="28" w:type="dxa"/>
                  </w:tcMar>
                  <w:vAlign w:val="center"/>
                </w:tcPr>
                <w:p w14:paraId="451AFCB9">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765" w:type="dxa"/>
                  <w:tcBorders>
                    <w:tl2br w:val="nil"/>
                    <w:tr2bl w:val="nil"/>
                  </w:tcBorders>
                  <w:noWrap w:val="0"/>
                  <w:tcMar>
                    <w:top w:w="0" w:type="dxa"/>
                    <w:left w:w="28" w:type="dxa"/>
                    <w:bottom w:w="0" w:type="dxa"/>
                    <w:right w:w="28" w:type="dxa"/>
                  </w:tcMar>
                  <w:vAlign w:val="center"/>
                </w:tcPr>
                <w:p w14:paraId="35E371A3">
                  <w:pPr>
                    <w:pStyle w:val="107"/>
                    <w:ind w:firstLine="0" w:firstLineChars="0"/>
                    <w:rPr>
                      <w:rFonts w:hint="default" w:cs="Times New Roman"/>
                      <w:bCs/>
                      <w:color w:val="auto"/>
                      <w:spacing w:val="0"/>
                      <w:position w:val="0"/>
                      <w:sz w:val="21"/>
                      <w:szCs w:val="21"/>
                      <w:highlight w:val="none"/>
                      <w:lang w:val="en-US" w:eastAsia="zh-CN"/>
                    </w:rPr>
                  </w:pPr>
                </w:p>
              </w:tc>
              <w:tc>
                <w:tcPr>
                  <w:tcW w:w="767" w:type="dxa"/>
                  <w:tcBorders>
                    <w:tl2br w:val="nil"/>
                    <w:tr2bl w:val="nil"/>
                  </w:tcBorders>
                  <w:noWrap w:val="0"/>
                  <w:tcMar>
                    <w:top w:w="0" w:type="dxa"/>
                    <w:left w:w="28" w:type="dxa"/>
                    <w:bottom w:w="0" w:type="dxa"/>
                    <w:right w:w="28" w:type="dxa"/>
                  </w:tcMar>
                  <w:vAlign w:val="center"/>
                </w:tcPr>
                <w:p w14:paraId="2D324710">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1090" w:type="dxa"/>
                  <w:vMerge w:val="continue"/>
                  <w:tcBorders>
                    <w:tl2br w:val="nil"/>
                    <w:tr2bl w:val="nil"/>
                  </w:tcBorders>
                  <w:noWrap w:val="0"/>
                  <w:tcMar>
                    <w:top w:w="0" w:type="dxa"/>
                    <w:left w:w="28" w:type="dxa"/>
                    <w:bottom w:w="0" w:type="dxa"/>
                    <w:right w:w="28" w:type="dxa"/>
                  </w:tcMar>
                  <w:vAlign w:val="center"/>
                </w:tcPr>
                <w:p w14:paraId="2DF486E7">
                  <w:pPr>
                    <w:spacing w:line="240" w:lineRule="exact"/>
                    <w:jc w:val="center"/>
                    <w:rPr>
                      <w:rFonts w:hint="eastAsia" w:ascii="Times New Roman" w:hAnsi="Times New Roman" w:eastAsia="宋体" w:cs="Times New Roman"/>
                      <w:b w:val="0"/>
                      <w:bCs/>
                      <w:color w:val="auto"/>
                      <w:spacing w:val="0"/>
                      <w:position w:val="0"/>
                      <w:sz w:val="21"/>
                      <w:szCs w:val="21"/>
                      <w:highlight w:val="none"/>
                    </w:rPr>
                  </w:pPr>
                </w:p>
              </w:tc>
              <w:tc>
                <w:tcPr>
                  <w:tcW w:w="980" w:type="dxa"/>
                  <w:tcBorders>
                    <w:tl2br w:val="nil"/>
                    <w:tr2bl w:val="nil"/>
                  </w:tcBorders>
                  <w:noWrap w:val="0"/>
                  <w:tcMar>
                    <w:top w:w="0" w:type="dxa"/>
                    <w:left w:w="28" w:type="dxa"/>
                    <w:bottom w:w="0" w:type="dxa"/>
                    <w:right w:w="28" w:type="dxa"/>
                  </w:tcMar>
                  <w:vAlign w:val="center"/>
                </w:tcPr>
                <w:p w14:paraId="00483D3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bCs/>
                      <w:color w:val="auto"/>
                      <w:spacing w:val="0"/>
                      <w:position w:val="0"/>
                      <w:sz w:val="21"/>
                      <w:szCs w:val="21"/>
                      <w:highlight w:val="none"/>
                      <w:lang w:val="en-US" w:eastAsia="zh-CN"/>
                    </w:rPr>
                  </w:pPr>
                </w:p>
              </w:tc>
              <w:tc>
                <w:tcPr>
                  <w:tcW w:w="693" w:type="dxa"/>
                  <w:tcBorders>
                    <w:tl2br w:val="nil"/>
                    <w:tr2bl w:val="nil"/>
                  </w:tcBorders>
                  <w:noWrap w:val="0"/>
                  <w:tcMar>
                    <w:top w:w="0" w:type="dxa"/>
                    <w:left w:w="28" w:type="dxa"/>
                    <w:bottom w:w="0" w:type="dxa"/>
                    <w:right w:w="28" w:type="dxa"/>
                  </w:tcMar>
                  <w:vAlign w:val="center"/>
                </w:tcPr>
                <w:p w14:paraId="68EEC3C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cs="Times New Roman"/>
                      <w:color w:val="auto"/>
                      <w:spacing w:val="0"/>
                      <w:kern w:val="0"/>
                      <w:position w:val="0"/>
                      <w:sz w:val="21"/>
                      <w:szCs w:val="21"/>
                      <w:highlight w:val="none"/>
                      <w:lang w:val="en-US" w:eastAsia="zh-CN" w:bidi="ar"/>
                    </w:rPr>
                  </w:pPr>
                </w:p>
              </w:tc>
            </w:tr>
            <w:tr w14:paraId="25C16C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vMerge w:val="continue"/>
                  <w:tcBorders>
                    <w:tl2br w:val="nil"/>
                    <w:tr2bl w:val="nil"/>
                  </w:tcBorders>
                  <w:noWrap w:val="0"/>
                  <w:tcMar>
                    <w:top w:w="0" w:type="dxa"/>
                    <w:left w:w="28" w:type="dxa"/>
                    <w:bottom w:w="0" w:type="dxa"/>
                    <w:right w:w="28" w:type="dxa"/>
                  </w:tcMar>
                  <w:vAlign w:val="center"/>
                </w:tcPr>
                <w:p w14:paraId="040A3AE7">
                  <w:pPr>
                    <w:pStyle w:val="94"/>
                    <w:adjustRightInd w:val="0"/>
                    <w:snapToGrid w:val="0"/>
                    <w:ind w:left="-63" w:leftChars="-30" w:right="-63" w:rightChars="-30" w:firstLine="0" w:firstLineChars="0"/>
                    <w:jc w:val="center"/>
                    <w:rPr>
                      <w:rFonts w:hint="eastAsia" w:cs="Times New Roman"/>
                      <w:b w:val="0"/>
                      <w:bCs/>
                      <w:color w:val="auto"/>
                      <w:spacing w:val="0"/>
                      <w:sz w:val="21"/>
                      <w:szCs w:val="21"/>
                      <w:highlight w:val="none"/>
                      <w:lang w:val="en-US" w:eastAsia="zh-CN"/>
                    </w:rPr>
                  </w:pPr>
                </w:p>
              </w:tc>
              <w:tc>
                <w:tcPr>
                  <w:tcW w:w="1151" w:type="dxa"/>
                  <w:tcBorders>
                    <w:tl2br w:val="nil"/>
                    <w:tr2bl w:val="nil"/>
                  </w:tcBorders>
                  <w:noWrap w:val="0"/>
                  <w:tcMar>
                    <w:top w:w="0" w:type="dxa"/>
                    <w:left w:w="28" w:type="dxa"/>
                    <w:bottom w:w="0" w:type="dxa"/>
                    <w:right w:w="28" w:type="dxa"/>
                  </w:tcMar>
                  <w:vAlign w:val="center"/>
                </w:tcPr>
                <w:p w14:paraId="11D9AC2A">
                  <w:pPr>
                    <w:pStyle w:val="94"/>
                    <w:adjustRightInd w:val="0"/>
                    <w:snapToGrid w:val="0"/>
                    <w:ind w:left="-63" w:leftChars="-30" w:right="-63" w:rightChars="-30" w:firstLine="0" w:firstLineChars="0"/>
                    <w:rPr>
                      <w:rFonts w:hint="default" w:cs="Times New Roman"/>
                      <w:b w:val="0"/>
                      <w:bCs/>
                      <w:color w:val="auto"/>
                      <w:spacing w:val="0"/>
                      <w:sz w:val="21"/>
                      <w:szCs w:val="21"/>
                      <w:highlight w:val="none"/>
                      <w:lang w:val="en-US" w:eastAsia="zh-CN"/>
                    </w:rPr>
                  </w:pPr>
                  <w:r>
                    <w:rPr>
                      <w:rFonts w:hint="eastAsia" w:cs="Times New Roman"/>
                      <w:b w:val="0"/>
                      <w:bCs/>
                      <w:color w:val="auto"/>
                      <w:spacing w:val="0"/>
                      <w:sz w:val="21"/>
                      <w:szCs w:val="21"/>
                      <w:highlight w:val="none"/>
                      <w:lang w:val="en-US" w:eastAsia="zh-CN"/>
                    </w:rPr>
                    <w:t>废纱布</w:t>
                  </w:r>
                </w:p>
              </w:tc>
              <w:tc>
                <w:tcPr>
                  <w:tcW w:w="825" w:type="dxa"/>
                  <w:vMerge w:val="continue"/>
                  <w:tcBorders>
                    <w:tl2br w:val="nil"/>
                    <w:tr2bl w:val="nil"/>
                  </w:tcBorders>
                  <w:noWrap w:val="0"/>
                  <w:tcMar>
                    <w:top w:w="0" w:type="dxa"/>
                    <w:left w:w="28" w:type="dxa"/>
                    <w:bottom w:w="0" w:type="dxa"/>
                    <w:right w:w="28" w:type="dxa"/>
                  </w:tcMar>
                  <w:vAlign w:val="center"/>
                </w:tcPr>
                <w:p w14:paraId="0A996897">
                  <w:pPr>
                    <w:spacing w:line="240" w:lineRule="exact"/>
                    <w:jc w:val="center"/>
                    <w:rPr>
                      <w:rFonts w:hint="eastAsia" w:ascii="Times New Roman" w:hAnsi="Times New Roman" w:eastAsia="宋体" w:cs="Times New Roman"/>
                      <w:bCs/>
                      <w:color w:val="auto"/>
                      <w:spacing w:val="0"/>
                      <w:position w:val="0"/>
                      <w:sz w:val="21"/>
                      <w:szCs w:val="21"/>
                      <w:highlight w:val="none"/>
                    </w:rPr>
                  </w:pPr>
                </w:p>
              </w:tc>
              <w:tc>
                <w:tcPr>
                  <w:tcW w:w="953" w:type="dxa"/>
                  <w:tcBorders>
                    <w:tl2br w:val="nil"/>
                    <w:tr2bl w:val="nil"/>
                  </w:tcBorders>
                  <w:noWrap w:val="0"/>
                  <w:tcMar>
                    <w:top w:w="0" w:type="dxa"/>
                    <w:left w:w="28" w:type="dxa"/>
                    <w:bottom w:w="0" w:type="dxa"/>
                    <w:right w:w="28" w:type="dxa"/>
                  </w:tcMar>
                  <w:vAlign w:val="center"/>
                </w:tcPr>
                <w:p w14:paraId="515326FC">
                  <w:pPr>
                    <w:spacing w:line="240" w:lineRule="exact"/>
                    <w:jc w:val="center"/>
                    <w:rPr>
                      <w:rFonts w:hint="default" w:cs="Times New Roman"/>
                      <w:color w:val="auto"/>
                      <w:spacing w:val="0"/>
                      <w:position w:val="0"/>
                      <w:sz w:val="21"/>
                      <w:szCs w:val="21"/>
                      <w:highlight w:val="none"/>
                      <w:lang w:val="en-US" w:eastAsia="zh-CN"/>
                    </w:rPr>
                  </w:pPr>
                </w:p>
              </w:tc>
              <w:tc>
                <w:tcPr>
                  <w:tcW w:w="751" w:type="dxa"/>
                  <w:tcBorders>
                    <w:tl2br w:val="nil"/>
                    <w:tr2bl w:val="nil"/>
                  </w:tcBorders>
                  <w:noWrap w:val="0"/>
                  <w:tcMar>
                    <w:top w:w="0" w:type="dxa"/>
                    <w:left w:w="28" w:type="dxa"/>
                    <w:bottom w:w="0" w:type="dxa"/>
                    <w:right w:w="28" w:type="dxa"/>
                  </w:tcMar>
                  <w:vAlign w:val="center"/>
                </w:tcPr>
                <w:p w14:paraId="2356FBC3">
                  <w:pPr>
                    <w:spacing w:line="240" w:lineRule="exact"/>
                    <w:jc w:val="center"/>
                    <w:rPr>
                      <w:rFonts w:hint="eastAsia" w:cs="Times New Roman"/>
                      <w:color w:val="auto"/>
                      <w:spacing w:val="0"/>
                      <w:position w:val="0"/>
                      <w:sz w:val="21"/>
                      <w:szCs w:val="21"/>
                      <w:highlight w:val="none"/>
                      <w:lang w:val="en-US" w:eastAsia="zh-CN"/>
                    </w:rPr>
                  </w:pPr>
                </w:p>
              </w:tc>
              <w:tc>
                <w:tcPr>
                  <w:tcW w:w="783" w:type="dxa"/>
                  <w:tcBorders>
                    <w:tl2br w:val="nil"/>
                    <w:tr2bl w:val="nil"/>
                  </w:tcBorders>
                  <w:noWrap w:val="0"/>
                  <w:tcMar>
                    <w:top w:w="0" w:type="dxa"/>
                    <w:left w:w="28" w:type="dxa"/>
                    <w:bottom w:w="0" w:type="dxa"/>
                    <w:right w:w="28" w:type="dxa"/>
                  </w:tcMar>
                  <w:vAlign w:val="center"/>
                </w:tcPr>
                <w:p w14:paraId="750405AF">
                  <w:pPr>
                    <w:spacing w:line="240" w:lineRule="exact"/>
                    <w:jc w:val="center"/>
                    <w:rPr>
                      <w:rFonts w:hint="eastAsia" w:cs="Times New Roman"/>
                      <w:color w:val="auto"/>
                      <w:spacing w:val="0"/>
                      <w:position w:val="0"/>
                      <w:sz w:val="21"/>
                      <w:szCs w:val="21"/>
                      <w:highlight w:val="none"/>
                      <w:lang w:val="en-US" w:eastAsia="zh-CN"/>
                    </w:rPr>
                  </w:pPr>
                </w:p>
              </w:tc>
              <w:tc>
                <w:tcPr>
                  <w:tcW w:w="1386" w:type="dxa"/>
                  <w:tcBorders>
                    <w:tl2br w:val="nil"/>
                    <w:tr2bl w:val="nil"/>
                  </w:tcBorders>
                  <w:noWrap w:val="0"/>
                  <w:tcMar>
                    <w:top w:w="0" w:type="dxa"/>
                    <w:left w:w="28" w:type="dxa"/>
                    <w:bottom w:w="0" w:type="dxa"/>
                    <w:right w:w="28" w:type="dxa"/>
                  </w:tcMar>
                  <w:vAlign w:val="center"/>
                </w:tcPr>
                <w:p w14:paraId="2C26FF83">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1054" w:type="dxa"/>
                  <w:tcBorders>
                    <w:tl2br w:val="nil"/>
                    <w:tr2bl w:val="nil"/>
                  </w:tcBorders>
                  <w:noWrap w:val="0"/>
                  <w:tcMar>
                    <w:top w:w="0" w:type="dxa"/>
                    <w:left w:w="28" w:type="dxa"/>
                    <w:bottom w:w="0" w:type="dxa"/>
                    <w:right w:w="28" w:type="dxa"/>
                  </w:tcMar>
                  <w:vAlign w:val="center"/>
                </w:tcPr>
                <w:p w14:paraId="1AFF54B0">
                  <w:pPr>
                    <w:pStyle w:val="107"/>
                    <w:rPr>
                      <w:rFonts w:hint="default" w:cs="Times New Roman"/>
                      <w:bCs/>
                      <w:color w:val="auto"/>
                      <w:spacing w:val="0"/>
                      <w:position w:val="0"/>
                      <w:sz w:val="21"/>
                      <w:szCs w:val="21"/>
                      <w:highlight w:val="none"/>
                      <w:lang w:val="en-US" w:eastAsia="zh-CN"/>
                    </w:rPr>
                  </w:pPr>
                </w:p>
              </w:tc>
              <w:tc>
                <w:tcPr>
                  <w:tcW w:w="827" w:type="dxa"/>
                  <w:vMerge w:val="continue"/>
                  <w:tcBorders>
                    <w:tl2br w:val="nil"/>
                    <w:tr2bl w:val="nil"/>
                  </w:tcBorders>
                  <w:noWrap w:val="0"/>
                  <w:tcMar>
                    <w:top w:w="0" w:type="dxa"/>
                    <w:left w:w="28" w:type="dxa"/>
                    <w:bottom w:w="0" w:type="dxa"/>
                    <w:right w:w="28" w:type="dxa"/>
                  </w:tcMar>
                  <w:vAlign w:val="center"/>
                </w:tcPr>
                <w:p w14:paraId="1469F0E4">
                  <w:pPr>
                    <w:spacing w:line="240" w:lineRule="exact"/>
                    <w:jc w:val="center"/>
                    <w:rPr>
                      <w:rFonts w:ascii="Times New Roman" w:hAnsi="Times New Roman" w:eastAsia="宋体" w:cs="Times New Roman"/>
                      <w:color w:val="auto"/>
                      <w:spacing w:val="0"/>
                      <w:position w:val="0"/>
                      <w:sz w:val="21"/>
                      <w:szCs w:val="21"/>
                      <w:highlight w:val="none"/>
                    </w:rPr>
                  </w:pPr>
                </w:p>
              </w:tc>
              <w:tc>
                <w:tcPr>
                  <w:tcW w:w="709" w:type="dxa"/>
                  <w:tcBorders>
                    <w:tl2br w:val="nil"/>
                    <w:tr2bl w:val="nil"/>
                  </w:tcBorders>
                  <w:noWrap w:val="0"/>
                  <w:tcMar>
                    <w:top w:w="0" w:type="dxa"/>
                    <w:left w:w="28" w:type="dxa"/>
                    <w:bottom w:w="0" w:type="dxa"/>
                    <w:right w:w="28" w:type="dxa"/>
                  </w:tcMar>
                  <w:vAlign w:val="center"/>
                </w:tcPr>
                <w:p w14:paraId="4D761BDB">
                  <w:pPr>
                    <w:spacing w:line="240" w:lineRule="exact"/>
                    <w:jc w:val="center"/>
                    <w:rPr>
                      <w:rFonts w:hint="eastAsia" w:cs="Times New Roman"/>
                      <w:color w:val="auto"/>
                      <w:spacing w:val="0"/>
                      <w:position w:val="0"/>
                      <w:sz w:val="21"/>
                      <w:szCs w:val="21"/>
                      <w:highlight w:val="none"/>
                      <w:lang w:val="en-US" w:eastAsia="zh-CN"/>
                    </w:rPr>
                  </w:pPr>
                </w:p>
              </w:tc>
              <w:tc>
                <w:tcPr>
                  <w:tcW w:w="676" w:type="dxa"/>
                  <w:tcBorders>
                    <w:tl2br w:val="nil"/>
                    <w:tr2bl w:val="nil"/>
                  </w:tcBorders>
                  <w:noWrap w:val="0"/>
                  <w:tcMar>
                    <w:top w:w="0" w:type="dxa"/>
                    <w:left w:w="28" w:type="dxa"/>
                    <w:bottom w:w="0" w:type="dxa"/>
                    <w:right w:w="28" w:type="dxa"/>
                  </w:tcMar>
                  <w:vAlign w:val="center"/>
                </w:tcPr>
                <w:p w14:paraId="2AB897F3">
                  <w:pPr>
                    <w:spacing w:line="240" w:lineRule="exact"/>
                    <w:jc w:val="center"/>
                    <w:rPr>
                      <w:rFonts w:hint="eastAsia" w:cs="Times New Roman"/>
                      <w:color w:val="auto"/>
                      <w:spacing w:val="0"/>
                      <w:position w:val="0"/>
                      <w:sz w:val="21"/>
                      <w:szCs w:val="21"/>
                      <w:highlight w:val="none"/>
                      <w:lang w:val="en-US" w:eastAsia="zh-CN"/>
                    </w:rPr>
                  </w:pPr>
                </w:p>
              </w:tc>
              <w:tc>
                <w:tcPr>
                  <w:tcW w:w="765" w:type="dxa"/>
                  <w:tcBorders>
                    <w:tl2br w:val="nil"/>
                    <w:tr2bl w:val="nil"/>
                  </w:tcBorders>
                  <w:noWrap w:val="0"/>
                  <w:tcMar>
                    <w:top w:w="0" w:type="dxa"/>
                    <w:left w:w="28" w:type="dxa"/>
                    <w:bottom w:w="0" w:type="dxa"/>
                    <w:right w:w="28" w:type="dxa"/>
                  </w:tcMar>
                  <w:vAlign w:val="center"/>
                </w:tcPr>
                <w:p w14:paraId="7A1D425B">
                  <w:pPr>
                    <w:pStyle w:val="107"/>
                    <w:ind w:firstLine="0" w:firstLineChars="0"/>
                    <w:rPr>
                      <w:rFonts w:hint="default" w:cs="Times New Roman"/>
                      <w:bCs/>
                      <w:color w:val="auto"/>
                      <w:spacing w:val="0"/>
                      <w:position w:val="0"/>
                      <w:sz w:val="21"/>
                      <w:szCs w:val="21"/>
                      <w:highlight w:val="none"/>
                      <w:lang w:val="en-US" w:eastAsia="zh-CN"/>
                    </w:rPr>
                  </w:pPr>
                </w:p>
              </w:tc>
              <w:tc>
                <w:tcPr>
                  <w:tcW w:w="767" w:type="dxa"/>
                  <w:tcBorders>
                    <w:tl2br w:val="nil"/>
                    <w:tr2bl w:val="nil"/>
                  </w:tcBorders>
                  <w:noWrap w:val="0"/>
                  <w:tcMar>
                    <w:top w:w="0" w:type="dxa"/>
                    <w:left w:w="28" w:type="dxa"/>
                    <w:bottom w:w="0" w:type="dxa"/>
                    <w:right w:w="28" w:type="dxa"/>
                  </w:tcMar>
                  <w:vAlign w:val="center"/>
                </w:tcPr>
                <w:p w14:paraId="4667D3FA">
                  <w:pPr>
                    <w:spacing w:line="240" w:lineRule="exact"/>
                    <w:jc w:val="center"/>
                    <w:rPr>
                      <w:rFonts w:hint="eastAsia" w:cs="Times New Roman"/>
                      <w:color w:val="auto"/>
                      <w:spacing w:val="0"/>
                      <w:position w:val="0"/>
                      <w:sz w:val="21"/>
                      <w:szCs w:val="21"/>
                      <w:highlight w:val="none"/>
                      <w:lang w:val="en-US" w:eastAsia="zh-CN"/>
                    </w:rPr>
                  </w:pPr>
                </w:p>
              </w:tc>
              <w:tc>
                <w:tcPr>
                  <w:tcW w:w="1090" w:type="dxa"/>
                  <w:vMerge w:val="continue"/>
                  <w:tcBorders>
                    <w:tl2br w:val="nil"/>
                    <w:tr2bl w:val="nil"/>
                  </w:tcBorders>
                  <w:noWrap w:val="0"/>
                  <w:tcMar>
                    <w:top w:w="0" w:type="dxa"/>
                    <w:left w:w="28" w:type="dxa"/>
                    <w:bottom w:w="0" w:type="dxa"/>
                    <w:right w:w="28" w:type="dxa"/>
                  </w:tcMar>
                  <w:vAlign w:val="center"/>
                </w:tcPr>
                <w:p w14:paraId="6EDBDD66">
                  <w:pPr>
                    <w:spacing w:line="240" w:lineRule="exact"/>
                    <w:jc w:val="center"/>
                    <w:rPr>
                      <w:rFonts w:hint="eastAsia" w:ascii="Times New Roman" w:hAnsi="Times New Roman" w:eastAsia="宋体" w:cs="Times New Roman"/>
                      <w:b w:val="0"/>
                      <w:bCs/>
                      <w:color w:val="auto"/>
                      <w:spacing w:val="0"/>
                      <w:position w:val="0"/>
                      <w:sz w:val="21"/>
                      <w:szCs w:val="21"/>
                      <w:highlight w:val="none"/>
                    </w:rPr>
                  </w:pPr>
                </w:p>
              </w:tc>
              <w:tc>
                <w:tcPr>
                  <w:tcW w:w="980" w:type="dxa"/>
                  <w:tcBorders>
                    <w:tl2br w:val="nil"/>
                    <w:tr2bl w:val="nil"/>
                  </w:tcBorders>
                  <w:noWrap w:val="0"/>
                  <w:tcMar>
                    <w:top w:w="0" w:type="dxa"/>
                    <w:left w:w="28" w:type="dxa"/>
                    <w:bottom w:w="0" w:type="dxa"/>
                    <w:right w:w="28" w:type="dxa"/>
                  </w:tcMar>
                  <w:vAlign w:val="center"/>
                </w:tcPr>
                <w:p w14:paraId="74F006C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cs="Times New Roman"/>
                      <w:bCs/>
                      <w:color w:val="auto"/>
                      <w:spacing w:val="0"/>
                      <w:position w:val="0"/>
                      <w:sz w:val="21"/>
                      <w:szCs w:val="21"/>
                      <w:highlight w:val="none"/>
                      <w:lang w:val="en-US" w:eastAsia="zh-CN"/>
                    </w:rPr>
                  </w:pPr>
                </w:p>
              </w:tc>
              <w:tc>
                <w:tcPr>
                  <w:tcW w:w="693" w:type="dxa"/>
                  <w:tcBorders>
                    <w:tl2br w:val="nil"/>
                    <w:tr2bl w:val="nil"/>
                  </w:tcBorders>
                  <w:noWrap w:val="0"/>
                  <w:tcMar>
                    <w:top w:w="0" w:type="dxa"/>
                    <w:left w:w="28" w:type="dxa"/>
                    <w:bottom w:w="0" w:type="dxa"/>
                    <w:right w:w="28" w:type="dxa"/>
                  </w:tcMar>
                  <w:vAlign w:val="center"/>
                </w:tcPr>
                <w:p w14:paraId="363C3C6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cs="Times New Roman"/>
                      <w:color w:val="auto"/>
                      <w:spacing w:val="0"/>
                      <w:kern w:val="0"/>
                      <w:position w:val="0"/>
                      <w:sz w:val="21"/>
                      <w:szCs w:val="21"/>
                      <w:highlight w:val="none"/>
                      <w:lang w:val="en-US" w:eastAsia="zh-CN" w:bidi="ar"/>
                    </w:rPr>
                  </w:pPr>
                </w:p>
              </w:tc>
            </w:tr>
            <w:tr w14:paraId="3273EA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15" w:type="dxa"/>
                  <w:gridSpan w:val="15"/>
                  <w:tcBorders>
                    <w:tl2br w:val="nil"/>
                    <w:tr2bl w:val="nil"/>
                  </w:tcBorders>
                  <w:shd w:val="clear" w:color="auto" w:fill="auto"/>
                  <w:noWrap w:val="0"/>
                  <w:tcMar>
                    <w:top w:w="0" w:type="dxa"/>
                    <w:left w:w="28" w:type="dxa"/>
                    <w:bottom w:w="0" w:type="dxa"/>
                    <w:right w:w="28" w:type="dxa"/>
                  </w:tcMar>
                  <w:vAlign w:val="center"/>
                </w:tcPr>
                <w:p w14:paraId="6179B3A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bCs/>
                      <w:color w:val="auto"/>
                      <w:spacing w:val="0"/>
                      <w:position w:val="0"/>
                      <w:sz w:val="21"/>
                      <w:szCs w:val="21"/>
                      <w:highlight w:val="none"/>
                      <w:lang w:val="en-US" w:eastAsia="zh-CN"/>
                    </w:rPr>
                  </w:pPr>
                  <w:r>
                    <w:rPr>
                      <w:rFonts w:hint="eastAsia"/>
                      <w:b w:val="0"/>
                      <w:bCs w:val="0"/>
                      <w:color w:val="auto"/>
                      <w:kern w:val="21"/>
                      <w:sz w:val="21"/>
                      <w:szCs w:val="21"/>
                      <w:highlight w:val="none"/>
                      <w:lang w:val="en-US" w:eastAsia="zh-CN" w:bidi="ar"/>
                    </w:rPr>
                    <w:t>一般固废间</w:t>
                  </w:r>
                  <w:r>
                    <w:rPr>
                      <w:rFonts w:hint="eastAsia"/>
                      <w:b w:val="0"/>
                      <w:bCs w:val="0"/>
                      <w:color w:val="auto"/>
                      <w:kern w:val="21"/>
                      <w:sz w:val="21"/>
                      <w:szCs w:val="21"/>
                      <w:highlight w:val="none"/>
                      <w:lang w:bidi="ar"/>
                    </w:rPr>
                    <w:t>实际占地面积</w:t>
                  </w:r>
                </w:p>
              </w:tc>
              <w:tc>
                <w:tcPr>
                  <w:tcW w:w="693" w:type="dxa"/>
                  <w:tcBorders>
                    <w:tl2br w:val="nil"/>
                    <w:tr2bl w:val="nil"/>
                  </w:tcBorders>
                  <w:shd w:val="clear" w:color="auto" w:fill="auto"/>
                  <w:noWrap w:val="0"/>
                  <w:tcMar>
                    <w:top w:w="0" w:type="dxa"/>
                    <w:left w:w="28" w:type="dxa"/>
                    <w:bottom w:w="0" w:type="dxa"/>
                    <w:right w:w="28" w:type="dxa"/>
                  </w:tcMar>
                  <w:vAlign w:val="center"/>
                </w:tcPr>
                <w:p w14:paraId="2131B46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cs="Times New Roman"/>
                      <w:bCs/>
                      <w:color w:val="auto"/>
                      <w:spacing w:val="0"/>
                      <w:position w:val="0"/>
                      <w:sz w:val="21"/>
                      <w:szCs w:val="21"/>
                      <w:highlight w:val="none"/>
                      <w:lang w:val="en-US" w:eastAsia="zh-CN"/>
                    </w:rPr>
                  </w:pPr>
                </w:p>
              </w:tc>
            </w:tr>
            <w:tr w14:paraId="26A900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tcBorders>
                    <w:tl2br w:val="nil"/>
                    <w:tr2bl w:val="nil"/>
                  </w:tcBorders>
                  <w:noWrap w:val="0"/>
                  <w:tcMar>
                    <w:top w:w="0" w:type="dxa"/>
                    <w:left w:w="28" w:type="dxa"/>
                    <w:bottom w:w="0" w:type="dxa"/>
                    <w:right w:w="28" w:type="dxa"/>
                  </w:tcMar>
                  <w:vAlign w:val="center"/>
                </w:tcPr>
                <w:p w14:paraId="472F5FCE">
                  <w:pPr>
                    <w:spacing w:line="240" w:lineRule="exact"/>
                    <w:jc w:val="center"/>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cs="Times New Roman"/>
                      <w:b w:val="0"/>
                      <w:bCs/>
                      <w:color w:val="auto"/>
                      <w:spacing w:val="0"/>
                      <w:position w:val="0"/>
                      <w:sz w:val="21"/>
                      <w:szCs w:val="21"/>
                      <w:highlight w:val="none"/>
                      <w:lang w:val="en-US" w:eastAsia="zh-CN"/>
                    </w:rPr>
                    <w:t>喷漆</w:t>
                  </w:r>
                </w:p>
              </w:tc>
              <w:tc>
                <w:tcPr>
                  <w:tcW w:w="1151" w:type="dxa"/>
                  <w:tcBorders>
                    <w:tl2br w:val="nil"/>
                    <w:tr2bl w:val="nil"/>
                  </w:tcBorders>
                  <w:noWrap w:val="0"/>
                  <w:tcMar>
                    <w:top w:w="0" w:type="dxa"/>
                    <w:left w:w="28" w:type="dxa"/>
                    <w:bottom w:w="0" w:type="dxa"/>
                    <w:right w:w="28" w:type="dxa"/>
                  </w:tcMar>
                  <w:vAlign w:val="center"/>
                </w:tcPr>
                <w:p w14:paraId="1E77AD30">
                  <w:pPr>
                    <w:spacing w:line="240" w:lineRule="exact"/>
                    <w:jc w:val="center"/>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bCs/>
                      <w:color w:val="auto"/>
                      <w:spacing w:val="0"/>
                      <w:position w:val="0"/>
                      <w:sz w:val="21"/>
                      <w:szCs w:val="21"/>
                      <w:highlight w:val="none"/>
                      <w:lang w:val="en-US" w:eastAsia="zh-CN"/>
                    </w:rPr>
                    <w:t>漆渣</w:t>
                  </w:r>
                </w:p>
              </w:tc>
              <w:tc>
                <w:tcPr>
                  <w:tcW w:w="825" w:type="dxa"/>
                  <w:vMerge w:val="restart"/>
                  <w:tcBorders>
                    <w:tl2br w:val="nil"/>
                    <w:tr2bl w:val="nil"/>
                  </w:tcBorders>
                  <w:noWrap w:val="0"/>
                  <w:tcMar>
                    <w:top w:w="0" w:type="dxa"/>
                    <w:left w:w="28" w:type="dxa"/>
                    <w:bottom w:w="0" w:type="dxa"/>
                    <w:right w:w="28" w:type="dxa"/>
                  </w:tcMar>
                  <w:vAlign w:val="center"/>
                </w:tcPr>
                <w:p w14:paraId="04D84200">
                  <w:pPr>
                    <w:spacing w:line="240" w:lineRule="exact"/>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危险</w:t>
                  </w:r>
                </w:p>
                <w:p w14:paraId="7CF4DB99">
                  <w:pPr>
                    <w:spacing w:line="240" w:lineRule="exact"/>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废物</w:t>
                  </w:r>
                </w:p>
              </w:tc>
              <w:tc>
                <w:tcPr>
                  <w:tcW w:w="953" w:type="dxa"/>
                  <w:tcBorders>
                    <w:tl2br w:val="nil"/>
                    <w:tr2bl w:val="nil"/>
                  </w:tcBorders>
                  <w:shd w:val="clear" w:color="auto" w:fill="auto"/>
                  <w:noWrap w:val="0"/>
                  <w:tcMar>
                    <w:top w:w="0" w:type="dxa"/>
                    <w:left w:w="28" w:type="dxa"/>
                    <w:bottom w:w="0" w:type="dxa"/>
                    <w:right w:w="28" w:type="dxa"/>
                  </w:tcMar>
                  <w:vAlign w:val="center"/>
                </w:tcPr>
                <w:p w14:paraId="615A0AF8">
                  <w:pPr>
                    <w:spacing w:line="240" w:lineRule="exact"/>
                    <w:jc w:val="center"/>
                    <w:rPr>
                      <w:rFonts w:hint="eastAsia" w:ascii="Times New Roman" w:hAnsi="Times New Roman" w:eastAsia="宋体" w:cs="Times New Roman"/>
                      <w:color w:val="auto"/>
                      <w:spacing w:val="0"/>
                      <w:kern w:val="2"/>
                      <w:position w:val="0"/>
                      <w:sz w:val="21"/>
                      <w:szCs w:val="21"/>
                      <w:highlight w:val="none"/>
                      <w:lang w:val="en-US" w:eastAsia="zh-CN" w:bidi="ar-SA"/>
                    </w:rPr>
                  </w:pPr>
                </w:p>
              </w:tc>
              <w:tc>
                <w:tcPr>
                  <w:tcW w:w="751" w:type="dxa"/>
                  <w:tcBorders>
                    <w:tl2br w:val="nil"/>
                    <w:tr2bl w:val="nil"/>
                  </w:tcBorders>
                  <w:shd w:val="clear" w:color="auto" w:fill="auto"/>
                  <w:noWrap w:val="0"/>
                  <w:tcMar>
                    <w:top w:w="0" w:type="dxa"/>
                    <w:left w:w="28" w:type="dxa"/>
                    <w:bottom w:w="0" w:type="dxa"/>
                    <w:right w:w="28" w:type="dxa"/>
                  </w:tcMar>
                  <w:vAlign w:val="center"/>
                </w:tcPr>
                <w:p w14:paraId="60629651">
                  <w:pPr>
                    <w:spacing w:line="240" w:lineRule="exact"/>
                    <w:jc w:val="center"/>
                    <w:rPr>
                      <w:rFonts w:ascii="Times New Roman" w:hAnsi="Times New Roman" w:eastAsia="宋体" w:cs="Times New Roman"/>
                      <w:color w:val="auto"/>
                      <w:spacing w:val="0"/>
                      <w:kern w:val="2"/>
                      <w:position w:val="0"/>
                      <w:sz w:val="21"/>
                      <w:szCs w:val="21"/>
                      <w:highlight w:val="none"/>
                      <w:lang w:val="en-US" w:eastAsia="zh-CN" w:bidi="ar-SA"/>
                    </w:rPr>
                  </w:pPr>
                </w:p>
              </w:tc>
              <w:tc>
                <w:tcPr>
                  <w:tcW w:w="783" w:type="dxa"/>
                  <w:tcBorders>
                    <w:tl2br w:val="nil"/>
                    <w:tr2bl w:val="nil"/>
                  </w:tcBorders>
                  <w:shd w:val="clear" w:color="auto" w:fill="auto"/>
                  <w:noWrap w:val="0"/>
                  <w:tcMar>
                    <w:top w:w="0" w:type="dxa"/>
                    <w:left w:w="28" w:type="dxa"/>
                    <w:bottom w:w="0" w:type="dxa"/>
                    <w:right w:w="28" w:type="dxa"/>
                  </w:tcMar>
                  <w:vAlign w:val="center"/>
                </w:tcPr>
                <w:p w14:paraId="09AB4E7D">
                  <w:pPr>
                    <w:spacing w:line="240" w:lineRule="exact"/>
                    <w:jc w:val="center"/>
                    <w:rPr>
                      <w:rFonts w:hint="eastAsia" w:ascii="Times New Roman" w:hAnsi="Times New Roman" w:eastAsia="宋体" w:cs="Times New Roman"/>
                      <w:bCs/>
                      <w:color w:val="auto"/>
                      <w:spacing w:val="0"/>
                      <w:kern w:val="2"/>
                      <w:position w:val="0"/>
                      <w:sz w:val="21"/>
                      <w:szCs w:val="21"/>
                      <w:highlight w:val="none"/>
                      <w:lang w:val="en-US" w:eastAsia="zh-CN" w:bidi="ar-SA"/>
                    </w:rPr>
                  </w:pPr>
                </w:p>
              </w:tc>
              <w:tc>
                <w:tcPr>
                  <w:tcW w:w="1386" w:type="dxa"/>
                  <w:tcBorders>
                    <w:tl2br w:val="nil"/>
                    <w:tr2bl w:val="nil"/>
                  </w:tcBorders>
                  <w:shd w:val="clear" w:color="auto" w:fill="auto"/>
                  <w:noWrap w:val="0"/>
                  <w:tcMar>
                    <w:top w:w="0" w:type="dxa"/>
                    <w:left w:w="28" w:type="dxa"/>
                    <w:bottom w:w="0" w:type="dxa"/>
                    <w:right w:w="28" w:type="dxa"/>
                  </w:tcMar>
                  <w:vAlign w:val="center"/>
                </w:tcPr>
                <w:p w14:paraId="4593BFE4">
                  <w:pPr>
                    <w:spacing w:line="240" w:lineRule="exact"/>
                    <w:jc w:val="center"/>
                    <w:rPr>
                      <w:rFonts w:hint="default" w:ascii="Times New Roman" w:hAnsi="Times New Roman" w:eastAsia="宋体" w:cs="Times New Roman"/>
                      <w:bCs/>
                      <w:color w:val="auto"/>
                      <w:spacing w:val="0"/>
                      <w:kern w:val="2"/>
                      <w:position w:val="0"/>
                      <w:sz w:val="21"/>
                      <w:szCs w:val="21"/>
                      <w:highlight w:val="none"/>
                      <w:lang w:val="en-US" w:eastAsia="zh-CN" w:bidi="ar-SA"/>
                    </w:rPr>
                  </w:pPr>
                </w:p>
              </w:tc>
              <w:tc>
                <w:tcPr>
                  <w:tcW w:w="1054" w:type="dxa"/>
                  <w:tcBorders>
                    <w:tl2br w:val="nil"/>
                    <w:tr2bl w:val="nil"/>
                  </w:tcBorders>
                  <w:noWrap w:val="0"/>
                  <w:tcMar>
                    <w:top w:w="0" w:type="dxa"/>
                    <w:left w:w="28" w:type="dxa"/>
                    <w:bottom w:w="0" w:type="dxa"/>
                    <w:right w:w="28" w:type="dxa"/>
                  </w:tcMar>
                  <w:vAlign w:val="center"/>
                </w:tcPr>
                <w:p w14:paraId="27E13362">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827" w:type="dxa"/>
                  <w:tcBorders>
                    <w:tl2br w:val="nil"/>
                    <w:tr2bl w:val="nil"/>
                  </w:tcBorders>
                  <w:noWrap w:val="0"/>
                  <w:tcMar>
                    <w:top w:w="0" w:type="dxa"/>
                    <w:left w:w="28" w:type="dxa"/>
                    <w:bottom w:w="0" w:type="dxa"/>
                    <w:right w:w="28" w:type="dxa"/>
                  </w:tcMar>
                  <w:vAlign w:val="center"/>
                </w:tcPr>
                <w:p w14:paraId="5098160A">
                  <w:pPr>
                    <w:spacing w:line="240" w:lineRule="exact"/>
                    <w:jc w:val="center"/>
                    <w:rPr>
                      <w:rFonts w:ascii="Times New Roman" w:hAnsi="Times New Roman" w:eastAsia="宋体" w:cs="Times New Roman"/>
                      <w:color w:val="auto"/>
                      <w:spacing w:val="0"/>
                      <w:position w:val="0"/>
                      <w:sz w:val="21"/>
                      <w:szCs w:val="21"/>
                      <w:highlight w:val="none"/>
                    </w:rPr>
                  </w:pPr>
                </w:p>
              </w:tc>
              <w:tc>
                <w:tcPr>
                  <w:tcW w:w="709" w:type="dxa"/>
                  <w:tcBorders>
                    <w:tl2br w:val="nil"/>
                    <w:tr2bl w:val="nil"/>
                  </w:tcBorders>
                  <w:noWrap w:val="0"/>
                  <w:tcMar>
                    <w:top w:w="0" w:type="dxa"/>
                    <w:left w:w="28" w:type="dxa"/>
                    <w:bottom w:w="0" w:type="dxa"/>
                    <w:right w:w="28" w:type="dxa"/>
                  </w:tcMar>
                  <w:vAlign w:val="center"/>
                </w:tcPr>
                <w:p w14:paraId="0DA26C04">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676" w:type="dxa"/>
                  <w:tcBorders>
                    <w:tl2br w:val="nil"/>
                    <w:tr2bl w:val="nil"/>
                  </w:tcBorders>
                  <w:noWrap w:val="0"/>
                  <w:tcMar>
                    <w:top w:w="0" w:type="dxa"/>
                    <w:left w:w="28" w:type="dxa"/>
                    <w:bottom w:w="0" w:type="dxa"/>
                    <w:right w:w="28" w:type="dxa"/>
                  </w:tcMar>
                  <w:vAlign w:val="center"/>
                </w:tcPr>
                <w:p w14:paraId="234C3AA4">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65" w:type="dxa"/>
                  <w:tcBorders>
                    <w:tl2br w:val="nil"/>
                    <w:tr2bl w:val="nil"/>
                  </w:tcBorders>
                  <w:noWrap w:val="0"/>
                  <w:tcMar>
                    <w:top w:w="0" w:type="dxa"/>
                    <w:left w:w="28" w:type="dxa"/>
                    <w:bottom w:w="0" w:type="dxa"/>
                    <w:right w:w="28" w:type="dxa"/>
                  </w:tcMar>
                  <w:vAlign w:val="center"/>
                </w:tcPr>
                <w:p w14:paraId="6BD4F916">
                  <w:pPr>
                    <w:spacing w:line="240" w:lineRule="exact"/>
                    <w:jc w:val="center"/>
                    <w:rPr>
                      <w:rFonts w:hint="default" w:ascii="Times New Roman" w:hAnsi="Times New Roman" w:eastAsia="宋体" w:cs="Times New Roman"/>
                      <w:color w:val="auto"/>
                      <w:spacing w:val="0"/>
                      <w:position w:val="0"/>
                      <w:sz w:val="21"/>
                      <w:szCs w:val="21"/>
                      <w:highlight w:val="none"/>
                      <w:lang w:val="en-US"/>
                    </w:rPr>
                  </w:pPr>
                </w:p>
              </w:tc>
              <w:tc>
                <w:tcPr>
                  <w:tcW w:w="767" w:type="dxa"/>
                  <w:tcBorders>
                    <w:tl2br w:val="nil"/>
                    <w:tr2bl w:val="nil"/>
                  </w:tcBorders>
                  <w:noWrap w:val="0"/>
                  <w:tcMar>
                    <w:top w:w="0" w:type="dxa"/>
                    <w:left w:w="28" w:type="dxa"/>
                    <w:bottom w:w="0" w:type="dxa"/>
                    <w:right w:w="28" w:type="dxa"/>
                  </w:tcMar>
                  <w:vAlign w:val="center"/>
                </w:tcPr>
                <w:p w14:paraId="0F139CCD">
                  <w:pPr>
                    <w:spacing w:line="240" w:lineRule="exact"/>
                    <w:jc w:val="center"/>
                    <w:rPr>
                      <w:rFonts w:hint="default" w:ascii="Times New Roman" w:hAnsi="Times New Roman" w:eastAsia="宋体" w:cs="Times New Roman"/>
                      <w:color w:val="auto"/>
                      <w:spacing w:val="0"/>
                      <w:position w:val="0"/>
                      <w:sz w:val="21"/>
                      <w:szCs w:val="21"/>
                      <w:highlight w:val="none"/>
                      <w:lang w:val="en-US"/>
                    </w:rPr>
                  </w:pPr>
                </w:p>
              </w:tc>
              <w:tc>
                <w:tcPr>
                  <w:tcW w:w="1090" w:type="dxa"/>
                  <w:vMerge w:val="restart"/>
                  <w:tcBorders>
                    <w:tl2br w:val="nil"/>
                    <w:tr2bl w:val="nil"/>
                  </w:tcBorders>
                  <w:noWrap w:val="0"/>
                  <w:tcMar>
                    <w:top w:w="0" w:type="dxa"/>
                    <w:left w:w="28" w:type="dxa"/>
                    <w:bottom w:w="0" w:type="dxa"/>
                    <w:right w:w="28" w:type="dxa"/>
                  </w:tcMar>
                  <w:vAlign w:val="center"/>
                </w:tcPr>
                <w:p w14:paraId="2B5C6FF8">
                  <w:pPr>
                    <w:spacing w:line="240" w:lineRule="exact"/>
                    <w:jc w:val="center"/>
                    <w:rPr>
                      <w:rFonts w:ascii="Times New Roman" w:hAnsi="Times New Roman" w:eastAsia="宋体" w:cs="Times New Roman"/>
                      <w:color w:val="auto"/>
                      <w:spacing w:val="0"/>
                      <w:position w:val="0"/>
                      <w:sz w:val="21"/>
                      <w:szCs w:val="21"/>
                      <w:highlight w:val="none"/>
                    </w:rPr>
                  </w:pPr>
                </w:p>
              </w:tc>
              <w:tc>
                <w:tcPr>
                  <w:tcW w:w="980" w:type="dxa"/>
                  <w:tcBorders>
                    <w:tl2br w:val="nil"/>
                    <w:tr2bl w:val="nil"/>
                  </w:tcBorders>
                  <w:noWrap w:val="0"/>
                  <w:tcMar>
                    <w:top w:w="0" w:type="dxa"/>
                    <w:left w:w="28" w:type="dxa"/>
                    <w:bottom w:w="0" w:type="dxa"/>
                    <w:right w:w="28" w:type="dxa"/>
                  </w:tcMar>
                  <w:vAlign w:val="center"/>
                </w:tcPr>
                <w:p w14:paraId="01396A88">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693" w:type="dxa"/>
                  <w:tcBorders>
                    <w:tl2br w:val="nil"/>
                    <w:tr2bl w:val="nil"/>
                  </w:tcBorders>
                  <w:noWrap w:val="0"/>
                  <w:tcMar>
                    <w:top w:w="0" w:type="dxa"/>
                    <w:left w:w="28" w:type="dxa"/>
                    <w:bottom w:w="0" w:type="dxa"/>
                    <w:right w:w="28" w:type="dxa"/>
                  </w:tcMar>
                  <w:vAlign w:val="center"/>
                </w:tcPr>
                <w:p w14:paraId="53C9CBC0">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bCs/>
                      <w:color w:val="auto"/>
                      <w:spacing w:val="0"/>
                      <w:position w:val="0"/>
                      <w:sz w:val="21"/>
                      <w:szCs w:val="21"/>
                      <w:highlight w:val="none"/>
                      <w:lang w:val="en-US" w:eastAsia="zh-CN"/>
                    </w:rPr>
                  </w:pPr>
                </w:p>
              </w:tc>
            </w:tr>
            <w:tr w14:paraId="4A6665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vMerge w:val="restart"/>
                  <w:tcBorders>
                    <w:tl2br w:val="nil"/>
                    <w:tr2bl w:val="nil"/>
                  </w:tcBorders>
                  <w:shd w:val="clear" w:color="auto" w:fill="auto"/>
                  <w:noWrap w:val="0"/>
                  <w:tcMar>
                    <w:top w:w="0" w:type="dxa"/>
                    <w:left w:w="28" w:type="dxa"/>
                    <w:bottom w:w="0" w:type="dxa"/>
                    <w:right w:w="28" w:type="dxa"/>
                  </w:tcMar>
                  <w:vAlign w:val="center"/>
                </w:tcPr>
                <w:p w14:paraId="47AEEF94">
                  <w:pPr>
                    <w:pStyle w:val="107"/>
                    <w:ind w:firstLine="0" w:firstLineChars="0"/>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cs="Times New Roman"/>
                      <w:b w:val="0"/>
                      <w:bCs/>
                      <w:color w:val="auto"/>
                      <w:spacing w:val="0"/>
                      <w:position w:val="0"/>
                      <w:sz w:val="21"/>
                      <w:szCs w:val="21"/>
                      <w:highlight w:val="none"/>
                      <w:lang w:val="en-US" w:eastAsia="zh-CN"/>
                    </w:rPr>
                    <w:t>废气处理</w:t>
                  </w:r>
                </w:p>
              </w:tc>
              <w:tc>
                <w:tcPr>
                  <w:tcW w:w="1151" w:type="dxa"/>
                  <w:tcBorders>
                    <w:tl2br w:val="nil"/>
                    <w:tr2bl w:val="nil"/>
                  </w:tcBorders>
                  <w:shd w:val="clear" w:color="auto" w:fill="auto"/>
                  <w:noWrap w:val="0"/>
                  <w:tcMar>
                    <w:top w:w="0" w:type="dxa"/>
                    <w:left w:w="28" w:type="dxa"/>
                    <w:bottom w:w="0" w:type="dxa"/>
                    <w:right w:w="28" w:type="dxa"/>
                  </w:tcMar>
                  <w:vAlign w:val="center"/>
                </w:tcPr>
                <w:p w14:paraId="61CEE5D6">
                  <w:pPr>
                    <w:pStyle w:val="107"/>
                    <w:ind w:firstLine="0" w:firstLineChars="0"/>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bCs/>
                      <w:color w:val="auto"/>
                      <w:spacing w:val="0"/>
                      <w:kern w:val="2"/>
                      <w:position w:val="0"/>
                      <w:sz w:val="21"/>
                      <w:szCs w:val="21"/>
                      <w:highlight w:val="none"/>
                      <w:lang w:val="en-US" w:eastAsia="zh-CN" w:bidi="ar-SA"/>
                    </w:rPr>
                    <w:t>废活性炭</w:t>
                  </w:r>
                </w:p>
              </w:tc>
              <w:tc>
                <w:tcPr>
                  <w:tcW w:w="825" w:type="dxa"/>
                  <w:vMerge w:val="continue"/>
                  <w:tcBorders>
                    <w:tl2br w:val="nil"/>
                    <w:tr2bl w:val="nil"/>
                  </w:tcBorders>
                  <w:noWrap w:val="0"/>
                  <w:tcMar>
                    <w:top w:w="0" w:type="dxa"/>
                    <w:left w:w="28" w:type="dxa"/>
                    <w:bottom w:w="0" w:type="dxa"/>
                    <w:right w:w="28" w:type="dxa"/>
                  </w:tcMar>
                  <w:vAlign w:val="center"/>
                </w:tcPr>
                <w:p w14:paraId="0015D11E">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953" w:type="dxa"/>
                  <w:tcBorders>
                    <w:tl2br w:val="nil"/>
                    <w:tr2bl w:val="nil"/>
                  </w:tcBorders>
                  <w:shd w:val="clear" w:color="auto" w:fill="auto"/>
                  <w:noWrap w:val="0"/>
                  <w:tcMar>
                    <w:top w:w="0" w:type="dxa"/>
                    <w:left w:w="28" w:type="dxa"/>
                    <w:bottom w:w="0" w:type="dxa"/>
                    <w:right w:w="28" w:type="dxa"/>
                  </w:tcMar>
                  <w:vAlign w:val="center"/>
                </w:tcPr>
                <w:p w14:paraId="34E8825A">
                  <w:pPr>
                    <w:spacing w:line="240" w:lineRule="exact"/>
                    <w:jc w:val="center"/>
                    <w:rPr>
                      <w:rFonts w:hint="eastAsia" w:ascii="Times New Roman" w:hAnsi="Times New Roman" w:eastAsia="宋体" w:cs="Times New Roman"/>
                      <w:color w:val="auto"/>
                      <w:spacing w:val="0"/>
                      <w:kern w:val="2"/>
                      <w:position w:val="0"/>
                      <w:sz w:val="21"/>
                      <w:szCs w:val="21"/>
                      <w:highlight w:val="none"/>
                      <w:lang w:val="en-US" w:eastAsia="zh-CN" w:bidi="ar-SA"/>
                    </w:rPr>
                  </w:pPr>
                </w:p>
              </w:tc>
              <w:tc>
                <w:tcPr>
                  <w:tcW w:w="751" w:type="dxa"/>
                  <w:tcBorders>
                    <w:tl2br w:val="nil"/>
                    <w:tr2bl w:val="nil"/>
                  </w:tcBorders>
                  <w:shd w:val="clear" w:color="auto" w:fill="auto"/>
                  <w:noWrap w:val="0"/>
                  <w:tcMar>
                    <w:top w:w="0" w:type="dxa"/>
                    <w:left w:w="28" w:type="dxa"/>
                    <w:bottom w:w="0" w:type="dxa"/>
                    <w:right w:w="28" w:type="dxa"/>
                  </w:tcMar>
                  <w:vAlign w:val="center"/>
                </w:tcPr>
                <w:p w14:paraId="3181C9E9">
                  <w:pPr>
                    <w:spacing w:line="240" w:lineRule="exact"/>
                    <w:jc w:val="center"/>
                    <w:rPr>
                      <w:rFonts w:hint="eastAsia" w:ascii="Times New Roman" w:hAnsi="Times New Roman" w:eastAsia="宋体" w:cs="Times New Roman"/>
                      <w:color w:val="auto"/>
                      <w:spacing w:val="0"/>
                      <w:kern w:val="2"/>
                      <w:position w:val="0"/>
                      <w:sz w:val="21"/>
                      <w:szCs w:val="21"/>
                      <w:highlight w:val="none"/>
                      <w:lang w:val="en-US" w:eastAsia="zh-CN" w:bidi="ar-SA"/>
                    </w:rPr>
                  </w:pPr>
                </w:p>
              </w:tc>
              <w:tc>
                <w:tcPr>
                  <w:tcW w:w="783" w:type="dxa"/>
                  <w:tcBorders>
                    <w:tl2br w:val="nil"/>
                    <w:tr2bl w:val="nil"/>
                  </w:tcBorders>
                  <w:shd w:val="clear" w:color="auto" w:fill="auto"/>
                  <w:noWrap w:val="0"/>
                  <w:tcMar>
                    <w:top w:w="0" w:type="dxa"/>
                    <w:left w:w="28" w:type="dxa"/>
                    <w:bottom w:w="0" w:type="dxa"/>
                    <w:right w:w="28" w:type="dxa"/>
                  </w:tcMar>
                  <w:vAlign w:val="center"/>
                </w:tcPr>
                <w:p w14:paraId="06522445">
                  <w:pPr>
                    <w:spacing w:line="240" w:lineRule="exact"/>
                    <w:jc w:val="center"/>
                    <w:rPr>
                      <w:rFonts w:hint="eastAsia" w:ascii="Times New Roman" w:hAnsi="Times New Roman" w:eastAsia="宋体" w:cs="Times New Roman"/>
                      <w:color w:val="auto"/>
                      <w:spacing w:val="0"/>
                      <w:kern w:val="2"/>
                      <w:position w:val="0"/>
                      <w:sz w:val="21"/>
                      <w:szCs w:val="21"/>
                      <w:highlight w:val="none"/>
                      <w:lang w:val="en-US" w:eastAsia="zh-CN" w:bidi="ar-SA"/>
                    </w:rPr>
                  </w:pPr>
                </w:p>
              </w:tc>
              <w:tc>
                <w:tcPr>
                  <w:tcW w:w="1386" w:type="dxa"/>
                  <w:tcBorders>
                    <w:tl2br w:val="nil"/>
                    <w:tr2bl w:val="nil"/>
                  </w:tcBorders>
                  <w:shd w:val="clear" w:color="auto" w:fill="auto"/>
                  <w:noWrap w:val="0"/>
                  <w:tcMar>
                    <w:top w:w="0" w:type="dxa"/>
                    <w:left w:w="28" w:type="dxa"/>
                    <w:bottom w:w="0" w:type="dxa"/>
                    <w:right w:w="28" w:type="dxa"/>
                  </w:tcMar>
                  <w:vAlign w:val="center"/>
                </w:tcPr>
                <w:p w14:paraId="43518B3C">
                  <w:pPr>
                    <w:spacing w:line="240" w:lineRule="exact"/>
                    <w:jc w:val="center"/>
                    <w:rPr>
                      <w:rFonts w:hint="eastAsia" w:ascii="Times New Roman" w:hAnsi="Times New Roman" w:eastAsia="宋体" w:cs="Times New Roman"/>
                      <w:bCs/>
                      <w:color w:val="auto"/>
                      <w:spacing w:val="0"/>
                      <w:kern w:val="2"/>
                      <w:position w:val="0"/>
                      <w:sz w:val="21"/>
                      <w:szCs w:val="21"/>
                      <w:highlight w:val="none"/>
                      <w:lang w:val="en-US" w:eastAsia="zh-CN" w:bidi="ar-SA"/>
                    </w:rPr>
                  </w:pPr>
                </w:p>
              </w:tc>
              <w:tc>
                <w:tcPr>
                  <w:tcW w:w="1054" w:type="dxa"/>
                  <w:tcBorders>
                    <w:tl2br w:val="nil"/>
                    <w:tr2bl w:val="nil"/>
                  </w:tcBorders>
                  <w:noWrap w:val="0"/>
                  <w:tcMar>
                    <w:top w:w="0" w:type="dxa"/>
                    <w:left w:w="28" w:type="dxa"/>
                    <w:bottom w:w="0" w:type="dxa"/>
                    <w:right w:w="28" w:type="dxa"/>
                  </w:tcMar>
                  <w:vAlign w:val="center"/>
                </w:tcPr>
                <w:p w14:paraId="0288859F">
                  <w:pPr>
                    <w:spacing w:line="240" w:lineRule="exact"/>
                    <w:jc w:val="center"/>
                    <w:rPr>
                      <w:rFonts w:hint="default" w:cs="Times New Roman"/>
                      <w:color w:val="auto"/>
                      <w:spacing w:val="0"/>
                      <w:kern w:val="2"/>
                      <w:position w:val="0"/>
                      <w:sz w:val="21"/>
                      <w:szCs w:val="21"/>
                      <w:highlight w:val="none"/>
                      <w:lang w:val="en-US" w:eastAsia="zh-CN" w:bidi="ar-SA"/>
                    </w:rPr>
                  </w:pPr>
                </w:p>
              </w:tc>
              <w:tc>
                <w:tcPr>
                  <w:tcW w:w="827" w:type="dxa"/>
                  <w:vMerge w:val="restart"/>
                  <w:tcBorders>
                    <w:tl2br w:val="nil"/>
                    <w:tr2bl w:val="nil"/>
                  </w:tcBorders>
                  <w:noWrap w:val="0"/>
                  <w:tcMar>
                    <w:top w:w="0" w:type="dxa"/>
                    <w:left w:w="28" w:type="dxa"/>
                    <w:bottom w:w="0" w:type="dxa"/>
                    <w:right w:w="28" w:type="dxa"/>
                  </w:tcMar>
                  <w:vAlign w:val="center"/>
                </w:tcPr>
                <w:p w14:paraId="01EBC66F">
                  <w:pPr>
                    <w:spacing w:line="240" w:lineRule="exact"/>
                    <w:jc w:val="center"/>
                    <w:rPr>
                      <w:rFonts w:ascii="Times New Roman" w:hAnsi="Times New Roman" w:eastAsia="宋体" w:cs="Times New Roman"/>
                      <w:color w:val="auto"/>
                      <w:spacing w:val="0"/>
                      <w:position w:val="0"/>
                      <w:sz w:val="21"/>
                      <w:szCs w:val="21"/>
                      <w:highlight w:val="none"/>
                    </w:rPr>
                  </w:pPr>
                </w:p>
              </w:tc>
              <w:tc>
                <w:tcPr>
                  <w:tcW w:w="709" w:type="dxa"/>
                  <w:tcBorders>
                    <w:tl2br w:val="nil"/>
                    <w:tr2bl w:val="nil"/>
                  </w:tcBorders>
                  <w:noWrap w:val="0"/>
                  <w:tcMar>
                    <w:top w:w="0" w:type="dxa"/>
                    <w:left w:w="28" w:type="dxa"/>
                    <w:bottom w:w="0" w:type="dxa"/>
                    <w:right w:w="28" w:type="dxa"/>
                  </w:tcMar>
                  <w:vAlign w:val="center"/>
                </w:tcPr>
                <w:p w14:paraId="394EF564">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676" w:type="dxa"/>
                  <w:tcBorders>
                    <w:tl2br w:val="nil"/>
                    <w:tr2bl w:val="nil"/>
                  </w:tcBorders>
                  <w:noWrap w:val="0"/>
                  <w:tcMar>
                    <w:top w:w="0" w:type="dxa"/>
                    <w:left w:w="28" w:type="dxa"/>
                    <w:bottom w:w="0" w:type="dxa"/>
                    <w:right w:w="28" w:type="dxa"/>
                  </w:tcMar>
                  <w:vAlign w:val="center"/>
                </w:tcPr>
                <w:p w14:paraId="1E2F2EF1">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65" w:type="dxa"/>
                  <w:tcBorders>
                    <w:tl2br w:val="nil"/>
                    <w:tr2bl w:val="nil"/>
                  </w:tcBorders>
                  <w:noWrap w:val="0"/>
                  <w:tcMar>
                    <w:top w:w="0" w:type="dxa"/>
                    <w:left w:w="28" w:type="dxa"/>
                    <w:bottom w:w="0" w:type="dxa"/>
                    <w:right w:w="28" w:type="dxa"/>
                  </w:tcMar>
                  <w:vAlign w:val="center"/>
                </w:tcPr>
                <w:p w14:paraId="45B13B1B">
                  <w:pPr>
                    <w:spacing w:line="240" w:lineRule="exact"/>
                    <w:jc w:val="center"/>
                    <w:rPr>
                      <w:rFonts w:hint="eastAsia" w:cs="Times New Roman"/>
                      <w:color w:val="auto"/>
                      <w:spacing w:val="0"/>
                      <w:kern w:val="2"/>
                      <w:position w:val="0"/>
                      <w:sz w:val="21"/>
                      <w:szCs w:val="21"/>
                      <w:highlight w:val="none"/>
                      <w:lang w:val="en-US" w:eastAsia="zh-CN" w:bidi="ar-SA"/>
                    </w:rPr>
                  </w:pPr>
                </w:p>
              </w:tc>
              <w:tc>
                <w:tcPr>
                  <w:tcW w:w="767" w:type="dxa"/>
                  <w:tcBorders>
                    <w:tl2br w:val="nil"/>
                    <w:tr2bl w:val="nil"/>
                  </w:tcBorders>
                  <w:noWrap w:val="0"/>
                  <w:tcMar>
                    <w:top w:w="0" w:type="dxa"/>
                    <w:left w:w="28" w:type="dxa"/>
                    <w:bottom w:w="0" w:type="dxa"/>
                    <w:right w:w="28" w:type="dxa"/>
                  </w:tcMar>
                  <w:vAlign w:val="center"/>
                </w:tcPr>
                <w:p w14:paraId="073757CA">
                  <w:pPr>
                    <w:spacing w:line="240" w:lineRule="exact"/>
                    <w:jc w:val="center"/>
                    <w:rPr>
                      <w:rFonts w:hint="default" w:ascii="Times New Roman" w:hAnsi="Times New Roman" w:eastAsia="宋体" w:cs="Times New Roman"/>
                      <w:color w:val="auto"/>
                      <w:spacing w:val="0"/>
                      <w:position w:val="0"/>
                      <w:sz w:val="21"/>
                      <w:szCs w:val="21"/>
                      <w:highlight w:val="none"/>
                      <w:lang w:val="en-US"/>
                    </w:rPr>
                  </w:pPr>
                </w:p>
              </w:tc>
              <w:tc>
                <w:tcPr>
                  <w:tcW w:w="1090" w:type="dxa"/>
                  <w:vMerge w:val="continue"/>
                  <w:tcBorders>
                    <w:tl2br w:val="nil"/>
                    <w:tr2bl w:val="nil"/>
                  </w:tcBorders>
                  <w:noWrap w:val="0"/>
                  <w:tcMar>
                    <w:top w:w="0" w:type="dxa"/>
                    <w:left w:w="28" w:type="dxa"/>
                    <w:bottom w:w="0" w:type="dxa"/>
                    <w:right w:w="28" w:type="dxa"/>
                  </w:tcMar>
                  <w:vAlign w:val="center"/>
                </w:tcPr>
                <w:p w14:paraId="44D37A93">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980" w:type="dxa"/>
                  <w:vMerge w:val="restart"/>
                  <w:tcBorders>
                    <w:tl2br w:val="nil"/>
                    <w:tr2bl w:val="nil"/>
                  </w:tcBorders>
                  <w:noWrap w:val="0"/>
                  <w:tcMar>
                    <w:top w:w="0" w:type="dxa"/>
                    <w:left w:w="28" w:type="dxa"/>
                    <w:bottom w:w="0" w:type="dxa"/>
                    <w:right w:w="28" w:type="dxa"/>
                  </w:tcMar>
                  <w:vAlign w:val="center"/>
                </w:tcPr>
                <w:p w14:paraId="1F989C65">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693" w:type="dxa"/>
                  <w:tcBorders>
                    <w:tl2br w:val="nil"/>
                    <w:tr2bl w:val="nil"/>
                  </w:tcBorders>
                  <w:noWrap w:val="0"/>
                  <w:tcMar>
                    <w:top w:w="0" w:type="dxa"/>
                    <w:left w:w="28" w:type="dxa"/>
                    <w:bottom w:w="0" w:type="dxa"/>
                    <w:right w:w="28" w:type="dxa"/>
                  </w:tcMar>
                  <w:vAlign w:val="center"/>
                </w:tcPr>
                <w:p w14:paraId="0A824E5C">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cs="Times New Roman"/>
                      <w:bCs/>
                      <w:color w:val="auto"/>
                      <w:spacing w:val="0"/>
                      <w:position w:val="0"/>
                      <w:sz w:val="21"/>
                      <w:szCs w:val="21"/>
                      <w:highlight w:val="none"/>
                      <w:lang w:val="en-US" w:eastAsia="zh-CN"/>
                    </w:rPr>
                  </w:pPr>
                </w:p>
              </w:tc>
            </w:tr>
            <w:tr w14:paraId="232B83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vMerge w:val="continue"/>
                  <w:tcBorders>
                    <w:tl2br w:val="nil"/>
                    <w:tr2bl w:val="nil"/>
                  </w:tcBorders>
                  <w:shd w:val="clear" w:color="auto" w:fill="auto"/>
                  <w:noWrap w:val="0"/>
                  <w:tcMar>
                    <w:top w:w="0" w:type="dxa"/>
                    <w:left w:w="28" w:type="dxa"/>
                    <w:bottom w:w="0" w:type="dxa"/>
                    <w:right w:w="28" w:type="dxa"/>
                  </w:tcMar>
                  <w:vAlign w:val="center"/>
                </w:tcPr>
                <w:p w14:paraId="6E41536D">
                  <w:pPr>
                    <w:pStyle w:val="107"/>
                    <w:ind w:firstLine="0" w:firstLineChars="0"/>
                    <w:rPr>
                      <w:rFonts w:hint="eastAsia" w:cs="Times New Roman"/>
                      <w:b w:val="0"/>
                      <w:bCs/>
                      <w:color w:val="auto"/>
                      <w:spacing w:val="0"/>
                      <w:position w:val="0"/>
                      <w:sz w:val="21"/>
                      <w:szCs w:val="21"/>
                      <w:highlight w:val="none"/>
                      <w:lang w:val="en-US" w:eastAsia="zh-CN"/>
                    </w:rPr>
                  </w:pPr>
                </w:p>
              </w:tc>
              <w:tc>
                <w:tcPr>
                  <w:tcW w:w="1151" w:type="dxa"/>
                  <w:tcBorders>
                    <w:tl2br w:val="nil"/>
                    <w:tr2bl w:val="nil"/>
                  </w:tcBorders>
                  <w:shd w:val="clear" w:color="auto" w:fill="auto"/>
                  <w:noWrap w:val="0"/>
                  <w:tcMar>
                    <w:top w:w="0" w:type="dxa"/>
                    <w:left w:w="28" w:type="dxa"/>
                    <w:bottom w:w="0" w:type="dxa"/>
                    <w:right w:w="28" w:type="dxa"/>
                  </w:tcMar>
                  <w:vAlign w:val="center"/>
                </w:tcPr>
                <w:p w14:paraId="4098029E">
                  <w:pPr>
                    <w:pStyle w:val="107"/>
                    <w:ind w:firstLine="0" w:firstLineChars="0"/>
                    <w:rPr>
                      <w:rFonts w:hint="default" w:ascii="Times New Roman" w:hAnsi="Times New Roman" w:eastAsia="宋体" w:cs="Times New Roman"/>
                      <w:bCs/>
                      <w:color w:val="auto"/>
                      <w:spacing w:val="0"/>
                      <w:kern w:val="2"/>
                      <w:position w:val="0"/>
                      <w:sz w:val="21"/>
                      <w:szCs w:val="21"/>
                      <w:highlight w:val="none"/>
                      <w:lang w:val="en-US" w:eastAsia="zh-CN" w:bidi="ar-SA"/>
                    </w:rPr>
                  </w:pPr>
                  <w:r>
                    <w:rPr>
                      <w:rFonts w:hint="eastAsia" w:cs="Times New Roman"/>
                      <w:bCs/>
                      <w:color w:val="auto"/>
                      <w:spacing w:val="0"/>
                      <w:kern w:val="2"/>
                      <w:position w:val="0"/>
                      <w:sz w:val="21"/>
                      <w:szCs w:val="21"/>
                      <w:highlight w:val="none"/>
                      <w:lang w:val="en-US" w:eastAsia="zh-CN" w:bidi="ar-SA"/>
                    </w:rPr>
                    <w:t>废过滤棉</w:t>
                  </w:r>
                </w:p>
              </w:tc>
              <w:tc>
                <w:tcPr>
                  <w:tcW w:w="825" w:type="dxa"/>
                  <w:vMerge w:val="continue"/>
                  <w:tcBorders>
                    <w:tl2br w:val="nil"/>
                    <w:tr2bl w:val="nil"/>
                  </w:tcBorders>
                  <w:noWrap w:val="0"/>
                  <w:tcMar>
                    <w:top w:w="0" w:type="dxa"/>
                    <w:left w:w="28" w:type="dxa"/>
                    <w:bottom w:w="0" w:type="dxa"/>
                    <w:right w:w="28" w:type="dxa"/>
                  </w:tcMar>
                  <w:vAlign w:val="center"/>
                </w:tcPr>
                <w:p w14:paraId="38F22356">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953" w:type="dxa"/>
                  <w:tcBorders>
                    <w:tl2br w:val="nil"/>
                    <w:tr2bl w:val="nil"/>
                  </w:tcBorders>
                  <w:shd w:val="clear" w:color="auto" w:fill="auto"/>
                  <w:noWrap w:val="0"/>
                  <w:tcMar>
                    <w:top w:w="0" w:type="dxa"/>
                    <w:left w:w="28" w:type="dxa"/>
                    <w:bottom w:w="0" w:type="dxa"/>
                    <w:right w:w="28" w:type="dxa"/>
                  </w:tcMar>
                  <w:vAlign w:val="center"/>
                </w:tcPr>
                <w:p w14:paraId="57A6B16C">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51" w:type="dxa"/>
                  <w:tcBorders>
                    <w:tl2br w:val="nil"/>
                    <w:tr2bl w:val="nil"/>
                  </w:tcBorders>
                  <w:shd w:val="clear" w:color="auto" w:fill="auto"/>
                  <w:noWrap w:val="0"/>
                  <w:tcMar>
                    <w:top w:w="0" w:type="dxa"/>
                    <w:left w:w="28" w:type="dxa"/>
                    <w:bottom w:w="0" w:type="dxa"/>
                    <w:right w:w="28" w:type="dxa"/>
                  </w:tcMar>
                  <w:vAlign w:val="center"/>
                </w:tcPr>
                <w:p w14:paraId="251E3C7C">
                  <w:pPr>
                    <w:spacing w:line="240" w:lineRule="exact"/>
                    <w:jc w:val="center"/>
                    <w:rPr>
                      <w:rFonts w:ascii="Times New Roman" w:hAnsi="Times New Roman" w:eastAsia="宋体" w:cs="Times New Roman"/>
                      <w:color w:val="auto"/>
                      <w:spacing w:val="0"/>
                      <w:position w:val="0"/>
                      <w:sz w:val="21"/>
                      <w:szCs w:val="21"/>
                      <w:highlight w:val="none"/>
                    </w:rPr>
                  </w:pPr>
                </w:p>
              </w:tc>
              <w:tc>
                <w:tcPr>
                  <w:tcW w:w="783" w:type="dxa"/>
                  <w:tcBorders>
                    <w:tl2br w:val="nil"/>
                    <w:tr2bl w:val="nil"/>
                  </w:tcBorders>
                  <w:shd w:val="clear" w:color="auto" w:fill="auto"/>
                  <w:noWrap w:val="0"/>
                  <w:tcMar>
                    <w:top w:w="0" w:type="dxa"/>
                    <w:left w:w="28" w:type="dxa"/>
                    <w:bottom w:w="0" w:type="dxa"/>
                    <w:right w:w="28" w:type="dxa"/>
                  </w:tcMar>
                  <w:vAlign w:val="center"/>
                </w:tcPr>
                <w:p w14:paraId="675EC01D">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1386" w:type="dxa"/>
                  <w:tcBorders>
                    <w:tl2br w:val="nil"/>
                    <w:tr2bl w:val="nil"/>
                  </w:tcBorders>
                  <w:shd w:val="clear" w:color="auto" w:fill="auto"/>
                  <w:noWrap w:val="0"/>
                  <w:tcMar>
                    <w:top w:w="0" w:type="dxa"/>
                    <w:left w:w="28" w:type="dxa"/>
                    <w:bottom w:w="0" w:type="dxa"/>
                    <w:right w:w="28" w:type="dxa"/>
                  </w:tcMar>
                  <w:vAlign w:val="center"/>
                </w:tcPr>
                <w:p w14:paraId="54710A3D">
                  <w:pPr>
                    <w:spacing w:line="240" w:lineRule="exact"/>
                    <w:jc w:val="center"/>
                    <w:rPr>
                      <w:rFonts w:hint="eastAsia" w:ascii="Times New Roman" w:hAnsi="Times New Roman" w:eastAsia="宋体" w:cs="Times New Roman"/>
                      <w:bCs/>
                      <w:color w:val="auto"/>
                      <w:spacing w:val="0"/>
                      <w:position w:val="0"/>
                      <w:sz w:val="21"/>
                      <w:szCs w:val="21"/>
                      <w:highlight w:val="none"/>
                    </w:rPr>
                  </w:pPr>
                </w:p>
              </w:tc>
              <w:tc>
                <w:tcPr>
                  <w:tcW w:w="1054" w:type="dxa"/>
                  <w:tcBorders>
                    <w:tl2br w:val="nil"/>
                    <w:tr2bl w:val="nil"/>
                  </w:tcBorders>
                  <w:noWrap w:val="0"/>
                  <w:tcMar>
                    <w:top w:w="0" w:type="dxa"/>
                    <w:left w:w="28" w:type="dxa"/>
                    <w:bottom w:w="0" w:type="dxa"/>
                    <w:right w:w="28" w:type="dxa"/>
                  </w:tcMar>
                  <w:vAlign w:val="center"/>
                </w:tcPr>
                <w:p w14:paraId="356E6218">
                  <w:pPr>
                    <w:spacing w:line="240" w:lineRule="exact"/>
                    <w:jc w:val="center"/>
                    <w:rPr>
                      <w:rFonts w:hint="default" w:cs="Times New Roman"/>
                      <w:color w:val="auto"/>
                      <w:spacing w:val="0"/>
                      <w:kern w:val="2"/>
                      <w:position w:val="0"/>
                      <w:sz w:val="21"/>
                      <w:szCs w:val="21"/>
                      <w:highlight w:val="none"/>
                      <w:lang w:val="en-US" w:eastAsia="zh-CN" w:bidi="ar-SA"/>
                    </w:rPr>
                  </w:pPr>
                </w:p>
              </w:tc>
              <w:tc>
                <w:tcPr>
                  <w:tcW w:w="827" w:type="dxa"/>
                  <w:vMerge w:val="continue"/>
                  <w:tcBorders>
                    <w:tl2br w:val="nil"/>
                    <w:tr2bl w:val="nil"/>
                  </w:tcBorders>
                  <w:noWrap w:val="0"/>
                  <w:tcMar>
                    <w:top w:w="0" w:type="dxa"/>
                    <w:left w:w="28" w:type="dxa"/>
                    <w:bottom w:w="0" w:type="dxa"/>
                    <w:right w:w="28" w:type="dxa"/>
                  </w:tcMar>
                  <w:vAlign w:val="center"/>
                </w:tcPr>
                <w:p w14:paraId="7472F935">
                  <w:pPr>
                    <w:spacing w:line="240" w:lineRule="exact"/>
                    <w:jc w:val="center"/>
                    <w:rPr>
                      <w:rFonts w:ascii="Times New Roman" w:hAnsi="Times New Roman" w:eastAsia="宋体" w:cs="Times New Roman"/>
                      <w:color w:val="auto"/>
                      <w:spacing w:val="0"/>
                      <w:sz w:val="21"/>
                      <w:szCs w:val="21"/>
                      <w:highlight w:val="none"/>
                    </w:rPr>
                  </w:pPr>
                </w:p>
              </w:tc>
              <w:tc>
                <w:tcPr>
                  <w:tcW w:w="709" w:type="dxa"/>
                  <w:tcBorders>
                    <w:tl2br w:val="nil"/>
                    <w:tr2bl w:val="nil"/>
                  </w:tcBorders>
                  <w:noWrap w:val="0"/>
                  <w:tcMar>
                    <w:top w:w="0" w:type="dxa"/>
                    <w:left w:w="28" w:type="dxa"/>
                    <w:bottom w:w="0" w:type="dxa"/>
                    <w:right w:w="28" w:type="dxa"/>
                  </w:tcMar>
                  <w:vAlign w:val="center"/>
                </w:tcPr>
                <w:p w14:paraId="36BBC8A9">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676" w:type="dxa"/>
                  <w:tcBorders>
                    <w:tl2br w:val="nil"/>
                    <w:tr2bl w:val="nil"/>
                  </w:tcBorders>
                  <w:noWrap w:val="0"/>
                  <w:tcMar>
                    <w:top w:w="0" w:type="dxa"/>
                    <w:left w:w="28" w:type="dxa"/>
                    <w:bottom w:w="0" w:type="dxa"/>
                    <w:right w:w="28" w:type="dxa"/>
                  </w:tcMar>
                  <w:vAlign w:val="center"/>
                </w:tcPr>
                <w:p w14:paraId="7235E0C4">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65" w:type="dxa"/>
                  <w:tcBorders>
                    <w:tl2br w:val="nil"/>
                    <w:tr2bl w:val="nil"/>
                  </w:tcBorders>
                  <w:noWrap w:val="0"/>
                  <w:tcMar>
                    <w:top w:w="0" w:type="dxa"/>
                    <w:left w:w="28" w:type="dxa"/>
                    <w:bottom w:w="0" w:type="dxa"/>
                    <w:right w:w="28" w:type="dxa"/>
                  </w:tcMar>
                  <w:vAlign w:val="center"/>
                </w:tcPr>
                <w:p w14:paraId="715DB050">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67" w:type="dxa"/>
                  <w:tcBorders>
                    <w:tl2br w:val="nil"/>
                    <w:tr2bl w:val="nil"/>
                  </w:tcBorders>
                  <w:noWrap w:val="0"/>
                  <w:tcMar>
                    <w:top w:w="0" w:type="dxa"/>
                    <w:left w:w="28" w:type="dxa"/>
                    <w:bottom w:w="0" w:type="dxa"/>
                    <w:right w:w="28" w:type="dxa"/>
                  </w:tcMar>
                  <w:vAlign w:val="center"/>
                </w:tcPr>
                <w:p w14:paraId="636BFD74">
                  <w:pPr>
                    <w:spacing w:line="240" w:lineRule="exact"/>
                    <w:jc w:val="center"/>
                    <w:rPr>
                      <w:rFonts w:hint="default" w:cs="Times New Roman"/>
                      <w:color w:val="auto"/>
                      <w:spacing w:val="0"/>
                      <w:kern w:val="2"/>
                      <w:position w:val="0"/>
                      <w:sz w:val="21"/>
                      <w:szCs w:val="21"/>
                      <w:highlight w:val="none"/>
                      <w:lang w:val="en-US" w:eastAsia="zh-CN" w:bidi="ar-SA"/>
                    </w:rPr>
                  </w:pPr>
                </w:p>
              </w:tc>
              <w:tc>
                <w:tcPr>
                  <w:tcW w:w="1090" w:type="dxa"/>
                  <w:vMerge w:val="continue"/>
                  <w:tcBorders>
                    <w:tl2br w:val="nil"/>
                    <w:tr2bl w:val="nil"/>
                  </w:tcBorders>
                  <w:noWrap w:val="0"/>
                  <w:tcMar>
                    <w:top w:w="0" w:type="dxa"/>
                    <w:left w:w="28" w:type="dxa"/>
                    <w:bottom w:w="0" w:type="dxa"/>
                    <w:right w:w="28" w:type="dxa"/>
                  </w:tcMar>
                  <w:vAlign w:val="center"/>
                </w:tcPr>
                <w:p w14:paraId="3900E751">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980" w:type="dxa"/>
                  <w:vMerge w:val="continue"/>
                  <w:tcBorders>
                    <w:tl2br w:val="nil"/>
                    <w:tr2bl w:val="nil"/>
                  </w:tcBorders>
                  <w:noWrap w:val="0"/>
                  <w:tcMar>
                    <w:top w:w="0" w:type="dxa"/>
                    <w:left w:w="28" w:type="dxa"/>
                    <w:bottom w:w="0" w:type="dxa"/>
                    <w:right w:w="28" w:type="dxa"/>
                  </w:tcMar>
                  <w:vAlign w:val="center"/>
                </w:tcPr>
                <w:p w14:paraId="11596AE7">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693" w:type="dxa"/>
                  <w:tcBorders>
                    <w:tl2br w:val="nil"/>
                    <w:tr2bl w:val="nil"/>
                  </w:tcBorders>
                  <w:noWrap w:val="0"/>
                  <w:tcMar>
                    <w:top w:w="0" w:type="dxa"/>
                    <w:left w:w="28" w:type="dxa"/>
                    <w:bottom w:w="0" w:type="dxa"/>
                    <w:right w:w="28" w:type="dxa"/>
                  </w:tcMar>
                  <w:vAlign w:val="center"/>
                </w:tcPr>
                <w:p w14:paraId="6B830FD2">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14:paraId="27E664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tcBorders>
                    <w:tl2br w:val="nil"/>
                    <w:tr2bl w:val="nil"/>
                  </w:tcBorders>
                  <w:shd w:val="clear" w:color="auto" w:fill="auto"/>
                  <w:noWrap w:val="0"/>
                  <w:tcMar>
                    <w:top w:w="0" w:type="dxa"/>
                    <w:left w:w="28" w:type="dxa"/>
                    <w:bottom w:w="0" w:type="dxa"/>
                    <w:right w:w="28" w:type="dxa"/>
                  </w:tcMar>
                  <w:vAlign w:val="center"/>
                </w:tcPr>
                <w:p w14:paraId="34BB4BC5">
                  <w:pPr>
                    <w:pStyle w:val="107"/>
                    <w:ind w:firstLine="0" w:firstLineChars="0"/>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kern w:val="2"/>
                      <w:position w:val="0"/>
                      <w:sz w:val="21"/>
                      <w:szCs w:val="21"/>
                      <w:highlight w:val="none"/>
                      <w:lang w:val="en-US" w:eastAsia="zh-CN" w:bidi="ar-SA"/>
                    </w:rPr>
                    <w:t>废水处理</w:t>
                  </w:r>
                </w:p>
              </w:tc>
              <w:tc>
                <w:tcPr>
                  <w:tcW w:w="1151" w:type="dxa"/>
                  <w:tcBorders>
                    <w:tl2br w:val="nil"/>
                    <w:tr2bl w:val="nil"/>
                  </w:tcBorders>
                  <w:shd w:val="clear" w:color="auto" w:fill="auto"/>
                  <w:noWrap w:val="0"/>
                  <w:tcMar>
                    <w:top w:w="0" w:type="dxa"/>
                    <w:left w:w="28" w:type="dxa"/>
                    <w:bottom w:w="0" w:type="dxa"/>
                    <w:right w:w="28" w:type="dxa"/>
                  </w:tcMar>
                  <w:vAlign w:val="center"/>
                </w:tcPr>
                <w:p w14:paraId="32960DC3">
                  <w:pPr>
                    <w:pStyle w:val="107"/>
                    <w:ind w:firstLine="0" w:firstLineChars="0"/>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b w:val="0"/>
                      <w:bCs w:val="0"/>
                      <w:color w:val="auto"/>
                      <w:spacing w:val="0"/>
                      <w:position w:val="0"/>
                      <w:sz w:val="21"/>
                      <w:szCs w:val="21"/>
                      <w:highlight w:val="none"/>
                      <w:vertAlign w:val="baseline"/>
                      <w:lang w:val="en-US" w:eastAsia="zh-CN"/>
                    </w:rPr>
                    <w:t>沉淀污泥</w:t>
                  </w:r>
                </w:p>
              </w:tc>
              <w:tc>
                <w:tcPr>
                  <w:tcW w:w="825" w:type="dxa"/>
                  <w:vMerge w:val="continue"/>
                  <w:tcBorders>
                    <w:tl2br w:val="nil"/>
                    <w:tr2bl w:val="nil"/>
                  </w:tcBorders>
                  <w:noWrap w:val="0"/>
                  <w:tcMar>
                    <w:top w:w="0" w:type="dxa"/>
                    <w:left w:w="28" w:type="dxa"/>
                    <w:bottom w:w="0" w:type="dxa"/>
                    <w:right w:w="28" w:type="dxa"/>
                  </w:tcMar>
                  <w:vAlign w:val="center"/>
                </w:tcPr>
                <w:p w14:paraId="6ED4E354">
                  <w:pPr>
                    <w:spacing w:line="240" w:lineRule="exact"/>
                    <w:jc w:val="center"/>
                    <w:rPr>
                      <w:rFonts w:ascii="Times New Roman" w:hAnsi="Times New Roman" w:eastAsia="宋体" w:cs="Times New Roman"/>
                      <w:color w:val="auto"/>
                      <w:spacing w:val="0"/>
                      <w:position w:val="0"/>
                      <w:sz w:val="21"/>
                      <w:szCs w:val="21"/>
                      <w:highlight w:val="none"/>
                    </w:rPr>
                  </w:pPr>
                </w:p>
              </w:tc>
              <w:tc>
                <w:tcPr>
                  <w:tcW w:w="953" w:type="dxa"/>
                  <w:tcBorders>
                    <w:tl2br w:val="nil"/>
                    <w:tr2bl w:val="nil"/>
                  </w:tcBorders>
                  <w:noWrap w:val="0"/>
                  <w:tcMar>
                    <w:top w:w="0" w:type="dxa"/>
                    <w:left w:w="28" w:type="dxa"/>
                    <w:bottom w:w="0" w:type="dxa"/>
                    <w:right w:w="28" w:type="dxa"/>
                  </w:tcMar>
                  <w:vAlign w:val="center"/>
                </w:tcPr>
                <w:p w14:paraId="761C187B">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51" w:type="dxa"/>
                  <w:tcBorders>
                    <w:tl2br w:val="nil"/>
                    <w:tr2bl w:val="nil"/>
                  </w:tcBorders>
                  <w:noWrap w:val="0"/>
                  <w:tcMar>
                    <w:top w:w="0" w:type="dxa"/>
                    <w:left w:w="28" w:type="dxa"/>
                    <w:bottom w:w="0" w:type="dxa"/>
                    <w:right w:w="28" w:type="dxa"/>
                  </w:tcMar>
                  <w:vAlign w:val="center"/>
                </w:tcPr>
                <w:p w14:paraId="7C158E10">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83" w:type="dxa"/>
                  <w:tcBorders>
                    <w:tl2br w:val="nil"/>
                    <w:tr2bl w:val="nil"/>
                  </w:tcBorders>
                  <w:noWrap w:val="0"/>
                  <w:tcMar>
                    <w:top w:w="0" w:type="dxa"/>
                    <w:left w:w="28" w:type="dxa"/>
                    <w:bottom w:w="0" w:type="dxa"/>
                    <w:right w:w="28" w:type="dxa"/>
                  </w:tcMar>
                  <w:vAlign w:val="center"/>
                </w:tcPr>
                <w:p w14:paraId="4B559E07">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1386" w:type="dxa"/>
                  <w:tcBorders>
                    <w:tl2br w:val="nil"/>
                    <w:tr2bl w:val="nil"/>
                  </w:tcBorders>
                  <w:noWrap w:val="0"/>
                  <w:tcMar>
                    <w:top w:w="0" w:type="dxa"/>
                    <w:left w:w="28" w:type="dxa"/>
                    <w:bottom w:w="0" w:type="dxa"/>
                    <w:right w:w="28" w:type="dxa"/>
                  </w:tcMar>
                  <w:vAlign w:val="center"/>
                </w:tcPr>
                <w:p w14:paraId="292ABC93">
                  <w:pPr>
                    <w:spacing w:line="240" w:lineRule="exact"/>
                    <w:jc w:val="center"/>
                    <w:rPr>
                      <w:rFonts w:ascii="Times New Roman" w:hAnsi="Times New Roman" w:eastAsia="宋体" w:cs="Times New Roman"/>
                      <w:bCs/>
                      <w:color w:val="auto"/>
                      <w:spacing w:val="0"/>
                      <w:position w:val="0"/>
                      <w:sz w:val="21"/>
                      <w:szCs w:val="21"/>
                      <w:highlight w:val="none"/>
                    </w:rPr>
                  </w:pPr>
                </w:p>
              </w:tc>
              <w:tc>
                <w:tcPr>
                  <w:tcW w:w="1054" w:type="dxa"/>
                  <w:tcBorders>
                    <w:tl2br w:val="nil"/>
                    <w:tr2bl w:val="nil"/>
                  </w:tcBorders>
                  <w:noWrap w:val="0"/>
                  <w:tcMar>
                    <w:top w:w="0" w:type="dxa"/>
                    <w:left w:w="28" w:type="dxa"/>
                    <w:bottom w:w="0" w:type="dxa"/>
                    <w:right w:w="28" w:type="dxa"/>
                  </w:tcMar>
                  <w:vAlign w:val="center"/>
                </w:tcPr>
                <w:p w14:paraId="39F0A61C">
                  <w:pPr>
                    <w:spacing w:line="240" w:lineRule="exact"/>
                    <w:jc w:val="center"/>
                    <w:rPr>
                      <w:rFonts w:hint="default" w:ascii="Times New Roman" w:hAnsi="Times New Roman" w:eastAsia="宋体" w:cs="Times New Roman"/>
                      <w:bCs/>
                      <w:color w:val="auto"/>
                      <w:spacing w:val="0"/>
                      <w:position w:val="0"/>
                      <w:sz w:val="21"/>
                      <w:szCs w:val="21"/>
                      <w:highlight w:val="none"/>
                      <w:lang w:val="en-US" w:eastAsia="zh-CN"/>
                    </w:rPr>
                  </w:pPr>
                </w:p>
              </w:tc>
              <w:tc>
                <w:tcPr>
                  <w:tcW w:w="827" w:type="dxa"/>
                  <w:vMerge w:val="continue"/>
                  <w:tcBorders>
                    <w:tl2br w:val="nil"/>
                    <w:tr2bl w:val="nil"/>
                  </w:tcBorders>
                  <w:noWrap w:val="0"/>
                  <w:tcMar>
                    <w:top w:w="0" w:type="dxa"/>
                    <w:left w:w="28" w:type="dxa"/>
                    <w:bottom w:w="0" w:type="dxa"/>
                    <w:right w:w="28" w:type="dxa"/>
                  </w:tcMar>
                  <w:vAlign w:val="center"/>
                </w:tcPr>
                <w:p w14:paraId="7D435B7C">
                  <w:pPr>
                    <w:spacing w:line="240" w:lineRule="exact"/>
                    <w:jc w:val="center"/>
                    <w:rPr>
                      <w:rFonts w:ascii="Times New Roman" w:hAnsi="Times New Roman" w:eastAsia="宋体" w:cs="Times New Roman"/>
                      <w:color w:val="auto"/>
                      <w:spacing w:val="0"/>
                      <w:position w:val="0"/>
                      <w:sz w:val="21"/>
                      <w:szCs w:val="21"/>
                      <w:highlight w:val="none"/>
                    </w:rPr>
                  </w:pPr>
                </w:p>
              </w:tc>
              <w:tc>
                <w:tcPr>
                  <w:tcW w:w="709" w:type="dxa"/>
                  <w:tcBorders>
                    <w:tl2br w:val="nil"/>
                    <w:tr2bl w:val="nil"/>
                  </w:tcBorders>
                  <w:noWrap w:val="0"/>
                  <w:tcMar>
                    <w:top w:w="0" w:type="dxa"/>
                    <w:left w:w="28" w:type="dxa"/>
                    <w:bottom w:w="0" w:type="dxa"/>
                    <w:right w:w="28" w:type="dxa"/>
                  </w:tcMar>
                  <w:vAlign w:val="center"/>
                </w:tcPr>
                <w:p w14:paraId="52420B4D">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676" w:type="dxa"/>
                  <w:tcBorders>
                    <w:tl2br w:val="nil"/>
                    <w:tr2bl w:val="nil"/>
                  </w:tcBorders>
                  <w:noWrap w:val="0"/>
                  <w:tcMar>
                    <w:top w:w="0" w:type="dxa"/>
                    <w:left w:w="28" w:type="dxa"/>
                    <w:bottom w:w="0" w:type="dxa"/>
                    <w:right w:w="28" w:type="dxa"/>
                  </w:tcMar>
                  <w:vAlign w:val="center"/>
                </w:tcPr>
                <w:p w14:paraId="675E36D5">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65" w:type="dxa"/>
                  <w:tcBorders>
                    <w:tl2br w:val="nil"/>
                    <w:tr2bl w:val="nil"/>
                  </w:tcBorders>
                  <w:noWrap w:val="0"/>
                  <w:tcMar>
                    <w:top w:w="0" w:type="dxa"/>
                    <w:left w:w="28" w:type="dxa"/>
                    <w:bottom w:w="0" w:type="dxa"/>
                    <w:right w:w="28" w:type="dxa"/>
                  </w:tcMar>
                  <w:vAlign w:val="center"/>
                </w:tcPr>
                <w:p w14:paraId="1867066E">
                  <w:pPr>
                    <w:spacing w:line="240" w:lineRule="exact"/>
                    <w:jc w:val="center"/>
                    <w:rPr>
                      <w:rFonts w:hint="default" w:ascii="Times New Roman" w:hAnsi="Times New Roman" w:eastAsia="宋体" w:cs="Times New Roman"/>
                      <w:bCs/>
                      <w:color w:val="auto"/>
                      <w:spacing w:val="0"/>
                      <w:position w:val="0"/>
                      <w:sz w:val="21"/>
                      <w:szCs w:val="21"/>
                      <w:highlight w:val="none"/>
                      <w:lang w:val="en-US"/>
                    </w:rPr>
                  </w:pPr>
                </w:p>
              </w:tc>
              <w:tc>
                <w:tcPr>
                  <w:tcW w:w="767" w:type="dxa"/>
                  <w:tcBorders>
                    <w:tl2br w:val="nil"/>
                    <w:tr2bl w:val="nil"/>
                  </w:tcBorders>
                  <w:noWrap w:val="0"/>
                  <w:tcMar>
                    <w:top w:w="0" w:type="dxa"/>
                    <w:left w:w="28" w:type="dxa"/>
                    <w:bottom w:w="0" w:type="dxa"/>
                    <w:right w:w="28" w:type="dxa"/>
                  </w:tcMar>
                  <w:vAlign w:val="center"/>
                </w:tcPr>
                <w:p w14:paraId="651CBA8D">
                  <w:pPr>
                    <w:spacing w:line="240" w:lineRule="exact"/>
                    <w:jc w:val="center"/>
                    <w:rPr>
                      <w:rFonts w:hint="default" w:ascii="Times New Roman" w:hAnsi="Times New Roman" w:eastAsia="宋体" w:cs="Times New Roman"/>
                      <w:b/>
                      <w:color w:val="auto"/>
                      <w:spacing w:val="0"/>
                      <w:position w:val="0"/>
                      <w:sz w:val="21"/>
                      <w:szCs w:val="21"/>
                      <w:highlight w:val="none"/>
                      <w:lang w:val="en-US" w:eastAsia="zh-CN"/>
                    </w:rPr>
                  </w:pPr>
                </w:p>
              </w:tc>
              <w:tc>
                <w:tcPr>
                  <w:tcW w:w="1090" w:type="dxa"/>
                  <w:vMerge w:val="continue"/>
                  <w:tcBorders>
                    <w:tl2br w:val="nil"/>
                    <w:tr2bl w:val="nil"/>
                  </w:tcBorders>
                  <w:noWrap w:val="0"/>
                  <w:tcMar>
                    <w:top w:w="0" w:type="dxa"/>
                    <w:left w:w="28" w:type="dxa"/>
                    <w:bottom w:w="0" w:type="dxa"/>
                    <w:right w:w="28" w:type="dxa"/>
                  </w:tcMar>
                  <w:vAlign w:val="center"/>
                </w:tcPr>
                <w:p w14:paraId="77B6FF31">
                  <w:pPr>
                    <w:spacing w:line="240" w:lineRule="exact"/>
                    <w:jc w:val="center"/>
                    <w:rPr>
                      <w:rFonts w:ascii="Times New Roman" w:hAnsi="Times New Roman" w:eastAsia="宋体" w:cs="Times New Roman"/>
                      <w:color w:val="auto"/>
                      <w:spacing w:val="0"/>
                      <w:position w:val="0"/>
                      <w:sz w:val="21"/>
                      <w:szCs w:val="21"/>
                      <w:highlight w:val="none"/>
                    </w:rPr>
                  </w:pPr>
                </w:p>
              </w:tc>
              <w:tc>
                <w:tcPr>
                  <w:tcW w:w="980" w:type="dxa"/>
                  <w:tcBorders>
                    <w:tl2br w:val="nil"/>
                    <w:tr2bl w:val="nil"/>
                  </w:tcBorders>
                  <w:noWrap w:val="0"/>
                  <w:tcMar>
                    <w:top w:w="0" w:type="dxa"/>
                    <w:left w:w="28" w:type="dxa"/>
                    <w:bottom w:w="0" w:type="dxa"/>
                    <w:right w:w="28" w:type="dxa"/>
                  </w:tcMar>
                  <w:vAlign w:val="center"/>
                </w:tcPr>
                <w:p w14:paraId="24E0B76B">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693" w:type="dxa"/>
                  <w:tcBorders>
                    <w:tl2br w:val="nil"/>
                    <w:tr2bl w:val="nil"/>
                  </w:tcBorders>
                  <w:noWrap w:val="0"/>
                  <w:tcMar>
                    <w:top w:w="0" w:type="dxa"/>
                    <w:left w:w="28" w:type="dxa"/>
                    <w:bottom w:w="0" w:type="dxa"/>
                    <w:right w:w="28" w:type="dxa"/>
                  </w:tcMar>
                  <w:vAlign w:val="center"/>
                </w:tcPr>
                <w:p w14:paraId="143ECA2C">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bCs/>
                      <w:color w:val="auto"/>
                      <w:spacing w:val="0"/>
                      <w:position w:val="0"/>
                      <w:sz w:val="21"/>
                      <w:szCs w:val="21"/>
                      <w:highlight w:val="none"/>
                      <w:lang w:val="en-US" w:eastAsia="zh-CN"/>
                    </w:rPr>
                  </w:pPr>
                </w:p>
              </w:tc>
            </w:tr>
            <w:tr w14:paraId="431ED2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tcBorders>
                    <w:tl2br w:val="nil"/>
                    <w:tr2bl w:val="nil"/>
                  </w:tcBorders>
                  <w:noWrap w:val="0"/>
                  <w:tcMar>
                    <w:top w:w="0" w:type="dxa"/>
                    <w:left w:w="28" w:type="dxa"/>
                    <w:bottom w:w="0" w:type="dxa"/>
                    <w:right w:w="28" w:type="dxa"/>
                  </w:tcMar>
                  <w:vAlign w:val="center"/>
                </w:tcPr>
                <w:p w14:paraId="34AB6A40">
                  <w:pPr>
                    <w:spacing w:line="240" w:lineRule="exact"/>
                    <w:jc w:val="center"/>
                    <w:rPr>
                      <w:rFonts w:hint="default" w:ascii="Times New Roman" w:hAnsi="Times New Roman" w:eastAsia="宋体" w:cs="Times New Roman"/>
                      <w:b/>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水帘气旋</w:t>
                  </w:r>
                </w:p>
              </w:tc>
              <w:tc>
                <w:tcPr>
                  <w:tcW w:w="1151" w:type="dxa"/>
                  <w:tcBorders>
                    <w:tl2br w:val="nil"/>
                    <w:tr2bl w:val="nil"/>
                  </w:tcBorders>
                  <w:noWrap w:val="0"/>
                  <w:tcMar>
                    <w:top w:w="0" w:type="dxa"/>
                    <w:left w:w="28" w:type="dxa"/>
                    <w:bottom w:w="0" w:type="dxa"/>
                    <w:right w:w="28" w:type="dxa"/>
                  </w:tcMar>
                  <w:vAlign w:val="center"/>
                </w:tcPr>
                <w:p w14:paraId="40B50D15">
                  <w:pPr>
                    <w:spacing w:line="240" w:lineRule="exact"/>
                    <w:jc w:val="center"/>
                    <w:rPr>
                      <w:rFonts w:hint="eastAsia" w:ascii="Times New Roman" w:hAnsi="Times New Roman" w:eastAsia="宋体" w:cs="Times New Roman"/>
                      <w:bCs/>
                      <w:color w:val="auto"/>
                      <w:spacing w:val="0"/>
                      <w:position w:val="0"/>
                      <w:sz w:val="21"/>
                      <w:szCs w:val="21"/>
                      <w:highlight w:val="none"/>
                      <w:lang w:val="en-US" w:eastAsia="zh-CN"/>
                    </w:rPr>
                  </w:pPr>
                  <w:r>
                    <w:rPr>
                      <w:rFonts w:hint="eastAsia" w:cs="Times New Roman"/>
                      <w:bCs/>
                      <w:color w:val="auto"/>
                      <w:spacing w:val="0"/>
                      <w:position w:val="0"/>
                      <w:sz w:val="21"/>
                      <w:szCs w:val="21"/>
                      <w:highlight w:val="none"/>
                      <w:lang w:val="en-US" w:eastAsia="zh-CN"/>
                    </w:rPr>
                    <w:t>水帘气旋废液</w:t>
                  </w:r>
                </w:p>
              </w:tc>
              <w:tc>
                <w:tcPr>
                  <w:tcW w:w="825" w:type="dxa"/>
                  <w:vMerge w:val="continue"/>
                  <w:tcBorders>
                    <w:tl2br w:val="nil"/>
                    <w:tr2bl w:val="nil"/>
                  </w:tcBorders>
                  <w:noWrap w:val="0"/>
                  <w:tcMar>
                    <w:top w:w="0" w:type="dxa"/>
                    <w:left w:w="28" w:type="dxa"/>
                    <w:bottom w:w="0" w:type="dxa"/>
                    <w:right w:w="28" w:type="dxa"/>
                  </w:tcMar>
                  <w:vAlign w:val="center"/>
                </w:tcPr>
                <w:p w14:paraId="7092F6D1">
                  <w:pPr>
                    <w:spacing w:line="240" w:lineRule="exact"/>
                    <w:jc w:val="center"/>
                    <w:rPr>
                      <w:rFonts w:ascii="Times New Roman" w:hAnsi="Times New Roman" w:eastAsia="宋体" w:cs="Times New Roman"/>
                      <w:color w:val="auto"/>
                      <w:spacing w:val="0"/>
                      <w:position w:val="0"/>
                      <w:sz w:val="21"/>
                      <w:szCs w:val="21"/>
                      <w:highlight w:val="none"/>
                    </w:rPr>
                  </w:pPr>
                </w:p>
              </w:tc>
              <w:tc>
                <w:tcPr>
                  <w:tcW w:w="953" w:type="dxa"/>
                  <w:tcBorders>
                    <w:tl2br w:val="nil"/>
                    <w:tr2bl w:val="nil"/>
                  </w:tcBorders>
                  <w:noWrap w:val="0"/>
                  <w:tcMar>
                    <w:top w:w="0" w:type="dxa"/>
                    <w:left w:w="28" w:type="dxa"/>
                    <w:bottom w:w="0" w:type="dxa"/>
                    <w:right w:w="28" w:type="dxa"/>
                  </w:tcMar>
                  <w:vAlign w:val="center"/>
                </w:tcPr>
                <w:p w14:paraId="1B5388A7">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51" w:type="dxa"/>
                  <w:tcBorders>
                    <w:tl2br w:val="nil"/>
                    <w:tr2bl w:val="nil"/>
                  </w:tcBorders>
                  <w:noWrap w:val="0"/>
                  <w:tcMar>
                    <w:top w:w="0" w:type="dxa"/>
                    <w:left w:w="28" w:type="dxa"/>
                    <w:bottom w:w="0" w:type="dxa"/>
                    <w:right w:w="28" w:type="dxa"/>
                  </w:tcMar>
                  <w:vAlign w:val="center"/>
                </w:tcPr>
                <w:p w14:paraId="7ADBCB1F">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783" w:type="dxa"/>
                  <w:tcBorders>
                    <w:tl2br w:val="nil"/>
                    <w:tr2bl w:val="nil"/>
                  </w:tcBorders>
                  <w:noWrap w:val="0"/>
                  <w:tcMar>
                    <w:top w:w="0" w:type="dxa"/>
                    <w:left w:w="28" w:type="dxa"/>
                    <w:bottom w:w="0" w:type="dxa"/>
                    <w:right w:w="28" w:type="dxa"/>
                  </w:tcMar>
                  <w:vAlign w:val="center"/>
                </w:tcPr>
                <w:p w14:paraId="66643511">
                  <w:pPr>
                    <w:spacing w:line="240" w:lineRule="exact"/>
                    <w:jc w:val="center"/>
                    <w:rPr>
                      <w:rFonts w:hint="eastAsia" w:ascii="Times New Roman" w:hAnsi="Times New Roman" w:eastAsia="宋体" w:cs="Times New Roman"/>
                      <w:color w:val="auto"/>
                      <w:spacing w:val="0"/>
                      <w:kern w:val="2"/>
                      <w:position w:val="0"/>
                      <w:sz w:val="21"/>
                      <w:szCs w:val="21"/>
                      <w:highlight w:val="none"/>
                      <w:lang w:val="en-US" w:eastAsia="zh-CN" w:bidi="ar-SA"/>
                    </w:rPr>
                  </w:pPr>
                </w:p>
              </w:tc>
              <w:tc>
                <w:tcPr>
                  <w:tcW w:w="1386" w:type="dxa"/>
                  <w:tcBorders>
                    <w:tl2br w:val="nil"/>
                    <w:tr2bl w:val="nil"/>
                  </w:tcBorders>
                  <w:noWrap w:val="0"/>
                  <w:tcMar>
                    <w:top w:w="0" w:type="dxa"/>
                    <w:left w:w="28" w:type="dxa"/>
                    <w:bottom w:w="0" w:type="dxa"/>
                    <w:right w:w="28" w:type="dxa"/>
                  </w:tcMar>
                  <w:vAlign w:val="center"/>
                </w:tcPr>
                <w:p w14:paraId="46B83889">
                  <w:pPr>
                    <w:spacing w:line="240" w:lineRule="exact"/>
                    <w:jc w:val="center"/>
                    <w:rPr>
                      <w:rFonts w:hint="default" w:ascii="Times New Roman" w:hAnsi="Times New Roman" w:eastAsia="宋体" w:cs="Times New Roman"/>
                      <w:bCs/>
                      <w:color w:val="auto"/>
                      <w:spacing w:val="0"/>
                      <w:position w:val="0"/>
                      <w:sz w:val="21"/>
                      <w:szCs w:val="21"/>
                      <w:highlight w:val="none"/>
                      <w:lang w:val="en-US" w:eastAsia="zh-CN"/>
                    </w:rPr>
                  </w:pPr>
                </w:p>
              </w:tc>
              <w:tc>
                <w:tcPr>
                  <w:tcW w:w="1054" w:type="dxa"/>
                  <w:tcBorders>
                    <w:tl2br w:val="nil"/>
                    <w:tr2bl w:val="nil"/>
                  </w:tcBorders>
                  <w:noWrap w:val="0"/>
                  <w:tcMar>
                    <w:top w:w="0" w:type="dxa"/>
                    <w:left w:w="28" w:type="dxa"/>
                    <w:bottom w:w="0" w:type="dxa"/>
                    <w:right w:w="28" w:type="dxa"/>
                  </w:tcMar>
                  <w:vAlign w:val="center"/>
                </w:tcPr>
                <w:p w14:paraId="7A5A1101">
                  <w:pPr>
                    <w:spacing w:line="240" w:lineRule="exact"/>
                    <w:jc w:val="center"/>
                    <w:rPr>
                      <w:rFonts w:hint="default" w:cs="Times New Roman"/>
                      <w:color w:val="auto"/>
                      <w:spacing w:val="0"/>
                      <w:position w:val="0"/>
                      <w:sz w:val="21"/>
                      <w:szCs w:val="21"/>
                      <w:highlight w:val="none"/>
                      <w:lang w:val="en-US" w:eastAsia="zh-CN"/>
                    </w:rPr>
                  </w:pPr>
                </w:p>
              </w:tc>
              <w:tc>
                <w:tcPr>
                  <w:tcW w:w="827" w:type="dxa"/>
                  <w:vMerge w:val="continue"/>
                  <w:tcBorders>
                    <w:tl2br w:val="nil"/>
                    <w:tr2bl w:val="nil"/>
                  </w:tcBorders>
                  <w:noWrap w:val="0"/>
                  <w:tcMar>
                    <w:top w:w="0" w:type="dxa"/>
                    <w:left w:w="28" w:type="dxa"/>
                    <w:bottom w:w="0" w:type="dxa"/>
                    <w:right w:w="28" w:type="dxa"/>
                  </w:tcMar>
                  <w:vAlign w:val="center"/>
                </w:tcPr>
                <w:p w14:paraId="3B7AAD55">
                  <w:pPr>
                    <w:spacing w:line="240" w:lineRule="exact"/>
                    <w:jc w:val="center"/>
                    <w:rPr>
                      <w:rFonts w:ascii="Times New Roman" w:hAnsi="Times New Roman" w:eastAsia="宋体" w:cs="Times New Roman"/>
                      <w:color w:val="auto"/>
                      <w:spacing w:val="0"/>
                      <w:position w:val="0"/>
                      <w:sz w:val="21"/>
                      <w:szCs w:val="21"/>
                      <w:highlight w:val="none"/>
                    </w:rPr>
                  </w:pPr>
                </w:p>
              </w:tc>
              <w:tc>
                <w:tcPr>
                  <w:tcW w:w="709" w:type="dxa"/>
                  <w:tcBorders>
                    <w:tl2br w:val="nil"/>
                    <w:tr2bl w:val="nil"/>
                  </w:tcBorders>
                  <w:noWrap w:val="0"/>
                  <w:tcMar>
                    <w:top w:w="0" w:type="dxa"/>
                    <w:left w:w="28" w:type="dxa"/>
                    <w:bottom w:w="0" w:type="dxa"/>
                    <w:right w:w="28" w:type="dxa"/>
                  </w:tcMar>
                  <w:vAlign w:val="center"/>
                </w:tcPr>
                <w:p w14:paraId="0DF37A52">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676" w:type="dxa"/>
                  <w:tcBorders>
                    <w:tl2br w:val="nil"/>
                    <w:tr2bl w:val="nil"/>
                  </w:tcBorders>
                  <w:noWrap w:val="0"/>
                  <w:tcMar>
                    <w:top w:w="0" w:type="dxa"/>
                    <w:left w:w="28" w:type="dxa"/>
                    <w:bottom w:w="0" w:type="dxa"/>
                    <w:right w:w="28" w:type="dxa"/>
                  </w:tcMar>
                  <w:vAlign w:val="center"/>
                </w:tcPr>
                <w:p w14:paraId="5A1FF090">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765" w:type="dxa"/>
                  <w:tcBorders>
                    <w:tl2br w:val="nil"/>
                    <w:tr2bl w:val="nil"/>
                  </w:tcBorders>
                  <w:noWrap w:val="0"/>
                  <w:tcMar>
                    <w:top w:w="0" w:type="dxa"/>
                    <w:left w:w="28" w:type="dxa"/>
                    <w:bottom w:w="0" w:type="dxa"/>
                    <w:right w:w="28" w:type="dxa"/>
                  </w:tcMar>
                  <w:vAlign w:val="center"/>
                </w:tcPr>
                <w:p w14:paraId="47509FBD">
                  <w:pPr>
                    <w:spacing w:line="240" w:lineRule="exact"/>
                    <w:jc w:val="center"/>
                    <w:rPr>
                      <w:rFonts w:hint="default" w:cs="Times New Roman"/>
                      <w:color w:val="auto"/>
                      <w:spacing w:val="0"/>
                      <w:position w:val="0"/>
                      <w:sz w:val="21"/>
                      <w:szCs w:val="21"/>
                      <w:highlight w:val="none"/>
                      <w:lang w:val="en-US" w:eastAsia="zh-CN"/>
                    </w:rPr>
                  </w:pPr>
                </w:p>
              </w:tc>
              <w:tc>
                <w:tcPr>
                  <w:tcW w:w="767" w:type="dxa"/>
                  <w:tcBorders>
                    <w:tl2br w:val="nil"/>
                    <w:tr2bl w:val="nil"/>
                  </w:tcBorders>
                  <w:noWrap w:val="0"/>
                  <w:tcMar>
                    <w:top w:w="0" w:type="dxa"/>
                    <w:left w:w="28" w:type="dxa"/>
                    <w:bottom w:w="0" w:type="dxa"/>
                    <w:right w:w="28" w:type="dxa"/>
                  </w:tcMar>
                  <w:vAlign w:val="center"/>
                </w:tcPr>
                <w:p w14:paraId="262D7DA3">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1090" w:type="dxa"/>
                  <w:vMerge w:val="continue"/>
                  <w:tcBorders>
                    <w:tl2br w:val="nil"/>
                    <w:tr2bl w:val="nil"/>
                  </w:tcBorders>
                  <w:noWrap w:val="0"/>
                  <w:tcMar>
                    <w:top w:w="0" w:type="dxa"/>
                    <w:left w:w="28" w:type="dxa"/>
                    <w:bottom w:w="0" w:type="dxa"/>
                    <w:right w:w="28" w:type="dxa"/>
                  </w:tcMar>
                  <w:vAlign w:val="center"/>
                </w:tcPr>
                <w:p w14:paraId="573E6C15">
                  <w:pPr>
                    <w:spacing w:line="240" w:lineRule="exact"/>
                    <w:jc w:val="center"/>
                    <w:rPr>
                      <w:rFonts w:ascii="Times New Roman" w:hAnsi="Times New Roman" w:eastAsia="宋体" w:cs="Times New Roman"/>
                      <w:color w:val="auto"/>
                      <w:spacing w:val="0"/>
                      <w:position w:val="0"/>
                      <w:sz w:val="21"/>
                      <w:szCs w:val="21"/>
                      <w:highlight w:val="none"/>
                    </w:rPr>
                  </w:pPr>
                </w:p>
              </w:tc>
              <w:tc>
                <w:tcPr>
                  <w:tcW w:w="980" w:type="dxa"/>
                  <w:tcBorders>
                    <w:tl2br w:val="nil"/>
                    <w:tr2bl w:val="nil"/>
                  </w:tcBorders>
                  <w:noWrap w:val="0"/>
                  <w:tcMar>
                    <w:top w:w="0" w:type="dxa"/>
                    <w:left w:w="28" w:type="dxa"/>
                    <w:bottom w:w="0" w:type="dxa"/>
                    <w:right w:w="28" w:type="dxa"/>
                  </w:tcMar>
                  <w:vAlign w:val="center"/>
                </w:tcPr>
                <w:p w14:paraId="1739C315">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Cs/>
                      <w:color w:val="auto"/>
                      <w:spacing w:val="0"/>
                      <w:position w:val="0"/>
                      <w:sz w:val="21"/>
                      <w:szCs w:val="21"/>
                      <w:highlight w:val="none"/>
                      <w:lang w:val="en-US" w:eastAsia="zh-CN"/>
                    </w:rPr>
                  </w:pPr>
                </w:p>
              </w:tc>
              <w:tc>
                <w:tcPr>
                  <w:tcW w:w="693" w:type="dxa"/>
                  <w:tcBorders>
                    <w:tl2br w:val="nil"/>
                    <w:tr2bl w:val="nil"/>
                  </w:tcBorders>
                  <w:noWrap w:val="0"/>
                  <w:tcMar>
                    <w:top w:w="0" w:type="dxa"/>
                    <w:left w:w="28" w:type="dxa"/>
                    <w:bottom w:w="0" w:type="dxa"/>
                    <w:right w:w="28" w:type="dxa"/>
                  </w:tcMar>
                  <w:vAlign w:val="center"/>
                </w:tcPr>
                <w:p w14:paraId="03FBF8DF">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bCs/>
                      <w:color w:val="auto"/>
                      <w:spacing w:val="0"/>
                      <w:position w:val="0"/>
                      <w:sz w:val="21"/>
                      <w:szCs w:val="21"/>
                      <w:highlight w:val="none"/>
                      <w:lang w:val="en-US" w:eastAsia="zh-CN"/>
                    </w:rPr>
                  </w:pPr>
                </w:p>
              </w:tc>
            </w:tr>
            <w:tr w14:paraId="08C4A8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tcBorders>
                    <w:tl2br w:val="nil"/>
                    <w:tr2bl w:val="nil"/>
                  </w:tcBorders>
                  <w:noWrap w:val="0"/>
                  <w:tcMar>
                    <w:top w:w="0" w:type="dxa"/>
                    <w:left w:w="28" w:type="dxa"/>
                    <w:bottom w:w="0" w:type="dxa"/>
                    <w:right w:w="28" w:type="dxa"/>
                  </w:tcMar>
                  <w:vAlign w:val="center"/>
                </w:tcPr>
                <w:p w14:paraId="4F6EE2F1">
                  <w:pPr>
                    <w:spacing w:line="240" w:lineRule="exact"/>
                    <w:jc w:val="center"/>
                    <w:rPr>
                      <w:rFonts w:hint="default"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喷枪</w:t>
                  </w:r>
                </w:p>
              </w:tc>
              <w:tc>
                <w:tcPr>
                  <w:tcW w:w="1151" w:type="dxa"/>
                  <w:tcBorders>
                    <w:tl2br w:val="nil"/>
                    <w:tr2bl w:val="nil"/>
                  </w:tcBorders>
                  <w:noWrap w:val="0"/>
                  <w:tcMar>
                    <w:top w:w="0" w:type="dxa"/>
                    <w:left w:w="28" w:type="dxa"/>
                    <w:bottom w:w="0" w:type="dxa"/>
                    <w:right w:w="28" w:type="dxa"/>
                  </w:tcMar>
                  <w:vAlign w:val="center"/>
                </w:tcPr>
                <w:p w14:paraId="28BD6828">
                  <w:pPr>
                    <w:spacing w:line="240" w:lineRule="exact"/>
                    <w:jc w:val="center"/>
                    <w:rPr>
                      <w:rFonts w:hint="default" w:cs="Times New Roman"/>
                      <w:bCs/>
                      <w:color w:val="auto"/>
                      <w:spacing w:val="0"/>
                      <w:position w:val="0"/>
                      <w:sz w:val="21"/>
                      <w:szCs w:val="21"/>
                      <w:highlight w:val="none"/>
                      <w:lang w:val="en-US" w:eastAsia="zh-CN"/>
                    </w:rPr>
                  </w:pPr>
                  <w:r>
                    <w:rPr>
                      <w:rFonts w:hint="eastAsia" w:cs="Times New Roman"/>
                      <w:bCs/>
                      <w:color w:val="auto"/>
                      <w:spacing w:val="0"/>
                      <w:position w:val="0"/>
                      <w:sz w:val="21"/>
                      <w:szCs w:val="21"/>
                      <w:highlight w:val="none"/>
                      <w:lang w:val="en-US" w:eastAsia="zh-CN"/>
                    </w:rPr>
                    <w:t>喷枪清洗废液</w:t>
                  </w:r>
                </w:p>
              </w:tc>
              <w:tc>
                <w:tcPr>
                  <w:tcW w:w="825" w:type="dxa"/>
                  <w:vMerge w:val="continue"/>
                  <w:tcBorders>
                    <w:tl2br w:val="nil"/>
                    <w:tr2bl w:val="nil"/>
                  </w:tcBorders>
                  <w:noWrap w:val="0"/>
                  <w:tcMar>
                    <w:top w:w="0" w:type="dxa"/>
                    <w:left w:w="28" w:type="dxa"/>
                    <w:bottom w:w="0" w:type="dxa"/>
                    <w:right w:w="28" w:type="dxa"/>
                  </w:tcMar>
                  <w:vAlign w:val="center"/>
                </w:tcPr>
                <w:p w14:paraId="4E1EEA32">
                  <w:pPr>
                    <w:spacing w:line="240" w:lineRule="exact"/>
                    <w:jc w:val="center"/>
                    <w:rPr>
                      <w:rFonts w:ascii="Times New Roman" w:hAnsi="Times New Roman" w:eastAsia="宋体" w:cs="Times New Roman"/>
                      <w:color w:val="auto"/>
                      <w:spacing w:val="0"/>
                      <w:position w:val="0"/>
                      <w:sz w:val="21"/>
                      <w:szCs w:val="21"/>
                      <w:highlight w:val="none"/>
                    </w:rPr>
                  </w:pPr>
                </w:p>
              </w:tc>
              <w:tc>
                <w:tcPr>
                  <w:tcW w:w="953" w:type="dxa"/>
                  <w:tcBorders>
                    <w:tl2br w:val="nil"/>
                    <w:tr2bl w:val="nil"/>
                  </w:tcBorders>
                  <w:noWrap w:val="0"/>
                  <w:tcMar>
                    <w:top w:w="0" w:type="dxa"/>
                    <w:left w:w="28" w:type="dxa"/>
                    <w:bottom w:w="0" w:type="dxa"/>
                    <w:right w:w="28" w:type="dxa"/>
                  </w:tcMar>
                  <w:vAlign w:val="center"/>
                </w:tcPr>
                <w:p w14:paraId="61FF0572">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51" w:type="dxa"/>
                  <w:tcBorders>
                    <w:tl2br w:val="nil"/>
                    <w:tr2bl w:val="nil"/>
                  </w:tcBorders>
                  <w:noWrap w:val="0"/>
                  <w:tcMar>
                    <w:top w:w="0" w:type="dxa"/>
                    <w:left w:w="28" w:type="dxa"/>
                    <w:bottom w:w="0" w:type="dxa"/>
                    <w:right w:w="28" w:type="dxa"/>
                  </w:tcMar>
                  <w:vAlign w:val="center"/>
                </w:tcPr>
                <w:p w14:paraId="1988CB73">
                  <w:pPr>
                    <w:spacing w:line="240" w:lineRule="exact"/>
                    <w:jc w:val="center"/>
                    <w:rPr>
                      <w:rFonts w:hint="eastAsia" w:cs="Times New Roman"/>
                      <w:color w:val="auto"/>
                      <w:spacing w:val="0"/>
                      <w:position w:val="0"/>
                      <w:sz w:val="21"/>
                      <w:szCs w:val="21"/>
                      <w:highlight w:val="none"/>
                      <w:lang w:val="en-US" w:eastAsia="zh-CN"/>
                    </w:rPr>
                  </w:pPr>
                </w:p>
              </w:tc>
              <w:tc>
                <w:tcPr>
                  <w:tcW w:w="783" w:type="dxa"/>
                  <w:tcBorders>
                    <w:tl2br w:val="nil"/>
                    <w:tr2bl w:val="nil"/>
                  </w:tcBorders>
                  <w:noWrap w:val="0"/>
                  <w:tcMar>
                    <w:top w:w="0" w:type="dxa"/>
                    <w:left w:w="28" w:type="dxa"/>
                    <w:bottom w:w="0" w:type="dxa"/>
                    <w:right w:w="28" w:type="dxa"/>
                  </w:tcMar>
                  <w:vAlign w:val="center"/>
                </w:tcPr>
                <w:p w14:paraId="5034D821">
                  <w:pPr>
                    <w:spacing w:line="240" w:lineRule="exact"/>
                    <w:jc w:val="center"/>
                    <w:rPr>
                      <w:rFonts w:hint="eastAsia" w:ascii="Times New Roman" w:hAnsi="Times New Roman" w:eastAsia="宋体" w:cs="Times New Roman"/>
                      <w:color w:val="auto"/>
                      <w:spacing w:val="0"/>
                      <w:kern w:val="2"/>
                      <w:position w:val="0"/>
                      <w:sz w:val="21"/>
                      <w:szCs w:val="21"/>
                      <w:highlight w:val="none"/>
                      <w:lang w:val="en-US" w:eastAsia="zh-CN" w:bidi="ar-SA"/>
                    </w:rPr>
                  </w:pPr>
                </w:p>
              </w:tc>
              <w:tc>
                <w:tcPr>
                  <w:tcW w:w="1386" w:type="dxa"/>
                  <w:tcBorders>
                    <w:tl2br w:val="nil"/>
                    <w:tr2bl w:val="nil"/>
                  </w:tcBorders>
                  <w:noWrap w:val="0"/>
                  <w:tcMar>
                    <w:top w:w="0" w:type="dxa"/>
                    <w:left w:w="28" w:type="dxa"/>
                    <w:bottom w:w="0" w:type="dxa"/>
                    <w:right w:w="28" w:type="dxa"/>
                  </w:tcMar>
                  <w:vAlign w:val="center"/>
                </w:tcPr>
                <w:p w14:paraId="6C220E54">
                  <w:pPr>
                    <w:spacing w:line="240" w:lineRule="exact"/>
                    <w:jc w:val="center"/>
                    <w:rPr>
                      <w:rFonts w:hint="eastAsia" w:ascii="Times New Roman" w:hAnsi="Times New Roman" w:eastAsia="宋体" w:cs="Times New Roman"/>
                      <w:bCs/>
                      <w:color w:val="auto"/>
                      <w:spacing w:val="0"/>
                      <w:position w:val="0"/>
                      <w:sz w:val="21"/>
                      <w:szCs w:val="21"/>
                      <w:highlight w:val="none"/>
                    </w:rPr>
                  </w:pPr>
                </w:p>
              </w:tc>
              <w:tc>
                <w:tcPr>
                  <w:tcW w:w="1054" w:type="dxa"/>
                  <w:tcBorders>
                    <w:tl2br w:val="nil"/>
                    <w:tr2bl w:val="nil"/>
                  </w:tcBorders>
                  <w:noWrap w:val="0"/>
                  <w:tcMar>
                    <w:top w:w="0" w:type="dxa"/>
                    <w:left w:w="28" w:type="dxa"/>
                    <w:bottom w:w="0" w:type="dxa"/>
                    <w:right w:w="28" w:type="dxa"/>
                  </w:tcMar>
                  <w:vAlign w:val="center"/>
                </w:tcPr>
                <w:p w14:paraId="172069A8">
                  <w:pPr>
                    <w:spacing w:line="240" w:lineRule="exact"/>
                    <w:jc w:val="center"/>
                    <w:rPr>
                      <w:rFonts w:hint="default" w:cs="Times New Roman"/>
                      <w:color w:val="auto"/>
                      <w:spacing w:val="0"/>
                      <w:position w:val="0"/>
                      <w:sz w:val="21"/>
                      <w:szCs w:val="21"/>
                      <w:highlight w:val="none"/>
                      <w:lang w:val="en-US" w:eastAsia="zh-CN"/>
                    </w:rPr>
                  </w:pPr>
                </w:p>
              </w:tc>
              <w:tc>
                <w:tcPr>
                  <w:tcW w:w="827" w:type="dxa"/>
                  <w:vMerge w:val="continue"/>
                  <w:tcBorders>
                    <w:tl2br w:val="nil"/>
                    <w:tr2bl w:val="nil"/>
                  </w:tcBorders>
                  <w:noWrap w:val="0"/>
                  <w:tcMar>
                    <w:top w:w="0" w:type="dxa"/>
                    <w:left w:w="28" w:type="dxa"/>
                    <w:bottom w:w="0" w:type="dxa"/>
                    <w:right w:w="28" w:type="dxa"/>
                  </w:tcMar>
                  <w:vAlign w:val="center"/>
                </w:tcPr>
                <w:p w14:paraId="33C02277">
                  <w:pPr>
                    <w:spacing w:line="240" w:lineRule="exact"/>
                    <w:jc w:val="center"/>
                    <w:rPr>
                      <w:rFonts w:ascii="Times New Roman" w:hAnsi="Times New Roman" w:eastAsia="宋体" w:cs="Times New Roman"/>
                      <w:color w:val="auto"/>
                      <w:spacing w:val="0"/>
                      <w:position w:val="0"/>
                      <w:sz w:val="21"/>
                      <w:szCs w:val="21"/>
                      <w:highlight w:val="none"/>
                    </w:rPr>
                  </w:pPr>
                </w:p>
              </w:tc>
              <w:tc>
                <w:tcPr>
                  <w:tcW w:w="709" w:type="dxa"/>
                  <w:tcBorders>
                    <w:tl2br w:val="nil"/>
                    <w:tr2bl w:val="nil"/>
                  </w:tcBorders>
                  <w:noWrap w:val="0"/>
                  <w:tcMar>
                    <w:top w:w="0" w:type="dxa"/>
                    <w:left w:w="28" w:type="dxa"/>
                    <w:bottom w:w="0" w:type="dxa"/>
                    <w:right w:w="28" w:type="dxa"/>
                  </w:tcMar>
                  <w:vAlign w:val="center"/>
                </w:tcPr>
                <w:p w14:paraId="4CCE558A">
                  <w:pPr>
                    <w:spacing w:line="240" w:lineRule="exact"/>
                    <w:jc w:val="center"/>
                    <w:rPr>
                      <w:rFonts w:hint="default" w:cs="Times New Roman"/>
                      <w:color w:val="auto"/>
                      <w:spacing w:val="0"/>
                      <w:position w:val="0"/>
                      <w:sz w:val="21"/>
                      <w:szCs w:val="21"/>
                      <w:highlight w:val="none"/>
                      <w:lang w:val="en-US" w:eastAsia="zh-CN"/>
                    </w:rPr>
                  </w:pPr>
                </w:p>
              </w:tc>
              <w:tc>
                <w:tcPr>
                  <w:tcW w:w="676" w:type="dxa"/>
                  <w:tcBorders>
                    <w:tl2br w:val="nil"/>
                    <w:tr2bl w:val="nil"/>
                  </w:tcBorders>
                  <w:noWrap w:val="0"/>
                  <w:tcMar>
                    <w:top w:w="0" w:type="dxa"/>
                    <w:left w:w="28" w:type="dxa"/>
                    <w:bottom w:w="0" w:type="dxa"/>
                    <w:right w:w="28" w:type="dxa"/>
                  </w:tcMar>
                  <w:vAlign w:val="center"/>
                </w:tcPr>
                <w:p w14:paraId="213B7804">
                  <w:pPr>
                    <w:spacing w:line="240" w:lineRule="exact"/>
                    <w:jc w:val="center"/>
                    <w:rPr>
                      <w:rFonts w:hint="default" w:cs="Times New Roman"/>
                      <w:color w:val="auto"/>
                      <w:spacing w:val="0"/>
                      <w:position w:val="0"/>
                      <w:sz w:val="21"/>
                      <w:szCs w:val="21"/>
                      <w:highlight w:val="none"/>
                      <w:lang w:val="en-US" w:eastAsia="zh-CN"/>
                    </w:rPr>
                  </w:pPr>
                </w:p>
              </w:tc>
              <w:tc>
                <w:tcPr>
                  <w:tcW w:w="765" w:type="dxa"/>
                  <w:tcBorders>
                    <w:tl2br w:val="nil"/>
                    <w:tr2bl w:val="nil"/>
                  </w:tcBorders>
                  <w:noWrap w:val="0"/>
                  <w:tcMar>
                    <w:top w:w="0" w:type="dxa"/>
                    <w:left w:w="28" w:type="dxa"/>
                    <w:bottom w:w="0" w:type="dxa"/>
                    <w:right w:w="28" w:type="dxa"/>
                  </w:tcMar>
                  <w:vAlign w:val="center"/>
                </w:tcPr>
                <w:p w14:paraId="31A5F70D">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767" w:type="dxa"/>
                  <w:tcBorders>
                    <w:tl2br w:val="nil"/>
                    <w:tr2bl w:val="nil"/>
                  </w:tcBorders>
                  <w:noWrap w:val="0"/>
                  <w:tcMar>
                    <w:top w:w="0" w:type="dxa"/>
                    <w:left w:w="28" w:type="dxa"/>
                    <w:bottom w:w="0" w:type="dxa"/>
                    <w:right w:w="28" w:type="dxa"/>
                  </w:tcMar>
                  <w:vAlign w:val="center"/>
                </w:tcPr>
                <w:p w14:paraId="56AFC5F0">
                  <w:pPr>
                    <w:spacing w:line="240" w:lineRule="exact"/>
                    <w:jc w:val="center"/>
                    <w:rPr>
                      <w:rFonts w:hint="eastAsia" w:cs="Times New Roman"/>
                      <w:color w:val="auto"/>
                      <w:spacing w:val="0"/>
                      <w:position w:val="0"/>
                      <w:sz w:val="21"/>
                      <w:szCs w:val="21"/>
                      <w:highlight w:val="none"/>
                      <w:lang w:val="en-US" w:eastAsia="zh-CN"/>
                    </w:rPr>
                  </w:pPr>
                </w:p>
              </w:tc>
              <w:tc>
                <w:tcPr>
                  <w:tcW w:w="1090" w:type="dxa"/>
                  <w:vMerge w:val="continue"/>
                  <w:tcBorders>
                    <w:tl2br w:val="nil"/>
                    <w:tr2bl w:val="nil"/>
                  </w:tcBorders>
                  <w:noWrap w:val="0"/>
                  <w:tcMar>
                    <w:top w:w="0" w:type="dxa"/>
                    <w:left w:w="28" w:type="dxa"/>
                    <w:bottom w:w="0" w:type="dxa"/>
                    <w:right w:w="28" w:type="dxa"/>
                  </w:tcMar>
                  <w:vAlign w:val="center"/>
                </w:tcPr>
                <w:p w14:paraId="79B26AF4">
                  <w:pPr>
                    <w:spacing w:line="240" w:lineRule="exact"/>
                    <w:jc w:val="center"/>
                    <w:rPr>
                      <w:rFonts w:ascii="Times New Roman" w:hAnsi="Times New Roman" w:eastAsia="宋体" w:cs="Times New Roman"/>
                      <w:color w:val="auto"/>
                      <w:spacing w:val="0"/>
                      <w:position w:val="0"/>
                      <w:sz w:val="21"/>
                      <w:szCs w:val="21"/>
                      <w:highlight w:val="none"/>
                    </w:rPr>
                  </w:pPr>
                </w:p>
              </w:tc>
              <w:tc>
                <w:tcPr>
                  <w:tcW w:w="980" w:type="dxa"/>
                  <w:tcBorders>
                    <w:tl2br w:val="nil"/>
                    <w:tr2bl w:val="nil"/>
                  </w:tcBorders>
                  <w:noWrap w:val="0"/>
                  <w:tcMar>
                    <w:top w:w="0" w:type="dxa"/>
                    <w:left w:w="28" w:type="dxa"/>
                    <w:bottom w:w="0" w:type="dxa"/>
                    <w:right w:w="28" w:type="dxa"/>
                  </w:tcMar>
                  <w:vAlign w:val="center"/>
                </w:tcPr>
                <w:p w14:paraId="2DAE145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Cs/>
                      <w:color w:val="auto"/>
                      <w:spacing w:val="0"/>
                      <w:position w:val="0"/>
                      <w:sz w:val="21"/>
                      <w:szCs w:val="21"/>
                      <w:highlight w:val="none"/>
                      <w:lang w:val="en-US" w:eastAsia="zh-CN"/>
                    </w:rPr>
                  </w:pPr>
                </w:p>
              </w:tc>
              <w:tc>
                <w:tcPr>
                  <w:tcW w:w="693" w:type="dxa"/>
                  <w:tcBorders>
                    <w:tl2br w:val="nil"/>
                    <w:tr2bl w:val="nil"/>
                  </w:tcBorders>
                  <w:noWrap w:val="0"/>
                  <w:tcMar>
                    <w:top w:w="0" w:type="dxa"/>
                    <w:left w:w="28" w:type="dxa"/>
                    <w:bottom w:w="0" w:type="dxa"/>
                    <w:right w:w="28" w:type="dxa"/>
                  </w:tcMar>
                  <w:vAlign w:val="center"/>
                </w:tcPr>
                <w:p w14:paraId="2F498C2B">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cs="Times New Roman"/>
                      <w:bCs/>
                      <w:color w:val="auto"/>
                      <w:spacing w:val="0"/>
                      <w:position w:val="0"/>
                      <w:sz w:val="21"/>
                      <w:szCs w:val="21"/>
                      <w:highlight w:val="none"/>
                      <w:lang w:val="en-US" w:eastAsia="zh-CN"/>
                    </w:rPr>
                  </w:pPr>
                </w:p>
              </w:tc>
            </w:tr>
            <w:tr w14:paraId="01BB8C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tcBorders>
                    <w:tl2br w:val="nil"/>
                    <w:tr2bl w:val="nil"/>
                  </w:tcBorders>
                  <w:noWrap w:val="0"/>
                  <w:tcMar>
                    <w:top w:w="0" w:type="dxa"/>
                    <w:left w:w="28" w:type="dxa"/>
                    <w:bottom w:w="0" w:type="dxa"/>
                    <w:right w:w="28" w:type="dxa"/>
                  </w:tcMar>
                  <w:vAlign w:val="center"/>
                </w:tcPr>
                <w:p w14:paraId="2A5EB2A4">
                  <w:pPr>
                    <w:spacing w:line="240" w:lineRule="exact"/>
                    <w:jc w:val="center"/>
                    <w:rPr>
                      <w:rFonts w:hint="default" w:ascii="Times New Roman" w:hAnsi="Times New Roman" w:eastAsia="宋体" w:cs="Times New Roman"/>
                      <w:bCs/>
                      <w:color w:val="auto"/>
                      <w:spacing w:val="0"/>
                      <w:position w:val="0"/>
                      <w:sz w:val="21"/>
                      <w:szCs w:val="21"/>
                      <w:highlight w:val="none"/>
                      <w:lang w:val="en-US" w:eastAsia="zh-CN"/>
                    </w:rPr>
                  </w:pPr>
                  <w:r>
                    <w:rPr>
                      <w:rFonts w:hint="eastAsia" w:ascii="Times New Roman" w:hAnsi="Times New Roman" w:eastAsia="宋体" w:cs="Times New Roman"/>
                      <w:bCs/>
                      <w:color w:val="auto"/>
                      <w:spacing w:val="0"/>
                      <w:position w:val="0"/>
                      <w:sz w:val="21"/>
                      <w:szCs w:val="21"/>
                      <w:highlight w:val="none"/>
                      <w:lang w:val="en-US" w:eastAsia="zh-CN"/>
                    </w:rPr>
                    <w:t>盛装原料</w:t>
                  </w:r>
                </w:p>
              </w:tc>
              <w:tc>
                <w:tcPr>
                  <w:tcW w:w="1151" w:type="dxa"/>
                  <w:tcBorders>
                    <w:tl2br w:val="nil"/>
                    <w:tr2bl w:val="nil"/>
                  </w:tcBorders>
                  <w:noWrap w:val="0"/>
                  <w:tcMar>
                    <w:top w:w="0" w:type="dxa"/>
                    <w:left w:w="28" w:type="dxa"/>
                    <w:bottom w:w="0" w:type="dxa"/>
                    <w:right w:w="28" w:type="dxa"/>
                  </w:tcMar>
                  <w:vAlign w:val="center"/>
                </w:tcPr>
                <w:p w14:paraId="290A27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0"/>
                      <w:position w:val="0"/>
                      <w:sz w:val="21"/>
                      <w:szCs w:val="21"/>
                      <w:highlight w:val="none"/>
                      <w:lang w:val="en-US"/>
                    </w:rPr>
                  </w:pPr>
                  <w:r>
                    <w:rPr>
                      <w:rFonts w:hint="eastAsia" w:cs="Times New Roman"/>
                      <w:color w:val="auto"/>
                      <w:spacing w:val="0"/>
                      <w:position w:val="0"/>
                      <w:sz w:val="21"/>
                      <w:szCs w:val="21"/>
                      <w:highlight w:val="none"/>
                      <w:vertAlign w:val="baseline"/>
                      <w:lang w:val="en-US" w:eastAsia="zh-CN"/>
                    </w:rPr>
                    <w:t>废化学品包装物</w:t>
                  </w:r>
                </w:p>
              </w:tc>
              <w:tc>
                <w:tcPr>
                  <w:tcW w:w="825" w:type="dxa"/>
                  <w:vMerge w:val="continue"/>
                  <w:tcBorders>
                    <w:tl2br w:val="nil"/>
                    <w:tr2bl w:val="nil"/>
                  </w:tcBorders>
                  <w:noWrap w:val="0"/>
                  <w:tcMar>
                    <w:top w:w="0" w:type="dxa"/>
                    <w:left w:w="28" w:type="dxa"/>
                    <w:bottom w:w="0" w:type="dxa"/>
                    <w:right w:w="28" w:type="dxa"/>
                  </w:tcMar>
                  <w:vAlign w:val="center"/>
                </w:tcPr>
                <w:p w14:paraId="77FF2F02">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953" w:type="dxa"/>
                  <w:tcBorders>
                    <w:tl2br w:val="nil"/>
                    <w:tr2bl w:val="nil"/>
                  </w:tcBorders>
                  <w:noWrap w:val="0"/>
                  <w:tcMar>
                    <w:top w:w="0" w:type="dxa"/>
                    <w:left w:w="28" w:type="dxa"/>
                    <w:bottom w:w="0" w:type="dxa"/>
                    <w:right w:w="28" w:type="dxa"/>
                  </w:tcMar>
                  <w:vAlign w:val="center"/>
                </w:tcPr>
                <w:p w14:paraId="65C30380">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51" w:type="dxa"/>
                  <w:tcBorders>
                    <w:tl2br w:val="nil"/>
                    <w:tr2bl w:val="nil"/>
                  </w:tcBorders>
                  <w:noWrap w:val="0"/>
                  <w:tcMar>
                    <w:top w:w="0" w:type="dxa"/>
                    <w:left w:w="28" w:type="dxa"/>
                    <w:bottom w:w="0" w:type="dxa"/>
                    <w:right w:w="28" w:type="dxa"/>
                  </w:tcMar>
                  <w:vAlign w:val="center"/>
                </w:tcPr>
                <w:p w14:paraId="6EF6B64E">
                  <w:pPr>
                    <w:spacing w:line="240" w:lineRule="exact"/>
                    <w:jc w:val="center"/>
                    <w:rPr>
                      <w:rFonts w:ascii="Times New Roman" w:hAnsi="Times New Roman" w:eastAsia="宋体" w:cs="Times New Roman"/>
                      <w:color w:val="auto"/>
                      <w:spacing w:val="0"/>
                      <w:position w:val="0"/>
                      <w:sz w:val="21"/>
                      <w:szCs w:val="21"/>
                      <w:highlight w:val="none"/>
                    </w:rPr>
                  </w:pPr>
                </w:p>
              </w:tc>
              <w:tc>
                <w:tcPr>
                  <w:tcW w:w="783" w:type="dxa"/>
                  <w:tcBorders>
                    <w:tl2br w:val="nil"/>
                    <w:tr2bl w:val="nil"/>
                  </w:tcBorders>
                  <w:noWrap w:val="0"/>
                  <w:tcMar>
                    <w:top w:w="0" w:type="dxa"/>
                    <w:left w:w="28" w:type="dxa"/>
                    <w:bottom w:w="0" w:type="dxa"/>
                    <w:right w:w="28" w:type="dxa"/>
                  </w:tcMar>
                  <w:vAlign w:val="center"/>
                </w:tcPr>
                <w:p w14:paraId="2C1065C6">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1386" w:type="dxa"/>
                  <w:tcBorders>
                    <w:tl2br w:val="nil"/>
                    <w:tr2bl w:val="nil"/>
                  </w:tcBorders>
                  <w:noWrap w:val="0"/>
                  <w:tcMar>
                    <w:top w:w="0" w:type="dxa"/>
                    <w:left w:w="28" w:type="dxa"/>
                    <w:bottom w:w="0" w:type="dxa"/>
                    <w:right w:w="28" w:type="dxa"/>
                  </w:tcMar>
                  <w:vAlign w:val="center"/>
                </w:tcPr>
                <w:p w14:paraId="6D917F7E">
                  <w:pPr>
                    <w:spacing w:line="240" w:lineRule="exact"/>
                    <w:jc w:val="center"/>
                    <w:rPr>
                      <w:rFonts w:ascii="Times New Roman" w:hAnsi="Times New Roman" w:eastAsia="宋体" w:cs="Times New Roman"/>
                      <w:bCs/>
                      <w:color w:val="auto"/>
                      <w:spacing w:val="0"/>
                      <w:position w:val="0"/>
                      <w:sz w:val="21"/>
                      <w:szCs w:val="21"/>
                      <w:highlight w:val="none"/>
                    </w:rPr>
                  </w:pPr>
                </w:p>
              </w:tc>
              <w:tc>
                <w:tcPr>
                  <w:tcW w:w="1054" w:type="dxa"/>
                  <w:tcBorders>
                    <w:tl2br w:val="nil"/>
                    <w:tr2bl w:val="nil"/>
                  </w:tcBorders>
                  <w:noWrap w:val="0"/>
                  <w:tcMar>
                    <w:top w:w="0" w:type="dxa"/>
                    <w:left w:w="28" w:type="dxa"/>
                    <w:bottom w:w="0" w:type="dxa"/>
                    <w:right w:w="28" w:type="dxa"/>
                  </w:tcMar>
                  <w:vAlign w:val="center"/>
                </w:tcPr>
                <w:p w14:paraId="08517E75">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827" w:type="dxa"/>
                  <w:vMerge w:val="restart"/>
                  <w:tcBorders>
                    <w:tl2br w:val="nil"/>
                    <w:tr2bl w:val="nil"/>
                  </w:tcBorders>
                  <w:noWrap w:val="0"/>
                  <w:tcMar>
                    <w:top w:w="0" w:type="dxa"/>
                    <w:left w:w="28" w:type="dxa"/>
                    <w:bottom w:w="0" w:type="dxa"/>
                    <w:right w:w="28" w:type="dxa"/>
                  </w:tcMar>
                  <w:vAlign w:val="center"/>
                </w:tcPr>
                <w:p w14:paraId="67E4A853">
                  <w:pPr>
                    <w:spacing w:line="240" w:lineRule="exact"/>
                    <w:jc w:val="center"/>
                    <w:rPr>
                      <w:rFonts w:ascii="Times New Roman" w:hAnsi="Times New Roman" w:eastAsia="宋体" w:cs="Times New Roman"/>
                      <w:color w:val="auto"/>
                      <w:spacing w:val="0"/>
                      <w:position w:val="0"/>
                      <w:sz w:val="21"/>
                      <w:szCs w:val="21"/>
                      <w:highlight w:val="none"/>
                    </w:rPr>
                  </w:pPr>
                </w:p>
              </w:tc>
              <w:tc>
                <w:tcPr>
                  <w:tcW w:w="709" w:type="dxa"/>
                  <w:tcBorders>
                    <w:tl2br w:val="nil"/>
                    <w:tr2bl w:val="nil"/>
                  </w:tcBorders>
                  <w:noWrap w:val="0"/>
                  <w:tcMar>
                    <w:top w:w="0" w:type="dxa"/>
                    <w:left w:w="28" w:type="dxa"/>
                    <w:bottom w:w="0" w:type="dxa"/>
                    <w:right w:w="28" w:type="dxa"/>
                  </w:tcMar>
                  <w:vAlign w:val="center"/>
                </w:tcPr>
                <w:p w14:paraId="68BC1C1C">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676" w:type="dxa"/>
                  <w:tcBorders>
                    <w:tl2br w:val="nil"/>
                    <w:tr2bl w:val="nil"/>
                  </w:tcBorders>
                  <w:noWrap w:val="0"/>
                  <w:tcMar>
                    <w:top w:w="0" w:type="dxa"/>
                    <w:left w:w="28" w:type="dxa"/>
                    <w:bottom w:w="0" w:type="dxa"/>
                    <w:right w:w="28" w:type="dxa"/>
                  </w:tcMar>
                  <w:vAlign w:val="center"/>
                </w:tcPr>
                <w:p w14:paraId="2A1454D4">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65" w:type="dxa"/>
                  <w:tcBorders>
                    <w:tl2br w:val="nil"/>
                    <w:tr2bl w:val="nil"/>
                  </w:tcBorders>
                  <w:noWrap w:val="0"/>
                  <w:tcMar>
                    <w:top w:w="0" w:type="dxa"/>
                    <w:left w:w="28" w:type="dxa"/>
                    <w:bottom w:w="0" w:type="dxa"/>
                    <w:right w:w="28" w:type="dxa"/>
                  </w:tcMar>
                  <w:vAlign w:val="center"/>
                </w:tcPr>
                <w:p w14:paraId="75B05F4F">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767" w:type="dxa"/>
                  <w:tcBorders>
                    <w:tl2br w:val="nil"/>
                    <w:tr2bl w:val="nil"/>
                  </w:tcBorders>
                  <w:noWrap w:val="0"/>
                  <w:tcMar>
                    <w:top w:w="0" w:type="dxa"/>
                    <w:left w:w="28" w:type="dxa"/>
                    <w:bottom w:w="0" w:type="dxa"/>
                    <w:right w:w="28" w:type="dxa"/>
                  </w:tcMar>
                  <w:vAlign w:val="center"/>
                </w:tcPr>
                <w:p w14:paraId="57C80060">
                  <w:pPr>
                    <w:spacing w:line="240" w:lineRule="exact"/>
                    <w:jc w:val="center"/>
                    <w:rPr>
                      <w:rFonts w:hint="default" w:ascii="Times New Roman" w:hAnsi="Times New Roman" w:eastAsia="宋体" w:cs="Times New Roman"/>
                      <w:color w:val="auto"/>
                      <w:spacing w:val="0"/>
                      <w:position w:val="0"/>
                      <w:sz w:val="21"/>
                      <w:szCs w:val="21"/>
                      <w:highlight w:val="none"/>
                      <w:lang w:val="en-US"/>
                    </w:rPr>
                  </w:pPr>
                </w:p>
              </w:tc>
              <w:tc>
                <w:tcPr>
                  <w:tcW w:w="1090" w:type="dxa"/>
                  <w:vMerge w:val="continue"/>
                  <w:tcBorders>
                    <w:tl2br w:val="nil"/>
                    <w:tr2bl w:val="nil"/>
                  </w:tcBorders>
                  <w:noWrap w:val="0"/>
                  <w:tcMar>
                    <w:top w:w="0" w:type="dxa"/>
                    <w:left w:w="28" w:type="dxa"/>
                    <w:bottom w:w="0" w:type="dxa"/>
                    <w:right w:w="28" w:type="dxa"/>
                  </w:tcMar>
                  <w:vAlign w:val="center"/>
                </w:tcPr>
                <w:p w14:paraId="308A44CD">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980" w:type="dxa"/>
                  <w:tcBorders>
                    <w:tl2br w:val="nil"/>
                    <w:tr2bl w:val="nil"/>
                  </w:tcBorders>
                  <w:noWrap w:val="0"/>
                  <w:tcMar>
                    <w:top w:w="0" w:type="dxa"/>
                    <w:left w:w="28" w:type="dxa"/>
                    <w:bottom w:w="0" w:type="dxa"/>
                    <w:right w:w="28" w:type="dxa"/>
                  </w:tcMar>
                  <w:vAlign w:val="center"/>
                </w:tcPr>
                <w:p w14:paraId="76D617D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Cs/>
                      <w:color w:val="auto"/>
                      <w:spacing w:val="0"/>
                      <w:position w:val="0"/>
                      <w:sz w:val="21"/>
                      <w:szCs w:val="21"/>
                      <w:highlight w:val="none"/>
                      <w:lang w:val="en-US" w:eastAsia="zh-CN"/>
                    </w:rPr>
                  </w:pPr>
                </w:p>
              </w:tc>
              <w:tc>
                <w:tcPr>
                  <w:tcW w:w="693" w:type="dxa"/>
                  <w:tcBorders>
                    <w:tl2br w:val="nil"/>
                    <w:tr2bl w:val="nil"/>
                  </w:tcBorders>
                  <w:noWrap w:val="0"/>
                  <w:tcMar>
                    <w:top w:w="0" w:type="dxa"/>
                    <w:left w:w="28" w:type="dxa"/>
                    <w:bottom w:w="0" w:type="dxa"/>
                    <w:right w:w="28" w:type="dxa"/>
                  </w:tcMar>
                  <w:vAlign w:val="center"/>
                </w:tcPr>
                <w:p w14:paraId="6C8BD5AC">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bCs/>
                      <w:color w:val="auto"/>
                      <w:spacing w:val="0"/>
                      <w:position w:val="0"/>
                      <w:sz w:val="21"/>
                      <w:szCs w:val="21"/>
                      <w:highlight w:val="none"/>
                      <w:lang w:val="en-US" w:eastAsia="zh-CN"/>
                    </w:rPr>
                  </w:pPr>
                </w:p>
              </w:tc>
            </w:tr>
            <w:tr w14:paraId="239CFF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vMerge w:val="restart"/>
                  <w:tcBorders>
                    <w:tl2br w:val="nil"/>
                    <w:tr2bl w:val="nil"/>
                  </w:tcBorders>
                  <w:noWrap w:val="0"/>
                  <w:tcMar>
                    <w:top w:w="0" w:type="dxa"/>
                    <w:left w:w="28" w:type="dxa"/>
                    <w:bottom w:w="0" w:type="dxa"/>
                    <w:right w:w="28" w:type="dxa"/>
                  </w:tcMar>
                  <w:vAlign w:val="center"/>
                </w:tcPr>
                <w:p w14:paraId="49F31BDB">
                  <w:pPr>
                    <w:spacing w:line="240" w:lineRule="exact"/>
                    <w:jc w:val="center"/>
                    <w:rPr>
                      <w:rFonts w:hint="default" w:ascii="Times New Roman" w:hAnsi="Times New Roman" w:eastAsia="宋体" w:cs="Times New Roman"/>
                      <w:bCs/>
                      <w:color w:val="auto"/>
                      <w:spacing w:val="0"/>
                      <w:position w:val="0"/>
                      <w:sz w:val="21"/>
                      <w:szCs w:val="21"/>
                      <w:highlight w:val="none"/>
                      <w:lang w:val="en-US" w:eastAsia="zh-CN"/>
                    </w:rPr>
                  </w:pPr>
                  <w:r>
                    <w:rPr>
                      <w:rFonts w:hint="eastAsia" w:cs="Times New Roman"/>
                      <w:bCs/>
                      <w:color w:val="auto"/>
                      <w:spacing w:val="0"/>
                      <w:position w:val="0"/>
                      <w:sz w:val="21"/>
                      <w:szCs w:val="21"/>
                      <w:highlight w:val="none"/>
                      <w:lang w:val="en-US" w:eastAsia="zh-CN"/>
                    </w:rPr>
                    <w:t>设备维修</w:t>
                  </w:r>
                </w:p>
              </w:tc>
              <w:tc>
                <w:tcPr>
                  <w:tcW w:w="1151" w:type="dxa"/>
                  <w:tcBorders>
                    <w:tl2br w:val="nil"/>
                    <w:tr2bl w:val="nil"/>
                  </w:tcBorders>
                  <w:noWrap w:val="0"/>
                  <w:tcMar>
                    <w:top w:w="0" w:type="dxa"/>
                    <w:left w:w="28" w:type="dxa"/>
                    <w:bottom w:w="0" w:type="dxa"/>
                    <w:right w:w="28" w:type="dxa"/>
                  </w:tcMar>
                  <w:vAlign w:val="center"/>
                </w:tcPr>
                <w:p w14:paraId="0D449A9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废润滑油</w:t>
                  </w:r>
                </w:p>
              </w:tc>
              <w:tc>
                <w:tcPr>
                  <w:tcW w:w="825" w:type="dxa"/>
                  <w:vMerge w:val="continue"/>
                  <w:tcBorders>
                    <w:tl2br w:val="nil"/>
                    <w:tr2bl w:val="nil"/>
                  </w:tcBorders>
                  <w:noWrap w:val="0"/>
                  <w:tcMar>
                    <w:top w:w="0" w:type="dxa"/>
                    <w:left w:w="28" w:type="dxa"/>
                    <w:bottom w:w="0" w:type="dxa"/>
                    <w:right w:w="28" w:type="dxa"/>
                  </w:tcMar>
                  <w:vAlign w:val="center"/>
                </w:tcPr>
                <w:p w14:paraId="330C565F">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953" w:type="dxa"/>
                  <w:tcBorders>
                    <w:tl2br w:val="nil"/>
                    <w:tr2bl w:val="nil"/>
                  </w:tcBorders>
                  <w:noWrap w:val="0"/>
                  <w:tcMar>
                    <w:top w:w="0" w:type="dxa"/>
                    <w:left w:w="28" w:type="dxa"/>
                    <w:bottom w:w="0" w:type="dxa"/>
                    <w:right w:w="28" w:type="dxa"/>
                  </w:tcMar>
                  <w:vAlign w:val="center"/>
                </w:tcPr>
                <w:p w14:paraId="7C73C473">
                  <w:pPr>
                    <w:spacing w:line="240" w:lineRule="auto"/>
                    <w:ind w:firstLine="0" w:firstLineChars="0"/>
                    <w:jc w:val="center"/>
                    <w:rPr>
                      <w:rFonts w:hint="eastAsia" w:ascii="Times New Roman" w:hAnsi="Times New Roman" w:eastAsia="宋体" w:cs="Times New Roman"/>
                      <w:color w:val="auto"/>
                      <w:spacing w:val="0"/>
                      <w:position w:val="0"/>
                      <w:sz w:val="21"/>
                      <w:szCs w:val="21"/>
                      <w:highlight w:val="none"/>
                    </w:rPr>
                  </w:pPr>
                </w:p>
              </w:tc>
              <w:tc>
                <w:tcPr>
                  <w:tcW w:w="751" w:type="dxa"/>
                  <w:tcBorders>
                    <w:tl2br w:val="nil"/>
                    <w:tr2bl w:val="nil"/>
                  </w:tcBorders>
                  <w:noWrap w:val="0"/>
                  <w:tcMar>
                    <w:top w:w="0" w:type="dxa"/>
                    <w:left w:w="28" w:type="dxa"/>
                    <w:bottom w:w="0" w:type="dxa"/>
                    <w:right w:w="28" w:type="dxa"/>
                  </w:tcMar>
                  <w:vAlign w:val="center"/>
                </w:tcPr>
                <w:p w14:paraId="1BADE9C9">
                  <w:pPr>
                    <w:spacing w:line="240" w:lineRule="auto"/>
                    <w:ind w:firstLine="0" w:firstLineChars="0"/>
                    <w:jc w:val="center"/>
                    <w:rPr>
                      <w:rFonts w:ascii="Times New Roman" w:hAnsi="Times New Roman" w:eastAsia="宋体" w:cs="Times New Roman"/>
                      <w:color w:val="auto"/>
                      <w:spacing w:val="0"/>
                      <w:position w:val="0"/>
                      <w:sz w:val="21"/>
                      <w:szCs w:val="21"/>
                      <w:highlight w:val="none"/>
                    </w:rPr>
                  </w:pPr>
                </w:p>
              </w:tc>
              <w:tc>
                <w:tcPr>
                  <w:tcW w:w="783" w:type="dxa"/>
                  <w:tcBorders>
                    <w:tl2br w:val="nil"/>
                    <w:tr2bl w:val="nil"/>
                  </w:tcBorders>
                  <w:noWrap w:val="0"/>
                  <w:tcMar>
                    <w:top w:w="0" w:type="dxa"/>
                    <w:left w:w="28" w:type="dxa"/>
                    <w:bottom w:w="0" w:type="dxa"/>
                    <w:right w:w="28" w:type="dxa"/>
                  </w:tcMar>
                  <w:vAlign w:val="center"/>
                </w:tcPr>
                <w:p w14:paraId="1A069F8C">
                  <w:pPr>
                    <w:spacing w:line="240" w:lineRule="auto"/>
                    <w:ind w:firstLine="0" w:firstLineChars="0"/>
                    <w:jc w:val="center"/>
                    <w:rPr>
                      <w:rFonts w:hint="eastAsia" w:ascii="Times New Roman" w:hAnsi="Times New Roman" w:eastAsia="宋体" w:cs="Times New Roman"/>
                      <w:color w:val="auto"/>
                      <w:spacing w:val="0"/>
                      <w:kern w:val="2"/>
                      <w:position w:val="0"/>
                      <w:sz w:val="21"/>
                      <w:szCs w:val="21"/>
                      <w:highlight w:val="none"/>
                      <w:lang w:val="en-US" w:eastAsia="zh-CN" w:bidi="ar-SA"/>
                    </w:rPr>
                  </w:pPr>
                </w:p>
              </w:tc>
              <w:tc>
                <w:tcPr>
                  <w:tcW w:w="1386" w:type="dxa"/>
                  <w:tcBorders>
                    <w:tl2br w:val="nil"/>
                    <w:tr2bl w:val="nil"/>
                  </w:tcBorders>
                  <w:noWrap w:val="0"/>
                  <w:tcMar>
                    <w:top w:w="0" w:type="dxa"/>
                    <w:left w:w="28" w:type="dxa"/>
                    <w:bottom w:w="0" w:type="dxa"/>
                    <w:right w:w="28" w:type="dxa"/>
                  </w:tcMar>
                  <w:vAlign w:val="center"/>
                </w:tcPr>
                <w:p w14:paraId="39F42A42">
                  <w:pPr>
                    <w:spacing w:line="240" w:lineRule="auto"/>
                    <w:ind w:firstLine="0" w:firstLineChars="0"/>
                    <w:jc w:val="center"/>
                    <w:rPr>
                      <w:rFonts w:ascii="Times New Roman" w:hAnsi="Times New Roman" w:eastAsia="宋体" w:cs="Times New Roman"/>
                      <w:bCs/>
                      <w:color w:val="auto"/>
                      <w:spacing w:val="0"/>
                      <w:position w:val="0"/>
                      <w:sz w:val="21"/>
                      <w:szCs w:val="21"/>
                      <w:highlight w:val="none"/>
                    </w:rPr>
                  </w:pPr>
                </w:p>
              </w:tc>
              <w:tc>
                <w:tcPr>
                  <w:tcW w:w="1054" w:type="dxa"/>
                  <w:tcBorders>
                    <w:tl2br w:val="nil"/>
                    <w:tr2bl w:val="nil"/>
                  </w:tcBorders>
                  <w:noWrap w:val="0"/>
                  <w:tcMar>
                    <w:top w:w="0" w:type="dxa"/>
                    <w:left w:w="28" w:type="dxa"/>
                    <w:bottom w:w="0" w:type="dxa"/>
                    <w:right w:w="28" w:type="dxa"/>
                  </w:tcMar>
                  <w:vAlign w:val="center"/>
                </w:tcPr>
                <w:p w14:paraId="4038F294">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cs="Times New Roman"/>
                      <w:color w:val="auto"/>
                      <w:spacing w:val="0"/>
                      <w:position w:val="0"/>
                      <w:sz w:val="21"/>
                      <w:szCs w:val="21"/>
                      <w:highlight w:val="none"/>
                      <w:lang w:val="en-US" w:eastAsia="zh-CN"/>
                    </w:rPr>
                  </w:pPr>
                </w:p>
              </w:tc>
              <w:tc>
                <w:tcPr>
                  <w:tcW w:w="827" w:type="dxa"/>
                  <w:vMerge w:val="continue"/>
                  <w:tcBorders>
                    <w:tl2br w:val="nil"/>
                    <w:tr2bl w:val="nil"/>
                  </w:tcBorders>
                  <w:noWrap w:val="0"/>
                  <w:tcMar>
                    <w:top w:w="0" w:type="dxa"/>
                    <w:left w:w="28" w:type="dxa"/>
                    <w:bottom w:w="0" w:type="dxa"/>
                    <w:right w:w="28" w:type="dxa"/>
                  </w:tcMar>
                  <w:vAlign w:val="center"/>
                </w:tcPr>
                <w:p w14:paraId="7CA1BFDA">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ascii="Times New Roman" w:hAnsi="Times New Roman" w:eastAsia="宋体" w:cs="Times New Roman"/>
                      <w:color w:val="auto"/>
                      <w:spacing w:val="0"/>
                      <w:sz w:val="21"/>
                      <w:szCs w:val="21"/>
                      <w:highlight w:val="none"/>
                    </w:rPr>
                  </w:pPr>
                </w:p>
              </w:tc>
              <w:tc>
                <w:tcPr>
                  <w:tcW w:w="709" w:type="dxa"/>
                  <w:tcBorders>
                    <w:tl2br w:val="nil"/>
                    <w:tr2bl w:val="nil"/>
                  </w:tcBorders>
                  <w:noWrap w:val="0"/>
                  <w:tcMar>
                    <w:top w:w="0" w:type="dxa"/>
                    <w:left w:w="28" w:type="dxa"/>
                    <w:bottom w:w="0" w:type="dxa"/>
                    <w:right w:w="28" w:type="dxa"/>
                  </w:tcMar>
                  <w:vAlign w:val="center"/>
                </w:tcPr>
                <w:p w14:paraId="5BDDB3DD">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676" w:type="dxa"/>
                  <w:tcBorders>
                    <w:tl2br w:val="nil"/>
                    <w:tr2bl w:val="nil"/>
                  </w:tcBorders>
                  <w:noWrap w:val="0"/>
                  <w:tcMar>
                    <w:top w:w="0" w:type="dxa"/>
                    <w:left w:w="28" w:type="dxa"/>
                    <w:bottom w:w="0" w:type="dxa"/>
                    <w:right w:w="28" w:type="dxa"/>
                  </w:tcMar>
                  <w:vAlign w:val="center"/>
                </w:tcPr>
                <w:p w14:paraId="37456FCF">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rPr>
                  </w:pPr>
                </w:p>
              </w:tc>
              <w:tc>
                <w:tcPr>
                  <w:tcW w:w="765" w:type="dxa"/>
                  <w:tcBorders>
                    <w:tl2br w:val="nil"/>
                    <w:tr2bl w:val="nil"/>
                  </w:tcBorders>
                  <w:noWrap w:val="0"/>
                  <w:tcMar>
                    <w:top w:w="0" w:type="dxa"/>
                    <w:left w:w="28" w:type="dxa"/>
                    <w:bottom w:w="0" w:type="dxa"/>
                    <w:right w:w="28" w:type="dxa"/>
                  </w:tcMar>
                  <w:vAlign w:val="center"/>
                </w:tcPr>
                <w:p w14:paraId="4E21514C">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rPr>
                  </w:pPr>
                </w:p>
              </w:tc>
              <w:tc>
                <w:tcPr>
                  <w:tcW w:w="767" w:type="dxa"/>
                  <w:tcBorders>
                    <w:tl2br w:val="nil"/>
                    <w:tr2bl w:val="nil"/>
                  </w:tcBorders>
                  <w:noWrap w:val="0"/>
                  <w:tcMar>
                    <w:top w:w="0" w:type="dxa"/>
                    <w:left w:w="28" w:type="dxa"/>
                    <w:bottom w:w="0" w:type="dxa"/>
                    <w:right w:w="28" w:type="dxa"/>
                  </w:tcMar>
                  <w:vAlign w:val="center"/>
                </w:tcPr>
                <w:p w14:paraId="2352D34C">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cs="Times New Roman"/>
                      <w:color w:val="auto"/>
                      <w:spacing w:val="0"/>
                      <w:position w:val="0"/>
                      <w:sz w:val="21"/>
                      <w:szCs w:val="21"/>
                      <w:highlight w:val="none"/>
                      <w:lang w:val="en-US" w:eastAsia="zh-CN"/>
                    </w:rPr>
                  </w:pPr>
                </w:p>
              </w:tc>
              <w:tc>
                <w:tcPr>
                  <w:tcW w:w="1090" w:type="dxa"/>
                  <w:vMerge w:val="continue"/>
                  <w:tcBorders>
                    <w:tl2br w:val="nil"/>
                    <w:tr2bl w:val="nil"/>
                  </w:tcBorders>
                  <w:noWrap w:val="0"/>
                  <w:tcMar>
                    <w:top w:w="0" w:type="dxa"/>
                    <w:left w:w="28" w:type="dxa"/>
                    <w:bottom w:w="0" w:type="dxa"/>
                    <w:right w:w="28" w:type="dxa"/>
                  </w:tcMar>
                  <w:vAlign w:val="center"/>
                </w:tcPr>
                <w:p w14:paraId="26D79878">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980" w:type="dxa"/>
                  <w:tcBorders>
                    <w:tl2br w:val="nil"/>
                    <w:tr2bl w:val="nil"/>
                  </w:tcBorders>
                  <w:noWrap w:val="0"/>
                  <w:tcMar>
                    <w:top w:w="0" w:type="dxa"/>
                    <w:left w:w="28" w:type="dxa"/>
                    <w:bottom w:w="0" w:type="dxa"/>
                    <w:right w:w="28" w:type="dxa"/>
                  </w:tcMar>
                  <w:vAlign w:val="center"/>
                </w:tcPr>
                <w:p w14:paraId="7E7DD43C">
                  <w:pPr>
                    <w:keepNext w:val="0"/>
                    <w:keepLines w:val="0"/>
                    <w:pageBreakBefore w:val="0"/>
                    <w:kinsoku/>
                    <w:wordWrap/>
                    <w:overflowPunct/>
                    <w:topLinePunct w:val="0"/>
                    <w:autoSpaceDE/>
                    <w:autoSpaceDN/>
                    <w:bidi w:val="0"/>
                    <w:adjustRightInd/>
                    <w:snapToGrid/>
                    <w:spacing w:line="240" w:lineRule="exact"/>
                    <w:jc w:val="center"/>
                    <w:rPr>
                      <w:rFonts w:hint="eastAsia" w:cs="Times New Roman"/>
                      <w:color w:val="auto"/>
                      <w:spacing w:val="0"/>
                      <w:position w:val="0"/>
                      <w:sz w:val="21"/>
                      <w:szCs w:val="21"/>
                      <w:highlight w:val="none"/>
                      <w:lang w:val="en-US" w:eastAsia="zh-CN"/>
                    </w:rPr>
                  </w:pPr>
                </w:p>
              </w:tc>
              <w:tc>
                <w:tcPr>
                  <w:tcW w:w="693" w:type="dxa"/>
                  <w:tcBorders>
                    <w:tl2br w:val="nil"/>
                    <w:tr2bl w:val="nil"/>
                  </w:tcBorders>
                  <w:noWrap w:val="0"/>
                  <w:tcMar>
                    <w:top w:w="0" w:type="dxa"/>
                    <w:left w:w="28" w:type="dxa"/>
                    <w:bottom w:w="0" w:type="dxa"/>
                    <w:right w:w="28" w:type="dxa"/>
                  </w:tcMar>
                  <w:vAlign w:val="center"/>
                </w:tcPr>
                <w:p w14:paraId="28522423">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14:paraId="29B0C0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vMerge w:val="continue"/>
                  <w:tcBorders>
                    <w:tl2br w:val="nil"/>
                    <w:tr2bl w:val="nil"/>
                  </w:tcBorders>
                  <w:noWrap w:val="0"/>
                  <w:tcMar>
                    <w:top w:w="0" w:type="dxa"/>
                    <w:left w:w="28" w:type="dxa"/>
                    <w:bottom w:w="0" w:type="dxa"/>
                    <w:right w:w="28" w:type="dxa"/>
                  </w:tcMar>
                  <w:vAlign w:val="center"/>
                </w:tcPr>
                <w:p w14:paraId="20BB7ECC">
                  <w:pPr>
                    <w:spacing w:line="240" w:lineRule="exact"/>
                    <w:jc w:val="center"/>
                    <w:rPr>
                      <w:rFonts w:hint="eastAsia" w:ascii="Times New Roman" w:hAnsi="Times New Roman" w:eastAsia="宋体" w:cs="Times New Roman"/>
                      <w:bCs/>
                      <w:color w:val="auto"/>
                      <w:spacing w:val="0"/>
                      <w:position w:val="0"/>
                      <w:sz w:val="21"/>
                      <w:szCs w:val="21"/>
                      <w:highlight w:val="none"/>
                      <w:lang w:val="en-US" w:eastAsia="zh-CN"/>
                    </w:rPr>
                  </w:pPr>
                </w:p>
              </w:tc>
              <w:tc>
                <w:tcPr>
                  <w:tcW w:w="1151" w:type="dxa"/>
                  <w:tcBorders>
                    <w:tl2br w:val="nil"/>
                    <w:tr2bl w:val="nil"/>
                  </w:tcBorders>
                  <w:noWrap w:val="0"/>
                  <w:tcMar>
                    <w:top w:w="0" w:type="dxa"/>
                    <w:left w:w="28" w:type="dxa"/>
                    <w:bottom w:w="0" w:type="dxa"/>
                    <w:right w:w="28" w:type="dxa"/>
                  </w:tcMar>
                  <w:vAlign w:val="center"/>
                </w:tcPr>
                <w:p w14:paraId="479D000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润滑油空桶</w:t>
                  </w:r>
                </w:p>
              </w:tc>
              <w:tc>
                <w:tcPr>
                  <w:tcW w:w="825" w:type="dxa"/>
                  <w:vMerge w:val="continue"/>
                  <w:tcBorders>
                    <w:tl2br w:val="nil"/>
                    <w:tr2bl w:val="nil"/>
                  </w:tcBorders>
                  <w:noWrap w:val="0"/>
                  <w:tcMar>
                    <w:top w:w="0" w:type="dxa"/>
                    <w:left w:w="28" w:type="dxa"/>
                    <w:bottom w:w="0" w:type="dxa"/>
                    <w:right w:w="28" w:type="dxa"/>
                  </w:tcMar>
                  <w:vAlign w:val="center"/>
                </w:tcPr>
                <w:p w14:paraId="16DBD908">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953" w:type="dxa"/>
                  <w:tcBorders>
                    <w:tl2br w:val="nil"/>
                    <w:tr2bl w:val="nil"/>
                  </w:tcBorders>
                  <w:noWrap w:val="0"/>
                  <w:tcMar>
                    <w:top w:w="0" w:type="dxa"/>
                    <w:left w:w="28" w:type="dxa"/>
                    <w:bottom w:w="0" w:type="dxa"/>
                    <w:right w:w="28" w:type="dxa"/>
                  </w:tcMar>
                  <w:vAlign w:val="center"/>
                </w:tcPr>
                <w:p w14:paraId="18F33708">
                  <w:pPr>
                    <w:spacing w:line="240" w:lineRule="auto"/>
                    <w:ind w:firstLine="0" w:firstLineChars="0"/>
                    <w:jc w:val="center"/>
                    <w:rPr>
                      <w:rFonts w:hint="eastAsia" w:ascii="Times New Roman" w:hAnsi="Times New Roman" w:eastAsia="宋体" w:cs="Times New Roman"/>
                      <w:color w:val="auto"/>
                      <w:spacing w:val="0"/>
                      <w:position w:val="0"/>
                      <w:sz w:val="21"/>
                      <w:szCs w:val="21"/>
                      <w:highlight w:val="none"/>
                    </w:rPr>
                  </w:pPr>
                </w:p>
              </w:tc>
              <w:tc>
                <w:tcPr>
                  <w:tcW w:w="751" w:type="dxa"/>
                  <w:tcBorders>
                    <w:tl2br w:val="nil"/>
                    <w:tr2bl w:val="nil"/>
                  </w:tcBorders>
                  <w:noWrap w:val="0"/>
                  <w:tcMar>
                    <w:top w:w="0" w:type="dxa"/>
                    <w:left w:w="28" w:type="dxa"/>
                    <w:bottom w:w="0" w:type="dxa"/>
                    <w:right w:w="28" w:type="dxa"/>
                  </w:tcMar>
                  <w:vAlign w:val="center"/>
                </w:tcPr>
                <w:p w14:paraId="15996BEB">
                  <w:pPr>
                    <w:spacing w:line="240" w:lineRule="auto"/>
                    <w:ind w:firstLine="0" w:firstLineChars="0"/>
                    <w:jc w:val="center"/>
                    <w:rPr>
                      <w:rFonts w:ascii="Times New Roman" w:hAnsi="Times New Roman" w:eastAsia="宋体" w:cs="Times New Roman"/>
                      <w:color w:val="auto"/>
                      <w:spacing w:val="0"/>
                      <w:position w:val="0"/>
                      <w:sz w:val="21"/>
                      <w:szCs w:val="21"/>
                      <w:highlight w:val="none"/>
                    </w:rPr>
                  </w:pPr>
                </w:p>
              </w:tc>
              <w:tc>
                <w:tcPr>
                  <w:tcW w:w="783" w:type="dxa"/>
                  <w:tcBorders>
                    <w:tl2br w:val="nil"/>
                    <w:tr2bl w:val="nil"/>
                  </w:tcBorders>
                  <w:noWrap w:val="0"/>
                  <w:tcMar>
                    <w:top w:w="0" w:type="dxa"/>
                    <w:left w:w="28" w:type="dxa"/>
                    <w:bottom w:w="0" w:type="dxa"/>
                    <w:right w:w="28" w:type="dxa"/>
                  </w:tcMar>
                  <w:vAlign w:val="center"/>
                </w:tcPr>
                <w:p w14:paraId="6A6A509B">
                  <w:pPr>
                    <w:spacing w:line="240" w:lineRule="auto"/>
                    <w:ind w:firstLine="0" w:firstLineChars="0"/>
                    <w:jc w:val="center"/>
                    <w:rPr>
                      <w:rFonts w:hint="eastAsia" w:ascii="Times New Roman" w:hAnsi="Times New Roman" w:eastAsia="宋体" w:cs="Times New Roman"/>
                      <w:color w:val="auto"/>
                      <w:spacing w:val="0"/>
                      <w:kern w:val="2"/>
                      <w:position w:val="0"/>
                      <w:sz w:val="21"/>
                      <w:szCs w:val="21"/>
                      <w:highlight w:val="none"/>
                      <w:lang w:val="en-US" w:eastAsia="zh-CN" w:bidi="ar-SA"/>
                    </w:rPr>
                  </w:pPr>
                </w:p>
              </w:tc>
              <w:tc>
                <w:tcPr>
                  <w:tcW w:w="1386" w:type="dxa"/>
                  <w:tcBorders>
                    <w:tl2br w:val="nil"/>
                    <w:tr2bl w:val="nil"/>
                  </w:tcBorders>
                  <w:noWrap w:val="0"/>
                  <w:tcMar>
                    <w:top w:w="0" w:type="dxa"/>
                    <w:left w:w="28" w:type="dxa"/>
                    <w:bottom w:w="0" w:type="dxa"/>
                    <w:right w:w="28" w:type="dxa"/>
                  </w:tcMar>
                  <w:vAlign w:val="center"/>
                </w:tcPr>
                <w:p w14:paraId="68E16812">
                  <w:pPr>
                    <w:spacing w:line="240" w:lineRule="auto"/>
                    <w:ind w:firstLine="0" w:firstLineChars="0"/>
                    <w:jc w:val="center"/>
                    <w:rPr>
                      <w:rFonts w:ascii="Times New Roman" w:hAnsi="Times New Roman" w:eastAsia="宋体" w:cs="Times New Roman"/>
                      <w:bCs/>
                      <w:color w:val="auto"/>
                      <w:spacing w:val="0"/>
                      <w:position w:val="0"/>
                      <w:sz w:val="21"/>
                      <w:szCs w:val="21"/>
                      <w:highlight w:val="none"/>
                    </w:rPr>
                  </w:pPr>
                </w:p>
              </w:tc>
              <w:tc>
                <w:tcPr>
                  <w:tcW w:w="1054" w:type="dxa"/>
                  <w:tcBorders>
                    <w:tl2br w:val="nil"/>
                    <w:tr2bl w:val="nil"/>
                  </w:tcBorders>
                  <w:noWrap w:val="0"/>
                  <w:tcMar>
                    <w:top w:w="0" w:type="dxa"/>
                    <w:left w:w="28" w:type="dxa"/>
                    <w:bottom w:w="0" w:type="dxa"/>
                    <w:right w:w="28" w:type="dxa"/>
                  </w:tcMar>
                  <w:vAlign w:val="center"/>
                </w:tcPr>
                <w:p w14:paraId="7EB075BA">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cs="Times New Roman"/>
                      <w:color w:val="auto"/>
                      <w:spacing w:val="0"/>
                      <w:position w:val="0"/>
                      <w:sz w:val="21"/>
                      <w:szCs w:val="21"/>
                      <w:highlight w:val="none"/>
                      <w:lang w:val="en-US" w:eastAsia="zh-CN"/>
                    </w:rPr>
                  </w:pPr>
                </w:p>
              </w:tc>
              <w:tc>
                <w:tcPr>
                  <w:tcW w:w="827" w:type="dxa"/>
                  <w:vMerge w:val="continue"/>
                  <w:tcBorders>
                    <w:tl2br w:val="nil"/>
                    <w:tr2bl w:val="nil"/>
                  </w:tcBorders>
                  <w:noWrap w:val="0"/>
                  <w:tcMar>
                    <w:top w:w="0" w:type="dxa"/>
                    <w:left w:w="28" w:type="dxa"/>
                    <w:bottom w:w="0" w:type="dxa"/>
                    <w:right w:w="28" w:type="dxa"/>
                  </w:tcMar>
                  <w:vAlign w:val="center"/>
                </w:tcPr>
                <w:p w14:paraId="55256013">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ascii="Times New Roman" w:hAnsi="Times New Roman" w:eastAsia="宋体" w:cs="Times New Roman"/>
                      <w:color w:val="auto"/>
                      <w:spacing w:val="0"/>
                      <w:sz w:val="21"/>
                      <w:szCs w:val="21"/>
                      <w:highlight w:val="none"/>
                    </w:rPr>
                  </w:pPr>
                </w:p>
              </w:tc>
              <w:tc>
                <w:tcPr>
                  <w:tcW w:w="709" w:type="dxa"/>
                  <w:tcBorders>
                    <w:tl2br w:val="nil"/>
                    <w:tr2bl w:val="nil"/>
                  </w:tcBorders>
                  <w:noWrap w:val="0"/>
                  <w:tcMar>
                    <w:top w:w="0" w:type="dxa"/>
                    <w:left w:w="28" w:type="dxa"/>
                    <w:bottom w:w="0" w:type="dxa"/>
                    <w:right w:w="28" w:type="dxa"/>
                  </w:tcMar>
                  <w:vAlign w:val="center"/>
                </w:tcPr>
                <w:p w14:paraId="7FC03B28">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676" w:type="dxa"/>
                  <w:tcBorders>
                    <w:tl2br w:val="nil"/>
                    <w:tr2bl w:val="nil"/>
                  </w:tcBorders>
                  <w:noWrap w:val="0"/>
                  <w:tcMar>
                    <w:top w:w="0" w:type="dxa"/>
                    <w:left w:w="28" w:type="dxa"/>
                    <w:bottom w:w="0" w:type="dxa"/>
                    <w:right w:w="28" w:type="dxa"/>
                  </w:tcMar>
                  <w:vAlign w:val="center"/>
                </w:tcPr>
                <w:p w14:paraId="32324DEB">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rPr>
                  </w:pPr>
                </w:p>
              </w:tc>
              <w:tc>
                <w:tcPr>
                  <w:tcW w:w="765" w:type="dxa"/>
                  <w:tcBorders>
                    <w:tl2br w:val="nil"/>
                    <w:tr2bl w:val="nil"/>
                  </w:tcBorders>
                  <w:noWrap w:val="0"/>
                  <w:tcMar>
                    <w:top w:w="0" w:type="dxa"/>
                    <w:left w:w="28" w:type="dxa"/>
                    <w:bottom w:w="0" w:type="dxa"/>
                    <w:right w:w="28" w:type="dxa"/>
                  </w:tcMar>
                  <w:vAlign w:val="center"/>
                </w:tcPr>
                <w:p w14:paraId="4B388F2F">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rPr>
                  </w:pPr>
                </w:p>
              </w:tc>
              <w:tc>
                <w:tcPr>
                  <w:tcW w:w="767" w:type="dxa"/>
                  <w:tcBorders>
                    <w:tl2br w:val="nil"/>
                    <w:tr2bl w:val="nil"/>
                  </w:tcBorders>
                  <w:noWrap w:val="0"/>
                  <w:tcMar>
                    <w:top w:w="0" w:type="dxa"/>
                    <w:left w:w="28" w:type="dxa"/>
                    <w:bottom w:w="0" w:type="dxa"/>
                    <w:right w:w="28" w:type="dxa"/>
                  </w:tcMar>
                  <w:vAlign w:val="center"/>
                </w:tcPr>
                <w:p w14:paraId="7DCCFDC1">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cs="Times New Roman"/>
                      <w:color w:val="auto"/>
                      <w:spacing w:val="0"/>
                      <w:position w:val="0"/>
                      <w:sz w:val="21"/>
                      <w:szCs w:val="21"/>
                      <w:highlight w:val="none"/>
                      <w:lang w:val="en-US" w:eastAsia="zh-CN"/>
                    </w:rPr>
                  </w:pPr>
                </w:p>
              </w:tc>
              <w:tc>
                <w:tcPr>
                  <w:tcW w:w="1090" w:type="dxa"/>
                  <w:vMerge w:val="continue"/>
                  <w:tcBorders>
                    <w:tl2br w:val="nil"/>
                    <w:tr2bl w:val="nil"/>
                  </w:tcBorders>
                  <w:noWrap w:val="0"/>
                  <w:tcMar>
                    <w:top w:w="0" w:type="dxa"/>
                    <w:left w:w="28" w:type="dxa"/>
                    <w:bottom w:w="0" w:type="dxa"/>
                    <w:right w:w="28" w:type="dxa"/>
                  </w:tcMar>
                  <w:vAlign w:val="center"/>
                </w:tcPr>
                <w:p w14:paraId="3844DF78">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980" w:type="dxa"/>
                  <w:tcBorders>
                    <w:tl2br w:val="nil"/>
                    <w:tr2bl w:val="nil"/>
                  </w:tcBorders>
                  <w:noWrap w:val="0"/>
                  <w:tcMar>
                    <w:top w:w="0" w:type="dxa"/>
                    <w:left w:w="28" w:type="dxa"/>
                    <w:bottom w:w="0" w:type="dxa"/>
                    <w:right w:w="28" w:type="dxa"/>
                  </w:tcMar>
                  <w:vAlign w:val="center"/>
                </w:tcPr>
                <w:p w14:paraId="5177F1A3">
                  <w:pPr>
                    <w:keepNext w:val="0"/>
                    <w:keepLines w:val="0"/>
                    <w:pageBreakBefore w:val="0"/>
                    <w:kinsoku/>
                    <w:wordWrap/>
                    <w:overflowPunct/>
                    <w:topLinePunct w:val="0"/>
                    <w:autoSpaceDE/>
                    <w:autoSpaceDN/>
                    <w:bidi w:val="0"/>
                    <w:adjustRightInd/>
                    <w:snapToGrid/>
                    <w:spacing w:line="240" w:lineRule="exact"/>
                    <w:jc w:val="center"/>
                    <w:rPr>
                      <w:rFonts w:hint="eastAsia" w:cs="Times New Roman"/>
                      <w:color w:val="auto"/>
                      <w:spacing w:val="0"/>
                      <w:position w:val="0"/>
                      <w:sz w:val="21"/>
                      <w:szCs w:val="21"/>
                      <w:highlight w:val="none"/>
                      <w:lang w:val="en-US" w:eastAsia="zh-CN"/>
                    </w:rPr>
                  </w:pPr>
                </w:p>
              </w:tc>
              <w:tc>
                <w:tcPr>
                  <w:tcW w:w="693" w:type="dxa"/>
                  <w:tcBorders>
                    <w:tl2br w:val="nil"/>
                    <w:tr2bl w:val="nil"/>
                  </w:tcBorders>
                  <w:noWrap w:val="0"/>
                  <w:tcMar>
                    <w:top w:w="0" w:type="dxa"/>
                    <w:left w:w="28" w:type="dxa"/>
                    <w:bottom w:w="0" w:type="dxa"/>
                    <w:right w:w="28" w:type="dxa"/>
                  </w:tcMar>
                  <w:vAlign w:val="center"/>
                </w:tcPr>
                <w:p w14:paraId="07CF7359">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14:paraId="6689DB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tcBorders>
                    <w:tl2br w:val="nil"/>
                    <w:tr2bl w:val="nil"/>
                  </w:tcBorders>
                  <w:shd w:val="clear" w:color="auto" w:fill="auto"/>
                  <w:noWrap w:val="0"/>
                  <w:tcMar>
                    <w:top w:w="0" w:type="dxa"/>
                    <w:left w:w="28" w:type="dxa"/>
                    <w:bottom w:w="0" w:type="dxa"/>
                    <w:right w:w="28" w:type="dxa"/>
                  </w:tcMar>
                  <w:vAlign w:val="center"/>
                </w:tcPr>
                <w:p w14:paraId="74CE9743">
                  <w:pPr>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设备维护过程</w:t>
                  </w:r>
                </w:p>
              </w:tc>
              <w:tc>
                <w:tcPr>
                  <w:tcW w:w="1151" w:type="dxa"/>
                  <w:tcBorders>
                    <w:tl2br w:val="nil"/>
                    <w:tr2bl w:val="nil"/>
                  </w:tcBorders>
                  <w:shd w:val="clear" w:color="auto" w:fill="auto"/>
                  <w:noWrap w:val="0"/>
                  <w:tcMar>
                    <w:top w:w="0" w:type="dxa"/>
                    <w:left w:w="28" w:type="dxa"/>
                    <w:bottom w:w="0" w:type="dxa"/>
                    <w:right w:w="28" w:type="dxa"/>
                  </w:tcMar>
                  <w:vAlign w:val="center"/>
                </w:tcPr>
                <w:p w14:paraId="62111136">
                  <w:pPr>
                    <w:tabs>
                      <w:tab w:val="left" w:pos="1440"/>
                    </w:tabs>
                    <w:jc w:val="center"/>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废含油抹布及手套及手套</w:t>
                  </w:r>
                </w:p>
              </w:tc>
              <w:tc>
                <w:tcPr>
                  <w:tcW w:w="825" w:type="dxa"/>
                  <w:vMerge w:val="continue"/>
                  <w:tcBorders>
                    <w:tl2br w:val="nil"/>
                    <w:tr2bl w:val="nil"/>
                  </w:tcBorders>
                  <w:noWrap w:val="0"/>
                  <w:tcMar>
                    <w:top w:w="0" w:type="dxa"/>
                    <w:left w:w="28" w:type="dxa"/>
                    <w:bottom w:w="0" w:type="dxa"/>
                    <w:right w:w="28" w:type="dxa"/>
                  </w:tcMar>
                  <w:vAlign w:val="center"/>
                </w:tcPr>
                <w:p w14:paraId="6599C6A8">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953" w:type="dxa"/>
                  <w:tcBorders>
                    <w:tl2br w:val="nil"/>
                    <w:tr2bl w:val="nil"/>
                  </w:tcBorders>
                  <w:noWrap w:val="0"/>
                  <w:tcMar>
                    <w:top w:w="0" w:type="dxa"/>
                    <w:left w:w="28" w:type="dxa"/>
                    <w:bottom w:w="0" w:type="dxa"/>
                    <w:right w:w="28" w:type="dxa"/>
                  </w:tcMar>
                  <w:vAlign w:val="center"/>
                </w:tcPr>
                <w:p w14:paraId="5FD2B425">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751" w:type="dxa"/>
                  <w:tcBorders>
                    <w:tl2br w:val="nil"/>
                    <w:tr2bl w:val="nil"/>
                  </w:tcBorders>
                  <w:noWrap w:val="0"/>
                  <w:tcMar>
                    <w:top w:w="0" w:type="dxa"/>
                    <w:left w:w="28" w:type="dxa"/>
                    <w:bottom w:w="0" w:type="dxa"/>
                    <w:right w:w="28" w:type="dxa"/>
                  </w:tcMar>
                  <w:vAlign w:val="center"/>
                </w:tcPr>
                <w:p w14:paraId="25B7FFBA">
                  <w:pPr>
                    <w:spacing w:line="240" w:lineRule="exact"/>
                    <w:jc w:val="center"/>
                    <w:rPr>
                      <w:color w:val="auto"/>
                      <w:sz w:val="21"/>
                      <w:szCs w:val="21"/>
                      <w:highlight w:val="none"/>
                    </w:rPr>
                  </w:pPr>
                </w:p>
              </w:tc>
              <w:tc>
                <w:tcPr>
                  <w:tcW w:w="783" w:type="dxa"/>
                  <w:tcBorders>
                    <w:tl2br w:val="nil"/>
                    <w:tr2bl w:val="nil"/>
                  </w:tcBorders>
                  <w:noWrap w:val="0"/>
                  <w:tcMar>
                    <w:top w:w="0" w:type="dxa"/>
                    <w:left w:w="28" w:type="dxa"/>
                    <w:bottom w:w="0" w:type="dxa"/>
                    <w:right w:w="28" w:type="dxa"/>
                  </w:tcMar>
                  <w:vAlign w:val="center"/>
                </w:tcPr>
                <w:p w14:paraId="62E01BD9">
                  <w:pPr>
                    <w:spacing w:line="240" w:lineRule="exact"/>
                    <w:jc w:val="center"/>
                    <w:rPr>
                      <w:rFonts w:hint="eastAsia"/>
                      <w:color w:val="auto"/>
                      <w:sz w:val="21"/>
                      <w:szCs w:val="21"/>
                      <w:highlight w:val="none"/>
                    </w:rPr>
                  </w:pPr>
                </w:p>
              </w:tc>
              <w:tc>
                <w:tcPr>
                  <w:tcW w:w="1386" w:type="dxa"/>
                  <w:tcBorders>
                    <w:tl2br w:val="nil"/>
                    <w:tr2bl w:val="nil"/>
                  </w:tcBorders>
                  <w:noWrap w:val="0"/>
                  <w:tcMar>
                    <w:top w:w="0" w:type="dxa"/>
                    <w:left w:w="28" w:type="dxa"/>
                    <w:bottom w:w="0" w:type="dxa"/>
                    <w:right w:w="28" w:type="dxa"/>
                  </w:tcMar>
                  <w:vAlign w:val="center"/>
                </w:tcPr>
                <w:p w14:paraId="1E5C0C3F">
                  <w:pPr>
                    <w:spacing w:line="240" w:lineRule="exact"/>
                    <w:jc w:val="center"/>
                    <w:rPr>
                      <w:rFonts w:hint="eastAsia" w:ascii="Times New Roman" w:hAnsi="Times New Roman" w:eastAsia="宋体" w:cs="宋体"/>
                      <w:color w:val="auto"/>
                      <w:sz w:val="21"/>
                      <w:szCs w:val="21"/>
                      <w:highlight w:val="none"/>
                    </w:rPr>
                  </w:pPr>
                </w:p>
              </w:tc>
              <w:tc>
                <w:tcPr>
                  <w:tcW w:w="1054" w:type="dxa"/>
                  <w:tcBorders>
                    <w:tl2br w:val="nil"/>
                    <w:tr2bl w:val="nil"/>
                  </w:tcBorders>
                  <w:noWrap w:val="0"/>
                  <w:tcMar>
                    <w:top w:w="0" w:type="dxa"/>
                    <w:left w:w="28" w:type="dxa"/>
                    <w:bottom w:w="0" w:type="dxa"/>
                    <w:right w:w="28" w:type="dxa"/>
                  </w:tcMar>
                  <w:vAlign w:val="center"/>
                </w:tcPr>
                <w:p w14:paraId="3DD372D1">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p>
              </w:tc>
              <w:tc>
                <w:tcPr>
                  <w:tcW w:w="827" w:type="dxa"/>
                  <w:tcBorders>
                    <w:tl2br w:val="nil"/>
                    <w:tr2bl w:val="nil"/>
                  </w:tcBorders>
                  <w:noWrap w:val="0"/>
                  <w:tcMar>
                    <w:top w:w="0" w:type="dxa"/>
                    <w:left w:w="28" w:type="dxa"/>
                    <w:bottom w:w="0" w:type="dxa"/>
                    <w:right w:w="28" w:type="dxa"/>
                  </w:tcMar>
                  <w:vAlign w:val="center"/>
                </w:tcPr>
                <w:p w14:paraId="7B834FB9">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ascii="Times New Roman" w:hAnsi="Times New Roman" w:eastAsia="宋体" w:cs="Times New Roman"/>
                      <w:color w:val="auto"/>
                      <w:spacing w:val="0"/>
                      <w:sz w:val="21"/>
                      <w:szCs w:val="21"/>
                      <w:highlight w:val="none"/>
                    </w:rPr>
                  </w:pPr>
                </w:p>
              </w:tc>
              <w:tc>
                <w:tcPr>
                  <w:tcW w:w="709" w:type="dxa"/>
                  <w:tcBorders>
                    <w:tl2br w:val="nil"/>
                    <w:tr2bl w:val="nil"/>
                  </w:tcBorders>
                  <w:noWrap w:val="0"/>
                  <w:tcMar>
                    <w:top w:w="0" w:type="dxa"/>
                    <w:left w:w="28" w:type="dxa"/>
                    <w:bottom w:w="0" w:type="dxa"/>
                    <w:right w:w="28" w:type="dxa"/>
                  </w:tcMar>
                  <w:vAlign w:val="center"/>
                </w:tcPr>
                <w:p w14:paraId="3F836760">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auto"/>
                      <w:kern w:val="21"/>
                      <w:sz w:val="21"/>
                      <w:szCs w:val="21"/>
                      <w:highlight w:val="none"/>
                      <w:lang w:val="en-US" w:eastAsia="zh-CN"/>
                    </w:rPr>
                  </w:pPr>
                </w:p>
              </w:tc>
              <w:tc>
                <w:tcPr>
                  <w:tcW w:w="676" w:type="dxa"/>
                  <w:tcBorders>
                    <w:tl2br w:val="nil"/>
                    <w:tr2bl w:val="nil"/>
                  </w:tcBorders>
                  <w:noWrap w:val="0"/>
                  <w:tcMar>
                    <w:top w:w="0" w:type="dxa"/>
                    <w:left w:w="28" w:type="dxa"/>
                    <w:bottom w:w="0" w:type="dxa"/>
                    <w:right w:w="28" w:type="dxa"/>
                  </w:tcMar>
                  <w:vAlign w:val="center"/>
                </w:tcPr>
                <w:p w14:paraId="2D0B677F">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auto"/>
                      <w:kern w:val="21"/>
                      <w:sz w:val="21"/>
                      <w:szCs w:val="21"/>
                      <w:highlight w:val="none"/>
                      <w:lang w:val="en-US" w:eastAsia="zh-CN"/>
                    </w:rPr>
                  </w:pPr>
                </w:p>
              </w:tc>
              <w:tc>
                <w:tcPr>
                  <w:tcW w:w="765" w:type="dxa"/>
                  <w:tcBorders>
                    <w:tl2br w:val="nil"/>
                    <w:tr2bl w:val="nil"/>
                  </w:tcBorders>
                  <w:noWrap w:val="0"/>
                  <w:tcMar>
                    <w:top w:w="0" w:type="dxa"/>
                    <w:left w:w="28" w:type="dxa"/>
                    <w:bottom w:w="0" w:type="dxa"/>
                    <w:right w:w="28" w:type="dxa"/>
                  </w:tcMar>
                  <w:vAlign w:val="center"/>
                </w:tcPr>
                <w:p w14:paraId="3D4E6113">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auto"/>
                      <w:kern w:val="21"/>
                      <w:sz w:val="21"/>
                      <w:szCs w:val="21"/>
                      <w:highlight w:val="none"/>
                      <w:lang w:val="en-US" w:eastAsia="zh-CN"/>
                    </w:rPr>
                  </w:pPr>
                </w:p>
              </w:tc>
              <w:tc>
                <w:tcPr>
                  <w:tcW w:w="767" w:type="dxa"/>
                  <w:tcBorders>
                    <w:tl2br w:val="nil"/>
                    <w:tr2bl w:val="nil"/>
                  </w:tcBorders>
                  <w:noWrap w:val="0"/>
                  <w:tcMar>
                    <w:top w:w="0" w:type="dxa"/>
                    <w:left w:w="28" w:type="dxa"/>
                    <w:bottom w:w="0" w:type="dxa"/>
                    <w:right w:w="28" w:type="dxa"/>
                  </w:tcMar>
                  <w:vAlign w:val="center"/>
                </w:tcPr>
                <w:p w14:paraId="4B05B25C">
                  <w:pPr>
                    <w:pStyle w:val="107"/>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rPr>
                  </w:pPr>
                </w:p>
              </w:tc>
              <w:tc>
                <w:tcPr>
                  <w:tcW w:w="1090" w:type="dxa"/>
                  <w:vMerge w:val="continue"/>
                  <w:tcBorders>
                    <w:tl2br w:val="nil"/>
                    <w:tr2bl w:val="nil"/>
                  </w:tcBorders>
                  <w:noWrap w:val="0"/>
                  <w:tcMar>
                    <w:top w:w="0" w:type="dxa"/>
                    <w:left w:w="28" w:type="dxa"/>
                    <w:bottom w:w="0" w:type="dxa"/>
                    <w:right w:w="28" w:type="dxa"/>
                  </w:tcMar>
                  <w:vAlign w:val="center"/>
                </w:tcPr>
                <w:p w14:paraId="0644BED6">
                  <w:pPr>
                    <w:spacing w:line="240" w:lineRule="exact"/>
                    <w:jc w:val="center"/>
                    <w:rPr>
                      <w:rFonts w:hint="eastAsia" w:ascii="Times New Roman" w:hAnsi="Times New Roman" w:eastAsia="宋体" w:cs="Times New Roman"/>
                      <w:color w:val="auto"/>
                      <w:spacing w:val="0"/>
                      <w:position w:val="0"/>
                      <w:sz w:val="21"/>
                      <w:szCs w:val="21"/>
                      <w:highlight w:val="none"/>
                    </w:rPr>
                  </w:pPr>
                </w:p>
              </w:tc>
              <w:tc>
                <w:tcPr>
                  <w:tcW w:w="980" w:type="dxa"/>
                  <w:tcBorders>
                    <w:tl2br w:val="nil"/>
                    <w:tr2bl w:val="nil"/>
                  </w:tcBorders>
                  <w:noWrap w:val="0"/>
                  <w:tcMar>
                    <w:top w:w="0" w:type="dxa"/>
                    <w:left w:w="28" w:type="dxa"/>
                    <w:bottom w:w="0" w:type="dxa"/>
                    <w:right w:w="28" w:type="dxa"/>
                  </w:tcMar>
                  <w:vAlign w:val="center"/>
                </w:tcPr>
                <w:p w14:paraId="0A296224">
                  <w:pPr>
                    <w:keepNext w:val="0"/>
                    <w:keepLines w:val="0"/>
                    <w:pageBreakBefore w:val="0"/>
                    <w:kinsoku/>
                    <w:wordWrap/>
                    <w:overflowPunct/>
                    <w:topLinePunct w:val="0"/>
                    <w:autoSpaceDE/>
                    <w:autoSpaceDN/>
                    <w:bidi w:val="0"/>
                    <w:adjustRightInd/>
                    <w:snapToGrid/>
                    <w:spacing w:line="240" w:lineRule="exact"/>
                    <w:jc w:val="center"/>
                    <w:rPr>
                      <w:rFonts w:hint="eastAsia" w:cs="Times New Roman"/>
                      <w:color w:val="auto"/>
                      <w:spacing w:val="0"/>
                      <w:position w:val="0"/>
                      <w:sz w:val="21"/>
                      <w:szCs w:val="21"/>
                      <w:highlight w:val="none"/>
                      <w:lang w:val="en-US" w:eastAsia="zh-CN"/>
                    </w:rPr>
                  </w:pPr>
                </w:p>
              </w:tc>
              <w:tc>
                <w:tcPr>
                  <w:tcW w:w="693" w:type="dxa"/>
                  <w:tcBorders>
                    <w:tl2br w:val="nil"/>
                    <w:tr2bl w:val="nil"/>
                  </w:tcBorders>
                  <w:noWrap w:val="0"/>
                  <w:tcMar>
                    <w:top w:w="0" w:type="dxa"/>
                    <w:left w:w="28" w:type="dxa"/>
                    <w:bottom w:w="0" w:type="dxa"/>
                    <w:right w:w="28" w:type="dxa"/>
                  </w:tcMar>
                  <w:vAlign w:val="center"/>
                </w:tcPr>
                <w:p w14:paraId="5588137F">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eastAsia" w:cs="Times New Roman"/>
                      <w:color w:val="auto"/>
                      <w:sz w:val="21"/>
                      <w:szCs w:val="21"/>
                      <w:highlight w:val="none"/>
                      <w:lang w:val="en-US" w:eastAsia="zh-CN"/>
                    </w:rPr>
                  </w:pPr>
                </w:p>
              </w:tc>
            </w:tr>
            <w:tr w14:paraId="02A01F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15" w:type="dxa"/>
                  <w:gridSpan w:val="15"/>
                  <w:tcBorders>
                    <w:tl2br w:val="nil"/>
                    <w:tr2bl w:val="nil"/>
                  </w:tcBorders>
                  <w:noWrap w:val="0"/>
                  <w:tcMar>
                    <w:top w:w="0" w:type="dxa"/>
                    <w:left w:w="28" w:type="dxa"/>
                    <w:bottom w:w="0" w:type="dxa"/>
                    <w:right w:w="28" w:type="dxa"/>
                  </w:tcMar>
                  <w:vAlign w:val="center"/>
                </w:tcPr>
                <w:p w14:paraId="4BAEDFEB">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Cs/>
                      <w:color w:val="auto"/>
                      <w:spacing w:val="0"/>
                      <w:position w:val="0"/>
                      <w:sz w:val="21"/>
                      <w:szCs w:val="21"/>
                      <w:highlight w:val="none"/>
                      <w:lang w:val="en-US" w:eastAsia="zh-CN"/>
                    </w:rPr>
                  </w:pPr>
                  <w:r>
                    <w:rPr>
                      <w:rFonts w:hint="eastAsia"/>
                      <w:b w:val="0"/>
                      <w:bCs w:val="0"/>
                      <w:color w:val="auto"/>
                      <w:kern w:val="21"/>
                      <w:sz w:val="21"/>
                      <w:szCs w:val="21"/>
                      <w:highlight w:val="none"/>
                      <w:lang w:val="en-US" w:eastAsia="zh-CN" w:bidi="ar"/>
                    </w:rPr>
                    <w:t>危废间</w:t>
                  </w:r>
                  <w:r>
                    <w:rPr>
                      <w:rFonts w:hint="eastAsia"/>
                      <w:b w:val="0"/>
                      <w:bCs w:val="0"/>
                      <w:color w:val="auto"/>
                      <w:kern w:val="21"/>
                      <w:sz w:val="21"/>
                      <w:szCs w:val="21"/>
                      <w:highlight w:val="none"/>
                      <w:lang w:bidi="ar"/>
                    </w:rPr>
                    <w:t>实际占地面积</w:t>
                  </w:r>
                </w:p>
              </w:tc>
              <w:tc>
                <w:tcPr>
                  <w:tcW w:w="693" w:type="dxa"/>
                  <w:tcBorders>
                    <w:tl2br w:val="nil"/>
                    <w:tr2bl w:val="nil"/>
                  </w:tcBorders>
                  <w:noWrap w:val="0"/>
                  <w:tcMar>
                    <w:top w:w="0" w:type="dxa"/>
                    <w:left w:w="28" w:type="dxa"/>
                    <w:bottom w:w="0" w:type="dxa"/>
                    <w:right w:w="28" w:type="dxa"/>
                  </w:tcMar>
                  <w:vAlign w:val="center"/>
                </w:tcPr>
                <w:p w14:paraId="541D1EBF">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cs="Times New Roman"/>
                      <w:bCs/>
                      <w:color w:val="auto"/>
                      <w:spacing w:val="0"/>
                      <w:position w:val="0"/>
                      <w:sz w:val="21"/>
                      <w:szCs w:val="21"/>
                      <w:highlight w:val="none"/>
                      <w:lang w:val="en-US" w:eastAsia="zh-CN"/>
                    </w:rPr>
                  </w:pPr>
                </w:p>
              </w:tc>
            </w:tr>
            <w:tr w14:paraId="5E5E26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8" w:type="dxa"/>
                  <w:tcBorders>
                    <w:tl2br w:val="nil"/>
                    <w:tr2bl w:val="nil"/>
                  </w:tcBorders>
                  <w:noWrap w:val="0"/>
                  <w:vAlign w:val="center"/>
                </w:tcPr>
                <w:p w14:paraId="0DFC8165">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生活</w:t>
                  </w:r>
                </w:p>
                <w:p w14:paraId="13837851">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olor w:val="auto"/>
                      <w:sz w:val="21"/>
                      <w:szCs w:val="21"/>
                      <w:highlight w:val="none"/>
                    </w:rPr>
                    <w:t>垃圾</w:t>
                  </w:r>
                </w:p>
              </w:tc>
              <w:tc>
                <w:tcPr>
                  <w:tcW w:w="1151" w:type="dxa"/>
                  <w:tcBorders>
                    <w:tl2br w:val="nil"/>
                    <w:tr2bl w:val="nil"/>
                  </w:tcBorders>
                  <w:noWrap w:val="0"/>
                  <w:vAlign w:val="center"/>
                </w:tcPr>
                <w:p w14:paraId="3F6AB514">
                  <w:pPr>
                    <w:pStyle w:val="124"/>
                    <w:keepNext w:val="0"/>
                    <w:keepLines w:val="0"/>
                    <w:pageBreakBefore w:val="0"/>
                    <w:kinsoku/>
                    <w:wordWrap/>
                    <w:overflowPunct/>
                    <w:topLinePunct w:val="0"/>
                    <w:autoSpaceDE/>
                    <w:autoSpaceDN/>
                    <w:bidi w:val="0"/>
                    <w:adjustRightInd/>
                    <w:snapToGrid/>
                    <w:spacing w:line="240" w:lineRule="exact"/>
                    <w:ind w:left="0" w:leftChars="0" w:firstLine="0" w:firstLine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废纸、</w:t>
                  </w:r>
                </w:p>
                <w:p w14:paraId="1CF38DE2">
                  <w:pPr>
                    <w:pStyle w:val="124"/>
                    <w:keepNext w:val="0"/>
                    <w:keepLines w:val="0"/>
                    <w:pageBreakBefore w:val="0"/>
                    <w:kinsoku/>
                    <w:wordWrap/>
                    <w:overflowPunct/>
                    <w:topLinePunct w:val="0"/>
                    <w:autoSpaceDE/>
                    <w:autoSpaceDN/>
                    <w:bidi w:val="0"/>
                    <w:adjustRightInd/>
                    <w:snapToGrid/>
                    <w:spacing w:line="240" w:lineRule="exact"/>
                    <w:ind w:left="0" w:leftChars="0" w:firstLine="0" w:firstLineChars="0"/>
                    <w:jc w:val="center"/>
                    <w:rPr>
                      <w:rFonts w:hint="eastAsia"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kern w:val="21"/>
                      <w:sz w:val="21"/>
                      <w:szCs w:val="21"/>
                      <w:highlight w:val="none"/>
                    </w:rPr>
                    <w:t>塑料</w:t>
                  </w:r>
                  <w:r>
                    <w:rPr>
                      <w:rFonts w:hint="eastAsia" w:ascii="Times New Roman" w:hAnsi="Times New Roman" w:eastAsia="宋体" w:cs="Times New Roman"/>
                      <w:color w:val="auto"/>
                      <w:kern w:val="21"/>
                      <w:sz w:val="21"/>
                      <w:szCs w:val="21"/>
                      <w:highlight w:val="none"/>
                      <w:lang w:val="en-US" w:eastAsia="zh-CN"/>
                    </w:rPr>
                    <w:t>等</w:t>
                  </w:r>
                </w:p>
              </w:tc>
              <w:tc>
                <w:tcPr>
                  <w:tcW w:w="825" w:type="dxa"/>
                  <w:tcBorders>
                    <w:tl2br w:val="nil"/>
                    <w:tr2bl w:val="nil"/>
                  </w:tcBorders>
                  <w:noWrap w:val="0"/>
                  <w:vAlign w:val="center"/>
                </w:tcPr>
                <w:p w14:paraId="226FAD48">
                  <w:pPr>
                    <w:pStyle w:val="124"/>
                    <w:spacing w:line="240" w:lineRule="exact"/>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w:t>
                  </w:r>
                </w:p>
              </w:tc>
              <w:tc>
                <w:tcPr>
                  <w:tcW w:w="953" w:type="dxa"/>
                  <w:tcBorders>
                    <w:tl2br w:val="nil"/>
                    <w:tr2bl w:val="nil"/>
                  </w:tcBorders>
                  <w:noWrap w:val="0"/>
                  <w:vAlign w:val="center"/>
                </w:tcPr>
                <w:p w14:paraId="1DD7EFF8">
                  <w:pPr>
                    <w:pStyle w:val="124"/>
                    <w:spacing w:line="240" w:lineRule="exact"/>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751" w:type="dxa"/>
                  <w:tcBorders>
                    <w:tl2br w:val="nil"/>
                    <w:tr2bl w:val="nil"/>
                  </w:tcBorders>
                  <w:noWrap w:val="0"/>
                  <w:vAlign w:val="center"/>
                </w:tcPr>
                <w:p w14:paraId="35BB7F87">
                  <w:pPr>
                    <w:pStyle w:val="124"/>
                    <w:spacing w:line="240" w:lineRule="exact"/>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固</w:t>
                  </w:r>
                  <w:r>
                    <w:rPr>
                      <w:rFonts w:ascii="Times New Roman" w:hAnsi="Times New Roman" w:eastAsia="宋体" w:cs="Times New Roman"/>
                      <w:color w:val="auto"/>
                      <w:spacing w:val="0"/>
                      <w:position w:val="0"/>
                      <w:sz w:val="21"/>
                      <w:szCs w:val="21"/>
                      <w:highlight w:val="none"/>
                    </w:rPr>
                    <w:t>体</w:t>
                  </w:r>
                </w:p>
              </w:tc>
              <w:tc>
                <w:tcPr>
                  <w:tcW w:w="783" w:type="dxa"/>
                  <w:tcBorders>
                    <w:tl2br w:val="nil"/>
                    <w:tr2bl w:val="nil"/>
                  </w:tcBorders>
                  <w:noWrap w:val="0"/>
                  <w:vAlign w:val="center"/>
                </w:tcPr>
                <w:p w14:paraId="2F0D2F75">
                  <w:pPr>
                    <w:spacing w:line="240" w:lineRule="exact"/>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1386" w:type="dxa"/>
                  <w:tcBorders>
                    <w:tl2br w:val="nil"/>
                    <w:tr2bl w:val="nil"/>
                  </w:tcBorders>
                  <w:noWrap w:val="0"/>
                  <w:vAlign w:val="center"/>
                </w:tcPr>
                <w:p w14:paraId="7149EF04">
                  <w:pPr>
                    <w:spacing w:line="240" w:lineRule="exact"/>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S</w:t>
                  </w:r>
                  <w:r>
                    <w:rPr>
                      <w:rFonts w:hint="eastAsia" w:ascii="Times New Roman" w:hAnsi="Times New Roman" w:eastAsia="宋体" w:cs="Times New Roman"/>
                      <w:bCs/>
                      <w:color w:val="auto"/>
                      <w:spacing w:val="0"/>
                      <w:position w:val="0"/>
                      <w:sz w:val="21"/>
                      <w:szCs w:val="21"/>
                      <w:highlight w:val="none"/>
                    </w:rPr>
                    <w:t>W64、900-099-S64</w:t>
                  </w:r>
                </w:p>
              </w:tc>
              <w:tc>
                <w:tcPr>
                  <w:tcW w:w="1054" w:type="dxa"/>
                  <w:tcBorders>
                    <w:tl2br w:val="nil"/>
                    <w:tr2bl w:val="nil"/>
                  </w:tcBorders>
                  <w:noWrap w:val="0"/>
                  <w:vAlign w:val="center"/>
                </w:tcPr>
                <w:p w14:paraId="45B27722">
                  <w:pPr>
                    <w:pStyle w:val="107"/>
                    <w:rPr>
                      <w:rFonts w:hint="default" w:ascii="Times New Roman" w:hAnsi="Times New Roman" w:eastAsia="宋体" w:cs="Times New Roman"/>
                      <w:bCs/>
                      <w:color w:val="auto"/>
                      <w:spacing w:val="0"/>
                      <w:position w:val="0"/>
                      <w:sz w:val="21"/>
                      <w:szCs w:val="21"/>
                      <w:highlight w:val="none"/>
                      <w:lang w:val="en-US" w:eastAsia="zh-CN"/>
                    </w:rPr>
                  </w:pPr>
                  <w:r>
                    <w:rPr>
                      <w:rFonts w:hint="eastAsia" w:cs="Times New Roman"/>
                      <w:bCs/>
                      <w:color w:val="auto"/>
                      <w:spacing w:val="0"/>
                      <w:position w:val="0"/>
                      <w:sz w:val="21"/>
                      <w:szCs w:val="21"/>
                      <w:highlight w:val="none"/>
                      <w:lang w:val="en-US" w:eastAsia="zh-CN"/>
                    </w:rPr>
                    <w:t>3</w:t>
                  </w:r>
                </w:p>
              </w:tc>
              <w:tc>
                <w:tcPr>
                  <w:tcW w:w="827" w:type="dxa"/>
                  <w:tcBorders>
                    <w:tl2br w:val="nil"/>
                    <w:tr2bl w:val="nil"/>
                  </w:tcBorders>
                  <w:noWrap w:val="0"/>
                  <w:vAlign w:val="center"/>
                </w:tcPr>
                <w:p w14:paraId="6D58D1DB">
                  <w:pPr>
                    <w:spacing w:line="240" w:lineRule="exact"/>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垃圾桶</w:t>
                  </w:r>
                </w:p>
              </w:tc>
              <w:tc>
                <w:tcPr>
                  <w:tcW w:w="709" w:type="dxa"/>
                  <w:tcBorders>
                    <w:tl2br w:val="nil"/>
                    <w:tr2bl w:val="nil"/>
                  </w:tcBorders>
                  <w:noWrap w:val="0"/>
                  <w:vAlign w:val="center"/>
                </w:tcPr>
                <w:p w14:paraId="7672FF6B">
                  <w:pPr>
                    <w:spacing w:line="240" w:lineRule="exact"/>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w:t>
                  </w:r>
                </w:p>
              </w:tc>
              <w:tc>
                <w:tcPr>
                  <w:tcW w:w="676" w:type="dxa"/>
                  <w:tcBorders>
                    <w:tl2br w:val="nil"/>
                    <w:tr2bl w:val="nil"/>
                  </w:tcBorders>
                  <w:noWrap w:val="0"/>
                  <w:vAlign w:val="center"/>
                </w:tcPr>
                <w:p w14:paraId="06CECE0D">
                  <w:pPr>
                    <w:spacing w:line="240" w:lineRule="exact"/>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w:t>
                  </w:r>
                </w:p>
              </w:tc>
              <w:tc>
                <w:tcPr>
                  <w:tcW w:w="765" w:type="dxa"/>
                  <w:tcBorders>
                    <w:tl2br w:val="nil"/>
                    <w:tr2bl w:val="nil"/>
                  </w:tcBorders>
                  <w:noWrap w:val="0"/>
                  <w:vAlign w:val="center"/>
                </w:tcPr>
                <w:p w14:paraId="531288D1">
                  <w:pPr>
                    <w:pStyle w:val="107"/>
                    <w:ind w:firstLine="0" w:firstLineChars="0"/>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bCs/>
                      <w:color w:val="auto"/>
                      <w:spacing w:val="0"/>
                      <w:position w:val="0"/>
                      <w:sz w:val="21"/>
                      <w:szCs w:val="21"/>
                      <w:highlight w:val="none"/>
                      <w:lang w:val="en-US" w:eastAsia="zh-CN"/>
                    </w:rPr>
                    <w:t>0</w:t>
                  </w:r>
                </w:p>
              </w:tc>
              <w:tc>
                <w:tcPr>
                  <w:tcW w:w="767" w:type="dxa"/>
                  <w:tcBorders>
                    <w:tl2br w:val="nil"/>
                    <w:tr2bl w:val="nil"/>
                  </w:tcBorders>
                  <w:noWrap w:val="0"/>
                  <w:vAlign w:val="center"/>
                </w:tcPr>
                <w:p w14:paraId="2A218740">
                  <w:pPr>
                    <w:pStyle w:val="107"/>
                    <w:ind w:firstLine="0" w:firstLineChars="0"/>
                    <w:rPr>
                      <w:rFonts w:hint="default" w:ascii="Times New Roman" w:hAnsi="Times New Roman" w:eastAsia="宋体" w:cs="Times New Roman"/>
                      <w:bCs/>
                      <w:color w:val="auto"/>
                      <w:spacing w:val="0"/>
                      <w:position w:val="0"/>
                      <w:sz w:val="21"/>
                      <w:szCs w:val="21"/>
                      <w:highlight w:val="none"/>
                      <w:lang w:val="en-US" w:eastAsia="zh-CN"/>
                    </w:rPr>
                  </w:pPr>
                  <w:r>
                    <w:rPr>
                      <w:rFonts w:hint="eastAsia" w:cs="Times New Roman"/>
                      <w:bCs/>
                      <w:color w:val="auto"/>
                      <w:spacing w:val="0"/>
                      <w:position w:val="0"/>
                      <w:sz w:val="21"/>
                      <w:szCs w:val="21"/>
                      <w:highlight w:val="none"/>
                      <w:lang w:val="en-US" w:eastAsia="zh-CN"/>
                    </w:rPr>
                    <w:t>3</w:t>
                  </w:r>
                </w:p>
              </w:tc>
              <w:tc>
                <w:tcPr>
                  <w:tcW w:w="1090" w:type="dxa"/>
                  <w:tcBorders>
                    <w:tl2br w:val="nil"/>
                    <w:tr2bl w:val="nil"/>
                  </w:tcBorders>
                  <w:noWrap w:val="0"/>
                  <w:vAlign w:val="center"/>
                </w:tcPr>
                <w:p w14:paraId="7BBAC9E9">
                  <w:pPr>
                    <w:spacing w:line="240" w:lineRule="exact"/>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委托环卫部门清运处置</w:t>
                  </w:r>
                </w:p>
              </w:tc>
              <w:tc>
                <w:tcPr>
                  <w:tcW w:w="980" w:type="dxa"/>
                  <w:tcBorders>
                    <w:tl2br w:val="nil"/>
                    <w:tr2bl w:val="nil"/>
                  </w:tcBorders>
                  <w:noWrap w:val="0"/>
                  <w:vAlign w:val="center"/>
                </w:tcPr>
                <w:p w14:paraId="0F597EB8">
                  <w:pPr>
                    <w:widowControl/>
                    <w:spacing w:line="240" w:lineRule="exact"/>
                    <w:jc w:val="center"/>
                    <w:textAlignment w:val="center"/>
                    <w:rPr>
                      <w:rFonts w:ascii="Times New Roman" w:hAnsi="Times New Roman" w:eastAsia="宋体" w:cs="Times New Roman"/>
                      <w:bCs/>
                      <w:color w:val="auto"/>
                      <w:spacing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lang w:bidi="ar"/>
                    </w:rPr>
                    <w:t>每天</w:t>
                  </w:r>
                </w:p>
              </w:tc>
              <w:tc>
                <w:tcPr>
                  <w:tcW w:w="693" w:type="dxa"/>
                  <w:tcBorders>
                    <w:tl2br w:val="nil"/>
                    <w:tr2bl w:val="nil"/>
                  </w:tcBorders>
                  <w:noWrap w:val="0"/>
                  <w:vAlign w:val="center"/>
                </w:tcPr>
                <w:p w14:paraId="0D638349">
                  <w:pPr>
                    <w:widowControl/>
                    <w:spacing w:line="240" w:lineRule="exact"/>
                    <w:jc w:val="center"/>
                    <w:textAlignment w:val="center"/>
                    <w:rPr>
                      <w:rFonts w:hint="eastAsia" w:ascii="Times New Roman" w:hAnsi="Times New Roman" w:eastAsia="宋体" w:cs="Times New Roman"/>
                      <w:bCs/>
                      <w:color w:val="auto"/>
                      <w:spacing w:val="0"/>
                      <w:position w:val="0"/>
                      <w:sz w:val="21"/>
                      <w:szCs w:val="21"/>
                      <w:highlight w:val="none"/>
                      <w:lang w:eastAsia="zh-CN"/>
                    </w:rPr>
                  </w:pPr>
                  <w:r>
                    <w:rPr>
                      <w:rFonts w:hint="eastAsia" w:cs="Times New Roman"/>
                      <w:color w:val="auto"/>
                      <w:spacing w:val="0"/>
                      <w:kern w:val="0"/>
                      <w:position w:val="0"/>
                      <w:sz w:val="21"/>
                      <w:szCs w:val="21"/>
                      <w:highlight w:val="none"/>
                      <w:lang w:val="en-US" w:eastAsia="zh-CN" w:bidi="ar"/>
                    </w:rPr>
                    <w:t>2</w:t>
                  </w:r>
                </w:p>
              </w:tc>
            </w:tr>
            <w:tr w14:paraId="00064B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8" w:type="dxa"/>
                  <w:gridSpan w:val="16"/>
                  <w:tcBorders>
                    <w:tl2br w:val="nil"/>
                    <w:tr2bl w:val="nil"/>
                  </w:tcBorders>
                  <w:noWrap w:val="0"/>
                  <w:vAlign w:val="center"/>
                </w:tcPr>
                <w:p w14:paraId="4D1ECB4D">
                  <w:pPr>
                    <w:spacing w:line="320" w:lineRule="exact"/>
                    <w:jc w:val="left"/>
                    <w:rPr>
                      <w:rFonts w:hint="eastAsia" w:ascii="Times New Roman" w:hAnsi="Times New Roman" w:eastAsia="宋体" w:cs="Times New Roman"/>
                      <w:b/>
                      <w:bCs/>
                      <w:color w:val="auto"/>
                      <w:spacing w:val="0"/>
                      <w:position w:val="0"/>
                      <w:szCs w:val="21"/>
                      <w:highlight w:val="none"/>
                    </w:rPr>
                  </w:pPr>
                  <w:r>
                    <w:rPr>
                      <w:rFonts w:ascii="Times New Roman" w:hAnsi="Times New Roman" w:eastAsia="宋体" w:cs="Times New Roman"/>
                      <w:b/>
                      <w:bCs/>
                      <w:color w:val="auto"/>
                      <w:spacing w:val="0"/>
                      <w:position w:val="0"/>
                      <w:szCs w:val="21"/>
                      <w:highlight w:val="none"/>
                    </w:rPr>
                    <w:t>环境管理要求</w:t>
                  </w:r>
                  <w:r>
                    <w:rPr>
                      <w:rFonts w:hint="eastAsia" w:ascii="Times New Roman" w:hAnsi="Times New Roman" w:eastAsia="宋体" w:cs="Times New Roman"/>
                      <w:b/>
                      <w:bCs/>
                      <w:color w:val="auto"/>
                      <w:spacing w:val="0"/>
                      <w:position w:val="0"/>
                      <w:szCs w:val="21"/>
                      <w:highlight w:val="none"/>
                    </w:rPr>
                    <w:t>：</w:t>
                  </w:r>
                </w:p>
                <w:p w14:paraId="2CAD3DAE">
                  <w:pPr>
                    <w:numPr>
                      <w:ilvl w:val="0"/>
                      <w:numId w:val="0"/>
                    </w:numPr>
                    <w:spacing w:line="320" w:lineRule="exact"/>
                    <w:jc w:val="both"/>
                    <w:rPr>
                      <w:rFonts w:hint="eastAsia" w:ascii="Times New Roman" w:hAnsi="Times New Roman" w:eastAsia="宋体" w:cs="Times New Roman"/>
                      <w:color w:val="auto"/>
                      <w:spacing w:val="0"/>
                      <w:position w:val="0"/>
                      <w:szCs w:val="21"/>
                      <w:highlight w:val="none"/>
                    </w:rPr>
                  </w:pPr>
                  <w:r>
                    <w:rPr>
                      <w:rFonts w:hint="eastAsia" w:ascii="Times New Roman" w:hAnsi="Times New Roman" w:eastAsia="宋体" w:cs="Times New Roman"/>
                      <w:color w:val="auto"/>
                      <w:spacing w:val="0"/>
                      <w:kern w:val="2"/>
                      <w:position w:val="0"/>
                      <w:sz w:val="21"/>
                      <w:szCs w:val="21"/>
                      <w:highlight w:val="none"/>
                      <w:lang w:val="en-US" w:eastAsia="zh-CN" w:bidi="ar-SA"/>
                    </w:rPr>
                    <w:t>（1）</w:t>
                  </w:r>
                  <w:r>
                    <w:rPr>
                      <w:rFonts w:hint="eastAsia" w:cs="Times New Roman"/>
                      <w:bCs/>
                      <w:color w:val="auto"/>
                      <w:spacing w:val="0"/>
                      <w:position w:val="0"/>
                      <w:szCs w:val="21"/>
                      <w:highlight w:val="none"/>
                      <w:lang w:eastAsia="zh-CN"/>
                    </w:rPr>
                    <w:t>一般固废间</w:t>
                  </w:r>
                  <w:r>
                    <w:rPr>
                      <w:rFonts w:hint="eastAsia" w:ascii="Times New Roman" w:hAnsi="Times New Roman" w:eastAsia="宋体" w:cs="Times New Roman"/>
                      <w:bCs/>
                      <w:color w:val="auto"/>
                      <w:spacing w:val="0"/>
                      <w:position w:val="0"/>
                      <w:szCs w:val="21"/>
                      <w:highlight w:val="none"/>
                    </w:rPr>
                    <w:t>：面积为</w:t>
                  </w:r>
                  <w:r>
                    <w:rPr>
                      <w:rFonts w:hint="eastAsia" w:cs="Times New Roman"/>
                      <w:bCs/>
                      <w:color w:val="auto"/>
                      <w:spacing w:val="0"/>
                      <w:position w:val="0"/>
                      <w:szCs w:val="21"/>
                      <w:highlight w:val="none"/>
                      <w:lang w:val="en-US" w:eastAsia="zh-CN"/>
                    </w:rPr>
                    <w:t>5</w:t>
                  </w:r>
                  <w:r>
                    <w:rPr>
                      <w:rFonts w:hint="eastAsia" w:ascii="Times New Roman" w:hAnsi="Times New Roman" w:eastAsia="宋体" w:cs="Times New Roman"/>
                      <w:bCs/>
                      <w:color w:val="auto"/>
                      <w:spacing w:val="0"/>
                      <w:position w:val="0"/>
                      <w:szCs w:val="21"/>
                      <w:highlight w:val="none"/>
                    </w:rPr>
                    <w:t>m</w:t>
                  </w:r>
                  <w:r>
                    <w:rPr>
                      <w:rFonts w:hint="eastAsia" w:ascii="Times New Roman" w:hAnsi="Times New Roman" w:eastAsia="宋体" w:cs="Times New Roman"/>
                      <w:bCs/>
                      <w:color w:val="auto"/>
                      <w:spacing w:val="0"/>
                      <w:position w:val="0"/>
                      <w:szCs w:val="21"/>
                      <w:highlight w:val="none"/>
                      <w:vertAlign w:val="superscript"/>
                    </w:rPr>
                    <w:t>2</w:t>
                  </w:r>
                  <w:r>
                    <w:rPr>
                      <w:rFonts w:hint="eastAsia" w:cs="Times New Roman"/>
                      <w:bCs/>
                      <w:color w:val="auto"/>
                      <w:spacing w:val="0"/>
                      <w:position w:val="0"/>
                      <w:szCs w:val="21"/>
                      <w:highlight w:val="none"/>
                      <w:lang w:val="en-US" w:eastAsia="zh-CN"/>
                    </w:rPr>
                    <w:t>（使用3</w:t>
                  </w:r>
                  <w:r>
                    <w:rPr>
                      <w:rFonts w:hint="eastAsia" w:ascii="Times New Roman" w:hAnsi="Times New Roman" w:eastAsia="宋体" w:cs="Times New Roman"/>
                      <w:bCs/>
                      <w:color w:val="auto"/>
                      <w:spacing w:val="0"/>
                      <w:position w:val="0"/>
                      <w:szCs w:val="21"/>
                      <w:highlight w:val="none"/>
                    </w:rPr>
                    <w:t>m</w:t>
                  </w:r>
                  <w:r>
                    <w:rPr>
                      <w:rFonts w:hint="eastAsia" w:ascii="Times New Roman" w:hAnsi="Times New Roman" w:eastAsia="宋体" w:cs="Times New Roman"/>
                      <w:bCs/>
                      <w:color w:val="auto"/>
                      <w:spacing w:val="0"/>
                      <w:position w:val="0"/>
                      <w:szCs w:val="21"/>
                      <w:highlight w:val="none"/>
                      <w:vertAlign w:val="superscript"/>
                    </w:rPr>
                    <w:t>2</w:t>
                  </w:r>
                  <w:r>
                    <w:rPr>
                      <w:rFonts w:hint="eastAsia" w:cs="Times New Roman"/>
                      <w:bCs/>
                      <w:color w:val="auto"/>
                      <w:spacing w:val="0"/>
                      <w:position w:val="0"/>
                      <w:szCs w:val="21"/>
                      <w:highlight w:val="none"/>
                      <w:lang w:val="en-US" w:eastAsia="zh-CN"/>
                    </w:rPr>
                    <w:t>）</w:t>
                  </w:r>
                  <w:r>
                    <w:rPr>
                      <w:rFonts w:hint="eastAsia" w:ascii="Times New Roman" w:hAnsi="Times New Roman" w:eastAsia="宋体" w:cs="Times New Roman"/>
                      <w:bCs/>
                      <w:color w:val="auto"/>
                      <w:spacing w:val="0"/>
                      <w:position w:val="0"/>
                      <w:szCs w:val="21"/>
                      <w:highlight w:val="none"/>
                    </w:rPr>
                    <w:t>，</w:t>
                  </w:r>
                  <w:r>
                    <w:rPr>
                      <w:rFonts w:ascii="Times New Roman" w:hAnsi="Times New Roman" w:eastAsia="宋体" w:cs="Times New Roman"/>
                      <w:color w:val="auto"/>
                      <w:spacing w:val="0"/>
                      <w:position w:val="0"/>
                      <w:szCs w:val="21"/>
                      <w:highlight w:val="none"/>
                    </w:rPr>
                    <w:t>采用库房、包装工具（罐、桶、包装袋等）贮存一般工业固体废物的其贮存过程应满足相应防渗漏、防雨淋、防扬尘等环境保护要求</w:t>
                  </w:r>
                  <w:r>
                    <w:rPr>
                      <w:rFonts w:hint="eastAsia" w:ascii="Times New Roman" w:hAnsi="Times New Roman" w:eastAsia="宋体" w:cs="Times New Roman"/>
                      <w:color w:val="auto"/>
                      <w:spacing w:val="0"/>
                      <w:position w:val="0"/>
                      <w:szCs w:val="21"/>
                      <w:highlight w:val="none"/>
                    </w:rPr>
                    <w:t>。</w:t>
                  </w:r>
                </w:p>
                <w:p w14:paraId="08906D28">
                  <w:pPr>
                    <w:numPr>
                      <w:ilvl w:val="0"/>
                      <w:numId w:val="0"/>
                    </w:numPr>
                    <w:spacing w:line="320" w:lineRule="exact"/>
                    <w:jc w:val="left"/>
                    <w:rPr>
                      <w:rFonts w:ascii="Times New Roman" w:hAnsi="Times New Roman" w:eastAsia="宋体" w:cs="Times New Roman"/>
                      <w:color w:val="auto"/>
                      <w:spacing w:val="0"/>
                      <w:position w:val="0"/>
                      <w:szCs w:val="21"/>
                      <w:highlight w:val="none"/>
                    </w:rPr>
                  </w:pPr>
                  <w:r>
                    <w:rPr>
                      <w:rFonts w:hint="eastAsia" w:ascii="Times New Roman" w:hAnsi="Times New Roman" w:eastAsia="宋体" w:cs="Times New Roman"/>
                      <w:bCs/>
                      <w:color w:val="auto"/>
                      <w:spacing w:val="0"/>
                      <w:position w:val="0"/>
                      <w:szCs w:val="21"/>
                      <w:highlight w:val="none"/>
                    </w:rPr>
                    <w:t>（2）</w:t>
                  </w:r>
                  <w:r>
                    <w:rPr>
                      <w:rFonts w:hint="eastAsia" w:cs="Times New Roman"/>
                      <w:bCs/>
                      <w:color w:val="auto"/>
                      <w:spacing w:val="0"/>
                      <w:position w:val="0"/>
                      <w:szCs w:val="21"/>
                      <w:highlight w:val="none"/>
                      <w:lang w:eastAsia="zh-CN"/>
                    </w:rPr>
                    <w:t>危废暂存间</w:t>
                  </w:r>
                  <w:r>
                    <w:rPr>
                      <w:rFonts w:hint="eastAsia" w:ascii="Times New Roman" w:hAnsi="Times New Roman" w:eastAsia="宋体" w:cs="Times New Roman"/>
                      <w:bCs/>
                      <w:color w:val="auto"/>
                      <w:spacing w:val="0"/>
                      <w:position w:val="0"/>
                      <w:szCs w:val="21"/>
                      <w:highlight w:val="none"/>
                    </w:rPr>
                    <w:t>：</w:t>
                  </w:r>
                  <w:r>
                    <w:rPr>
                      <w:rFonts w:hint="eastAsia" w:ascii="Times New Roman" w:hAnsi="Times New Roman" w:eastAsia="宋体" w:cs="Times New Roman"/>
                      <w:color w:val="auto"/>
                      <w:spacing w:val="0"/>
                      <w:position w:val="0"/>
                      <w:szCs w:val="21"/>
                      <w:highlight w:val="none"/>
                    </w:rPr>
                    <w:t>面积为</w:t>
                  </w:r>
                  <w:r>
                    <w:rPr>
                      <w:rFonts w:hint="eastAsia" w:cs="Times New Roman"/>
                      <w:color w:val="auto"/>
                      <w:spacing w:val="0"/>
                      <w:position w:val="0"/>
                      <w:szCs w:val="21"/>
                      <w:highlight w:val="none"/>
                      <w:lang w:val="en-US" w:eastAsia="zh-CN"/>
                    </w:rPr>
                    <w:t>22</w:t>
                  </w:r>
                  <w:r>
                    <w:rPr>
                      <w:rFonts w:hint="eastAsia" w:ascii="Times New Roman" w:hAnsi="Times New Roman" w:eastAsia="宋体" w:cs="Times New Roman"/>
                      <w:color w:val="auto"/>
                      <w:spacing w:val="0"/>
                      <w:position w:val="0"/>
                      <w:szCs w:val="21"/>
                      <w:highlight w:val="none"/>
                    </w:rPr>
                    <w:t>m</w:t>
                  </w:r>
                  <w:r>
                    <w:rPr>
                      <w:rFonts w:hint="eastAsia" w:ascii="Times New Roman" w:hAnsi="Times New Roman" w:eastAsia="宋体" w:cs="Times New Roman"/>
                      <w:color w:val="auto"/>
                      <w:spacing w:val="0"/>
                      <w:position w:val="0"/>
                      <w:szCs w:val="21"/>
                      <w:highlight w:val="none"/>
                      <w:vertAlign w:val="superscript"/>
                    </w:rPr>
                    <w:t>2</w:t>
                  </w:r>
                  <w:r>
                    <w:rPr>
                      <w:rFonts w:hint="eastAsia" w:cs="Times New Roman"/>
                      <w:bCs/>
                      <w:color w:val="auto"/>
                      <w:spacing w:val="0"/>
                      <w:position w:val="0"/>
                      <w:szCs w:val="21"/>
                      <w:highlight w:val="none"/>
                      <w:lang w:val="en-US" w:eastAsia="zh-CN"/>
                    </w:rPr>
                    <w:t>（使用12.5</w:t>
                  </w:r>
                  <w:r>
                    <w:rPr>
                      <w:rFonts w:hint="eastAsia" w:ascii="Times New Roman" w:hAnsi="Times New Roman" w:eastAsia="宋体" w:cs="Times New Roman"/>
                      <w:bCs/>
                      <w:color w:val="auto"/>
                      <w:spacing w:val="0"/>
                      <w:position w:val="0"/>
                      <w:szCs w:val="21"/>
                      <w:highlight w:val="none"/>
                    </w:rPr>
                    <w:t>m</w:t>
                  </w:r>
                  <w:r>
                    <w:rPr>
                      <w:rFonts w:hint="eastAsia" w:ascii="Times New Roman" w:hAnsi="Times New Roman" w:eastAsia="宋体" w:cs="Times New Roman"/>
                      <w:bCs/>
                      <w:color w:val="auto"/>
                      <w:spacing w:val="0"/>
                      <w:position w:val="0"/>
                      <w:szCs w:val="21"/>
                      <w:highlight w:val="none"/>
                      <w:vertAlign w:val="superscript"/>
                    </w:rPr>
                    <w:t>2</w:t>
                  </w:r>
                  <w:r>
                    <w:rPr>
                      <w:rFonts w:hint="eastAsia" w:cs="Times New Roman"/>
                      <w:bCs/>
                      <w:color w:val="auto"/>
                      <w:spacing w:val="0"/>
                      <w:position w:val="0"/>
                      <w:szCs w:val="21"/>
                      <w:highlight w:val="none"/>
                      <w:lang w:val="en-US" w:eastAsia="zh-CN"/>
                    </w:rPr>
                    <w:t>）</w:t>
                  </w:r>
                  <w:r>
                    <w:rPr>
                      <w:rFonts w:hint="eastAsia" w:ascii="Times New Roman" w:hAnsi="Times New Roman" w:eastAsia="宋体" w:cs="Times New Roman"/>
                      <w:bCs/>
                      <w:color w:val="auto"/>
                      <w:spacing w:val="0"/>
                      <w:position w:val="0"/>
                      <w:szCs w:val="21"/>
                      <w:highlight w:val="none"/>
                    </w:rPr>
                    <w:t>，</w:t>
                  </w:r>
                  <w:r>
                    <w:rPr>
                      <w:rFonts w:ascii="Times New Roman" w:hAnsi="Times New Roman" w:eastAsia="宋体" w:cs="Times New Roman"/>
                      <w:color w:val="auto"/>
                      <w:spacing w:val="0"/>
                      <w:position w:val="0"/>
                      <w:szCs w:val="21"/>
                      <w:highlight w:val="none"/>
                    </w:rPr>
                    <w:t>按照《危险废物贮存污染控制标准》（GB18597-2023）的相关要求进行管理</w:t>
                  </w:r>
                  <w:r>
                    <w:rPr>
                      <w:rFonts w:hint="eastAsia" w:ascii="Times New Roman" w:hAnsi="Times New Roman" w:eastAsia="宋体" w:cs="Times New Roman"/>
                      <w:color w:val="auto"/>
                      <w:spacing w:val="0"/>
                      <w:position w:val="0"/>
                      <w:szCs w:val="21"/>
                      <w:highlight w:val="none"/>
                    </w:rPr>
                    <w:t>。</w:t>
                  </w:r>
                </w:p>
                <w:p w14:paraId="25C84827">
                  <w:pPr>
                    <w:widowControl/>
                    <w:spacing w:line="320" w:lineRule="exact"/>
                    <w:textAlignment w:val="center"/>
                    <w:rPr>
                      <w:rFonts w:hint="eastAsia" w:ascii="Times New Roman" w:hAnsi="Times New Roman" w:eastAsia="宋体" w:cs="Times New Roman"/>
                      <w:color w:val="auto"/>
                      <w:spacing w:val="0"/>
                      <w:kern w:val="0"/>
                      <w:position w:val="0"/>
                      <w:szCs w:val="21"/>
                      <w:highlight w:val="none"/>
                      <w:lang w:bidi="ar"/>
                    </w:rPr>
                  </w:pPr>
                  <w:r>
                    <w:rPr>
                      <w:rFonts w:hint="eastAsia" w:ascii="Times New Roman" w:hAnsi="Times New Roman" w:eastAsia="宋体" w:cs="Times New Roman"/>
                      <w:color w:val="auto"/>
                      <w:spacing w:val="0"/>
                      <w:position w:val="0"/>
                      <w:szCs w:val="21"/>
                      <w:highlight w:val="none"/>
                    </w:rPr>
                    <w:t>（3）生活垃圾：</w:t>
                  </w:r>
                  <w:r>
                    <w:rPr>
                      <w:rFonts w:ascii="Times New Roman" w:hAnsi="Times New Roman" w:eastAsia="宋体" w:cs="Times New Roman"/>
                      <w:color w:val="auto"/>
                      <w:spacing w:val="0"/>
                      <w:position w:val="0"/>
                      <w:szCs w:val="21"/>
                      <w:highlight w:val="none"/>
                    </w:rPr>
                    <w:t>分类收集、分类贮存，企业应按规范建设垃圾箱，做到日产日清，防止二次污染。</w:t>
                  </w:r>
                </w:p>
              </w:tc>
            </w:tr>
          </w:tbl>
          <w:p w14:paraId="67A8BED6">
            <w:pPr>
              <w:jc w:val="left"/>
              <w:rPr>
                <w:rFonts w:hint="eastAsia" w:ascii="Times New Roman" w:hAnsi="Times New Roman" w:eastAsia="宋体" w:cs="Times New Roman"/>
                <w:bCs/>
                <w:color w:val="auto"/>
                <w:spacing w:val="0"/>
                <w:position w:val="0"/>
                <w:szCs w:val="21"/>
                <w:highlight w:val="none"/>
              </w:rPr>
            </w:pPr>
          </w:p>
        </w:tc>
      </w:tr>
    </w:tbl>
    <w:p w14:paraId="10BF8E01">
      <w:pPr>
        <w:pStyle w:val="37"/>
        <w:rPr>
          <w:color w:val="auto"/>
          <w:highlight w:val="none"/>
        </w:rPr>
        <w:sectPr>
          <w:pgSz w:w="16838" w:h="11905" w:orient="landscape"/>
          <w:pgMar w:top="1134" w:right="1134" w:bottom="1134" w:left="1134"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9"/>
        <w:tblW w:w="90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8"/>
        <w:gridCol w:w="8340"/>
      </w:tblGrid>
      <w:tr w14:paraId="4816E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9" w:hRule="atLeast"/>
          <w:jc w:val="center"/>
        </w:trPr>
        <w:tc>
          <w:tcPr>
            <w:tcW w:w="758" w:type="dxa"/>
            <w:tcMar>
              <w:left w:w="28" w:type="dxa"/>
              <w:right w:w="28" w:type="dxa"/>
            </w:tcMar>
            <w:vAlign w:val="center"/>
          </w:tcPr>
          <w:p w14:paraId="3C4BF89C">
            <w:pPr>
              <w:adjustRightInd w:val="0"/>
              <w:snapToGrid w:val="0"/>
              <w:jc w:val="center"/>
              <w:rPr>
                <w:rFonts w:ascii="Times New Roman" w:hAnsi="Times New Roman" w:eastAsia="宋体" w:cs="Times New Roman"/>
                <w:bCs/>
                <w:color w:val="auto"/>
                <w:spacing w:val="0"/>
                <w:position w:val="0"/>
                <w:szCs w:val="21"/>
                <w:highlight w:val="none"/>
              </w:rPr>
            </w:pPr>
          </w:p>
        </w:tc>
        <w:tc>
          <w:tcPr>
            <w:tcW w:w="8340" w:type="dxa"/>
            <w:vAlign w:val="center"/>
          </w:tcPr>
          <w:p w14:paraId="17656342">
            <w:pPr>
              <w:pStyle w:val="4"/>
              <w:keepNext/>
              <w:keepLines/>
              <w:pageBreakBefore w:val="0"/>
              <w:kinsoku/>
              <w:wordWrap/>
              <w:overflowPunct/>
              <w:topLinePunct w:val="0"/>
              <w:autoSpaceDE/>
              <w:autoSpaceDN/>
              <w:bidi w:val="0"/>
              <w:adjustRightInd/>
              <w:snapToGrid/>
              <w:spacing w:before="0" w:after="0" w:line="360" w:lineRule="auto"/>
              <w:textAlignment w:val="auto"/>
              <w:rPr>
                <w:rFonts w:ascii="Times New Roman" w:hAnsi="Times New Roman" w:eastAsia="宋体" w:cs="Times New Roman"/>
                <w:color w:val="auto"/>
                <w:spacing w:val="0"/>
                <w:position w:val="0"/>
                <w:sz w:val="24"/>
                <w:szCs w:val="24"/>
                <w:highlight w:val="none"/>
              </w:rPr>
            </w:pPr>
            <w:r>
              <w:rPr>
                <w:rFonts w:ascii="Times New Roman" w:hAnsi="Times New Roman" w:eastAsia="宋体" w:cs="Times New Roman"/>
                <w:b/>
                <w:bCs w:val="0"/>
                <w:color w:val="auto"/>
                <w:spacing w:val="0"/>
                <w:position w:val="0"/>
                <w:sz w:val="24"/>
                <w:szCs w:val="24"/>
                <w:highlight w:val="none"/>
              </w:rPr>
              <w:t>4.</w:t>
            </w:r>
            <w:r>
              <w:rPr>
                <w:rFonts w:hint="eastAsia" w:ascii="Times New Roman" w:hAnsi="Times New Roman" w:eastAsia="宋体" w:cs="Times New Roman"/>
                <w:b/>
                <w:bCs w:val="0"/>
                <w:color w:val="auto"/>
                <w:spacing w:val="0"/>
                <w:position w:val="0"/>
                <w:sz w:val="24"/>
                <w:szCs w:val="24"/>
                <w:highlight w:val="none"/>
              </w:rPr>
              <w:t>4</w:t>
            </w:r>
            <w:r>
              <w:rPr>
                <w:rFonts w:ascii="Times New Roman" w:hAnsi="Times New Roman" w:eastAsia="宋体" w:cs="Times New Roman"/>
                <w:b/>
                <w:bCs w:val="0"/>
                <w:color w:val="auto"/>
                <w:spacing w:val="0"/>
                <w:position w:val="0"/>
                <w:sz w:val="24"/>
                <w:szCs w:val="24"/>
                <w:highlight w:val="none"/>
              </w:rPr>
              <w:t>.2</w:t>
            </w:r>
            <w:r>
              <w:rPr>
                <w:rFonts w:ascii="Times New Roman" w:hAnsi="Times New Roman" w:eastAsia="宋体" w:cs="Times New Roman"/>
                <w:b/>
                <w:color w:val="auto"/>
                <w:spacing w:val="0"/>
                <w:kern w:val="0"/>
                <w:position w:val="0"/>
                <w:sz w:val="24"/>
                <w:szCs w:val="24"/>
                <w:highlight w:val="none"/>
                <w:lang w:bidi="ar"/>
              </w:rPr>
              <w:t>固体废物影响分析与治理措施</w:t>
            </w:r>
            <w:r>
              <w:rPr>
                <w:rFonts w:ascii="Times New Roman" w:hAnsi="Times New Roman" w:eastAsia="宋体" w:cs="Times New Roman"/>
                <w:color w:val="auto"/>
                <w:spacing w:val="0"/>
                <w:position w:val="0"/>
                <w:sz w:val="24"/>
                <w:szCs w:val="24"/>
                <w:highlight w:val="none"/>
              </w:rPr>
              <w:t xml:space="preserve"> </w:t>
            </w:r>
          </w:p>
          <w:p w14:paraId="192110E6">
            <w:pPr>
              <w:keepNext w:val="0"/>
              <w:keepLines w:val="0"/>
              <w:pageBreakBefore w:val="0"/>
              <w:kinsoku/>
              <w:wordWrap/>
              <w:overflowPunct/>
              <w:topLinePunct w:val="0"/>
              <w:autoSpaceDE/>
              <w:autoSpaceDN/>
              <w:bidi w:val="0"/>
              <w:adjustRightInd/>
              <w:spacing w:line="360" w:lineRule="auto"/>
              <w:ind w:firstLine="482" w:firstLineChars="200"/>
              <w:textAlignment w:val="auto"/>
              <w:rPr>
                <w:rFonts w:ascii="Times New Roman" w:hAnsi="Times New Roman" w:eastAsia="宋体" w:cs="Times New Roman"/>
                <w:b/>
                <w:bCs/>
                <w:color w:val="auto"/>
                <w:sz w:val="24"/>
                <w:szCs w:val="24"/>
                <w:highlight w:val="none"/>
              </w:rPr>
            </w:pPr>
            <w:bookmarkStart w:id="53" w:name="_Toc24771"/>
            <w:bookmarkStart w:id="54" w:name="_Toc29524"/>
            <w:r>
              <w:rPr>
                <w:rFonts w:ascii="Times New Roman" w:hAnsi="Times New Roman" w:eastAsia="宋体" w:cs="Times New Roman"/>
                <w:b/>
                <w:bCs/>
                <w:color w:val="auto"/>
                <w:sz w:val="24"/>
                <w:szCs w:val="24"/>
                <w:highlight w:val="none"/>
              </w:rPr>
              <w:t xml:space="preserve">（1）生活垃圾 </w:t>
            </w:r>
          </w:p>
          <w:p w14:paraId="4C8C4429">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kern w:val="0"/>
                <w:sz w:val="24"/>
                <w:szCs w:val="24"/>
                <w:highlight w:val="none"/>
                <w:lang w:bidi="ar"/>
              </w:rPr>
              <w:t>生活垃圾应采取分类收集、分类贮存，企业应按规范建设垃圾箱，做到日产日清，防止二次污染。</w:t>
            </w:r>
          </w:p>
          <w:p w14:paraId="1ED79847">
            <w:pPr>
              <w:keepNext w:val="0"/>
              <w:keepLines w:val="0"/>
              <w:pageBreakBefore w:val="0"/>
              <w:kinsoku/>
              <w:wordWrap/>
              <w:overflowPunct/>
              <w:topLinePunct w:val="0"/>
              <w:autoSpaceDE/>
              <w:autoSpaceDN/>
              <w:bidi w:val="0"/>
              <w:adjustRightInd/>
              <w:spacing w:line="360" w:lineRule="auto"/>
              <w:ind w:firstLine="482" w:firstLineChars="200"/>
              <w:textAlignment w:val="auto"/>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（2）一般固废</w:t>
            </w:r>
          </w:p>
          <w:p w14:paraId="16B34D55">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rPr>
              <w:t>一般固体废物环境管理要求如下</w:t>
            </w:r>
            <w:r>
              <w:rPr>
                <w:rFonts w:hint="eastAsia" w:ascii="Times New Roman" w:hAnsi="Times New Roman" w:eastAsia="宋体" w:cs="Times New Roman"/>
                <w:color w:val="auto"/>
                <w:sz w:val="24"/>
                <w:szCs w:val="24"/>
                <w:highlight w:val="none"/>
                <w:lang w:eastAsia="zh-CN"/>
              </w:rPr>
              <w:t>：</w:t>
            </w:r>
          </w:p>
          <w:p w14:paraId="5A2055B0">
            <w:pPr>
              <w:keepNext w:val="0"/>
              <w:keepLines w:val="0"/>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①建设一般工业固废暂存场所，主要临时储存项目产生的一般工业固体废物，并定期进行综合利用处置或外售。一般工业固体废物临时堆场参照《一般工业固体废物贮存和填埋污染控制标准》（GB18599-2020）进行建设。</w:t>
            </w:r>
          </w:p>
          <w:p w14:paraId="63825B59">
            <w:pPr>
              <w:keepNext w:val="0"/>
              <w:keepLines w:val="0"/>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②一般固废暂存场所要求</w:t>
            </w:r>
          </w:p>
          <w:p w14:paraId="01804797">
            <w:pPr>
              <w:keepNext w:val="0"/>
              <w:keepLines w:val="0"/>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一般工业固体废物堆场参照《一般工业固体废物贮存和填埋污染控制标准》（GB18599-2020）对堆场进行规范建设，堆场应满足防雨淋、防扬散和防渗漏的要求，一般污染防治区防渗系数K≤10</w:t>
            </w:r>
            <w:r>
              <w:rPr>
                <w:rFonts w:ascii="Times New Roman" w:hAnsi="Times New Roman" w:eastAsia="宋体" w:cs="Times New Roman"/>
                <w:color w:val="auto"/>
                <w:sz w:val="24"/>
                <w:szCs w:val="24"/>
                <w:highlight w:val="none"/>
                <w:vertAlign w:val="superscript"/>
              </w:rPr>
              <w:t>-7</w:t>
            </w:r>
            <w:r>
              <w:rPr>
                <w:rFonts w:ascii="Times New Roman" w:hAnsi="Times New Roman" w:eastAsia="宋体" w:cs="Times New Roman"/>
                <w:color w:val="auto"/>
                <w:sz w:val="24"/>
                <w:szCs w:val="24"/>
                <w:highlight w:val="none"/>
              </w:rPr>
              <w:t>cm/s，项目采取防渗混凝土，污水输送管道采用PVC材质，确保渗透系数小于10</w:t>
            </w:r>
            <w:r>
              <w:rPr>
                <w:rFonts w:ascii="Times New Roman" w:hAnsi="Times New Roman" w:eastAsia="宋体" w:cs="Times New Roman"/>
                <w:color w:val="auto"/>
                <w:sz w:val="24"/>
                <w:szCs w:val="24"/>
                <w:highlight w:val="none"/>
                <w:vertAlign w:val="superscript"/>
              </w:rPr>
              <w:t>-7</w:t>
            </w:r>
            <w:r>
              <w:rPr>
                <w:rFonts w:ascii="Times New Roman" w:hAnsi="Times New Roman" w:eastAsia="宋体" w:cs="Times New Roman"/>
                <w:color w:val="auto"/>
                <w:sz w:val="24"/>
                <w:szCs w:val="24"/>
                <w:highlight w:val="none"/>
              </w:rPr>
              <w:t>cm/s。</w:t>
            </w:r>
          </w:p>
          <w:p w14:paraId="6C7665CF">
            <w:pPr>
              <w:keepNext w:val="0"/>
              <w:keepLines w:val="0"/>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A</w:t>
            </w:r>
            <w:r>
              <w:rPr>
                <w:rFonts w:hint="eastAsia" w:cs="Times New Roman"/>
                <w:color w:val="auto"/>
                <w:sz w:val="24"/>
                <w:szCs w:val="24"/>
                <w:highlight w:val="none"/>
                <w:lang w:val="en-US" w:eastAsia="zh-CN"/>
              </w:rPr>
              <w:t>.</w:t>
            </w:r>
            <w:r>
              <w:rPr>
                <w:rFonts w:ascii="Times New Roman" w:hAnsi="Times New Roman" w:eastAsia="宋体" w:cs="Times New Roman"/>
                <w:color w:val="auto"/>
                <w:sz w:val="24"/>
                <w:szCs w:val="24"/>
                <w:highlight w:val="none"/>
              </w:rPr>
              <w:t>地面应采取硬化措施并满足承载力要求，必要时采取相应措施防止地基下沉。</w:t>
            </w:r>
          </w:p>
          <w:p w14:paraId="01A7D8F0">
            <w:pPr>
              <w:keepNext w:val="0"/>
              <w:keepLines w:val="0"/>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B</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rPr>
              <w:t>按要求设置必要的防风、防雨、防晒措施，采取必要的防尘措施。</w:t>
            </w:r>
          </w:p>
          <w:p w14:paraId="35EF09B4">
            <w:pPr>
              <w:keepNext w:val="0"/>
              <w:keepLines w:val="0"/>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C</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rPr>
              <w:t>贮存场周边应设置导流渠，防止雨水径流进入贮存场。</w:t>
            </w:r>
          </w:p>
          <w:p w14:paraId="18DE5443">
            <w:pPr>
              <w:keepNext w:val="0"/>
              <w:keepLines w:val="0"/>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rPr>
              <w:t>安装《</w:t>
            </w:r>
            <w:r>
              <w:rPr>
                <w:rFonts w:hint="eastAsia" w:cs="Times New Roman"/>
                <w:color w:val="auto"/>
                <w:sz w:val="24"/>
                <w:szCs w:val="24"/>
                <w:highlight w:val="none"/>
                <w:lang w:eastAsia="zh-CN"/>
              </w:rPr>
              <w:t>环境保护图形标志 固体废物贮存（处置）场</w:t>
            </w:r>
            <w:r>
              <w:rPr>
                <w:rFonts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GB 15562.2-1995</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及修改清单</w:t>
            </w:r>
            <w:r>
              <w:rPr>
                <w:rFonts w:ascii="Times New Roman" w:hAnsi="Times New Roman" w:eastAsia="宋体" w:cs="Times New Roman"/>
                <w:color w:val="auto"/>
                <w:sz w:val="24"/>
                <w:szCs w:val="24"/>
                <w:highlight w:val="none"/>
              </w:rPr>
              <w:t>设置环境保护图形标志。</w:t>
            </w:r>
          </w:p>
          <w:p w14:paraId="2F38A8CE">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③一般固体废物管理台账要求</w:t>
            </w:r>
            <w:r>
              <w:rPr>
                <w:rFonts w:hint="eastAsia" w:ascii="Times New Roman" w:hAnsi="Times New Roman" w:eastAsia="宋体" w:cs="Times New Roman"/>
                <w:color w:val="auto"/>
                <w:sz w:val="24"/>
                <w:szCs w:val="24"/>
                <w:highlight w:val="none"/>
                <w:lang w:eastAsia="zh-CN"/>
              </w:rPr>
              <w:t>：</w:t>
            </w:r>
          </w:p>
          <w:p w14:paraId="494BA512">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A</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一般工业固体废物管理台账实施分级管理。一般工业固体废物产生清单按年填写，应当结合环境影响评价、排污许可等材料，根据实际生产运营情况记录固体废物产生信息，生产工艺发生重大变动等原因导致固体废物产生种类等发生变化的，应当及时另行填写一般工业固体废物产生清单；一般工业固体废物流向汇总表按月填写，记录固体废物的产生、贮存、利用、处置数量和利用、处置方式等信息；一般工业固体废物出厂环节记录表按批次填写，每一批次固体废物的出厂以及转移信息均应当如实记录。</w:t>
            </w:r>
          </w:p>
          <w:p w14:paraId="5E310A05">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B</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一般工业固体废物产生环节记录表、一般工业固体废物贮存环节记录表、一般工业固体废物自行利用环节记录表（运出）主要用于记录固体废物在产废单位内部的产生、贮存、利用等信息。填写时应确保固体废物的来源信息、流向信息完整准确；根据固体废物产生周期，可按日或按班次、批次填写。</w:t>
            </w:r>
          </w:p>
          <w:p w14:paraId="431A94A0">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C</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产废单位填写台账记录表时，应当根据自身固体废物产生情况，从一般工业固体废物分类表中选择对应的固体废物种类和代码，并根据固体废物种类确定固体废物的具体名称。</w:t>
            </w:r>
          </w:p>
          <w:p w14:paraId="2FA5AB2B">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鼓励产废单位采用国家建立的一般工业固体废物管理电子台账，简化数据填写、台账管理等工作。地方和企业自行开发的电子台账要实现与国家系统对接。建立电子台账的产废单位，可不再记录纸质台账。</w:t>
            </w:r>
          </w:p>
          <w:p w14:paraId="1B389C08">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E</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台账记录表各表单的负责人对记录信息的真实性、完整性和规范性负责。</w:t>
            </w:r>
          </w:p>
          <w:p w14:paraId="2437487A">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F</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产废单位应当设立专人负责台账的管理与归档，一般工业固体废物管理台账保存期限不少于5年。</w:t>
            </w:r>
          </w:p>
          <w:p w14:paraId="2A6654DE">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鼓励有条件的产废单位在固体废物产生场所、贮存场所及磅秤位置等关键点位设置视频监控，提高台账记录信息的准确性。</w:t>
            </w:r>
          </w:p>
          <w:p w14:paraId="2AB85AC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z w:val="24"/>
                <w:highlight w:val="none"/>
                <w:shd w:val="clear" w:color="auto" w:fill="auto"/>
              </w:rPr>
            </w:pPr>
            <w:r>
              <w:rPr>
                <w:rFonts w:hint="eastAsia" w:ascii="Times New Roman" w:hAnsi="Times New Roman" w:eastAsia="宋体" w:cs="Times New Roman"/>
                <w:b w:val="0"/>
                <w:bCs w:val="0"/>
                <w:color w:val="auto"/>
                <w:sz w:val="24"/>
                <w:highlight w:val="none"/>
                <w:shd w:val="clear" w:color="auto" w:fill="auto"/>
                <w:lang w:val="en-US" w:eastAsia="zh-CN"/>
              </w:rPr>
              <w:t>④一般固废</w:t>
            </w:r>
            <w:r>
              <w:rPr>
                <w:rFonts w:hint="eastAsia" w:ascii="Times New Roman" w:hAnsi="Times New Roman" w:eastAsia="宋体" w:cs="Times New Roman"/>
                <w:b w:val="0"/>
                <w:bCs w:val="0"/>
                <w:color w:val="auto"/>
                <w:sz w:val="24"/>
                <w:highlight w:val="none"/>
                <w:shd w:val="clear" w:color="auto" w:fill="auto"/>
              </w:rPr>
              <w:t>暂存设施可行性分析</w:t>
            </w:r>
          </w:p>
          <w:p w14:paraId="0A4FD0F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4"/>
                <w:highlight w:val="none"/>
                <w:shd w:val="clear" w:color="auto" w:fill="auto"/>
              </w:rPr>
            </w:pPr>
            <w:r>
              <w:rPr>
                <w:rFonts w:hint="eastAsia" w:ascii="Times New Roman" w:hAnsi="Times New Roman" w:eastAsia="宋体" w:cs="Times New Roman"/>
                <w:color w:val="auto"/>
                <w:sz w:val="24"/>
                <w:highlight w:val="none"/>
                <w:shd w:val="clear" w:color="auto" w:fill="auto"/>
              </w:rPr>
              <w:t>项目</w:t>
            </w:r>
            <w:r>
              <w:rPr>
                <w:rFonts w:hint="default" w:ascii="Times New Roman" w:hAnsi="Times New Roman" w:eastAsia="宋体" w:cs="Times New Roman"/>
                <w:color w:val="auto"/>
                <w:sz w:val="24"/>
                <w:highlight w:val="none"/>
                <w:shd w:val="clear" w:color="auto" w:fill="auto"/>
              </w:rPr>
              <w:t>按规范</w:t>
            </w:r>
            <w:r>
              <w:rPr>
                <w:rFonts w:hint="eastAsia" w:ascii="Times New Roman" w:hAnsi="Times New Roman" w:eastAsia="宋体" w:cs="Times New Roman"/>
                <w:color w:val="auto"/>
                <w:sz w:val="24"/>
                <w:highlight w:val="none"/>
                <w:shd w:val="clear" w:color="auto" w:fill="auto"/>
                <w:lang w:eastAsia="zh-CN"/>
              </w:rPr>
              <w:t>拟</w:t>
            </w:r>
            <w:r>
              <w:rPr>
                <w:rFonts w:hint="default" w:ascii="Times New Roman" w:hAnsi="Times New Roman" w:eastAsia="宋体" w:cs="Times New Roman"/>
                <w:color w:val="auto"/>
                <w:sz w:val="24"/>
                <w:highlight w:val="none"/>
                <w:shd w:val="clear" w:color="auto" w:fill="auto"/>
              </w:rPr>
              <w:t>设置</w:t>
            </w:r>
            <w:r>
              <w:rPr>
                <w:rFonts w:hint="eastAsia" w:cs="Times New Roman"/>
                <w:color w:val="auto"/>
                <w:sz w:val="24"/>
                <w:highlight w:val="none"/>
                <w:shd w:val="clear" w:color="auto" w:fill="auto"/>
                <w:lang w:val="en-US" w:eastAsia="zh-CN"/>
              </w:rPr>
              <w:t>一般固废间</w:t>
            </w:r>
            <w:r>
              <w:rPr>
                <w:rFonts w:hint="default" w:ascii="Times New Roman" w:hAnsi="Times New Roman" w:eastAsia="宋体" w:cs="Times New Roman"/>
                <w:color w:val="auto"/>
                <w:sz w:val="24"/>
                <w:highlight w:val="none"/>
                <w:shd w:val="clear" w:color="auto" w:fill="auto"/>
              </w:rPr>
              <w:t>1个，建筑面积约为</w:t>
            </w:r>
            <w:r>
              <w:rPr>
                <w:rFonts w:hint="eastAsia" w:cs="Times New Roman"/>
                <w:color w:val="auto"/>
                <w:sz w:val="24"/>
                <w:highlight w:val="none"/>
                <w:shd w:val="clear" w:color="auto" w:fill="auto"/>
                <w:lang w:val="en-US" w:eastAsia="zh-CN"/>
              </w:rPr>
              <w:t>5</w:t>
            </w:r>
            <w:r>
              <w:rPr>
                <w:rFonts w:hint="default" w:ascii="Times New Roman" w:hAnsi="Times New Roman" w:eastAsia="宋体" w:cs="Times New Roman"/>
                <w:color w:val="auto"/>
                <w:sz w:val="24"/>
                <w:highlight w:val="none"/>
                <w:shd w:val="clear" w:color="auto" w:fill="auto"/>
              </w:rPr>
              <w:t>m</w:t>
            </w:r>
            <w:r>
              <w:rPr>
                <w:rFonts w:hint="default" w:ascii="Times New Roman" w:hAnsi="Times New Roman" w:eastAsia="宋体" w:cs="Times New Roman"/>
                <w:color w:val="auto"/>
                <w:sz w:val="24"/>
                <w:highlight w:val="none"/>
                <w:shd w:val="clear" w:color="auto" w:fill="auto"/>
                <w:vertAlign w:val="superscript"/>
              </w:rPr>
              <w:t>2</w:t>
            </w:r>
            <w:r>
              <w:rPr>
                <w:rFonts w:hint="default" w:ascii="Times New Roman" w:hAnsi="Times New Roman" w:eastAsia="宋体" w:cs="Times New Roman"/>
                <w:color w:val="auto"/>
                <w:sz w:val="24"/>
                <w:highlight w:val="none"/>
                <w:shd w:val="clear" w:color="auto" w:fill="auto"/>
              </w:rPr>
              <w:t>，地面</w:t>
            </w:r>
            <w:r>
              <w:rPr>
                <w:rFonts w:hint="default" w:ascii="Times New Roman" w:hAnsi="Times New Roman" w:eastAsia="宋体" w:cs="Times New Roman"/>
                <w:color w:val="auto"/>
                <w:sz w:val="24"/>
                <w:szCs w:val="24"/>
                <w:highlight w:val="none"/>
                <w:shd w:val="clear" w:color="auto" w:fill="auto"/>
              </w:rPr>
              <w:t>采取防渗混凝土，</w:t>
            </w:r>
            <w:r>
              <w:rPr>
                <w:rFonts w:hint="default" w:ascii="Times New Roman" w:hAnsi="Times New Roman" w:eastAsia="宋体" w:cs="Times New Roman"/>
                <w:color w:val="auto"/>
                <w:sz w:val="24"/>
                <w:highlight w:val="none"/>
                <w:shd w:val="clear" w:color="auto" w:fill="auto"/>
              </w:rPr>
              <w:t>并设置防风、防雨、防晒及截流措施，</w:t>
            </w:r>
            <w:r>
              <w:rPr>
                <w:rFonts w:hint="eastAsia" w:cs="Times New Roman"/>
                <w:b w:val="0"/>
                <w:bCs w:val="0"/>
                <w:color w:val="auto"/>
                <w:spacing w:val="0"/>
                <w:position w:val="0"/>
                <w:sz w:val="24"/>
                <w:szCs w:val="24"/>
                <w:highlight w:val="none"/>
                <w:lang w:val="en-US" w:eastAsia="zh-CN"/>
              </w:rPr>
              <w:t>废包装材料、废钉子、废纱布</w:t>
            </w:r>
            <w:r>
              <w:rPr>
                <w:rFonts w:hint="eastAsia" w:ascii="Times New Roman" w:hAnsi="Times New Roman" w:eastAsia="宋体" w:cs="Times New Roman"/>
                <w:color w:val="auto"/>
                <w:sz w:val="24"/>
                <w:highlight w:val="none"/>
                <w:shd w:val="clear" w:color="auto" w:fill="auto"/>
                <w:lang w:val="en-US" w:eastAsia="zh-CN"/>
              </w:rPr>
              <w:t>暂存</w:t>
            </w:r>
            <w:r>
              <w:rPr>
                <w:rFonts w:hint="eastAsia" w:cs="Times New Roman"/>
                <w:color w:val="auto"/>
                <w:sz w:val="24"/>
                <w:highlight w:val="none"/>
                <w:shd w:val="clear" w:color="auto" w:fill="auto"/>
                <w:lang w:val="en-US" w:eastAsia="zh-CN"/>
              </w:rPr>
              <w:t>一般固废间</w:t>
            </w:r>
            <w:r>
              <w:rPr>
                <w:rFonts w:hint="default" w:ascii="Times New Roman" w:hAnsi="Times New Roman" w:eastAsia="宋体" w:cs="Times New Roman"/>
                <w:color w:val="auto"/>
                <w:sz w:val="24"/>
                <w:highlight w:val="none"/>
                <w:shd w:val="clear" w:color="auto" w:fill="auto"/>
              </w:rPr>
              <w:t>，并设置</w:t>
            </w:r>
            <w:r>
              <w:rPr>
                <w:rFonts w:hint="eastAsia" w:ascii="Times New Roman" w:hAnsi="Times New Roman" w:eastAsia="宋体" w:cs="Times New Roman"/>
                <w:color w:val="auto"/>
                <w:sz w:val="24"/>
                <w:highlight w:val="none"/>
                <w:shd w:val="clear" w:color="auto" w:fill="auto"/>
                <w:lang w:val="en-US" w:eastAsia="zh-CN"/>
              </w:rPr>
              <w:t>告示</w:t>
            </w:r>
            <w:r>
              <w:rPr>
                <w:rFonts w:hint="default" w:ascii="Times New Roman" w:hAnsi="Times New Roman" w:eastAsia="宋体" w:cs="Times New Roman"/>
                <w:color w:val="auto"/>
                <w:sz w:val="24"/>
                <w:highlight w:val="none"/>
                <w:shd w:val="clear" w:color="auto" w:fill="auto"/>
              </w:rPr>
              <w:t>牌</w:t>
            </w:r>
            <w:r>
              <w:rPr>
                <w:rFonts w:hint="eastAsia"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根据污染源分析，项目</w:t>
            </w:r>
            <w:r>
              <w:rPr>
                <w:rFonts w:hint="eastAsia" w:ascii="Times New Roman" w:hAnsi="Times New Roman" w:eastAsia="宋体" w:cs="Times New Roman"/>
                <w:color w:val="auto"/>
                <w:sz w:val="24"/>
                <w:highlight w:val="none"/>
                <w:shd w:val="clear" w:color="auto" w:fill="auto"/>
                <w:lang w:val="en-US" w:eastAsia="zh-CN"/>
              </w:rPr>
              <w:t>一般固废产生量、处理周期</w:t>
            </w:r>
            <w:r>
              <w:rPr>
                <w:rFonts w:hint="default" w:ascii="Times New Roman" w:hAnsi="Times New Roman" w:eastAsia="宋体" w:cs="Times New Roman"/>
                <w:color w:val="auto"/>
                <w:sz w:val="24"/>
                <w:highlight w:val="none"/>
                <w:shd w:val="clear" w:color="auto" w:fill="auto"/>
              </w:rPr>
              <w:t>及占地面积估算情况</w:t>
            </w:r>
            <w:r>
              <w:rPr>
                <w:rFonts w:hint="eastAsia" w:ascii="Times New Roman" w:hAnsi="Times New Roman" w:eastAsia="宋体" w:cs="Times New Roman"/>
                <w:color w:val="auto"/>
                <w:sz w:val="24"/>
                <w:highlight w:val="none"/>
                <w:shd w:val="clear" w:color="auto" w:fill="auto"/>
                <w:lang w:val="en-US" w:eastAsia="zh-CN"/>
              </w:rPr>
              <w:t>详见下表</w:t>
            </w:r>
            <w:r>
              <w:rPr>
                <w:rFonts w:hint="default" w:ascii="Times New Roman" w:hAnsi="Times New Roman" w:eastAsia="宋体" w:cs="Times New Roman"/>
                <w:color w:val="auto"/>
                <w:sz w:val="24"/>
                <w:highlight w:val="none"/>
                <w:shd w:val="clear" w:color="auto" w:fill="auto"/>
              </w:rPr>
              <w:t>：</w:t>
            </w:r>
          </w:p>
          <w:p w14:paraId="0ECB08CC">
            <w:pPr>
              <w:pStyle w:val="5"/>
              <w:keepNext/>
              <w:keepLines/>
              <w:pageBreakBefore w:val="0"/>
              <w:widowControl/>
              <w:suppressLineNumbers w:val="0"/>
              <w:tabs>
                <w:tab w:val="left" w:pos="861"/>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val="0"/>
                <w:color w:val="auto"/>
                <w:highlight w:val="none"/>
                <w:shd w:val="clear" w:color="auto" w:fill="auto"/>
                <w:lang w:val="en-US"/>
              </w:rPr>
            </w:pPr>
            <w:r>
              <w:rPr>
                <w:rFonts w:hint="default" w:ascii="Times New Roman" w:hAnsi="Times New Roman" w:eastAsia="宋体" w:cs="Times New Roman"/>
                <w:bCs w:val="0"/>
                <w:color w:val="auto"/>
                <w:sz w:val="24"/>
                <w:szCs w:val="24"/>
                <w:highlight w:val="none"/>
                <w:shd w:val="clear" w:color="auto" w:fill="auto"/>
              </w:rPr>
              <w:t>表</w:t>
            </w:r>
            <w:r>
              <w:rPr>
                <w:rFonts w:hint="default" w:ascii="Times New Roman" w:hAnsi="Times New Roman" w:eastAsia="宋体" w:cs="Times New Roman"/>
                <w:color w:val="auto"/>
                <w:sz w:val="24"/>
                <w:szCs w:val="24"/>
                <w:highlight w:val="none"/>
                <w:shd w:val="clear" w:color="auto" w:fill="auto"/>
              </w:rPr>
              <w:t>4.</w:t>
            </w:r>
            <w:r>
              <w:rPr>
                <w:rFonts w:hint="eastAsia" w:ascii="Times New Roman" w:hAnsi="Times New Roman" w:eastAsia="宋体" w:cs="Times New Roman"/>
                <w:color w:val="auto"/>
                <w:sz w:val="24"/>
                <w:szCs w:val="24"/>
                <w:highlight w:val="none"/>
                <w:shd w:val="clear" w:color="auto" w:fill="auto"/>
                <w:lang w:val="en-US" w:eastAsia="zh-CN"/>
              </w:rPr>
              <w:t xml:space="preserve">4-3 </w:t>
            </w:r>
            <w:r>
              <w:rPr>
                <w:rFonts w:hint="eastAsia" w:ascii="Times New Roman" w:hAnsi="Times New Roman" w:eastAsia="宋体" w:cs="Times New Roman"/>
                <w:bCs w:val="0"/>
                <w:color w:val="auto"/>
                <w:sz w:val="24"/>
                <w:szCs w:val="24"/>
                <w:highlight w:val="none"/>
                <w:shd w:val="clear" w:color="auto" w:fill="auto"/>
                <w:lang w:val="en-US" w:eastAsia="zh-CN"/>
              </w:rPr>
              <w:t>一般固废</w:t>
            </w:r>
            <w:r>
              <w:rPr>
                <w:rFonts w:hint="default" w:ascii="Times New Roman" w:hAnsi="Times New Roman" w:eastAsia="宋体" w:cs="Times New Roman"/>
                <w:bCs w:val="0"/>
                <w:color w:val="auto"/>
                <w:sz w:val="24"/>
                <w:szCs w:val="24"/>
                <w:highlight w:val="none"/>
                <w:shd w:val="clear" w:color="auto" w:fill="auto"/>
                <w:lang w:val="en-US"/>
              </w:rPr>
              <w:t>暂存周期</w:t>
            </w:r>
            <w:r>
              <w:rPr>
                <w:rFonts w:hint="eastAsia" w:ascii="Times New Roman" w:hAnsi="Times New Roman" w:eastAsia="宋体" w:cs="Times New Roman"/>
                <w:bCs w:val="0"/>
                <w:color w:val="auto"/>
                <w:sz w:val="24"/>
                <w:szCs w:val="24"/>
                <w:highlight w:val="none"/>
                <w:shd w:val="clear" w:color="auto" w:fill="auto"/>
                <w:lang w:val="en-US"/>
              </w:rPr>
              <w:t>、</w:t>
            </w:r>
            <w:r>
              <w:rPr>
                <w:rFonts w:hint="default" w:ascii="Times New Roman" w:hAnsi="Times New Roman" w:eastAsia="宋体" w:cs="Times New Roman"/>
                <w:bCs w:val="0"/>
                <w:color w:val="auto"/>
                <w:sz w:val="24"/>
                <w:szCs w:val="24"/>
                <w:highlight w:val="none"/>
                <w:shd w:val="clear" w:color="auto" w:fill="auto"/>
                <w:lang w:val="en-US"/>
              </w:rPr>
              <w:t>暂存量及占地面积</w:t>
            </w:r>
            <w:r>
              <w:rPr>
                <w:rFonts w:hint="eastAsia" w:ascii="Times New Roman" w:hAnsi="Times New Roman" w:eastAsia="宋体" w:cs="Times New Roman"/>
                <w:bCs w:val="0"/>
                <w:color w:val="auto"/>
                <w:sz w:val="24"/>
                <w:szCs w:val="24"/>
                <w:highlight w:val="none"/>
                <w:shd w:val="clear" w:color="auto" w:fill="auto"/>
                <w:lang w:val="en-US"/>
              </w:rPr>
              <w:t>情况分析表</w:t>
            </w:r>
          </w:p>
          <w:tbl>
            <w:tblPr>
              <w:tblStyle w:val="29"/>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61"/>
              <w:gridCol w:w="1687"/>
              <w:gridCol w:w="1516"/>
              <w:gridCol w:w="1120"/>
              <w:gridCol w:w="1590"/>
              <w:gridCol w:w="1650"/>
            </w:tblGrid>
            <w:tr w14:paraId="21C5D62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5" w:type="pct"/>
                  <w:tcBorders>
                    <w:tl2br w:val="nil"/>
                    <w:tr2bl w:val="nil"/>
                  </w:tcBorders>
                  <w:noWrap w:val="0"/>
                  <w:vAlign w:val="center"/>
                </w:tcPr>
                <w:p w14:paraId="62C4946A">
                  <w:pPr>
                    <w:pStyle w:val="89"/>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序号</w:t>
                  </w:r>
                </w:p>
              </w:tc>
              <w:tc>
                <w:tcPr>
                  <w:tcW w:w="1038" w:type="pct"/>
                  <w:tcBorders>
                    <w:tl2br w:val="nil"/>
                    <w:tr2bl w:val="nil"/>
                  </w:tcBorders>
                  <w:noWrap w:val="0"/>
                  <w:vAlign w:val="center"/>
                </w:tcPr>
                <w:p w14:paraId="76E8D491">
                  <w:pPr>
                    <w:pStyle w:val="89"/>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eastAsia" w:ascii="Times New Roman" w:hAnsi="Times New Roman" w:eastAsia="宋体" w:cs="Times New Roman"/>
                      <w:b/>
                      <w:bCs/>
                      <w:color w:val="auto"/>
                      <w:sz w:val="21"/>
                      <w:szCs w:val="21"/>
                      <w:highlight w:val="none"/>
                      <w:shd w:val="clear" w:color="auto" w:fill="auto"/>
                      <w:lang w:val="en-US" w:eastAsia="zh-CN"/>
                    </w:rPr>
                    <w:t>一般固废</w:t>
                  </w:r>
                  <w:r>
                    <w:rPr>
                      <w:rFonts w:hint="default" w:ascii="Times New Roman" w:hAnsi="Times New Roman" w:eastAsia="宋体" w:cs="Times New Roman"/>
                      <w:b/>
                      <w:bCs/>
                      <w:color w:val="auto"/>
                      <w:sz w:val="21"/>
                      <w:szCs w:val="21"/>
                      <w:highlight w:val="none"/>
                      <w:shd w:val="clear" w:color="auto" w:fill="auto"/>
                    </w:rPr>
                    <w:t>名称</w:t>
                  </w:r>
                </w:p>
              </w:tc>
              <w:tc>
                <w:tcPr>
                  <w:tcW w:w="933" w:type="pct"/>
                  <w:tcBorders>
                    <w:tl2br w:val="nil"/>
                    <w:tr2bl w:val="nil"/>
                  </w:tcBorders>
                  <w:noWrap w:val="0"/>
                  <w:vAlign w:val="center"/>
                </w:tcPr>
                <w:p w14:paraId="705E5188">
                  <w:pPr>
                    <w:pStyle w:val="89"/>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ascii="Times New Roman" w:hAnsi="Times New Roman" w:eastAsia="宋体" w:cs="Times New Roman"/>
                      <w:b/>
                      <w:bCs/>
                      <w:color w:val="auto"/>
                      <w:sz w:val="21"/>
                      <w:szCs w:val="21"/>
                      <w:highlight w:val="none"/>
                      <w:shd w:val="clear" w:color="auto" w:fill="auto"/>
                      <w:lang w:val="en-US"/>
                    </w:rPr>
                    <w:t>总产生量</w:t>
                  </w:r>
                  <w:r>
                    <w:rPr>
                      <w:rFonts w:hint="eastAsia" w:ascii="Times New Roman" w:hAnsi="Times New Roman" w:eastAsia="宋体" w:cs="Times New Roman"/>
                      <w:b/>
                      <w:bCs/>
                      <w:color w:val="auto"/>
                      <w:sz w:val="21"/>
                      <w:szCs w:val="21"/>
                      <w:highlight w:val="none"/>
                      <w:shd w:val="clear" w:color="auto" w:fill="auto"/>
                      <w:lang w:val="en-US" w:eastAsia="zh-CN"/>
                    </w:rPr>
                    <w:t>（t/a）</w:t>
                  </w:r>
                </w:p>
              </w:tc>
              <w:tc>
                <w:tcPr>
                  <w:tcW w:w="689" w:type="pct"/>
                  <w:tcBorders>
                    <w:tl2br w:val="nil"/>
                    <w:tr2bl w:val="nil"/>
                  </w:tcBorders>
                  <w:noWrap w:val="0"/>
                  <w:vAlign w:val="center"/>
                </w:tcPr>
                <w:p w14:paraId="388F9F2B">
                  <w:pPr>
                    <w:pStyle w:val="89"/>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 w:val="21"/>
                      <w:szCs w:val="21"/>
                      <w:highlight w:val="none"/>
                      <w:shd w:val="clear" w:color="auto" w:fill="auto"/>
                      <w:lang w:val="en-US"/>
                    </w:rPr>
                  </w:pPr>
                  <w:r>
                    <w:rPr>
                      <w:rFonts w:hint="eastAsia" w:ascii="Times New Roman" w:hAnsi="Times New Roman" w:eastAsia="宋体" w:cs="Times New Roman"/>
                      <w:b/>
                      <w:bCs/>
                      <w:color w:val="auto"/>
                      <w:sz w:val="21"/>
                      <w:szCs w:val="21"/>
                      <w:highlight w:val="none"/>
                      <w:shd w:val="clear" w:color="auto" w:fill="auto"/>
                      <w:lang w:val="en-US"/>
                    </w:rPr>
                    <w:t>暂存周期</w:t>
                  </w:r>
                </w:p>
              </w:tc>
              <w:tc>
                <w:tcPr>
                  <w:tcW w:w="978" w:type="pct"/>
                  <w:tcBorders>
                    <w:tl2br w:val="nil"/>
                    <w:tr2bl w:val="nil"/>
                  </w:tcBorders>
                  <w:noWrap w:val="0"/>
                  <w:vAlign w:val="center"/>
                </w:tcPr>
                <w:p w14:paraId="7A49D0BB">
                  <w:pPr>
                    <w:pStyle w:val="89"/>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暂存量（</w:t>
                  </w:r>
                  <w:r>
                    <w:rPr>
                      <w:rFonts w:hint="default" w:ascii="Times New Roman" w:hAnsi="Times New Roman" w:eastAsia="宋体" w:cs="Times New Roman"/>
                      <w:b/>
                      <w:bCs/>
                      <w:color w:val="auto"/>
                      <w:sz w:val="21"/>
                      <w:szCs w:val="21"/>
                      <w:highlight w:val="none"/>
                      <w:shd w:val="clear" w:color="auto" w:fill="auto"/>
                      <w:lang w:val="en-US"/>
                    </w:rPr>
                    <w:t>t</w:t>
                  </w:r>
                  <w:r>
                    <w:rPr>
                      <w:rFonts w:hint="default" w:ascii="Times New Roman" w:hAnsi="Times New Roman" w:eastAsia="宋体" w:cs="Times New Roman"/>
                      <w:b/>
                      <w:bCs/>
                      <w:color w:val="auto"/>
                      <w:sz w:val="21"/>
                      <w:szCs w:val="21"/>
                      <w:highlight w:val="none"/>
                      <w:shd w:val="clear" w:color="auto" w:fill="auto"/>
                    </w:rPr>
                    <w:t>）</w:t>
                  </w:r>
                </w:p>
              </w:tc>
              <w:tc>
                <w:tcPr>
                  <w:tcW w:w="1015" w:type="pct"/>
                  <w:tcBorders>
                    <w:tl2br w:val="nil"/>
                    <w:tr2bl w:val="nil"/>
                  </w:tcBorders>
                  <w:noWrap w:val="0"/>
                  <w:vAlign w:val="center"/>
                </w:tcPr>
                <w:p w14:paraId="1560089A">
                  <w:pPr>
                    <w:pStyle w:val="89"/>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占地面积（m</w:t>
                  </w:r>
                  <w:r>
                    <w:rPr>
                      <w:rFonts w:hint="default" w:ascii="Times New Roman" w:hAnsi="Times New Roman" w:eastAsia="宋体" w:cs="Times New Roman"/>
                      <w:b/>
                      <w:bCs/>
                      <w:color w:val="auto"/>
                      <w:sz w:val="21"/>
                      <w:szCs w:val="21"/>
                      <w:highlight w:val="none"/>
                      <w:shd w:val="clear" w:color="auto" w:fill="auto"/>
                      <w:vertAlign w:val="superscript"/>
                    </w:rPr>
                    <w:t>2</w:t>
                  </w:r>
                  <w:r>
                    <w:rPr>
                      <w:rFonts w:hint="default" w:ascii="Times New Roman" w:hAnsi="Times New Roman" w:eastAsia="宋体" w:cs="Times New Roman"/>
                      <w:b/>
                      <w:bCs/>
                      <w:color w:val="auto"/>
                      <w:sz w:val="21"/>
                      <w:szCs w:val="21"/>
                      <w:highlight w:val="none"/>
                      <w:shd w:val="clear" w:color="auto" w:fill="auto"/>
                    </w:rPr>
                    <w:t>）</w:t>
                  </w:r>
                </w:p>
              </w:tc>
            </w:tr>
            <w:tr w14:paraId="0E37D47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5" w:type="pct"/>
                  <w:tcBorders>
                    <w:tl2br w:val="nil"/>
                    <w:tr2bl w:val="nil"/>
                  </w:tcBorders>
                  <w:noWrap w:val="0"/>
                  <w:vAlign w:val="center"/>
                </w:tcPr>
                <w:p w14:paraId="19330EB7">
                  <w:pPr>
                    <w:pStyle w:val="89"/>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w:t>
                  </w:r>
                </w:p>
              </w:tc>
              <w:tc>
                <w:tcPr>
                  <w:tcW w:w="1038" w:type="pct"/>
                  <w:tcBorders>
                    <w:tl2br w:val="nil"/>
                    <w:tr2bl w:val="nil"/>
                  </w:tcBorders>
                  <w:noWrap w:val="0"/>
                  <w:vAlign w:val="center"/>
                </w:tcPr>
                <w:p w14:paraId="0918C166">
                  <w:pPr>
                    <w:pStyle w:val="94"/>
                    <w:adjustRightInd w:val="0"/>
                    <w:snapToGrid w:val="0"/>
                    <w:ind w:left="-63" w:leftChars="-30" w:right="-63" w:rightChars="-30"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b w:val="0"/>
                      <w:bCs/>
                      <w:color w:val="auto"/>
                      <w:spacing w:val="0"/>
                      <w:sz w:val="21"/>
                      <w:szCs w:val="21"/>
                      <w:highlight w:val="none"/>
                      <w:lang w:val="en-US" w:eastAsia="zh-CN"/>
                    </w:rPr>
                    <w:t>废包装</w:t>
                  </w:r>
                  <w:r>
                    <w:rPr>
                      <w:rFonts w:hint="eastAsia" w:cs="Times New Roman"/>
                      <w:b w:val="0"/>
                      <w:bCs/>
                      <w:color w:val="auto"/>
                      <w:spacing w:val="0"/>
                      <w:sz w:val="21"/>
                      <w:szCs w:val="21"/>
                      <w:highlight w:val="none"/>
                      <w:lang w:val="en-US" w:eastAsia="zh-CN"/>
                    </w:rPr>
                    <w:t>材料</w:t>
                  </w:r>
                </w:p>
              </w:tc>
              <w:tc>
                <w:tcPr>
                  <w:tcW w:w="933" w:type="pct"/>
                  <w:tcBorders>
                    <w:tl2br w:val="nil"/>
                    <w:tr2bl w:val="nil"/>
                  </w:tcBorders>
                  <w:noWrap w:val="0"/>
                  <w:vAlign w:val="center"/>
                </w:tcPr>
                <w:p w14:paraId="04EC5388">
                  <w:pPr>
                    <w:pStyle w:val="107"/>
                    <w:ind w:firstLine="0" w:firstLineChars="0"/>
                    <w:rPr>
                      <w:rFonts w:hint="default" w:ascii="Times New Roman" w:hAnsi="Times New Roman" w:eastAsia="宋体" w:cs="Times New Roman"/>
                      <w:color w:val="auto"/>
                      <w:sz w:val="21"/>
                      <w:szCs w:val="21"/>
                      <w:highlight w:val="none"/>
                      <w:shd w:val="clear" w:color="auto" w:fill="auto"/>
                      <w:lang w:val="en-US" w:eastAsia="zh-CN"/>
                    </w:rPr>
                  </w:pPr>
                </w:p>
              </w:tc>
              <w:tc>
                <w:tcPr>
                  <w:tcW w:w="689" w:type="pct"/>
                  <w:vMerge w:val="restart"/>
                  <w:tcBorders>
                    <w:tl2br w:val="nil"/>
                    <w:tr2bl w:val="nil"/>
                  </w:tcBorders>
                  <w:noWrap w:val="0"/>
                  <w:vAlign w:val="center"/>
                </w:tcPr>
                <w:p w14:paraId="4F19E277">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年</w:t>
                  </w:r>
                </w:p>
              </w:tc>
              <w:tc>
                <w:tcPr>
                  <w:tcW w:w="978" w:type="pct"/>
                  <w:tcBorders>
                    <w:tl2br w:val="nil"/>
                    <w:tr2bl w:val="nil"/>
                  </w:tcBorders>
                  <w:noWrap w:val="0"/>
                  <w:vAlign w:val="center"/>
                </w:tcPr>
                <w:p w14:paraId="6A15B610">
                  <w:pPr>
                    <w:pStyle w:val="107"/>
                    <w:ind w:firstLine="0" w:firstLineChars="0"/>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15" w:type="pct"/>
                  <w:tcBorders>
                    <w:tl2br w:val="nil"/>
                    <w:tr2bl w:val="nil"/>
                  </w:tcBorders>
                  <w:noWrap w:val="0"/>
                  <w:vAlign w:val="center"/>
                </w:tcPr>
                <w:p w14:paraId="31E2E24F">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EEFA1D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5" w:type="pct"/>
                  <w:tcBorders>
                    <w:tl2br w:val="nil"/>
                    <w:tr2bl w:val="nil"/>
                  </w:tcBorders>
                  <w:noWrap w:val="0"/>
                  <w:vAlign w:val="center"/>
                </w:tcPr>
                <w:p w14:paraId="32BD2D4B">
                  <w:pPr>
                    <w:pStyle w:val="89"/>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zh-CN"/>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1038" w:type="pct"/>
                  <w:tcBorders>
                    <w:tl2br w:val="nil"/>
                    <w:tr2bl w:val="nil"/>
                  </w:tcBorders>
                  <w:shd w:val="clear" w:color="auto" w:fill="auto"/>
                  <w:noWrap w:val="0"/>
                  <w:vAlign w:val="center"/>
                </w:tcPr>
                <w:p w14:paraId="77C1B917">
                  <w:pPr>
                    <w:pStyle w:val="94"/>
                    <w:adjustRightInd w:val="0"/>
                    <w:snapToGrid w:val="0"/>
                    <w:ind w:left="-63" w:leftChars="-30" w:right="-63" w:rightChars="-30" w:firstLine="0" w:firstLineChars="0"/>
                    <w:rPr>
                      <w:rFonts w:hint="default" w:ascii="Times New Roman" w:hAnsi="Times New Roman" w:eastAsia="宋体" w:cs="Times New Roman"/>
                      <w:b w:val="0"/>
                      <w:bCs/>
                      <w:color w:val="auto"/>
                      <w:kern w:val="2"/>
                      <w:sz w:val="21"/>
                      <w:szCs w:val="21"/>
                      <w:highlight w:val="none"/>
                      <w:shd w:val="clear" w:color="auto" w:fill="auto"/>
                      <w:lang w:val="en-US" w:eastAsia="zh-CN" w:bidi="ar-SA"/>
                    </w:rPr>
                  </w:pPr>
                  <w:r>
                    <w:rPr>
                      <w:rFonts w:hint="eastAsia" w:cs="Times New Roman"/>
                      <w:b w:val="0"/>
                      <w:bCs/>
                      <w:color w:val="auto"/>
                      <w:spacing w:val="0"/>
                      <w:sz w:val="21"/>
                      <w:szCs w:val="21"/>
                      <w:highlight w:val="none"/>
                      <w:lang w:val="en-US" w:eastAsia="zh-CN"/>
                    </w:rPr>
                    <w:t>废钉子</w:t>
                  </w:r>
                </w:p>
              </w:tc>
              <w:tc>
                <w:tcPr>
                  <w:tcW w:w="933" w:type="pct"/>
                  <w:tcBorders>
                    <w:tl2br w:val="nil"/>
                    <w:tr2bl w:val="nil"/>
                  </w:tcBorders>
                  <w:shd w:val="clear" w:color="auto" w:fill="auto"/>
                  <w:noWrap w:val="0"/>
                  <w:vAlign w:val="center"/>
                </w:tcPr>
                <w:p w14:paraId="0782E595">
                  <w:pPr>
                    <w:pStyle w:val="107"/>
                    <w:ind w:firstLine="0" w:firstLineChars="0"/>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689" w:type="pct"/>
                  <w:vMerge w:val="continue"/>
                  <w:tcBorders>
                    <w:tl2br w:val="nil"/>
                    <w:tr2bl w:val="nil"/>
                  </w:tcBorders>
                  <w:shd w:val="clear" w:color="auto" w:fill="auto"/>
                  <w:noWrap w:val="0"/>
                  <w:vAlign w:val="center"/>
                </w:tcPr>
                <w:p w14:paraId="14D71829">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p>
              </w:tc>
              <w:tc>
                <w:tcPr>
                  <w:tcW w:w="978" w:type="pct"/>
                  <w:tcBorders>
                    <w:tl2br w:val="nil"/>
                    <w:tr2bl w:val="nil"/>
                  </w:tcBorders>
                  <w:shd w:val="clear" w:color="auto" w:fill="auto"/>
                  <w:noWrap w:val="0"/>
                  <w:vAlign w:val="center"/>
                </w:tcPr>
                <w:p w14:paraId="6E523FCF">
                  <w:pPr>
                    <w:pStyle w:val="107"/>
                    <w:ind w:firstLine="0" w:firstLineChars="0"/>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15" w:type="pct"/>
                  <w:tcBorders>
                    <w:tl2br w:val="nil"/>
                    <w:tr2bl w:val="nil"/>
                  </w:tcBorders>
                  <w:shd w:val="clear" w:color="auto" w:fill="auto"/>
                  <w:noWrap w:val="0"/>
                  <w:vAlign w:val="center"/>
                </w:tcPr>
                <w:p w14:paraId="2288925F">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C13570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5" w:type="pct"/>
                  <w:tcBorders>
                    <w:tl2br w:val="nil"/>
                    <w:tr2bl w:val="nil"/>
                  </w:tcBorders>
                  <w:noWrap w:val="0"/>
                  <w:vAlign w:val="center"/>
                </w:tcPr>
                <w:p w14:paraId="72820EF4">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color w:val="auto"/>
                      <w:kern w:val="0"/>
                      <w:sz w:val="21"/>
                      <w:szCs w:val="21"/>
                      <w:highlight w:val="none"/>
                      <w:shd w:val="clear" w:color="auto" w:fill="auto"/>
                      <w:lang w:val="en-US" w:eastAsia="zh-CN" w:bidi="ar"/>
                    </w:rPr>
                    <w:t>3</w:t>
                  </w:r>
                </w:p>
              </w:tc>
              <w:tc>
                <w:tcPr>
                  <w:tcW w:w="1038" w:type="pct"/>
                  <w:tcBorders>
                    <w:tl2br w:val="nil"/>
                    <w:tr2bl w:val="nil"/>
                  </w:tcBorders>
                  <w:noWrap w:val="0"/>
                  <w:vAlign w:val="center"/>
                </w:tcPr>
                <w:p w14:paraId="3E14B15C">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color w:val="auto"/>
                      <w:kern w:val="0"/>
                      <w:sz w:val="21"/>
                      <w:szCs w:val="21"/>
                      <w:highlight w:val="none"/>
                      <w:shd w:val="clear" w:color="auto" w:fill="auto"/>
                      <w:lang w:val="en-US" w:eastAsia="zh-CN" w:bidi="ar"/>
                    </w:rPr>
                    <w:t>废纱布</w:t>
                  </w:r>
                </w:p>
              </w:tc>
              <w:tc>
                <w:tcPr>
                  <w:tcW w:w="933" w:type="pct"/>
                  <w:tcBorders>
                    <w:tl2br w:val="nil"/>
                    <w:tr2bl w:val="nil"/>
                  </w:tcBorders>
                  <w:noWrap w:val="0"/>
                  <w:vAlign w:val="center"/>
                </w:tcPr>
                <w:p w14:paraId="03C955CC">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2"/>
                      <w:sz w:val="21"/>
                      <w:szCs w:val="21"/>
                      <w:highlight w:val="none"/>
                      <w:u w:val="none"/>
                      <w:lang w:val="en-US" w:eastAsia="zh-CN" w:bidi="ar-SA"/>
                    </w:rPr>
                  </w:pPr>
                </w:p>
              </w:tc>
              <w:tc>
                <w:tcPr>
                  <w:tcW w:w="689" w:type="pct"/>
                  <w:vMerge w:val="continue"/>
                  <w:tcBorders>
                    <w:tl2br w:val="nil"/>
                    <w:tr2bl w:val="nil"/>
                  </w:tcBorders>
                  <w:noWrap w:val="0"/>
                  <w:vAlign w:val="center"/>
                </w:tcPr>
                <w:p w14:paraId="2FFBE19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color w:val="auto"/>
                      <w:kern w:val="2"/>
                      <w:sz w:val="21"/>
                      <w:szCs w:val="21"/>
                      <w:highlight w:val="none"/>
                      <w:shd w:val="clear" w:color="auto" w:fill="auto"/>
                      <w:lang w:val="en-US" w:eastAsia="zh-CN" w:bidi="ar-SA"/>
                    </w:rPr>
                  </w:pPr>
                </w:p>
              </w:tc>
              <w:tc>
                <w:tcPr>
                  <w:tcW w:w="978" w:type="pct"/>
                  <w:tcBorders>
                    <w:tl2br w:val="nil"/>
                    <w:tr2bl w:val="nil"/>
                  </w:tcBorders>
                  <w:noWrap w:val="0"/>
                  <w:vAlign w:val="center"/>
                </w:tcPr>
                <w:p w14:paraId="2AE2AA40">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2"/>
                      <w:sz w:val="21"/>
                      <w:szCs w:val="21"/>
                      <w:highlight w:val="none"/>
                      <w:u w:val="none"/>
                      <w:lang w:val="en-US" w:eastAsia="zh-CN" w:bidi="ar-SA"/>
                    </w:rPr>
                  </w:pPr>
                </w:p>
              </w:tc>
              <w:tc>
                <w:tcPr>
                  <w:tcW w:w="1015" w:type="pct"/>
                  <w:tcBorders>
                    <w:tl2br w:val="nil"/>
                    <w:tr2bl w:val="nil"/>
                  </w:tcBorders>
                  <w:noWrap w:val="0"/>
                  <w:vAlign w:val="center"/>
                </w:tcPr>
                <w:p w14:paraId="2D2D29D5">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highlight w:val="none"/>
                      <w:u w:val="none"/>
                      <w:lang w:val="en-US" w:eastAsia="zh-CN" w:bidi="ar"/>
                    </w:rPr>
                  </w:pPr>
                </w:p>
              </w:tc>
            </w:tr>
            <w:tr w14:paraId="1652895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83" w:type="pct"/>
                  <w:gridSpan w:val="2"/>
                  <w:tcBorders>
                    <w:tl2br w:val="nil"/>
                    <w:tr2bl w:val="nil"/>
                  </w:tcBorders>
                  <w:noWrap w:val="0"/>
                  <w:vAlign w:val="center"/>
                </w:tcPr>
                <w:p w14:paraId="7397AE0C">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shd w:val="clear" w:color="auto" w:fill="auto"/>
                      <w:lang w:bidi="ar"/>
                    </w:rPr>
                  </w:pPr>
                  <w:r>
                    <w:rPr>
                      <w:rFonts w:hint="eastAsia" w:ascii="Times New Roman" w:hAnsi="Times New Roman" w:eastAsia="宋体" w:cs="Times New Roman"/>
                      <w:color w:val="auto"/>
                      <w:kern w:val="0"/>
                      <w:sz w:val="21"/>
                      <w:szCs w:val="21"/>
                      <w:highlight w:val="none"/>
                      <w:shd w:val="clear" w:color="auto" w:fill="auto"/>
                      <w:lang w:bidi="ar"/>
                    </w:rPr>
                    <w:t>合计</w:t>
                  </w:r>
                </w:p>
              </w:tc>
              <w:tc>
                <w:tcPr>
                  <w:tcW w:w="933" w:type="pct"/>
                  <w:tcBorders>
                    <w:tl2br w:val="nil"/>
                    <w:tr2bl w:val="nil"/>
                  </w:tcBorders>
                  <w:noWrap w:val="0"/>
                  <w:vAlign w:val="center"/>
                </w:tcPr>
                <w:p w14:paraId="448194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689" w:type="pct"/>
                  <w:vMerge w:val="continue"/>
                  <w:tcBorders>
                    <w:tl2br w:val="nil"/>
                    <w:tr2bl w:val="nil"/>
                  </w:tcBorders>
                  <w:noWrap w:val="0"/>
                  <w:vAlign w:val="center"/>
                </w:tcPr>
                <w:p w14:paraId="75C9964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color w:val="auto"/>
                      <w:kern w:val="2"/>
                      <w:sz w:val="21"/>
                      <w:szCs w:val="21"/>
                      <w:highlight w:val="none"/>
                      <w:shd w:val="clear" w:color="auto" w:fill="auto"/>
                      <w:lang w:val="en-US" w:eastAsia="zh-CN" w:bidi="ar-SA"/>
                    </w:rPr>
                  </w:pPr>
                </w:p>
              </w:tc>
              <w:tc>
                <w:tcPr>
                  <w:tcW w:w="978" w:type="pct"/>
                  <w:tcBorders>
                    <w:tl2br w:val="nil"/>
                    <w:tr2bl w:val="nil"/>
                  </w:tcBorders>
                  <w:noWrap w:val="0"/>
                  <w:vAlign w:val="center"/>
                </w:tcPr>
                <w:p w14:paraId="443083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15" w:type="pct"/>
                  <w:tcBorders>
                    <w:tl2br w:val="nil"/>
                    <w:tr2bl w:val="nil"/>
                  </w:tcBorders>
                  <w:noWrap w:val="0"/>
                  <w:vAlign w:val="center"/>
                </w:tcPr>
                <w:p w14:paraId="3C6155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bl>
          <w:p w14:paraId="1F6AF617">
            <w:pPr>
              <w:keepNext w:val="0"/>
              <w:keepLines w:val="0"/>
              <w:pageBreakBefore w:val="0"/>
              <w:widowControl/>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shd w:val="clear" w:color="auto" w:fill="auto"/>
                <w:lang w:val="en-US"/>
              </w:rPr>
            </w:pPr>
            <w:r>
              <w:rPr>
                <w:rFonts w:hint="eastAsia" w:cs="Times New Roman"/>
                <w:color w:val="auto"/>
                <w:sz w:val="24"/>
                <w:highlight w:val="none"/>
                <w:shd w:val="clear" w:color="auto" w:fill="auto"/>
                <w:lang w:eastAsia="zh-CN"/>
              </w:rPr>
              <w:t>根据《建筑设计防火规范》（GB 50016-2014[2018年版]）设计中将安全通道、搬运通道及操作区域面积占总面积的比例控制在40%左右，</w:t>
            </w:r>
            <w:r>
              <w:rPr>
                <w:rFonts w:hint="eastAsia" w:cs="Times New Roman"/>
                <w:color w:val="auto"/>
                <w:sz w:val="24"/>
                <w:highlight w:val="none"/>
                <w:shd w:val="clear" w:color="auto" w:fill="auto"/>
                <w:lang w:val="en-US" w:eastAsia="zh-CN"/>
              </w:rPr>
              <w:t>因此，项目</w:t>
            </w:r>
            <w:r>
              <w:rPr>
                <w:rFonts w:hint="eastAsia" w:cs="Times New Roman"/>
                <w:color w:val="auto"/>
                <w:sz w:val="24"/>
                <w:highlight w:val="none"/>
                <w:shd w:val="clear" w:color="auto" w:fill="auto"/>
                <w:lang w:eastAsia="zh-CN"/>
              </w:rPr>
              <w:t>安全通道、搬运通道及操作区域面积</w:t>
            </w:r>
            <w:r>
              <w:rPr>
                <w:rFonts w:hint="eastAsia" w:cs="Times New Roman"/>
                <w:color w:val="auto"/>
                <w:sz w:val="24"/>
                <w:highlight w:val="none"/>
                <w:shd w:val="clear" w:color="auto" w:fill="auto"/>
                <w:lang w:val="en-US" w:eastAsia="zh-CN"/>
              </w:rPr>
              <w:t>约为2m</w:t>
            </w:r>
            <w:r>
              <w:rPr>
                <w:rFonts w:hint="eastAsia" w:cs="Times New Roman"/>
                <w:color w:val="auto"/>
                <w:sz w:val="24"/>
                <w:highlight w:val="none"/>
                <w:shd w:val="clear" w:color="auto" w:fill="auto"/>
                <w:vertAlign w:val="superscript"/>
                <w:lang w:val="en-US" w:eastAsia="zh-CN"/>
              </w:rPr>
              <w:t>2</w:t>
            </w:r>
            <w:r>
              <w:rPr>
                <w:rFonts w:hint="eastAsia" w:cs="Times New Roman"/>
                <w:color w:val="auto"/>
                <w:sz w:val="24"/>
                <w:highlight w:val="none"/>
                <w:shd w:val="clear" w:color="auto" w:fill="auto"/>
                <w:lang w:val="en-US" w:eastAsia="zh-CN"/>
              </w:rPr>
              <w:t>；根据上表分析，项目一般固废暂存面积为3m</w:t>
            </w:r>
            <w:r>
              <w:rPr>
                <w:rFonts w:hint="eastAsia" w:cs="Times New Roman"/>
                <w:color w:val="auto"/>
                <w:sz w:val="24"/>
                <w:highlight w:val="none"/>
                <w:shd w:val="clear" w:color="auto" w:fill="auto"/>
                <w:vertAlign w:val="superscript"/>
                <w:lang w:val="en-US" w:eastAsia="zh-CN"/>
              </w:rPr>
              <w:t>2</w:t>
            </w:r>
            <w:r>
              <w:rPr>
                <w:rFonts w:hint="eastAsia" w:cs="Times New Roman"/>
                <w:color w:val="auto"/>
                <w:sz w:val="24"/>
                <w:highlight w:val="none"/>
                <w:shd w:val="clear" w:color="auto" w:fill="auto"/>
                <w:lang w:val="en-US" w:eastAsia="zh-CN"/>
              </w:rPr>
              <w:t>。本次拟设置一般固废间面积为5m</w:t>
            </w:r>
            <w:r>
              <w:rPr>
                <w:rFonts w:hint="eastAsia" w:cs="Times New Roman"/>
                <w:color w:val="auto"/>
                <w:sz w:val="24"/>
                <w:highlight w:val="none"/>
                <w:shd w:val="clear" w:color="auto" w:fill="auto"/>
                <w:vertAlign w:val="superscript"/>
                <w:lang w:val="en-US" w:eastAsia="zh-CN"/>
              </w:rPr>
              <w:t>2</w:t>
            </w:r>
            <w:r>
              <w:rPr>
                <w:rFonts w:hint="eastAsia" w:cs="Times New Roman"/>
                <w:color w:val="auto"/>
                <w:sz w:val="24"/>
                <w:highlight w:val="none"/>
                <w:shd w:val="clear" w:color="auto" w:fill="auto"/>
                <w:lang w:val="en-US" w:eastAsia="zh-CN"/>
              </w:rPr>
              <w:t>，满足项目一般固废分类、分区及规范暂存需求，设置合理</w:t>
            </w:r>
            <w:r>
              <w:rPr>
                <w:rFonts w:hint="default" w:ascii="Times New Roman" w:hAnsi="Times New Roman" w:eastAsia="宋体" w:cs="Times New Roman"/>
                <w:color w:val="auto"/>
                <w:sz w:val="24"/>
                <w:szCs w:val="24"/>
                <w:highlight w:val="none"/>
                <w:shd w:val="clear" w:color="auto" w:fill="auto"/>
              </w:rPr>
              <w:t>。</w:t>
            </w:r>
          </w:p>
          <w:p w14:paraId="042E35A6">
            <w:pPr>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highlight w:val="none"/>
                <w:shd w:val="clear" w:color="auto" w:fill="auto"/>
                <w:lang w:bidi="ar"/>
              </w:rPr>
            </w:pPr>
            <w:r>
              <w:rPr>
                <w:rFonts w:hint="eastAsia" w:ascii="Times New Roman" w:hAnsi="Times New Roman" w:eastAsia="宋体" w:cs="Times New Roman"/>
                <w:color w:val="auto"/>
                <w:kern w:val="0"/>
                <w:sz w:val="24"/>
                <w:szCs w:val="24"/>
                <w:highlight w:val="none"/>
                <w:shd w:val="clear" w:color="auto" w:fill="auto"/>
                <w:lang w:bidi="ar"/>
              </w:rPr>
              <w:t>综上，</w:t>
            </w:r>
            <w:r>
              <w:rPr>
                <w:rFonts w:hint="default" w:ascii="Times New Roman" w:hAnsi="Times New Roman" w:eastAsia="宋体" w:cs="Times New Roman"/>
                <w:color w:val="auto"/>
                <w:kern w:val="0"/>
                <w:sz w:val="24"/>
                <w:szCs w:val="24"/>
                <w:highlight w:val="none"/>
                <w:shd w:val="clear" w:color="auto" w:fill="auto"/>
                <w:lang w:bidi="ar"/>
              </w:rPr>
              <w:t>项目</w:t>
            </w:r>
            <w:r>
              <w:rPr>
                <w:rFonts w:hint="eastAsia" w:ascii="Times New Roman" w:hAnsi="Times New Roman" w:eastAsia="宋体" w:cs="Times New Roman"/>
                <w:color w:val="auto"/>
                <w:kern w:val="0"/>
                <w:sz w:val="24"/>
                <w:szCs w:val="24"/>
                <w:highlight w:val="none"/>
                <w:shd w:val="clear" w:color="auto" w:fill="auto"/>
                <w:lang w:val="en-US" w:eastAsia="zh-CN" w:bidi="ar"/>
              </w:rPr>
              <w:t>一般固废</w:t>
            </w:r>
            <w:r>
              <w:rPr>
                <w:rFonts w:hint="default" w:ascii="Times New Roman" w:hAnsi="Times New Roman" w:eastAsia="宋体" w:cs="Times New Roman"/>
                <w:color w:val="auto"/>
                <w:kern w:val="0"/>
                <w:sz w:val="24"/>
                <w:szCs w:val="24"/>
                <w:highlight w:val="none"/>
                <w:shd w:val="clear" w:color="auto" w:fill="auto"/>
                <w:lang w:bidi="ar"/>
              </w:rPr>
              <w:t>可得到及时妥善处置，不会造成二次污染，对周边环境影响不大。从环保角度来说，项目固废污染处理措施是可行的</w:t>
            </w:r>
            <w:r>
              <w:rPr>
                <w:rFonts w:hint="eastAsia" w:ascii="Times New Roman" w:hAnsi="Times New Roman" w:eastAsia="宋体" w:cs="Times New Roman"/>
                <w:color w:val="auto"/>
                <w:kern w:val="0"/>
                <w:highlight w:val="none"/>
                <w:shd w:val="clear" w:color="auto" w:fill="auto"/>
                <w:lang w:bidi="ar"/>
              </w:rPr>
              <w:t>。</w:t>
            </w:r>
          </w:p>
          <w:p w14:paraId="754C3A86">
            <w:pPr>
              <w:pageBreakBefore w:val="0"/>
              <w:kinsoku/>
              <w:wordWrap/>
              <w:overflowPunct/>
              <w:topLinePunct w:val="0"/>
              <w:autoSpaceDE/>
              <w:autoSpaceDN/>
              <w:bidi w:val="0"/>
              <w:adjustRightInd/>
              <w:spacing w:line="360" w:lineRule="auto"/>
              <w:ind w:firstLine="482" w:firstLineChars="200"/>
              <w:textAlignment w:val="auto"/>
              <w:rPr>
                <w:rFonts w:ascii="Times New Roman" w:hAnsi="Times New Roman" w:eastAsia="宋体" w:cs="Times New Roman"/>
                <w:b/>
                <w:bCs/>
                <w:color w:val="auto"/>
                <w:spacing w:val="0"/>
                <w:position w:val="0"/>
                <w:sz w:val="24"/>
                <w:szCs w:val="24"/>
                <w:highlight w:val="none"/>
              </w:rPr>
            </w:pPr>
            <w:r>
              <w:rPr>
                <w:rFonts w:ascii="Times New Roman" w:hAnsi="Times New Roman" w:eastAsia="宋体" w:cs="Times New Roman"/>
                <w:b/>
                <w:bCs/>
                <w:color w:val="auto"/>
                <w:spacing w:val="0"/>
                <w:position w:val="0"/>
                <w:sz w:val="24"/>
                <w:szCs w:val="24"/>
                <w:highlight w:val="none"/>
              </w:rPr>
              <w:t>（3）危险废物</w:t>
            </w:r>
          </w:p>
          <w:p w14:paraId="1D030F99">
            <w:pPr>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b w:val="0"/>
                <w:bCs w:val="0"/>
                <w:color w:val="auto"/>
                <w:spacing w:val="0"/>
                <w:position w:val="0"/>
                <w:sz w:val="24"/>
                <w:szCs w:val="24"/>
                <w:highlight w:val="none"/>
                <w:lang w:eastAsia="zh-CN"/>
              </w:rPr>
            </w:pPr>
            <w:r>
              <w:rPr>
                <w:rFonts w:ascii="Times New Roman" w:hAnsi="Times New Roman" w:eastAsia="宋体" w:cs="Times New Roman"/>
                <w:b w:val="0"/>
                <w:bCs w:val="0"/>
                <w:color w:val="auto"/>
                <w:spacing w:val="0"/>
                <w:kern w:val="0"/>
                <w:position w:val="0"/>
                <w:sz w:val="24"/>
                <w:szCs w:val="24"/>
                <w:highlight w:val="none"/>
                <w:lang w:bidi="ar"/>
              </w:rPr>
              <w:t>危险废物应按照要求进行收集、贮存、运输，按国家有关规定申报登记，交有相关处理资质的单位处理。危险废物暂存场所的建设必须满足《危险废物贮存污染控制标准》（GB18597-2023）的相关要求。</w:t>
            </w:r>
          </w:p>
          <w:p w14:paraId="643F33A5">
            <w:pPr>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b w:val="0"/>
                <w:bCs w:val="0"/>
                <w:color w:val="auto"/>
                <w:spacing w:val="0"/>
                <w:position w:val="0"/>
                <w:sz w:val="24"/>
                <w:szCs w:val="24"/>
                <w:highlight w:val="none"/>
                <w:lang w:eastAsia="zh-CN"/>
              </w:rPr>
            </w:pPr>
            <w:r>
              <w:rPr>
                <w:rFonts w:ascii="Times New Roman" w:hAnsi="Times New Roman" w:eastAsia="宋体" w:cs="Times New Roman"/>
                <w:b w:val="0"/>
                <w:bCs w:val="0"/>
                <w:color w:val="auto"/>
                <w:spacing w:val="0"/>
                <w:kern w:val="0"/>
                <w:position w:val="0"/>
                <w:sz w:val="24"/>
                <w:szCs w:val="24"/>
                <w:highlight w:val="none"/>
                <w:lang w:bidi="ar"/>
              </w:rPr>
              <w:t>对危险废物的收集、暂存和运输按国家标准有如下要求：</w:t>
            </w:r>
          </w:p>
          <w:p w14:paraId="6E776DE1">
            <w:pPr>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b w:val="0"/>
                <w:bCs w:val="0"/>
                <w:color w:val="auto"/>
                <w:spacing w:val="0"/>
                <w:position w:val="0"/>
                <w:sz w:val="24"/>
                <w:szCs w:val="24"/>
                <w:highlight w:val="none"/>
                <w:lang w:eastAsia="zh-CN"/>
              </w:rPr>
            </w:pPr>
            <w:r>
              <w:rPr>
                <w:rFonts w:ascii="Times New Roman" w:hAnsi="Times New Roman" w:eastAsia="宋体" w:cs="Times New Roman"/>
                <w:b w:val="0"/>
                <w:bCs w:val="0"/>
                <w:color w:val="auto"/>
                <w:spacing w:val="0"/>
                <w:kern w:val="0"/>
                <w:position w:val="0"/>
                <w:sz w:val="24"/>
                <w:szCs w:val="24"/>
                <w:highlight w:val="none"/>
                <w:lang w:bidi="ar"/>
              </w:rPr>
              <w:fldChar w:fldCharType="begin"/>
            </w:r>
            <w:r>
              <w:rPr>
                <w:rFonts w:ascii="Times New Roman" w:hAnsi="Times New Roman" w:eastAsia="宋体" w:cs="Times New Roman"/>
                <w:b w:val="0"/>
                <w:bCs w:val="0"/>
                <w:color w:val="auto"/>
                <w:spacing w:val="0"/>
                <w:kern w:val="0"/>
                <w:position w:val="0"/>
                <w:sz w:val="24"/>
                <w:szCs w:val="24"/>
                <w:highlight w:val="none"/>
                <w:lang w:bidi="ar"/>
              </w:rPr>
              <w:instrText xml:space="preserve"> = 1 \* GB3 \* MERGEFORMAT </w:instrText>
            </w:r>
            <w:r>
              <w:rPr>
                <w:rFonts w:ascii="Times New Roman" w:hAnsi="Times New Roman" w:eastAsia="宋体" w:cs="Times New Roman"/>
                <w:b w:val="0"/>
                <w:bCs w:val="0"/>
                <w:color w:val="auto"/>
                <w:spacing w:val="0"/>
                <w:kern w:val="0"/>
                <w:position w:val="0"/>
                <w:sz w:val="24"/>
                <w:szCs w:val="24"/>
                <w:highlight w:val="none"/>
                <w:lang w:bidi="ar"/>
              </w:rPr>
              <w:fldChar w:fldCharType="separate"/>
            </w:r>
            <w:r>
              <w:rPr>
                <w:rFonts w:ascii="Times New Roman" w:hAnsi="Times New Roman" w:eastAsia="宋体" w:cs="Times New Roman"/>
                <w:b w:val="0"/>
                <w:bCs w:val="0"/>
                <w:color w:val="auto"/>
                <w:spacing w:val="0"/>
                <w:position w:val="0"/>
                <w:sz w:val="24"/>
                <w:szCs w:val="24"/>
                <w:highlight w:val="none"/>
              </w:rPr>
              <w:t>①</w:t>
            </w:r>
            <w:r>
              <w:rPr>
                <w:rFonts w:ascii="Times New Roman" w:hAnsi="Times New Roman" w:eastAsia="宋体" w:cs="Times New Roman"/>
                <w:b w:val="0"/>
                <w:bCs w:val="0"/>
                <w:color w:val="auto"/>
                <w:spacing w:val="0"/>
                <w:kern w:val="0"/>
                <w:position w:val="0"/>
                <w:sz w:val="24"/>
                <w:szCs w:val="24"/>
                <w:highlight w:val="none"/>
                <w:lang w:bidi="ar"/>
              </w:rPr>
              <w:fldChar w:fldCharType="end"/>
            </w:r>
            <w:r>
              <w:rPr>
                <w:rFonts w:ascii="Times New Roman" w:hAnsi="Times New Roman" w:eastAsia="宋体" w:cs="Times New Roman"/>
                <w:b w:val="0"/>
                <w:bCs w:val="0"/>
                <w:color w:val="auto"/>
                <w:spacing w:val="0"/>
                <w:kern w:val="0"/>
                <w:position w:val="0"/>
                <w:sz w:val="24"/>
                <w:szCs w:val="24"/>
                <w:highlight w:val="none"/>
                <w:lang w:bidi="ar"/>
              </w:rPr>
              <w:t>危险废物的收集包装</w:t>
            </w:r>
          </w:p>
          <w:p w14:paraId="4739AF80">
            <w:pPr>
              <w:keepNext w:val="0"/>
              <w:keepLines w:val="0"/>
              <w:pageBreakBefore w:val="0"/>
              <w:widowControl/>
              <w:numPr>
                <w:ilvl w:val="0"/>
                <w:numId w:val="3"/>
              </w:numPr>
              <w:kinsoku/>
              <w:wordWrap/>
              <w:overflowPunct/>
              <w:topLinePunct w:val="0"/>
              <w:autoSpaceDE/>
              <w:autoSpaceDN/>
              <w:bidi w:val="0"/>
              <w:adjustRightInd/>
              <w:snapToGrid/>
              <w:spacing w:line="360" w:lineRule="auto"/>
              <w:ind w:left="0" w:leftChars="0" w:firstLine="425" w:firstLineChars="0"/>
              <w:jc w:val="left"/>
              <w:textAlignment w:val="auto"/>
              <w:rPr>
                <w:rFonts w:ascii="Times New Roman" w:hAnsi="Times New Roman" w:eastAsia="宋体" w:cs="Times New Roman"/>
                <w:b w:val="0"/>
                <w:bCs w:val="0"/>
                <w:color w:val="auto"/>
                <w:spacing w:val="0"/>
                <w:position w:val="0"/>
                <w:sz w:val="24"/>
                <w:szCs w:val="24"/>
                <w:highlight w:val="none"/>
              </w:rPr>
            </w:pPr>
            <w:r>
              <w:rPr>
                <w:rFonts w:ascii="Times New Roman" w:hAnsi="Times New Roman" w:eastAsia="宋体" w:cs="Times New Roman"/>
                <w:b w:val="0"/>
                <w:bCs w:val="0"/>
                <w:color w:val="auto"/>
                <w:spacing w:val="0"/>
                <w:kern w:val="0"/>
                <w:position w:val="0"/>
                <w:sz w:val="24"/>
                <w:szCs w:val="24"/>
                <w:highlight w:val="none"/>
                <w:lang w:bidi="ar"/>
              </w:rPr>
              <w:t>有符合要求的包装容器、收集人员的个人防护设备。</w:t>
            </w:r>
          </w:p>
          <w:p w14:paraId="58FCE9A5">
            <w:pPr>
              <w:keepNext w:val="0"/>
              <w:keepLines w:val="0"/>
              <w:pageBreakBefore w:val="0"/>
              <w:widowControl/>
              <w:numPr>
                <w:ilvl w:val="0"/>
                <w:numId w:val="3"/>
              </w:numPr>
              <w:kinsoku/>
              <w:wordWrap/>
              <w:overflowPunct/>
              <w:topLinePunct w:val="0"/>
              <w:autoSpaceDE/>
              <w:autoSpaceDN/>
              <w:bidi w:val="0"/>
              <w:adjustRightInd/>
              <w:snapToGrid/>
              <w:spacing w:line="360" w:lineRule="auto"/>
              <w:ind w:left="0" w:leftChars="0" w:firstLine="425" w:firstLineChars="0"/>
              <w:jc w:val="left"/>
              <w:textAlignment w:val="auto"/>
              <w:rPr>
                <w:rFonts w:ascii="Times New Roman" w:hAnsi="Times New Roman" w:eastAsia="宋体" w:cs="Times New Roman"/>
                <w:b w:val="0"/>
                <w:bCs w:val="0"/>
                <w:color w:val="auto"/>
                <w:spacing w:val="0"/>
                <w:position w:val="0"/>
                <w:sz w:val="24"/>
                <w:szCs w:val="24"/>
                <w:highlight w:val="none"/>
              </w:rPr>
            </w:pPr>
            <w:r>
              <w:rPr>
                <w:rFonts w:ascii="Times New Roman" w:hAnsi="Times New Roman" w:eastAsia="宋体" w:cs="Times New Roman"/>
                <w:b w:val="0"/>
                <w:bCs w:val="0"/>
                <w:color w:val="auto"/>
                <w:spacing w:val="0"/>
                <w:kern w:val="0"/>
                <w:position w:val="0"/>
                <w:sz w:val="24"/>
                <w:szCs w:val="24"/>
                <w:highlight w:val="none"/>
                <w:lang w:bidi="ar"/>
              </w:rPr>
              <w:t>危险废物的收集容器应在醒目位置贴有危险废物标签，在收集场所醒目的地方设置危险废物警告标识。</w:t>
            </w:r>
          </w:p>
          <w:p w14:paraId="033EF0BD">
            <w:pPr>
              <w:keepNext w:val="0"/>
              <w:keepLines w:val="0"/>
              <w:pageBreakBefore w:val="0"/>
              <w:widowControl/>
              <w:numPr>
                <w:ilvl w:val="0"/>
                <w:numId w:val="3"/>
              </w:numPr>
              <w:kinsoku/>
              <w:wordWrap/>
              <w:overflowPunct/>
              <w:topLinePunct w:val="0"/>
              <w:autoSpaceDE/>
              <w:autoSpaceDN/>
              <w:bidi w:val="0"/>
              <w:adjustRightInd/>
              <w:snapToGrid/>
              <w:spacing w:line="360" w:lineRule="auto"/>
              <w:ind w:left="0" w:leftChars="0" w:firstLine="425" w:firstLineChars="0"/>
              <w:jc w:val="left"/>
              <w:textAlignment w:val="auto"/>
              <w:rPr>
                <w:rFonts w:ascii="Times New Roman" w:hAnsi="Times New Roman" w:eastAsia="宋体" w:cs="Times New Roman"/>
                <w:b w:val="0"/>
                <w:bCs w:val="0"/>
                <w:color w:val="auto"/>
                <w:spacing w:val="0"/>
                <w:position w:val="0"/>
                <w:sz w:val="24"/>
                <w:szCs w:val="24"/>
                <w:highlight w:val="none"/>
              </w:rPr>
            </w:pPr>
            <w:r>
              <w:rPr>
                <w:rFonts w:ascii="Times New Roman" w:hAnsi="Times New Roman" w:eastAsia="宋体" w:cs="Times New Roman"/>
                <w:b w:val="0"/>
                <w:bCs w:val="0"/>
                <w:color w:val="auto"/>
                <w:spacing w:val="0"/>
                <w:kern w:val="0"/>
                <w:position w:val="0"/>
                <w:sz w:val="24"/>
                <w:szCs w:val="24"/>
                <w:highlight w:val="none"/>
                <w:lang w:bidi="ar"/>
              </w:rPr>
              <w:t>危险废物标签应标明以下信息：主要化学成分或危险废物名称、数量、物理形态、危险类别、安全措施以及危险废物产生单位名称、地址、联系人及电话。</w:t>
            </w:r>
          </w:p>
          <w:p w14:paraId="2FCA9A58">
            <w:pPr>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b/>
                <w:bCs/>
                <w:color w:val="auto"/>
                <w:spacing w:val="0"/>
                <w:position w:val="0"/>
                <w:sz w:val="24"/>
                <w:szCs w:val="24"/>
                <w:highlight w:val="none"/>
                <w:lang w:eastAsia="zh-CN"/>
              </w:rPr>
            </w:pPr>
            <w:r>
              <w:rPr>
                <w:rFonts w:ascii="Times New Roman" w:hAnsi="Times New Roman" w:eastAsia="宋体" w:cs="Times New Roman"/>
                <w:b w:val="0"/>
                <w:bCs w:val="0"/>
                <w:color w:val="auto"/>
                <w:spacing w:val="0"/>
                <w:kern w:val="0"/>
                <w:position w:val="0"/>
                <w:sz w:val="24"/>
                <w:szCs w:val="24"/>
                <w:highlight w:val="none"/>
                <w:lang w:bidi="ar"/>
              </w:rPr>
              <w:fldChar w:fldCharType="begin"/>
            </w:r>
            <w:r>
              <w:rPr>
                <w:rFonts w:ascii="Times New Roman" w:hAnsi="Times New Roman" w:eastAsia="宋体" w:cs="Times New Roman"/>
                <w:b w:val="0"/>
                <w:bCs w:val="0"/>
                <w:color w:val="auto"/>
                <w:spacing w:val="0"/>
                <w:kern w:val="0"/>
                <w:position w:val="0"/>
                <w:sz w:val="24"/>
                <w:szCs w:val="24"/>
                <w:highlight w:val="none"/>
                <w:lang w:bidi="ar"/>
              </w:rPr>
              <w:instrText xml:space="preserve"> = 2 \* GB3 \* MERGEFORMAT </w:instrText>
            </w:r>
            <w:r>
              <w:rPr>
                <w:rFonts w:ascii="Times New Roman" w:hAnsi="Times New Roman" w:eastAsia="宋体" w:cs="Times New Roman"/>
                <w:b w:val="0"/>
                <w:bCs w:val="0"/>
                <w:color w:val="auto"/>
                <w:spacing w:val="0"/>
                <w:kern w:val="0"/>
                <w:position w:val="0"/>
                <w:sz w:val="24"/>
                <w:szCs w:val="24"/>
                <w:highlight w:val="none"/>
                <w:lang w:bidi="ar"/>
              </w:rPr>
              <w:fldChar w:fldCharType="separate"/>
            </w:r>
            <w:r>
              <w:rPr>
                <w:rFonts w:ascii="Times New Roman" w:hAnsi="Times New Roman" w:eastAsia="宋体" w:cs="Times New Roman"/>
                <w:b w:val="0"/>
                <w:bCs w:val="0"/>
                <w:color w:val="auto"/>
                <w:spacing w:val="0"/>
                <w:position w:val="0"/>
                <w:sz w:val="24"/>
                <w:szCs w:val="24"/>
                <w:highlight w:val="none"/>
              </w:rPr>
              <w:t>②</w:t>
            </w:r>
            <w:r>
              <w:rPr>
                <w:rFonts w:ascii="Times New Roman" w:hAnsi="Times New Roman" w:eastAsia="宋体" w:cs="Times New Roman"/>
                <w:b w:val="0"/>
                <w:bCs w:val="0"/>
                <w:color w:val="auto"/>
                <w:spacing w:val="0"/>
                <w:kern w:val="0"/>
                <w:position w:val="0"/>
                <w:sz w:val="24"/>
                <w:szCs w:val="24"/>
                <w:highlight w:val="none"/>
                <w:lang w:bidi="ar"/>
              </w:rPr>
              <w:fldChar w:fldCharType="end"/>
            </w:r>
            <w:r>
              <w:rPr>
                <w:rFonts w:ascii="Times New Roman" w:hAnsi="Times New Roman" w:eastAsia="宋体" w:cs="Times New Roman"/>
                <w:b w:val="0"/>
                <w:bCs w:val="0"/>
                <w:color w:val="auto"/>
                <w:spacing w:val="0"/>
                <w:kern w:val="0"/>
                <w:position w:val="0"/>
                <w:sz w:val="24"/>
                <w:szCs w:val="24"/>
                <w:highlight w:val="none"/>
                <w:lang w:bidi="ar"/>
              </w:rPr>
              <w:t>危险废物的暂存要求</w:t>
            </w:r>
          </w:p>
          <w:p w14:paraId="0F647228">
            <w:pPr>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b w:val="0"/>
                <w:bCs w:val="0"/>
                <w:color w:val="auto"/>
                <w:spacing w:val="0"/>
                <w:position w:val="0"/>
                <w:sz w:val="24"/>
                <w:szCs w:val="24"/>
                <w:highlight w:val="none"/>
                <w:lang w:eastAsia="zh-CN"/>
              </w:rPr>
            </w:pPr>
            <w:r>
              <w:rPr>
                <w:rFonts w:ascii="Times New Roman" w:hAnsi="Times New Roman" w:eastAsia="宋体" w:cs="Times New Roman"/>
                <w:b w:val="0"/>
                <w:bCs w:val="0"/>
                <w:color w:val="auto"/>
                <w:spacing w:val="0"/>
                <w:kern w:val="0"/>
                <w:position w:val="0"/>
                <w:sz w:val="24"/>
                <w:szCs w:val="24"/>
                <w:highlight w:val="none"/>
                <w:lang w:bidi="ar"/>
              </w:rPr>
              <w:t>危险废物暂存间应满足《危险废物贮存污染控制标准》（GB18597-2023）中的有关规定：</w:t>
            </w:r>
          </w:p>
          <w:p w14:paraId="688778AE">
            <w:pPr>
              <w:keepNext w:val="0"/>
              <w:keepLines w:val="0"/>
              <w:pageBreakBefore w:val="0"/>
              <w:widowControl/>
              <w:numPr>
                <w:ilvl w:val="0"/>
                <w:numId w:val="4"/>
              </w:numPr>
              <w:kinsoku/>
              <w:wordWrap/>
              <w:overflowPunct/>
              <w:topLinePunct w:val="0"/>
              <w:autoSpaceDE/>
              <w:autoSpaceDN/>
              <w:bidi w:val="0"/>
              <w:adjustRightInd/>
              <w:snapToGrid/>
              <w:spacing w:line="360" w:lineRule="auto"/>
              <w:ind w:left="0" w:leftChars="0" w:firstLine="425" w:firstLineChars="0"/>
              <w:jc w:val="left"/>
              <w:textAlignment w:val="auto"/>
              <w:rPr>
                <w:rFonts w:ascii="Times New Roman" w:hAnsi="Times New Roman" w:eastAsia="宋体" w:cs="Times New Roman"/>
                <w:b w:val="0"/>
                <w:bCs w:val="0"/>
                <w:color w:val="auto"/>
                <w:spacing w:val="0"/>
                <w:position w:val="0"/>
                <w:sz w:val="24"/>
                <w:szCs w:val="24"/>
                <w:highlight w:val="none"/>
              </w:rPr>
            </w:pPr>
            <w:r>
              <w:rPr>
                <w:rFonts w:hint="eastAsia" w:cs="Times New Roman"/>
                <w:b w:val="0"/>
                <w:bCs w:val="0"/>
                <w:color w:val="auto"/>
                <w:spacing w:val="0"/>
                <w:kern w:val="0"/>
                <w:position w:val="0"/>
                <w:sz w:val="24"/>
                <w:szCs w:val="24"/>
                <w:highlight w:val="none"/>
                <w:lang w:eastAsia="zh-CN" w:bidi="ar"/>
              </w:rPr>
              <w:t>危废暂存间</w:t>
            </w:r>
            <w:r>
              <w:rPr>
                <w:rFonts w:ascii="Times New Roman" w:hAnsi="Times New Roman" w:eastAsia="宋体" w:cs="Times New Roman"/>
                <w:b w:val="0"/>
                <w:bCs w:val="0"/>
                <w:color w:val="auto"/>
                <w:spacing w:val="0"/>
                <w:kern w:val="0"/>
                <w:position w:val="0"/>
                <w:sz w:val="24"/>
                <w:szCs w:val="24"/>
                <w:highlight w:val="none"/>
                <w:lang w:bidi="ar"/>
              </w:rPr>
              <w:t>内地面、墙面裙脚、堵截泄漏的围堰、接触危险废物的隔板和墙体等应采用坚固的材料建造，表面无裂缝。</w:t>
            </w:r>
          </w:p>
          <w:p w14:paraId="508BFEAD">
            <w:pPr>
              <w:keepNext w:val="0"/>
              <w:keepLines w:val="0"/>
              <w:pageBreakBefore w:val="0"/>
              <w:widowControl/>
              <w:numPr>
                <w:ilvl w:val="0"/>
                <w:numId w:val="4"/>
              </w:numPr>
              <w:kinsoku/>
              <w:wordWrap/>
              <w:overflowPunct/>
              <w:topLinePunct w:val="0"/>
              <w:autoSpaceDE/>
              <w:autoSpaceDN/>
              <w:bidi w:val="0"/>
              <w:adjustRightInd/>
              <w:snapToGrid/>
              <w:spacing w:line="360" w:lineRule="auto"/>
              <w:ind w:left="0" w:leftChars="0" w:firstLine="425" w:firstLineChars="0"/>
              <w:jc w:val="left"/>
              <w:textAlignment w:val="auto"/>
              <w:rPr>
                <w:rFonts w:ascii="Times New Roman" w:hAnsi="Times New Roman" w:eastAsia="宋体" w:cs="Times New Roman"/>
                <w:b w:val="0"/>
                <w:bCs w:val="0"/>
                <w:color w:val="auto"/>
                <w:spacing w:val="0"/>
                <w:position w:val="0"/>
                <w:sz w:val="24"/>
                <w:szCs w:val="24"/>
                <w:highlight w:val="none"/>
              </w:rPr>
            </w:pPr>
            <w:r>
              <w:rPr>
                <w:rFonts w:ascii="Times New Roman" w:hAnsi="Times New Roman" w:eastAsia="宋体" w:cs="Times New Roman"/>
                <w:b w:val="0"/>
                <w:bCs w:val="0"/>
                <w:color w:val="auto"/>
                <w:spacing w:val="0"/>
                <w:kern w:val="0"/>
                <w:position w:val="0"/>
                <w:sz w:val="24"/>
                <w:szCs w:val="24"/>
                <w:highlight w:val="none"/>
                <w:lang w:bidi="ar"/>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ascii="Times New Roman" w:hAnsi="Times New Roman" w:eastAsia="宋体" w:cs="Times New Roman"/>
                <w:b w:val="0"/>
                <w:bCs w:val="0"/>
                <w:color w:val="auto"/>
                <w:spacing w:val="0"/>
                <w:kern w:val="0"/>
                <w:position w:val="0"/>
                <w:sz w:val="24"/>
                <w:szCs w:val="24"/>
                <w:highlight w:val="none"/>
                <w:vertAlign w:val="superscript"/>
                <w:lang w:bidi="ar"/>
              </w:rPr>
              <w:t>-7</w:t>
            </w:r>
            <w:r>
              <w:rPr>
                <w:rFonts w:ascii="Times New Roman" w:hAnsi="Times New Roman" w:eastAsia="宋体" w:cs="Times New Roman"/>
                <w:b w:val="0"/>
                <w:bCs w:val="0"/>
                <w:color w:val="auto"/>
                <w:spacing w:val="0"/>
                <w:kern w:val="0"/>
                <w:position w:val="0"/>
                <w:sz w:val="24"/>
                <w:szCs w:val="24"/>
                <w:highlight w:val="none"/>
                <w:lang w:bidi="ar"/>
              </w:rPr>
              <w:t>cm/s），或至少2mm厚高密度聚乙烯膜等人工防渗材料（渗透系数不大于10</w:t>
            </w:r>
            <w:r>
              <w:rPr>
                <w:rFonts w:ascii="Times New Roman" w:hAnsi="Times New Roman" w:eastAsia="宋体" w:cs="Times New Roman"/>
                <w:b w:val="0"/>
                <w:bCs w:val="0"/>
                <w:color w:val="auto"/>
                <w:spacing w:val="0"/>
                <w:kern w:val="0"/>
                <w:position w:val="0"/>
                <w:sz w:val="24"/>
                <w:szCs w:val="24"/>
                <w:highlight w:val="none"/>
                <w:vertAlign w:val="superscript"/>
                <w:lang w:bidi="ar"/>
              </w:rPr>
              <w:t>-10</w:t>
            </w:r>
            <w:r>
              <w:rPr>
                <w:rFonts w:ascii="Times New Roman" w:hAnsi="Times New Roman" w:eastAsia="宋体" w:cs="Times New Roman"/>
                <w:b w:val="0"/>
                <w:bCs w:val="0"/>
                <w:color w:val="auto"/>
                <w:spacing w:val="0"/>
                <w:kern w:val="0"/>
                <w:position w:val="0"/>
                <w:sz w:val="24"/>
                <w:szCs w:val="24"/>
                <w:highlight w:val="none"/>
                <w:lang w:bidi="ar"/>
              </w:rPr>
              <w:t>cm/s），或其他防渗性能等效的材料。</w:t>
            </w:r>
          </w:p>
          <w:p w14:paraId="12FB03E3">
            <w:pPr>
              <w:keepNext w:val="0"/>
              <w:keepLines w:val="0"/>
              <w:pageBreakBefore w:val="0"/>
              <w:widowControl/>
              <w:numPr>
                <w:ilvl w:val="0"/>
                <w:numId w:val="4"/>
              </w:numPr>
              <w:kinsoku/>
              <w:wordWrap/>
              <w:overflowPunct/>
              <w:topLinePunct w:val="0"/>
              <w:autoSpaceDE/>
              <w:autoSpaceDN/>
              <w:bidi w:val="0"/>
              <w:adjustRightInd/>
              <w:snapToGrid/>
              <w:spacing w:line="360" w:lineRule="auto"/>
              <w:ind w:left="0" w:leftChars="0" w:firstLine="425" w:firstLineChars="0"/>
              <w:jc w:val="both"/>
              <w:textAlignment w:val="auto"/>
              <w:rPr>
                <w:rFonts w:ascii="Times New Roman" w:hAnsi="Times New Roman" w:eastAsia="宋体" w:cs="Times New Roman"/>
                <w:b w:val="0"/>
                <w:bCs w:val="0"/>
                <w:color w:val="auto"/>
                <w:spacing w:val="0"/>
                <w:position w:val="0"/>
                <w:sz w:val="24"/>
                <w:szCs w:val="24"/>
                <w:highlight w:val="none"/>
              </w:rPr>
            </w:pPr>
            <w:r>
              <w:rPr>
                <w:rFonts w:ascii="Times New Roman" w:hAnsi="Times New Roman" w:eastAsia="宋体" w:cs="Times New Roman"/>
                <w:b w:val="0"/>
                <w:bCs w:val="0"/>
                <w:color w:val="auto"/>
                <w:spacing w:val="0"/>
                <w:kern w:val="0"/>
                <w:position w:val="0"/>
                <w:sz w:val="24"/>
                <w:szCs w:val="24"/>
                <w:highlight w:val="none"/>
                <w:lang w:bidi="ar"/>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具体设计原则参见《危险废物贮存污染控制标准》（GB18597-2023）有关要求。</w:t>
            </w:r>
          </w:p>
          <w:p w14:paraId="7DE924F7">
            <w:pPr>
              <w:keepNext w:val="0"/>
              <w:keepLines w:val="0"/>
              <w:pageBreakBefore w:val="0"/>
              <w:widowControl/>
              <w:numPr>
                <w:ilvl w:val="0"/>
                <w:numId w:val="4"/>
              </w:numPr>
              <w:kinsoku/>
              <w:wordWrap/>
              <w:overflowPunct/>
              <w:topLinePunct w:val="0"/>
              <w:autoSpaceDE/>
              <w:autoSpaceDN/>
              <w:bidi w:val="0"/>
              <w:adjustRightInd/>
              <w:snapToGrid/>
              <w:spacing w:line="360" w:lineRule="auto"/>
              <w:ind w:left="0" w:leftChars="0" w:firstLine="425" w:firstLineChars="0"/>
              <w:jc w:val="both"/>
              <w:textAlignment w:val="auto"/>
              <w:rPr>
                <w:rFonts w:ascii="Times New Roman" w:hAnsi="Times New Roman" w:eastAsia="宋体" w:cs="Times New Roman"/>
                <w:b w:val="0"/>
                <w:bCs w:val="0"/>
                <w:color w:val="auto"/>
                <w:spacing w:val="0"/>
                <w:position w:val="0"/>
                <w:sz w:val="24"/>
                <w:szCs w:val="24"/>
                <w:highlight w:val="none"/>
              </w:rPr>
            </w:pPr>
            <w:r>
              <w:rPr>
                <w:rFonts w:hint="eastAsia" w:cs="Times New Roman"/>
                <w:b w:val="0"/>
                <w:bCs w:val="0"/>
                <w:color w:val="auto"/>
                <w:spacing w:val="0"/>
                <w:kern w:val="0"/>
                <w:position w:val="0"/>
                <w:sz w:val="24"/>
                <w:szCs w:val="24"/>
                <w:highlight w:val="none"/>
                <w:lang w:eastAsia="zh-CN" w:bidi="ar"/>
              </w:rPr>
              <w:t>危废暂存间</w:t>
            </w:r>
            <w:r>
              <w:rPr>
                <w:rFonts w:ascii="Times New Roman" w:hAnsi="Times New Roman" w:eastAsia="宋体" w:cs="Times New Roman"/>
                <w:b w:val="0"/>
                <w:bCs w:val="0"/>
                <w:color w:val="auto"/>
                <w:spacing w:val="0"/>
                <w:kern w:val="0"/>
                <w:position w:val="0"/>
                <w:sz w:val="24"/>
                <w:szCs w:val="24"/>
                <w:highlight w:val="none"/>
                <w:lang w:bidi="ar"/>
              </w:rPr>
              <w:t>应配备通讯设备、防爆、照明设施、安全防护服装及工具，并设有应急防护措施（结合贮存的危废性质设置洗眼器、灭火沙、灭火器、收集桶等）。</w:t>
            </w:r>
          </w:p>
          <w:p w14:paraId="08EE912E">
            <w:pPr>
              <w:keepNext w:val="0"/>
              <w:keepLines w:val="0"/>
              <w:pageBreakBefore w:val="0"/>
              <w:widowControl/>
              <w:numPr>
                <w:ilvl w:val="0"/>
                <w:numId w:val="4"/>
              </w:numPr>
              <w:kinsoku/>
              <w:wordWrap/>
              <w:overflowPunct/>
              <w:topLinePunct w:val="0"/>
              <w:autoSpaceDE/>
              <w:autoSpaceDN/>
              <w:bidi w:val="0"/>
              <w:adjustRightInd/>
              <w:snapToGrid/>
              <w:spacing w:line="360" w:lineRule="auto"/>
              <w:ind w:left="0" w:leftChars="0" w:firstLine="425" w:firstLineChars="0"/>
              <w:jc w:val="both"/>
              <w:textAlignment w:val="auto"/>
              <w:rPr>
                <w:rFonts w:ascii="Times New Roman" w:hAnsi="Times New Roman" w:eastAsia="宋体" w:cs="Times New Roman"/>
                <w:b w:val="0"/>
                <w:bCs w:val="0"/>
                <w:color w:val="auto"/>
                <w:spacing w:val="0"/>
                <w:position w:val="0"/>
                <w:sz w:val="24"/>
                <w:szCs w:val="24"/>
                <w:highlight w:val="none"/>
              </w:rPr>
            </w:pPr>
            <w:r>
              <w:rPr>
                <w:rFonts w:ascii="Times New Roman" w:hAnsi="Times New Roman" w:eastAsia="宋体" w:cs="Times New Roman"/>
                <w:b w:val="0"/>
                <w:bCs w:val="0"/>
                <w:color w:val="auto"/>
                <w:spacing w:val="0"/>
                <w:kern w:val="0"/>
                <w:position w:val="0"/>
                <w:sz w:val="24"/>
                <w:szCs w:val="24"/>
                <w:highlight w:val="none"/>
                <w:lang w:bidi="ar"/>
              </w:rPr>
              <w:t>使用的包装容器应达到相应的强度要求并完好无损，禁止混合贮存性质不相容而未经安全性处置的危险废物；危险废物容器和包装物以及危险废物贮存设施、场所应按规定设置危险废物识别标志；</w:t>
            </w:r>
          </w:p>
          <w:p w14:paraId="06068800">
            <w:pPr>
              <w:keepNext w:val="0"/>
              <w:keepLines w:val="0"/>
              <w:pageBreakBefore w:val="0"/>
              <w:widowControl/>
              <w:numPr>
                <w:ilvl w:val="0"/>
                <w:numId w:val="4"/>
              </w:numPr>
              <w:kinsoku/>
              <w:wordWrap/>
              <w:overflowPunct/>
              <w:topLinePunct w:val="0"/>
              <w:autoSpaceDE/>
              <w:autoSpaceDN/>
              <w:bidi w:val="0"/>
              <w:adjustRightInd/>
              <w:snapToGrid/>
              <w:spacing w:line="360" w:lineRule="auto"/>
              <w:ind w:left="0" w:leftChars="0" w:firstLine="425" w:firstLineChars="0"/>
              <w:jc w:val="both"/>
              <w:textAlignment w:val="auto"/>
              <w:rPr>
                <w:rFonts w:ascii="Times New Roman" w:hAnsi="Times New Roman" w:eastAsia="宋体" w:cs="Times New Roman"/>
                <w:b w:val="0"/>
                <w:bCs w:val="0"/>
                <w:color w:val="auto"/>
                <w:spacing w:val="0"/>
                <w:position w:val="0"/>
                <w:sz w:val="24"/>
                <w:szCs w:val="24"/>
                <w:highlight w:val="none"/>
              </w:rPr>
            </w:pPr>
            <w:r>
              <w:rPr>
                <w:rFonts w:ascii="Times New Roman" w:hAnsi="Times New Roman" w:eastAsia="宋体" w:cs="Times New Roman"/>
                <w:b w:val="0"/>
                <w:bCs w:val="0"/>
                <w:color w:val="auto"/>
                <w:spacing w:val="0"/>
                <w:kern w:val="0"/>
                <w:position w:val="0"/>
                <w:sz w:val="24"/>
                <w:szCs w:val="24"/>
                <w:highlight w:val="none"/>
                <w:lang w:bidi="ar"/>
              </w:rPr>
              <w:t>仓库式贮存设施应分开存放不相容危险废物，按危险废物的种类和特性进行分区贮存，采用防腐、防渗地面和裙脚，设置防止</w:t>
            </w:r>
            <w:r>
              <w:rPr>
                <w:rFonts w:hint="eastAsia" w:cs="Times New Roman"/>
                <w:b w:val="0"/>
                <w:bCs w:val="0"/>
                <w:color w:val="auto"/>
                <w:spacing w:val="0"/>
                <w:kern w:val="0"/>
                <w:position w:val="0"/>
                <w:sz w:val="24"/>
                <w:szCs w:val="24"/>
                <w:highlight w:val="none"/>
                <w:lang w:eastAsia="zh-CN" w:bidi="ar"/>
              </w:rPr>
              <w:t>泄漏</w:t>
            </w:r>
            <w:r>
              <w:rPr>
                <w:rFonts w:ascii="Times New Roman" w:hAnsi="Times New Roman" w:eastAsia="宋体" w:cs="Times New Roman"/>
                <w:b w:val="0"/>
                <w:bCs w:val="0"/>
                <w:color w:val="auto"/>
                <w:spacing w:val="0"/>
                <w:kern w:val="0"/>
                <w:position w:val="0"/>
                <w:sz w:val="24"/>
                <w:szCs w:val="24"/>
                <w:highlight w:val="none"/>
                <w:lang w:bidi="ar"/>
              </w:rPr>
              <w:t>物质扩散至外环境的拦截、导流、收集设施；</w:t>
            </w:r>
          </w:p>
          <w:p w14:paraId="71D52925">
            <w:pPr>
              <w:keepNext w:val="0"/>
              <w:keepLines w:val="0"/>
              <w:pageBreakBefore w:val="0"/>
              <w:widowControl/>
              <w:numPr>
                <w:ilvl w:val="0"/>
                <w:numId w:val="4"/>
              </w:numPr>
              <w:kinsoku/>
              <w:wordWrap/>
              <w:overflowPunct/>
              <w:topLinePunct w:val="0"/>
              <w:autoSpaceDE/>
              <w:autoSpaceDN/>
              <w:bidi w:val="0"/>
              <w:adjustRightInd/>
              <w:snapToGrid/>
              <w:spacing w:line="360" w:lineRule="auto"/>
              <w:ind w:left="0" w:leftChars="0" w:firstLine="425" w:firstLineChars="0"/>
              <w:jc w:val="both"/>
              <w:textAlignment w:val="auto"/>
              <w:rPr>
                <w:rFonts w:ascii="Times New Roman" w:hAnsi="Times New Roman" w:eastAsia="宋体" w:cs="Times New Roman"/>
                <w:b w:val="0"/>
                <w:bCs w:val="0"/>
                <w:color w:val="auto"/>
                <w:spacing w:val="0"/>
                <w:position w:val="0"/>
                <w:sz w:val="24"/>
                <w:szCs w:val="24"/>
                <w:highlight w:val="none"/>
              </w:rPr>
            </w:pPr>
            <w:r>
              <w:rPr>
                <w:rFonts w:ascii="Times New Roman" w:hAnsi="Times New Roman" w:eastAsia="宋体" w:cs="Times New Roman"/>
                <w:b w:val="0"/>
                <w:bCs w:val="0"/>
                <w:color w:val="auto"/>
                <w:spacing w:val="0"/>
                <w:kern w:val="0"/>
                <w:position w:val="0"/>
                <w:sz w:val="24"/>
                <w:szCs w:val="24"/>
                <w:highlight w:val="none"/>
                <w:lang w:bidi="ar"/>
              </w:rPr>
              <w:t>记录、保存好危险废物进、出危废暂存场所的台账登记；保存要求：纸质版、电子版保存时间不少于5年。记录要求：危险废物的产生工序、危险废物特性和危险废物产生情况；危险废物产生、贮存等环节的动态流向等。</w:t>
            </w:r>
          </w:p>
          <w:p w14:paraId="6EDCF1A5">
            <w:pPr>
              <w:pStyle w:val="24"/>
              <w:pageBreakBefore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ascii="Times New Roman" w:hAnsi="Times New Roman" w:eastAsia="宋体" w:cs="Times New Roman"/>
                <w:b w:val="0"/>
                <w:bCs w:val="0"/>
                <w:color w:val="auto"/>
                <w:spacing w:val="0"/>
                <w:kern w:val="2"/>
                <w:position w:val="0"/>
                <w:sz w:val="24"/>
                <w:szCs w:val="24"/>
                <w:highlight w:val="none"/>
                <w:lang w:bidi="ar"/>
              </w:rPr>
            </w:pPr>
            <w:r>
              <w:rPr>
                <w:rFonts w:ascii="Times New Roman" w:hAnsi="Times New Roman" w:eastAsia="宋体" w:cs="Times New Roman"/>
                <w:b w:val="0"/>
                <w:bCs w:val="0"/>
                <w:color w:val="auto"/>
                <w:spacing w:val="0"/>
                <w:position w:val="0"/>
                <w:sz w:val="24"/>
                <w:szCs w:val="24"/>
                <w:highlight w:val="none"/>
                <w:lang w:bidi="ar"/>
              </w:rPr>
              <w:fldChar w:fldCharType="begin"/>
            </w:r>
            <w:r>
              <w:rPr>
                <w:rFonts w:ascii="Times New Roman" w:hAnsi="Times New Roman" w:eastAsia="宋体" w:cs="Times New Roman"/>
                <w:b w:val="0"/>
                <w:bCs w:val="0"/>
                <w:color w:val="auto"/>
                <w:spacing w:val="0"/>
                <w:position w:val="0"/>
                <w:sz w:val="24"/>
                <w:szCs w:val="24"/>
                <w:highlight w:val="none"/>
                <w:lang w:bidi="ar"/>
              </w:rPr>
              <w:instrText xml:space="preserve"> = 3 \* GB3 \* MERGEFORMAT </w:instrText>
            </w:r>
            <w:r>
              <w:rPr>
                <w:rFonts w:ascii="Times New Roman" w:hAnsi="Times New Roman" w:eastAsia="宋体" w:cs="Times New Roman"/>
                <w:b w:val="0"/>
                <w:bCs w:val="0"/>
                <w:color w:val="auto"/>
                <w:spacing w:val="0"/>
                <w:position w:val="0"/>
                <w:sz w:val="24"/>
                <w:szCs w:val="24"/>
                <w:highlight w:val="none"/>
                <w:lang w:bidi="ar"/>
              </w:rPr>
              <w:fldChar w:fldCharType="separate"/>
            </w:r>
            <w:r>
              <w:rPr>
                <w:rFonts w:ascii="Times New Roman" w:hAnsi="Times New Roman" w:eastAsia="宋体" w:cs="Times New Roman"/>
                <w:b w:val="0"/>
                <w:bCs w:val="0"/>
                <w:color w:val="auto"/>
                <w:spacing w:val="0"/>
                <w:position w:val="0"/>
                <w:sz w:val="24"/>
                <w:szCs w:val="24"/>
                <w:highlight w:val="none"/>
              </w:rPr>
              <w:t>③</w:t>
            </w:r>
            <w:r>
              <w:rPr>
                <w:rFonts w:ascii="Times New Roman" w:hAnsi="Times New Roman" w:eastAsia="宋体" w:cs="Times New Roman"/>
                <w:b w:val="0"/>
                <w:bCs w:val="0"/>
                <w:color w:val="auto"/>
                <w:spacing w:val="0"/>
                <w:position w:val="0"/>
                <w:sz w:val="24"/>
                <w:szCs w:val="24"/>
                <w:highlight w:val="none"/>
                <w:lang w:bidi="ar"/>
              </w:rPr>
              <w:fldChar w:fldCharType="end"/>
            </w:r>
            <w:r>
              <w:rPr>
                <w:rFonts w:hint="eastAsia" w:ascii="Times New Roman" w:hAnsi="Times New Roman" w:eastAsia="宋体" w:cs="Times New Roman"/>
                <w:b w:val="0"/>
                <w:bCs w:val="0"/>
                <w:color w:val="auto"/>
                <w:spacing w:val="0"/>
                <w:position w:val="0"/>
                <w:sz w:val="24"/>
                <w:szCs w:val="24"/>
                <w:highlight w:val="none"/>
              </w:rPr>
              <w:t>危险废物识别标志设置应按</w:t>
            </w:r>
            <w:r>
              <w:rPr>
                <w:rFonts w:ascii="Times New Roman" w:hAnsi="Times New Roman" w:eastAsia="宋体" w:cs="Times New Roman"/>
                <w:b w:val="0"/>
                <w:bCs w:val="0"/>
                <w:color w:val="auto"/>
                <w:spacing w:val="0"/>
                <w:position w:val="0"/>
                <w:sz w:val="24"/>
                <w:szCs w:val="24"/>
                <w:highlight w:val="none"/>
              </w:rPr>
              <w:t>《</w:t>
            </w:r>
            <w:r>
              <w:rPr>
                <w:rFonts w:hint="eastAsia" w:ascii="Times New Roman" w:hAnsi="Times New Roman" w:eastAsia="宋体" w:cs="Times New Roman"/>
                <w:b w:val="0"/>
                <w:bCs w:val="0"/>
                <w:color w:val="auto"/>
                <w:spacing w:val="0"/>
                <w:position w:val="0"/>
                <w:sz w:val="24"/>
                <w:szCs w:val="24"/>
                <w:highlight w:val="none"/>
              </w:rPr>
              <w:t>危险废物识别标志设置技术规范</w:t>
            </w:r>
            <w:r>
              <w:rPr>
                <w:rFonts w:ascii="Times New Roman" w:hAnsi="Times New Roman" w:eastAsia="宋体" w:cs="Times New Roman"/>
                <w:b w:val="0"/>
                <w:bCs w:val="0"/>
                <w:color w:val="auto"/>
                <w:spacing w:val="0"/>
                <w:position w:val="0"/>
                <w:sz w:val="24"/>
                <w:szCs w:val="24"/>
                <w:highlight w:val="none"/>
              </w:rPr>
              <w:t>》（</w:t>
            </w:r>
            <w:r>
              <w:rPr>
                <w:rFonts w:hint="eastAsia" w:ascii="Times New Roman" w:hAnsi="Times New Roman" w:eastAsia="宋体" w:cs="Times New Roman"/>
                <w:b w:val="0"/>
                <w:bCs w:val="0"/>
                <w:color w:val="auto"/>
                <w:spacing w:val="0"/>
                <w:position w:val="0"/>
                <w:sz w:val="24"/>
                <w:szCs w:val="24"/>
                <w:highlight w:val="none"/>
              </w:rPr>
              <w:t>HJ1276-2022</w:t>
            </w:r>
            <w:r>
              <w:rPr>
                <w:rFonts w:ascii="Times New Roman" w:hAnsi="Times New Roman" w:eastAsia="宋体" w:cs="Times New Roman"/>
                <w:b w:val="0"/>
                <w:bCs w:val="0"/>
                <w:color w:val="auto"/>
                <w:spacing w:val="0"/>
                <w:position w:val="0"/>
                <w:sz w:val="24"/>
                <w:szCs w:val="24"/>
                <w:highlight w:val="none"/>
              </w:rPr>
              <w:t>）</w:t>
            </w:r>
            <w:r>
              <w:rPr>
                <w:rFonts w:ascii="Times New Roman" w:hAnsi="Times New Roman" w:eastAsia="宋体" w:cs="Times New Roman"/>
                <w:b w:val="0"/>
                <w:bCs w:val="0"/>
                <w:color w:val="auto"/>
                <w:spacing w:val="0"/>
                <w:position w:val="0"/>
                <w:sz w:val="24"/>
                <w:szCs w:val="24"/>
                <w:highlight w:val="none"/>
                <w:lang w:bidi="ar"/>
              </w:rPr>
              <w:t>中规范要求</w:t>
            </w:r>
            <w:r>
              <w:rPr>
                <w:rFonts w:hint="eastAsia" w:ascii="Times New Roman" w:hAnsi="Times New Roman" w:eastAsia="宋体" w:cs="Times New Roman"/>
                <w:b w:val="0"/>
                <w:bCs w:val="0"/>
                <w:color w:val="auto"/>
                <w:spacing w:val="0"/>
                <w:position w:val="0"/>
                <w:sz w:val="24"/>
                <w:szCs w:val="24"/>
                <w:highlight w:val="none"/>
                <w:lang w:bidi="ar"/>
              </w:rPr>
              <w:t>：</w:t>
            </w:r>
          </w:p>
          <w:p w14:paraId="40092122">
            <w:pPr>
              <w:pStyle w:val="24"/>
              <w:keepNext w:val="0"/>
              <w:keepLines w:val="0"/>
              <w:pageBreakBefore w:val="0"/>
              <w:widowControl/>
              <w:numPr>
                <w:ilvl w:val="0"/>
                <w:numId w:val="5"/>
              </w:numPr>
              <w:kinsoku/>
              <w:wordWrap/>
              <w:overflowPunct/>
              <w:topLinePunct w:val="0"/>
              <w:autoSpaceDE/>
              <w:autoSpaceDN/>
              <w:bidi w:val="0"/>
              <w:adjustRightInd/>
              <w:snapToGrid w:val="0"/>
              <w:spacing w:before="0" w:beforeAutospacing="0" w:after="0" w:afterAutospacing="0" w:line="360" w:lineRule="auto"/>
              <w:ind w:left="0" w:leftChars="0" w:firstLine="425" w:firstLineChars="0"/>
              <w:jc w:val="both"/>
              <w:textAlignment w:val="auto"/>
              <w:rPr>
                <w:rFonts w:hint="eastAsia" w:ascii="Times New Roman" w:hAnsi="Times New Roman" w:eastAsia="宋体" w:cs="Times New Roman"/>
                <w:b w:val="0"/>
                <w:bCs w:val="0"/>
                <w:color w:val="auto"/>
                <w:spacing w:val="0"/>
                <w:kern w:val="2"/>
                <w:position w:val="0"/>
                <w:sz w:val="24"/>
                <w:szCs w:val="24"/>
                <w:highlight w:val="none"/>
                <w:lang w:bidi="ar"/>
              </w:rPr>
            </w:pPr>
            <w:r>
              <w:rPr>
                <w:rFonts w:hint="eastAsia" w:ascii="Times New Roman" w:hAnsi="Times New Roman" w:eastAsia="宋体" w:cs="Times New Roman"/>
                <w:b w:val="0"/>
                <w:bCs w:val="0"/>
                <w:color w:val="auto"/>
                <w:spacing w:val="0"/>
                <w:kern w:val="2"/>
                <w:position w:val="0"/>
                <w:sz w:val="24"/>
                <w:szCs w:val="24"/>
                <w:highlight w:val="none"/>
                <w:lang w:bidi="ar"/>
              </w:rPr>
              <w:t>危险废物识别标志的设置应具有足够的警示性，以提醒相关人员在从事收集、贮存、利用、处置危险废物经营活动时注意防范危险废物的环境风险。</w:t>
            </w:r>
          </w:p>
          <w:p w14:paraId="500EE353">
            <w:pPr>
              <w:pStyle w:val="24"/>
              <w:keepNext w:val="0"/>
              <w:keepLines w:val="0"/>
              <w:pageBreakBefore w:val="0"/>
              <w:widowControl/>
              <w:numPr>
                <w:ilvl w:val="0"/>
                <w:numId w:val="5"/>
              </w:numPr>
              <w:kinsoku/>
              <w:wordWrap/>
              <w:overflowPunct/>
              <w:topLinePunct w:val="0"/>
              <w:autoSpaceDE/>
              <w:autoSpaceDN/>
              <w:bidi w:val="0"/>
              <w:adjustRightInd/>
              <w:snapToGrid w:val="0"/>
              <w:spacing w:before="0" w:beforeAutospacing="0" w:after="0" w:afterAutospacing="0" w:line="360" w:lineRule="auto"/>
              <w:ind w:left="0" w:leftChars="0" w:firstLine="425" w:firstLineChars="0"/>
              <w:jc w:val="both"/>
              <w:textAlignment w:val="auto"/>
              <w:rPr>
                <w:rFonts w:hint="eastAsia" w:ascii="Times New Roman" w:hAnsi="Times New Roman" w:eastAsia="宋体" w:cs="Times New Roman"/>
                <w:b w:val="0"/>
                <w:bCs w:val="0"/>
                <w:color w:val="auto"/>
                <w:spacing w:val="0"/>
                <w:kern w:val="2"/>
                <w:position w:val="0"/>
                <w:sz w:val="24"/>
                <w:szCs w:val="24"/>
                <w:highlight w:val="none"/>
                <w:lang w:bidi="ar"/>
              </w:rPr>
            </w:pPr>
            <w:r>
              <w:rPr>
                <w:rFonts w:hint="eastAsia" w:ascii="Times New Roman" w:hAnsi="Times New Roman" w:eastAsia="宋体" w:cs="Times New Roman"/>
                <w:b w:val="0"/>
                <w:bCs w:val="0"/>
                <w:color w:val="auto"/>
                <w:spacing w:val="0"/>
                <w:kern w:val="2"/>
                <w:position w:val="0"/>
                <w:sz w:val="24"/>
                <w:szCs w:val="24"/>
                <w:highlight w:val="none"/>
                <w:lang w:bidi="ar"/>
              </w:rPr>
              <w:t>危险废物识别标志应设置在醒目的位置，避免被其他固定物体遮挡，并与周边的环境特点相协调。</w:t>
            </w:r>
          </w:p>
          <w:p w14:paraId="3066D397">
            <w:pPr>
              <w:pStyle w:val="24"/>
              <w:keepNext w:val="0"/>
              <w:keepLines w:val="0"/>
              <w:pageBreakBefore w:val="0"/>
              <w:widowControl/>
              <w:numPr>
                <w:ilvl w:val="0"/>
                <w:numId w:val="5"/>
              </w:numPr>
              <w:kinsoku/>
              <w:wordWrap/>
              <w:overflowPunct/>
              <w:topLinePunct w:val="0"/>
              <w:autoSpaceDE/>
              <w:autoSpaceDN/>
              <w:bidi w:val="0"/>
              <w:adjustRightInd/>
              <w:snapToGrid w:val="0"/>
              <w:spacing w:before="0" w:beforeAutospacing="0" w:after="0" w:afterAutospacing="0" w:line="360" w:lineRule="auto"/>
              <w:ind w:left="0" w:leftChars="0" w:firstLine="425" w:firstLineChars="0"/>
              <w:jc w:val="both"/>
              <w:textAlignment w:val="auto"/>
              <w:rPr>
                <w:rFonts w:hint="eastAsia" w:ascii="Times New Roman" w:hAnsi="Times New Roman" w:eastAsia="宋体" w:cs="Times New Roman"/>
                <w:b w:val="0"/>
                <w:bCs w:val="0"/>
                <w:color w:val="auto"/>
                <w:spacing w:val="0"/>
                <w:kern w:val="2"/>
                <w:position w:val="0"/>
                <w:sz w:val="24"/>
                <w:szCs w:val="24"/>
                <w:highlight w:val="none"/>
                <w:lang w:bidi="ar"/>
              </w:rPr>
            </w:pPr>
            <w:r>
              <w:rPr>
                <w:rFonts w:hint="eastAsia" w:ascii="Times New Roman" w:hAnsi="Times New Roman" w:eastAsia="宋体" w:cs="Times New Roman"/>
                <w:b w:val="0"/>
                <w:bCs w:val="0"/>
                <w:color w:val="auto"/>
                <w:spacing w:val="0"/>
                <w:kern w:val="2"/>
                <w:position w:val="0"/>
                <w:sz w:val="24"/>
                <w:szCs w:val="24"/>
                <w:highlight w:val="none"/>
                <w:lang w:bidi="ar"/>
              </w:rPr>
              <w:t>危险废物识别标志与其他标志宜保持视觉上的分离。危险废物识别标志与其他标志相近设置时，宜确保危险废物识别标志在视觉上的识别和信息的读取不受其他标志的影响。</w:t>
            </w:r>
          </w:p>
          <w:p w14:paraId="03A32E64">
            <w:pPr>
              <w:pStyle w:val="24"/>
              <w:keepNext w:val="0"/>
              <w:keepLines w:val="0"/>
              <w:pageBreakBefore w:val="0"/>
              <w:widowControl/>
              <w:numPr>
                <w:ilvl w:val="0"/>
                <w:numId w:val="5"/>
              </w:numPr>
              <w:kinsoku/>
              <w:wordWrap/>
              <w:overflowPunct/>
              <w:topLinePunct w:val="0"/>
              <w:autoSpaceDE/>
              <w:autoSpaceDN/>
              <w:bidi w:val="0"/>
              <w:adjustRightInd/>
              <w:snapToGrid w:val="0"/>
              <w:spacing w:before="0" w:beforeAutospacing="0" w:after="0" w:afterAutospacing="0" w:line="360" w:lineRule="auto"/>
              <w:ind w:left="0" w:leftChars="0" w:firstLine="425" w:firstLineChars="0"/>
              <w:jc w:val="both"/>
              <w:textAlignment w:val="auto"/>
              <w:rPr>
                <w:rFonts w:hint="eastAsia" w:ascii="Times New Roman" w:hAnsi="Times New Roman" w:eastAsia="宋体" w:cs="Times New Roman"/>
                <w:b w:val="0"/>
                <w:bCs w:val="0"/>
                <w:color w:val="auto"/>
                <w:spacing w:val="0"/>
                <w:kern w:val="2"/>
                <w:position w:val="0"/>
                <w:sz w:val="24"/>
                <w:szCs w:val="24"/>
                <w:highlight w:val="none"/>
                <w:lang w:bidi="ar"/>
              </w:rPr>
            </w:pPr>
            <w:r>
              <w:rPr>
                <w:rFonts w:hint="eastAsia" w:ascii="Times New Roman" w:hAnsi="Times New Roman" w:eastAsia="宋体" w:cs="Times New Roman"/>
                <w:b w:val="0"/>
                <w:bCs w:val="0"/>
                <w:color w:val="auto"/>
                <w:spacing w:val="0"/>
                <w:kern w:val="2"/>
                <w:position w:val="0"/>
                <w:sz w:val="24"/>
                <w:szCs w:val="24"/>
                <w:highlight w:val="none"/>
                <w:lang w:bidi="ar"/>
              </w:rPr>
              <w:t>同一场所内，同一种类危险废物识别标志的尺寸、设置位置、设置方式和设置高度等宜保持一致。</w:t>
            </w:r>
          </w:p>
          <w:p w14:paraId="2B48D135">
            <w:pPr>
              <w:pStyle w:val="24"/>
              <w:keepNext w:val="0"/>
              <w:keepLines w:val="0"/>
              <w:pageBreakBefore w:val="0"/>
              <w:widowControl/>
              <w:numPr>
                <w:ilvl w:val="0"/>
                <w:numId w:val="5"/>
              </w:numPr>
              <w:kinsoku/>
              <w:wordWrap/>
              <w:overflowPunct/>
              <w:topLinePunct w:val="0"/>
              <w:autoSpaceDE/>
              <w:autoSpaceDN/>
              <w:bidi w:val="0"/>
              <w:adjustRightInd/>
              <w:snapToGrid w:val="0"/>
              <w:spacing w:before="0" w:beforeAutospacing="0" w:after="0" w:afterAutospacing="0" w:line="360" w:lineRule="auto"/>
              <w:ind w:left="0" w:leftChars="0" w:firstLine="425" w:firstLineChars="0"/>
              <w:jc w:val="both"/>
              <w:textAlignment w:val="auto"/>
              <w:rPr>
                <w:rFonts w:hint="eastAsia" w:ascii="Times New Roman" w:hAnsi="Times New Roman" w:eastAsia="宋体" w:cs="Times New Roman"/>
                <w:b w:val="0"/>
                <w:bCs w:val="0"/>
                <w:color w:val="auto"/>
                <w:spacing w:val="0"/>
                <w:kern w:val="2"/>
                <w:position w:val="0"/>
                <w:sz w:val="24"/>
                <w:szCs w:val="24"/>
                <w:highlight w:val="none"/>
                <w:lang w:bidi="ar"/>
              </w:rPr>
            </w:pPr>
            <w:r>
              <w:rPr>
                <w:rFonts w:hint="eastAsia" w:ascii="Times New Roman" w:hAnsi="Times New Roman" w:eastAsia="宋体" w:cs="Times New Roman"/>
                <w:b w:val="0"/>
                <w:bCs w:val="0"/>
                <w:color w:val="auto"/>
                <w:spacing w:val="0"/>
                <w:kern w:val="2"/>
                <w:position w:val="0"/>
                <w:sz w:val="24"/>
                <w:szCs w:val="24"/>
                <w:highlight w:val="none"/>
                <w:lang w:bidi="ar"/>
              </w:rPr>
              <w:t>危险废物识别标志的设置除应满足本标准的要求外，还应执行国家安全生产、消防等有关</w:t>
            </w:r>
            <w:r>
              <w:rPr>
                <w:rFonts w:hint="eastAsia" w:ascii="Times New Roman" w:hAnsi="Times New Roman" w:cs="Times New Roman"/>
                <w:b w:val="0"/>
                <w:bCs w:val="0"/>
                <w:color w:val="auto"/>
                <w:spacing w:val="0"/>
                <w:kern w:val="2"/>
                <w:position w:val="0"/>
                <w:sz w:val="24"/>
                <w:szCs w:val="24"/>
                <w:highlight w:val="none"/>
                <w:lang w:eastAsia="zh-CN" w:bidi="ar"/>
              </w:rPr>
              <w:t>法律法规</w:t>
            </w:r>
            <w:r>
              <w:rPr>
                <w:rFonts w:hint="eastAsia" w:ascii="Times New Roman" w:hAnsi="Times New Roman" w:eastAsia="宋体" w:cs="Times New Roman"/>
                <w:b w:val="0"/>
                <w:bCs w:val="0"/>
                <w:color w:val="auto"/>
                <w:spacing w:val="0"/>
                <w:kern w:val="2"/>
                <w:position w:val="0"/>
                <w:sz w:val="24"/>
                <w:szCs w:val="24"/>
                <w:highlight w:val="none"/>
                <w:lang w:bidi="ar"/>
              </w:rPr>
              <w:t>和标准的要求。</w:t>
            </w:r>
          </w:p>
          <w:p w14:paraId="0F870864">
            <w:pPr>
              <w:pStyle w:val="24"/>
              <w:pageBreakBefore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eastAsia="宋体" w:cs="Times New Roman"/>
                <w:b w:val="0"/>
                <w:bCs w:val="0"/>
                <w:color w:val="auto"/>
                <w:spacing w:val="0"/>
                <w:kern w:val="2"/>
                <w:position w:val="0"/>
                <w:sz w:val="24"/>
                <w:szCs w:val="24"/>
                <w:highlight w:val="none"/>
                <w:lang w:bidi="ar"/>
              </w:rPr>
            </w:pPr>
            <w:r>
              <w:rPr>
                <w:rFonts w:ascii="Times New Roman" w:hAnsi="Times New Roman" w:eastAsia="宋体" w:cs="Times New Roman"/>
                <w:b w:val="0"/>
                <w:bCs w:val="0"/>
                <w:color w:val="auto"/>
                <w:spacing w:val="0"/>
                <w:position w:val="0"/>
                <w:sz w:val="24"/>
                <w:szCs w:val="24"/>
                <w:highlight w:val="none"/>
              </w:rPr>
              <w:t>危险废物的贮存和转运严格按照《危险废物贮存污染控制标准》（</w:t>
            </w:r>
            <w:r>
              <w:rPr>
                <w:rFonts w:hint="eastAsia" w:ascii="Times New Roman" w:hAnsi="Times New Roman" w:eastAsia="宋体" w:cs="Times New Roman"/>
                <w:b w:val="0"/>
                <w:bCs w:val="0"/>
                <w:color w:val="auto"/>
                <w:spacing w:val="0"/>
                <w:position w:val="0"/>
                <w:sz w:val="24"/>
                <w:szCs w:val="24"/>
                <w:highlight w:val="none"/>
              </w:rPr>
              <w:t>GB18597-2023</w:t>
            </w:r>
            <w:r>
              <w:rPr>
                <w:rFonts w:ascii="Times New Roman" w:hAnsi="Times New Roman" w:eastAsia="宋体" w:cs="Times New Roman"/>
                <w:b w:val="0"/>
                <w:bCs w:val="0"/>
                <w:color w:val="auto"/>
                <w:spacing w:val="0"/>
                <w:position w:val="0"/>
                <w:sz w:val="24"/>
                <w:szCs w:val="24"/>
                <w:highlight w:val="none"/>
              </w:rPr>
              <w:t>）和《危险废物转移联单管理办法》要求执行</w:t>
            </w:r>
            <w:r>
              <w:rPr>
                <w:rFonts w:hint="eastAsia" w:ascii="Times New Roman" w:hAnsi="Times New Roman" w:eastAsia="宋体" w:cs="Times New Roman"/>
                <w:b w:val="0"/>
                <w:bCs w:val="0"/>
                <w:color w:val="auto"/>
                <w:spacing w:val="0"/>
                <w:position w:val="0"/>
                <w:sz w:val="24"/>
                <w:szCs w:val="24"/>
                <w:highlight w:val="none"/>
              </w:rPr>
              <w:t>，</w:t>
            </w:r>
            <w:r>
              <w:rPr>
                <w:rFonts w:hint="eastAsia" w:ascii="Times New Roman" w:hAnsi="Times New Roman" w:eastAsia="宋体" w:cs="Times New Roman"/>
                <w:b w:val="0"/>
                <w:bCs w:val="0"/>
                <w:color w:val="auto"/>
                <w:spacing w:val="0"/>
                <w:kern w:val="2"/>
                <w:position w:val="0"/>
                <w:sz w:val="24"/>
                <w:szCs w:val="24"/>
                <w:highlight w:val="none"/>
                <w:lang w:bidi="ar"/>
              </w:rPr>
              <w:t>运输应采取电子转移联单，保证运输安全，防止非法转移和非法处置，保证危险废物的安全监控，防止危险废物污染事故发生。</w:t>
            </w:r>
          </w:p>
          <w:p w14:paraId="7F2FD318">
            <w:pPr>
              <w:pageBreakBefore w:val="0"/>
              <w:kinsoku/>
              <w:wordWrap/>
              <w:overflowPunct/>
              <w:topLinePunct w:val="0"/>
              <w:autoSpaceDE/>
              <w:autoSpaceDN/>
              <w:bidi w:val="0"/>
              <w:adjustRightInd/>
              <w:spacing w:line="360" w:lineRule="auto"/>
              <w:ind w:firstLine="480"/>
              <w:textAlignment w:val="auto"/>
              <w:rPr>
                <w:rFonts w:ascii="Times New Roman" w:hAnsi="Times New Roman" w:eastAsia="宋体" w:cs="Times New Roman"/>
                <w:b w:val="0"/>
                <w:bCs w:val="0"/>
                <w:color w:val="auto"/>
                <w:spacing w:val="0"/>
                <w:kern w:val="0"/>
                <w:position w:val="0"/>
                <w:sz w:val="24"/>
                <w:szCs w:val="24"/>
                <w:highlight w:val="none"/>
                <w:lang w:bidi="ar"/>
              </w:rPr>
            </w:pPr>
            <w:r>
              <w:rPr>
                <w:rFonts w:hint="eastAsia" w:ascii="Times New Roman" w:hAnsi="Times New Roman" w:eastAsia="宋体" w:cs="Times New Roman"/>
                <w:b w:val="0"/>
                <w:bCs w:val="0"/>
                <w:color w:val="auto"/>
                <w:spacing w:val="0"/>
                <w:kern w:val="0"/>
                <w:position w:val="0"/>
                <w:sz w:val="24"/>
                <w:szCs w:val="24"/>
                <w:highlight w:val="none"/>
                <w:lang w:bidi="ar"/>
              </w:rPr>
              <w:t>因此，项目应</w:t>
            </w:r>
            <w:r>
              <w:rPr>
                <w:rFonts w:ascii="Times New Roman" w:hAnsi="Times New Roman" w:eastAsia="宋体" w:cs="Times New Roman"/>
                <w:b w:val="0"/>
                <w:bCs w:val="0"/>
                <w:color w:val="auto"/>
                <w:spacing w:val="0"/>
                <w:kern w:val="0"/>
                <w:position w:val="0"/>
                <w:sz w:val="24"/>
                <w:szCs w:val="24"/>
                <w:highlight w:val="none"/>
                <w:lang w:bidi="ar"/>
              </w:rPr>
              <w:t>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195A1D68">
            <w:pPr>
              <w:pageBreakBefore w:val="0"/>
              <w:kinsoku/>
              <w:wordWrap/>
              <w:overflowPunct/>
              <w:topLinePunct w:val="0"/>
              <w:autoSpaceDE/>
              <w:autoSpaceDN/>
              <w:bidi w:val="0"/>
              <w:adjustRightInd/>
              <w:snapToGrid w:val="0"/>
              <w:spacing w:line="360" w:lineRule="auto"/>
              <w:ind w:firstLine="400"/>
              <w:textAlignment w:val="auto"/>
              <w:rPr>
                <w:rFonts w:hint="eastAsia" w:ascii="Times New Roman" w:hAnsi="Times New Roman" w:eastAsia="宋体" w:cs="Times New Roman"/>
                <w:b w:val="0"/>
                <w:bCs w:val="0"/>
                <w:color w:val="auto"/>
                <w:spacing w:val="0"/>
                <w:kern w:val="0"/>
                <w:position w:val="0"/>
                <w:sz w:val="24"/>
                <w:szCs w:val="24"/>
                <w:highlight w:val="none"/>
              </w:rPr>
            </w:pPr>
            <w:r>
              <w:rPr>
                <w:rFonts w:hint="eastAsia" w:ascii="Times New Roman" w:hAnsi="Times New Roman" w:eastAsia="宋体" w:cs="Times New Roman"/>
                <w:b w:val="0"/>
                <w:bCs w:val="0"/>
                <w:color w:val="auto"/>
                <w:spacing w:val="0"/>
                <w:kern w:val="0"/>
                <w:position w:val="0"/>
                <w:sz w:val="24"/>
                <w:szCs w:val="24"/>
                <w:highlight w:val="none"/>
              </w:rPr>
              <w:t>项目生产运营过程中产生的危险废物在厂房内设置危险废物贮存点统一收集后交由相关资质的单位回收进行处理。贮存场所应防风、防雨、防晒、防渗漏，且应设置规范</w:t>
            </w:r>
            <w:r>
              <w:rPr>
                <w:rFonts w:hint="eastAsia" w:cs="Times New Roman"/>
                <w:b w:val="0"/>
                <w:bCs w:val="0"/>
                <w:color w:val="auto"/>
                <w:spacing w:val="0"/>
                <w:kern w:val="0"/>
                <w:position w:val="0"/>
                <w:sz w:val="24"/>
                <w:szCs w:val="24"/>
                <w:highlight w:val="none"/>
                <w:lang w:eastAsia="zh-CN"/>
              </w:rPr>
              <w:t>标识牌</w:t>
            </w:r>
            <w:r>
              <w:rPr>
                <w:rFonts w:hint="eastAsia" w:ascii="Times New Roman" w:hAnsi="Times New Roman" w:eastAsia="宋体" w:cs="Times New Roman"/>
                <w:b w:val="0"/>
                <w:bCs w:val="0"/>
                <w:color w:val="auto"/>
                <w:spacing w:val="0"/>
                <w:kern w:val="0"/>
                <w:position w:val="0"/>
                <w:sz w:val="24"/>
                <w:szCs w:val="24"/>
                <w:highlight w:val="none"/>
              </w:rPr>
              <w:t>。本项目危废产生量较少，同时所有的危废均密封保存，均配有围堰收集槽，项目为了防止危废产生的挥发性有机物需做好：</w:t>
            </w:r>
            <w:r>
              <w:rPr>
                <w:rFonts w:hint="eastAsia" w:cs="Times New Roman"/>
                <w:color w:val="auto"/>
                <w:spacing w:val="0"/>
                <w:position w:val="0"/>
                <w:sz w:val="24"/>
                <w:szCs w:val="24"/>
                <w:highlight w:val="none"/>
                <w:lang w:eastAsia="zh-CN"/>
              </w:rPr>
              <w:t>废化学品包装物、</w:t>
            </w:r>
            <w:r>
              <w:rPr>
                <w:rFonts w:hint="eastAsia" w:cs="Times New Roman"/>
                <w:color w:val="auto"/>
                <w:spacing w:val="0"/>
                <w:position w:val="0"/>
                <w:sz w:val="24"/>
                <w:szCs w:val="24"/>
                <w:highlight w:val="none"/>
                <w:lang w:val="en-US" w:eastAsia="zh-CN"/>
              </w:rPr>
              <w:t>润滑油空桶加盖</w:t>
            </w:r>
            <w:r>
              <w:rPr>
                <w:rFonts w:hint="eastAsia" w:ascii="Times New Roman" w:hAnsi="Times New Roman" w:eastAsia="宋体" w:cs="Times New Roman"/>
                <w:color w:val="auto"/>
                <w:spacing w:val="0"/>
                <w:position w:val="0"/>
                <w:sz w:val="24"/>
                <w:szCs w:val="24"/>
                <w:highlight w:val="none"/>
                <w:lang w:val="en-US" w:eastAsia="zh-CN"/>
              </w:rPr>
              <w:t>密闭保存</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rPr>
              <w:t>沉淀污泥</w:t>
            </w:r>
            <w:r>
              <w:rPr>
                <w:rFonts w:hint="eastAsia" w:cs="Times New Roman"/>
                <w:color w:val="auto"/>
                <w:spacing w:val="0"/>
                <w:position w:val="0"/>
                <w:sz w:val="24"/>
                <w:szCs w:val="24"/>
                <w:highlight w:val="none"/>
                <w:lang w:val="en-US" w:eastAsia="zh-CN"/>
              </w:rPr>
              <w:t>、</w:t>
            </w:r>
            <w:r>
              <w:rPr>
                <w:rFonts w:hint="eastAsia" w:ascii="Times New Roman" w:hAnsi="Times New Roman" w:eastAsia="宋体" w:cs="Times New Roman"/>
                <w:color w:val="auto"/>
                <w:spacing w:val="0"/>
                <w:kern w:val="0"/>
                <w:position w:val="0"/>
                <w:sz w:val="24"/>
                <w:szCs w:val="24"/>
                <w:highlight w:val="none"/>
                <w:lang w:val="en-US" w:eastAsia="zh-CN" w:bidi="ar"/>
              </w:rPr>
              <w:t>漆渣、</w:t>
            </w:r>
            <w:r>
              <w:rPr>
                <w:rFonts w:hint="eastAsia" w:cs="Times New Roman"/>
                <w:color w:val="auto"/>
                <w:spacing w:val="0"/>
                <w:kern w:val="0"/>
                <w:position w:val="0"/>
                <w:sz w:val="24"/>
                <w:szCs w:val="24"/>
                <w:highlight w:val="none"/>
                <w:lang w:val="en-US" w:eastAsia="zh-CN" w:bidi="ar"/>
              </w:rPr>
              <w:t>水帘气旋废液、喷枪清洗废液、废润滑油</w:t>
            </w:r>
            <w:r>
              <w:rPr>
                <w:rFonts w:hint="eastAsia" w:ascii="Times New Roman" w:hAnsi="Times New Roman" w:eastAsia="宋体" w:cs="Times New Roman"/>
                <w:b w:val="0"/>
                <w:bCs w:val="0"/>
                <w:color w:val="auto"/>
                <w:spacing w:val="0"/>
                <w:kern w:val="0"/>
                <w:position w:val="0"/>
                <w:sz w:val="24"/>
                <w:szCs w:val="24"/>
                <w:highlight w:val="none"/>
              </w:rPr>
              <w:t>存放于专用的密闭桶内</w:t>
            </w:r>
            <w:r>
              <w:rPr>
                <w:rFonts w:hint="eastAsia" w:cs="Times New Roman"/>
                <w:b w:val="0"/>
                <w:bCs w:val="0"/>
                <w:color w:val="auto"/>
                <w:spacing w:val="0"/>
                <w:kern w:val="0"/>
                <w:position w:val="0"/>
                <w:sz w:val="24"/>
                <w:szCs w:val="24"/>
                <w:highlight w:val="none"/>
                <w:lang w:val="en-US" w:eastAsia="zh-CN"/>
              </w:rPr>
              <w:t>；</w:t>
            </w:r>
            <w:r>
              <w:rPr>
                <w:rFonts w:hint="eastAsia" w:ascii="Times New Roman" w:hAnsi="Times New Roman" w:eastAsia="宋体" w:cs="Times New Roman"/>
                <w:color w:val="auto"/>
                <w:spacing w:val="0"/>
                <w:position w:val="0"/>
                <w:sz w:val="24"/>
                <w:szCs w:val="24"/>
                <w:highlight w:val="none"/>
              </w:rPr>
              <w:t>废活性炭</w:t>
            </w:r>
            <w:r>
              <w:rPr>
                <w:rFonts w:hint="eastAsia"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val="en-US" w:eastAsia="zh-CN"/>
              </w:rPr>
              <w:t>废过滤棉、废含油抹布及手套</w:t>
            </w:r>
            <w:r>
              <w:rPr>
                <w:rFonts w:hint="eastAsia" w:ascii="Times New Roman" w:hAnsi="Times New Roman" w:eastAsia="宋体" w:cs="Times New Roman"/>
                <w:b w:val="0"/>
                <w:bCs w:val="0"/>
                <w:color w:val="auto"/>
                <w:spacing w:val="0"/>
                <w:kern w:val="0"/>
                <w:position w:val="0"/>
                <w:sz w:val="24"/>
                <w:szCs w:val="24"/>
                <w:highlight w:val="none"/>
              </w:rPr>
              <w:t>使用较厚的专用密封塑料袋进行密封包装</w:t>
            </w:r>
            <w:r>
              <w:rPr>
                <w:rFonts w:hint="eastAsia" w:cs="Times New Roman"/>
                <w:b w:val="0"/>
                <w:bCs w:val="0"/>
                <w:color w:val="auto"/>
                <w:spacing w:val="0"/>
                <w:kern w:val="0"/>
                <w:position w:val="0"/>
                <w:sz w:val="24"/>
                <w:szCs w:val="24"/>
                <w:highlight w:val="none"/>
                <w:lang w:eastAsia="zh-CN"/>
              </w:rPr>
              <w:t>。</w:t>
            </w:r>
            <w:r>
              <w:rPr>
                <w:rFonts w:hint="eastAsia" w:ascii="Times New Roman" w:hAnsi="Times New Roman" w:eastAsia="宋体" w:cs="Times New Roman"/>
                <w:b w:val="0"/>
                <w:bCs w:val="0"/>
                <w:color w:val="auto"/>
                <w:spacing w:val="0"/>
                <w:kern w:val="0"/>
                <w:position w:val="0"/>
                <w:sz w:val="24"/>
                <w:szCs w:val="24"/>
                <w:highlight w:val="none"/>
              </w:rPr>
              <w:t>密闭桶</w:t>
            </w:r>
            <w:r>
              <w:rPr>
                <w:rFonts w:hint="eastAsia" w:cs="Times New Roman"/>
                <w:b w:val="0"/>
                <w:bCs w:val="0"/>
                <w:color w:val="auto"/>
                <w:spacing w:val="0"/>
                <w:kern w:val="0"/>
                <w:position w:val="0"/>
                <w:sz w:val="24"/>
                <w:szCs w:val="24"/>
                <w:highlight w:val="none"/>
                <w:lang w:eastAsia="zh-CN"/>
              </w:rPr>
              <w:t>、</w:t>
            </w:r>
            <w:r>
              <w:rPr>
                <w:rFonts w:hint="eastAsia" w:ascii="Times New Roman" w:hAnsi="Times New Roman" w:eastAsia="宋体" w:cs="Times New Roman"/>
                <w:b w:val="0"/>
                <w:bCs w:val="0"/>
                <w:color w:val="auto"/>
                <w:spacing w:val="0"/>
                <w:kern w:val="0"/>
                <w:position w:val="0"/>
                <w:sz w:val="24"/>
                <w:szCs w:val="24"/>
                <w:highlight w:val="none"/>
              </w:rPr>
              <w:t>密封塑料袋同时</w:t>
            </w:r>
            <w:r>
              <w:rPr>
                <w:rFonts w:hint="eastAsia" w:cs="Times New Roman"/>
                <w:b w:val="0"/>
                <w:bCs w:val="0"/>
                <w:color w:val="auto"/>
                <w:spacing w:val="0"/>
                <w:kern w:val="0"/>
                <w:position w:val="0"/>
                <w:sz w:val="24"/>
                <w:szCs w:val="24"/>
                <w:highlight w:val="none"/>
                <w:lang w:val="en-US" w:eastAsia="zh-CN"/>
              </w:rPr>
              <w:t>使用能更有效的</w:t>
            </w:r>
            <w:r>
              <w:rPr>
                <w:rFonts w:hint="eastAsia" w:ascii="Times New Roman" w:hAnsi="Times New Roman" w:eastAsia="宋体" w:cs="Times New Roman"/>
                <w:b w:val="0"/>
                <w:bCs w:val="0"/>
                <w:color w:val="auto"/>
                <w:spacing w:val="0"/>
                <w:kern w:val="0"/>
                <w:position w:val="0"/>
                <w:sz w:val="24"/>
                <w:szCs w:val="24"/>
                <w:highlight w:val="none"/>
              </w:rPr>
              <w:t>防止</w:t>
            </w:r>
            <w:r>
              <w:rPr>
                <w:rFonts w:hint="eastAsia" w:cs="Times New Roman"/>
                <w:b w:val="0"/>
                <w:bCs w:val="0"/>
                <w:color w:val="auto"/>
                <w:spacing w:val="0"/>
                <w:kern w:val="0"/>
                <w:position w:val="0"/>
                <w:sz w:val="24"/>
                <w:szCs w:val="24"/>
                <w:highlight w:val="none"/>
                <w:lang w:val="en-US" w:eastAsia="zh-CN"/>
              </w:rPr>
              <w:t>危废</w:t>
            </w:r>
            <w:r>
              <w:rPr>
                <w:rFonts w:hint="eastAsia" w:ascii="Times New Roman" w:hAnsi="Times New Roman" w:eastAsia="宋体" w:cs="Times New Roman"/>
                <w:b w:val="0"/>
                <w:bCs w:val="0"/>
                <w:color w:val="auto"/>
                <w:spacing w:val="0"/>
                <w:kern w:val="0"/>
                <w:position w:val="0"/>
                <w:sz w:val="24"/>
                <w:szCs w:val="24"/>
                <w:highlight w:val="none"/>
              </w:rPr>
              <w:t>泄漏外排的现象产生。项目危险废物均需放置于危险废物贮存间内，且贮存间地板应设置铁托盘，铁托盘上方放置木砧板，且危险废物贮存间应上锁，并安排专人管理，并与相关资质单位转交相关危险废物时应做好相关危险废物转移交接记录台账。</w:t>
            </w:r>
          </w:p>
          <w:p w14:paraId="0118614B">
            <w:pPr>
              <w:pStyle w:val="24"/>
              <w:pageBreakBefore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ascii="Times New Roman" w:hAnsi="Times New Roman" w:eastAsia="宋体" w:cs="Times New Roman"/>
                <w:b w:val="0"/>
                <w:bCs w:val="0"/>
                <w:color w:val="auto"/>
                <w:spacing w:val="0"/>
                <w:position w:val="0"/>
                <w:sz w:val="24"/>
                <w:szCs w:val="24"/>
                <w:highlight w:val="none"/>
              </w:rPr>
            </w:pPr>
            <w:r>
              <w:rPr>
                <w:rFonts w:hint="eastAsia" w:ascii="Times New Roman" w:hAnsi="Times New Roman" w:eastAsia="宋体" w:cs="Times New Roman"/>
                <w:b w:val="0"/>
                <w:bCs w:val="0"/>
                <w:color w:val="auto"/>
                <w:spacing w:val="0"/>
                <w:kern w:val="2"/>
                <w:position w:val="0"/>
                <w:sz w:val="24"/>
                <w:szCs w:val="24"/>
                <w:highlight w:val="none"/>
                <w:lang w:bidi="ar"/>
              </w:rPr>
              <w:t>建造具有防水、防渗、防扬散、防流失的专用危险废物贮存设施贮存危险废物，并设立明显废物识别标志。</w:t>
            </w:r>
          </w:p>
          <w:p w14:paraId="785AA4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b w:val="0"/>
                <w:bCs w:val="0"/>
                <w:color w:val="auto"/>
                <w:spacing w:val="0"/>
                <w:kern w:val="2"/>
                <w:position w:val="0"/>
                <w:sz w:val="24"/>
                <w:szCs w:val="24"/>
                <w:highlight w:val="none"/>
                <w:lang w:bidi="ar"/>
              </w:rPr>
              <w:t>危险废物的运输应采取电子转移联单，保证运输安全，防止非法转移和非法处置，保证危险废物的安全监控，防止危险废物污染事故发生</w:t>
            </w:r>
            <w:r>
              <w:rPr>
                <w:rFonts w:hint="eastAsia" w:ascii="Times New Roman" w:hAnsi="Times New Roman" w:eastAsia="宋体" w:cs="Times New Roman"/>
                <w:b w:val="0"/>
                <w:bCs w:val="0"/>
                <w:color w:val="auto"/>
                <w:spacing w:val="0"/>
                <w:kern w:val="0"/>
                <w:position w:val="0"/>
                <w:sz w:val="24"/>
                <w:szCs w:val="24"/>
                <w:highlight w:val="none"/>
                <w:lang w:val="en-US" w:eastAsia="zh-CN" w:bidi="ar"/>
              </w:rPr>
              <w:t>。</w:t>
            </w:r>
          </w:p>
          <w:p w14:paraId="4D43F7C0">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z w:val="24"/>
                <w:szCs w:val="24"/>
                <w:highlight w:val="none"/>
              </w:rPr>
            </w:pPr>
            <w:bookmarkStart w:id="55" w:name="_Toc31479"/>
            <w:bookmarkStart w:id="56" w:name="_Toc10834"/>
            <w:r>
              <w:rPr>
                <w:rFonts w:hint="eastAsia" w:ascii="Times New Roman" w:hAnsi="Times New Roman" w:eastAsia="宋体" w:cs="Times New Roman"/>
                <w:color w:val="auto"/>
                <w:sz w:val="24"/>
                <w:szCs w:val="24"/>
                <w:highlight w:val="none"/>
                <w:lang w:bidi="ar"/>
              </w:rPr>
              <w:fldChar w:fldCharType="begin"/>
            </w:r>
            <w:r>
              <w:rPr>
                <w:rFonts w:hint="eastAsia" w:ascii="Times New Roman" w:hAnsi="Times New Roman" w:eastAsia="宋体" w:cs="Times New Roman"/>
                <w:color w:val="auto"/>
                <w:sz w:val="24"/>
                <w:szCs w:val="24"/>
                <w:highlight w:val="none"/>
                <w:lang w:bidi="ar"/>
              </w:rPr>
              <w:instrText xml:space="preserve"> = 4 \* GB3 \* MERGEFORMAT </w:instrText>
            </w:r>
            <w:r>
              <w:rPr>
                <w:rFonts w:hint="eastAsia" w:ascii="Times New Roman" w:hAnsi="Times New Roman" w:eastAsia="宋体" w:cs="Times New Roman"/>
                <w:color w:val="auto"/>
                <w:sz w:val="24"/>
                <w:szCs w:val="24"/>
                <w:highlight w:val="none"/>
                <w:lang w:bidi="ar"/>
              </w:rPr>
              <w:fldChar w:fldCharType="separate"/>
            </w:r>
            <w:r>
              <w:rPr>
                <w:color w:val="auto"/>
                <w:sz w:val="24"/>
                <w:szCs w:val="24"/>
                <w:highlight w:val="none"/>
              </w:rPr>
              <w:t>④</w:t>
            </w:r>
            <w:r>
              <w:rPr>
                <w:rFonts w:hint="eastAsia" w:ascii="Times New Roman" w:hAnsi="Times New Roman" w:eastAsia="宋体" w:cs="Times New Roman"/>
                <w:color w:val="auto"/>
                <w:sz w:val="24"/>
                <w:szCs w:val="24"/>
                <w:highlight w:val="none"/>
                <w:lang w:bidi="ar"/>
              </w:rPr>
              <w:fldChar w:fldCharType="end"/>
            </w:r>
            <w:r>
              <w:rPr>
                <w:rFonts w:hint="eastAsia" w:ascii="Times New Roman" w:hAnsi="Times New Roman" w:eastAsia="宋体" w:cs="Times New Roman"/>
                <w:color w:val="auto"/>
                <w:sz w:val="24"/>
                <w:szCs w:val="24"/>
                <w:highlight w:val="none"/>
              </w:rPr>
              <w:t>危险废物暂存设施可行性分析</w:t>
            </w:r>
          </w:p>
          <w:p w14:paraId="606A5A00">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项目</w:t>
            </w:r>
            <w:r>
              <w:rPr>
                <w:rFonts w:ascii="Times New Roman" w:hAnsi="Times New Roman" w:eastAsia="宋体" w:cs="Times New Roman"/>
                <w:color w:val="auto"/>
                <w:sz w:val="24"/>
                <w:szCs w:val="24"/>
                <w:highlight w:val="none"/>
              </w:rPr>
              <w:t>按规范设置危废</w:t>
            </w:r>
            <w:r>
              <w:rPr>
                <w:rFonts w:hint="eastAsia" w:ascii="Times New Roman" w:hAnsi="Times New Roman" w:eastAsia="宋体" w:cs="Times New Roman"/>
                <w:color w:val="auto"/>
                <w:sz w:val="24"/>
                <w:szCs w:val="24"/>
                <w:highlight w:val="none"/>
                <w:lang w:val="en-US" w:eastAsia="zh-CN"/>
              </w:rPr>
              <w:t>暂存</w:t>
            </w:r>
            <w:r>
              <w:rPr>
                <w:rFonts w:hint="eastAsia" w:ascii="Times New Roman" w:hAnsi="Times New Roman" w:eastAsia="宋体" w:cs="Times New Roman"/>
                <w:color w:val="auto"/>
                <w:sz w:val="24"/>
                <w:szCs w:val="24"/>
                <w:highlight w:val="none"/>
              </w:rPr>
              <w:t>间</w:t>
            </w:r>
            <w:r>
              <w:rPr>
                <w:rFonts w:ascii="Times New Roman" w:hAnsi="Times New Roman" w:eastAsia="宋体" w:cs="Times New Roman"/>
                <w:color w:val="auto"/>
                <w:sz w:val="24"/>
                <w:szCs w:val="24"/>
                <w:highlight w:val="none"/>
              </w:rPr>
              <w:t>1个，建筑面积约为</w:t>
            </w:r>
            <w:r>
              <w:rPr>
                <w:rFonts w:hint="eastAsia" w:cs="Times New Roman"/>
                <w:color w:val="auto"/>
                <w:sz w:val="24"/>
                <w:szCs w:val="24"/>
                <w:highlight w:val="none"/>
                <w:lang w:val="en-US" w:eastAsia="zh-CN"/>
              </w:rPr>
              <w:t>22</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，地面采取</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防渗混凝土硬化+环氧树脂地坪漆</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防渗，并设置防风、防雨、防晒及截流措施，</w:t>
            </w:r>
            <w:r>
              <w:rPr>
                <w:rFonts w:hint="eastAsia" w:cs="Times New Roman"/>
                <w:color w:val="auto"/>
                <w:sz w:val="24"/>
                <w:szCs w:val="24"/>
                <w:highlight w:val="none"/>
                <w:lang w:val="en-US" w:eastAsia="zh-CN"/>
              </w:rPr>
              <w:t>危险废物</w:t>
            </w:r>
            <w:r>
              <w:rPr>
                <w:rFonts w:ascii="Times New Roman" w:hAnsi="Times New Roman" w:eastAsia="宋体" w:cs="Times New Roman"/>
                <w:color w:val="auto"/>
                <w:sz w:val="24"/>
                <w:szCs w:val="24"/>
                <w:highlight w:val="none"/>
              </w:rPr>
              <w:t>采用专用容器包装后贮存在危废</w:t>
            </w:r>
            <w:r>
              <w:rPr>
                <w:rFonts w:hint="eastAsia" w:ascii="Times New Roman" w:hAnsi="Times New Roman" w:eastAsia="宋体" w:cs="Times New Roman"/>
                <w:color w:val="auto"/>
                <w:sz w:val="24"/>
                <w:szCs w:val="24"/>
                <w:highlight w:val="none"/>
                <w:lang w:val="en-US" w:eastAsia="zh-CN"/>
              </w:rPr>
              <w:t>暂存</w:t>
            </w:r>
            <w:r>
              <w:rPr>
                <w:rFonts w:hint="eastAsia" w:ascii="Times New Roman" w:hAnsi="Times New Roman" w:eastAsia="宋体" w:cs="Times New Roman"/>
                <w:color w:val="auto"/>
                <w:sz w:val="24"/>
                <w:szCs w:val="24"/>
                <w:highlight w:val="none"/>
              </w:rPr>
              <w:t>间</w:t>
            </w:r>
            <w:r>
              <w:rPr>
                <w:rFonts w:ascii="Times New Roman" w:hAnsi="Times New Roman" w:eastAsia="宋体" w:cs="Times New Roman"/>
                <w:color w:val="auto"/>
                <w:sz w:val="24"/>
                <w:szCs w:val="24"/>
                <w:highlight w:val="none"/>
              </w:rPr>
              <w:t>，并设置警示牌。根据污染源分析，项目危废暂存周期、危废暂存量及占地面积估算情况</w:t>
            </w:r>
            <w:r>
              <w:rPr>
                <w:rFonts w:hint="eastAsia" w:ascii="Times New Roman" w:hAnsi="Times New Roman" w:eastAsia="宋体" w:cs="Times New Roman"/>
                <w:color w:val="auto"/>
                <w:sz w:val="24"/>
                <w:szCs w:val="24"/>
                <w:highlight w:val="none"/>
              </w:rPr>
              <w:t>详见</w:t>
            </w:r>
            <w:r>
              <w:rPr>
                <w:rFonts w:hint="eastAsia" w:ascii="Times New Roman" w:hAnsi="Times New Roman" w:eastAsia="宋体" w:cs="Times New Roman"/>
                <w:color w:val="auto"/>
                <w:sz w:val="24"/>
                <w:szCs w:val="24"/>
                <w:highlight w:val="none"/>
                <w:lang w:val="en-US" w:eastAsia="zh-CN"/>
              </w:rPr>
              <w:t>4.4-</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p>
          <w:p w14:paraId="70C930DB">
            <w:pPr>
              <w:pStyle w:val="5"/>
              <w:widowControl/>
              <w:tabs>
                <w:tab w:val="left" w:pos="861"/>
              </w:tabs>
              <w:spacing w:before="0" w:beforeLines="0" w:beforeAutospacing="0" w:after="0" w:afterLines="0" w:afterAutospacing="0" w:line="240" w:lineRule="auto"/>
              <w:ind w:firstLine="0" w:firstLineChars="0"/>
              <w:jc w:val="center"/>
              <w:rPr>
                <w:rFonts w:hint="eastAsia" w:ascii="Times New Roman" w:hAnsi="Times New Roman" w:eastAsia="宋体" w:cs="Times New Roman"/>
                <w:bCs w:val="0"/>
                <w:color w:val="auto"/>
                <w:sz w:val="24"/>
                <w:szCs w:val="24"/>
                <w:highlight w:val="none"/>
              </w:rPr>
            </w:pPr>
            <w:r>
              <w:rPr>
                <w:rFonts w:hint="eastAsia" w:ascii="Times New Roman" w:hAnsi="Times New Roman" w:eastAsia="宋体" w:cs="Times New Roman"/>
                <w:bCs w:val="0"/>
                <w:color w:val="auto"/>
                <w:sz w:val="24"/>
                <w:szCs w:val="24"/>
                <w:highlight w:val="none"/>
              </w:rPr>
              <w:t>表</w:t>
            </w:r>
            <w:r>
              <w:rPr>
                <w:rFonts w:hint="eastAsia" w:ascii="Times New Roman" w:hAnsi="Times New Roman" w:eastAsia="宋体" w:cs="Times New Roman"/>
                <w:bCs w:val="0"/>
                <w:color w:val="auto"/>
                <w:sz w:val="24"/>
                <w:szCs w:val="24"/>
                <w:highlight w:val="none"/>
                <w:lang w:val="en-US" w:eastAsia="zh-CN"/>
              </w:rPr>
              <w:t>4.4-4</w:t>
            </w:r>
            <w:r>
              <w:rPr>
                <w:rFonts w:hint="eastAsia" w:ascii="Times New Roman" w:hAnsi="Times New Roman" w:eastAsia="宋体" w:cs="Times New Roman"/>
                <w:bCs w:val="0"/>
                <w:color w:val="auto"/>
                <w:sz w:val="24"/>
                <w:szCs w:val="24"/>
                <w:highlight w:val="none"/>
              </w:rPr>
              <w:t xml:space="preserve"> 危废暂存周期、危废暂存量及占地面积情况分析表</w:t>
            </w:r>
          </w:p>
          <w:tbl>
            <w:tblPr>
              <w:tblStyle w:val="29"/>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73"/>
              <w:gridCol w:w="2063"/>
              <w:gridCol w:w="1520"/>
              <w:gridCol w:w="949"/>
              <w:gridCol w:w="1369"/>
              <w:gridCol w:w="1650"/>
            </w:tblGrid>
            <w:tr w14:paraId="0A5829A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97" w:hRule="atLeast"/>
                <w:jc w:val="center"/>
              </w:trPr>
              <w:tc>
                <w:tcPr>
                  <w:tcW w:w="352" w:type="pct"/>
                  <w:tcBorders>
                    <w:tl2br w:val="nil"/>
                    <w:tr2bl w:val="nil"/>
                  </w:tcBorders>
                  <w:noWrap w:val="0"/>
                  <w:vAlign w:val="center"/>
                </w:tcPr>
                <w:p w14:paraId="778A7A99">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序号</w:t>
                  </w:r>
                </w:p>
              </w:tc>
              <w:tc>
                <w:tcPr>
                  <w:tcW w:w="1269" w:type="pct"/>
                  <w:tcBorders>
                    <w:tl2br w:val="nil"/>
                    <w:tr2bl w:val="nil"/>
                  </w:tcBorders>
                  <w:noWrap w:val="0"/>
                  <w:vAlign w:val="center"/>
                </w:tcPr>
                <w:p w14:paraId="0438221B">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危险废物名称</w:t>
                  </w:r>
                </w:p>
              </w:tc>
              <w:tc>
                <w:tcPr>
                  <w:tcW w:w="935" w:type="pct"/>
                  <w:tcBorders>
                    <w:tl2br w:val="nil"/>
                    <w:tr2bl w:val="nil"/>
                  </w:tcBorders>
                  <w:noWrap w:val="0"/>
                  <w:vAlign w:val="center"/>
                </w:tcPr>
                <w:p w14:paraId="3978C693">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总产生量（t/a）</w:t>
                  </w:r>
                </w:p>
              </w:tc>
              <w:tc>
                <w:tcPr>
                  <w:tcW w:w="584" w:type="pct"/>
                  <w:tcBorders>
                    <w:tl2br w:val="nil"/>
                    <w:tr2bl w:val="nil"/>
                  </w:tcBorders>
                  <w:noWrap w:val="0"/>
                  <w:vAlign w:val="center"/>
                </w:tcPr>
                <w:p w14:paraId="4D24DC23">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暂存周期</w:t>
                  </w:r>
                </w:p>
              </w:tc>
              <w:tc>
                <w:tcPr>
                  <w:tcW w:w="842" w:type="pct"/>
                  <w:tcBorders>
                    <w:tl2br w:val="nil"/>
                    <w:tr2bl w:val="nil"/>
                  </w:tcBorders>
                  <w:noWrap w:val="0"/>
                  <w:vAlign w:val="center"/>
                </w:tcPr>
                <w:p w14:paraId="385F963D">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暂存量（t）</w:t>
                  </w:r>
                </w:p>
              </w:tc>
              <w:tc>
                <w:tcPr>
                  <w:tcW w:w="1015" w:type="pct"/>
                  <w:tcBorders>
                    <w:tl2br w:val="nil"/>
                    <w:tr2bl w:val="nil"/>
                  </w:tcBorders>
                  <w:noWrap w:val="0"/>
                  <w:vAlign w:val="center"/>
                </w:tcPr>
                <w:p w14:paraId="3730C666">
                  <w:pPr>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占地面积（m</w:t>
                  </w:r>
                  <w:r>
                    <w:rPr>
                      <w:rFonts w:hint="eastAsia" w:ascii="Times New Roman" w:hAnsi="Times New Roman" w:eastAsia="宋体" w:cs="Times New Roman"/>
                      <w:b/>
                      <w:bCs/>
                      <w:color w:val="auto"/>
                      <w:sz w:val="21"/>
                      <w:szCs w:val="21"/>
                      <w:highlight w:val="none"/>
                      <w:vertAlign w:val="superscript"/>
                      <w:lang w:eastAsia="zh-CN"/>
                    </w:rPr>
                    <w:t>2</w:t>
                  </w:r>
                  <w:r>
                    <w:rPr>
                      <w:rFonts w:hint="eastAsia" w:ascii="Times New Roman" w:hAnsi="Times New Roman" w:eastAsia="宋体" w:cs="Times New Roman"/>
                      <w:b/>
                      <w:bCs/>
                      <w:color w:val="auto"/>
                      <w:sz w:val="21"/>
                      <w:szCs w:val="21"/>
                      <w:highlight w:val="none"/>
                      <w:lang w:eastAsia="zh-CN"/>
                    </w:rPr>
                    <w:t>）</w:t>
                  </w:r>
                </w:p>
              </w:tc>
            </w:tr>
            <w:tr w14:paraId="148952C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2" w:type="pct"/>
                  <w:tcBorders>
                    <w:tl2br w:val="nil"/>
                    <w:tr2bl w:val="nil"/>
                  </w:tcBorders>
                  <w:noWrap w:val="0"/>
                  <w:vAlign w:val="center"/>
                </w:tcPr>
                <w:p w14:paraId="7103AE4B">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1</w:t>
                  </w:r>
                </w:p>
              </w:tc>
              <w:tc>
                <w:tcPr>
                  <w:tcW w:w="1269" w:type="pct"/>
                  <w:tcBorders>
                    <w:tl2br w:val="nil"/>
                    <w:tr2bl w:val="nil"/>
                  </w:tcBorders>
                  <w:noWrap w:val="0"/>
                  <w:vAlign w:val="center"/>
                </w:tcPr>
                <w:p w14:paraId="77DD7615">
                  <w:pPr>
                    <w:pStyle w:val="107"/>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pacing w:val="0"/>
                      <w:position w:val="0"/>
                      <w:sz w:val="21"/>
                      <w:szCs w:val="21"/>
                      <w:highlight w:val="none"/>
                      <w:lang w:val="en-US" w:eastAsia="zh-CN"/>
                    </w:rPr>
                    <w:t>漆渣</w:t>
                  </w:r>
                </w:p>
              </w:tc>
              <w:tc>
                <w:tcPr>
                  <w:tcW w:w="935" w:type="pct"/>
                  <w:tcBorders>
                    <w:tl2br w:val="nil"/>
                    <w:tr2bl w:val="nil"/>
                  </w:tcBorders>
                  <w:noWrap w:val="0"/>
                  <w:vAlign w:val="center"/>
                </w:tcPr>
                <w:p w14:paraId="1601EB3C">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584" w:type="pct"/>
                  <w:vMerge w:val="restart"/>
                  <w:tcBorders>
                    <w:tl2br w:val="nil"/>
                    <w:tr2bl w:val="nil"/>
                  </w:tcBorders>
                  <w:noWrap w:val="0"/>
                  <w:vAlign w:val="center"/>
                </w:tcPr>
                <w:p w14:paraId="27B25AFC">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75天</w:t>
                  </w:r>
                </w:p>
              </w:tc>
              <w:tc>
                <w:tcPr>
                  <w:tcW w:w="842" w:type="pct"/>
                  <w:tcBorders>
                    <w:tl2br w:val="nil"/>
                    <w:tr2bl w:val="nil"/>
                  </w:tcBorders>
                  <w:noWrap w:val="0"/>
                  <w:vAlign w:val="center"/>
                </w:tcPr>
                <w:p w14:paraId="2F1E5D35">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1015" w:type="pct"/>
                  <w:tcBorders>
                    <w:tl2br w:val="nil"/>
                    <w:tr2bl w:val="nil"/>
                  </w:tcBorders>
                  <w:noWrap w:val="0"/>
                  <w:vAlign w:val="center"/>
                </w:tcPr>
                <w:p w14:paraId="17C70D86">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14:paraId="3C8CC66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2" w:type="pct"/>
                  <w:tcBorders>
                    <w:tl2br w:val="nil"/>
                    <w:tr2bl w:val="nil"/>
                  </w:tcBorders>
                  <w:noWrap w:val="0"/>
                  <w:vAlign w:val="center"/>
                </w:tcPr>
                <w:p w14:paraId="2DC0C2D5">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2</w:t>
                  </w:r>
                </w:p>
              </w:tc>
              <w:tc>
                <w:tcPr>
                  <w:tcW w:w="1269" w:type="pct"/>
                  <w:tcBorders>
                    <w:tl2br w:val="nil"/>
                    <w:tr2bl w:val="nil"/>
                  </w:tcBorders>
                  <w:noWrap w:val="0"/>
                  <w:vAlign w:val="center"/>
                </w:tcPr>
                <w:p w14:paraId="322FC1D8">
                  <w:pPr>
                    <w:pStyle w:val="107"/>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pacing w:val="0"/>
                      <w:kern w:val="2"/>
                      <w:position w:val="0"/>
                      <w:sz w:val="21"/>
                      <w:szCs w:val="21"/>
                      <w:highlight w:val="none"/>
                      <w:lang w:val="en-US" w:eastAsia="zh-CN" w:bidi="ar-SA"/>
                    </w:rPr>
                    <w:t>废活性炭</w:t>
                  </w:r>
                </w:p>
              </w:tc>
              <w:tc>
                <w:tcPr>
                  <w:tcW w:w="935" w:type="pct"/>
                  <w:tcBorders>
                    <w:tl2br w:val="nil"/>
                    <w:tr2bl w:val="nil"/>
                  </w:tcBorders>
                  <w:noWrap w:val="0"/>
                  <w:vAlign w:val="center"/>
                </w:tcPr>
                <w:p w14:paraId="753B8E24">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584" w:type="pct"/>
                  <w:vMerge w:val="continue"/>
                  <w:tcBorders>
                    <w:tl2br w:val="nil"/>
                    <w:tr2bl w:val="nil"/>
                  </w:tcBorders>
                  <w:noWrap w:val="0"/>
                  <w:vAlign w:val="center"/>
                </w:tcPr>
                <w:p w14:paraId="11181BC7">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842" w:type="pct"/>
                  <w:tcBorders>
                    <w:tl2br w:val="nil"/>
                    <w:tr2bl w:val="nil"/>
                  </w:tcBorders>
                  <w:noWrap w:val="0"/>
                  <w:vAlign w:val="center"/>
                </w:tcPr>
                <w:p w14:paraId="1690F286">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1015" w:type="pct"/>
                  <w:tcBorders>
                    <w:tl2br w:val="nil"/>
                    <w:tr2bl w:val="nil"/>
                  </w:tcBorders>
                  <w:noWrap w:val="0"/>
                  <w:vAlign w:val="center"/>
                </w:tcPr>
                <w:p w14:paraId="741A023F">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14:paraId="0AB85C4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2" w:type="pct"/>
                  <w:tcBorders>
                    <w:tl2br w:val="nil"/>
                    <w:tr2bl w:val="nil"/>
                  </w:tcBorders>
                  <w:shd w:val="clear" w:color="auto" w:fill="auto"/>
                  <w:noWrap w:val="0"/>
                  <w:vAlign w:val="center"/>
                </w:tcPr>
                <w:p w14:paraId="761FA24E">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p>
              </w:tc>
              <w:tc>
                <w:tcPr>
                  <w:tcW w:w="1269" w:type="pct"/>
                  <w:tcBorders>
                    <w:tl2br w:val="nil"/>
                    <w:tr2bl w:val="nil"/>
                  </w:tcBorders>
                  <w:noWrap w:val="0"/>
                  <w:vAlign w:val="center"/>
                </w:tcPr>
                <w:p w14:paraId="054E832D">
                  <w:pPr>
                    <w:pStyle w:val="107"/>
                    <w:ind w:firstLine="0" w:firstLineChars="0"/>
                    <w:rPr>
                      <w:rFonts w:hint="default" w:ascii="Times New Roman" w:hAnsi="Times New Roman" w:eastAsia="宋体" w:cs="Times New Roman"/>
                      <w:bCs/>
                      <w:color w:val="auto"/>
                      <w:spacing w:val="0"/>
                      <w:kern w:val="2"/>
                      <w:position w:val="0"/>
                      <w:sz w:val="21"/>
                      <w:szCs w:val="21"/>
                      <w:highlight w:val="none"/>
                      <w:lang w:val="en-US" w:eastAsia="zh-CN" w:bidi="ar-SA"/>
                    </w:rPr>
                  </w:pPr>
                  <w:r>
                    <w:rPr>
                      <w:rFonts w:hint="eastAsia" w:cs="Times New Roman"/>
                      <w:bCs/>
                      <w:color w:val="auto"/>
                      <w:spacing w:val="0"/>
                      <w:kern w:val="2"/>
                      <w:position w:val="0"/>
                      <w:sz w:val="21"/>
                      <w:szCs w:val="21"/>
                      <w:highlight w:val="none"/>
                      <w:lang w:val="en-US" w:eastAsia="zh-CN" w:bidi="ar-SA"/>
                    </w:rPr>
                    <w:t>废过滤棉</w:t>
                  </w:r>
                </w:p>
              </w:tc>
              <w:tc>
                <w:tcPr>
                  <w:tcW w:w="935" w:type="pct"/>
                  <w:tcBorders>
                    <w:tl2br w:val="nil"/>
                    <w:tr2bl w:val="nil"/>
                  </w:tcBorders>
                  <w:noWrap w:val="0"/>
                  <w:vAlign w:val="center"/>
                </w:tcPr>
                <w:p w14:paraId="1E5723F1">
                  <w:pPr>
                    <w:spacing w:line="240" w:lineRule="exact"/>
                    <w:jc w:val="center"/>
                    <w:rPr>
                      <w:rFonts w:hint="default" w:cs="Times New Roman"/>
                      <w:color w:val="auto"/>
                      <w:spacing w:val="0"/>
                      <w:kern w:val="2"/>
                      <w:position w:val="0"/>
                      <w:sz w:val="21"/>
                      <w:szCs w:val="21"/>
                      <w:highlight w:val="none"/>
                      <w:lang w:val="en-US" w:eastAsia="zh-CN" w:bidi="ar-SA"/>
                    </w:rPr>
                  </w:pPr>
                </w:p>
              </w:tc>
              <w:tc>
                <w:tcPr>
                  <w:tcW w:w="584" w:type="pct"/>
                  <w:vMerge w:val="continue"/>
                  <w:tcBorders>
                    <w:tl2br w:val="nil"/>
                    <w:tr2bl w:val="nil"/>
                  </w:tcBorders>
                  <w:noWrap w:val="0"/>
                  <w:vAlign w:val="center"/>
                </w:tcPr>
                <w:p w14:paraId="09CD8D53">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842" w:type="pct"/>
                  <w:tcBorders>
                    <w:tl2br w:val="nil"/>
                    <w:tr2bl w:val="nil"/>
                  </w:tcBorders>
                  <w:noWrap w:val="0"/>
                  <w:vAlign w:val="center"/>
                </w:tcPr>
                <w:p w14:paraId="31F1D1DD">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1015" w:type="pct"/>
                  <w:tcBorders>
                    <w:tl2br w:val="nil"/>
                    <w:tr2bl w:val="nil"/>
                  </w:tcBorders>
                  <w:noWrap w:val="0"/>
                  <w:vAlign w:val="center"/>
                </w:tcPr>
                <w:p w14:paraId="78A26113">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14:paraId="7FD1F16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2" w:type="pct"/>
                  <w:tcBorders>
                    <w:tl2br w:val="nil"/>
                    <w:tr2bl w:val="nil"/>
                  </w:tcBorders>
                  <w:shd w:val="clear" w:color="auto" w:fill="auto"/>
                  <w:noWrap w:val="0"/>
                  <w:vAlign w:val="center"/>
                </w:tcPr>
                <w:p w14:paraId="0548485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1269" w:type="pct"/>
                  <w:tcBorders>
                    <w:tl2br w:val="nil"/>
                    <w:tr2bl w:val="nil"/>
                  </w:tcBorders>
                  <w:noWrap w:val="0"/>
                  <w:vAlign w:val="center"/>
                </w:tcPr>
                <w:p w14:paraId="63C68664">
                  <w:pPr>
                    <w:spacing w:line="240" w:lineRule="exact"/>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0"/>
                      <w:position w:val="0"/>
                      <w:sz w:val="21"/>
                      <w:szCs w:val="21"/>
                      <w:highlight w:val="none"/>
                      <w:vertAlign w:val="baseline"/>
                      <w:lang w:val="en-US" w:eastAsia="zh-CN"/>
                    </w:rPr>
                    <w:t>沉淀污泥</w:t>
                  </w:r>
                </w:p>
              </w:tc>
              <w:tc>
                <w:tcPr>
                  <w:tcW w:w="935" w:type="pct"/>
                  <w:tcBorders>
                    <w:tl2br w:val="nil"/>
                    <w:tr2bl w:val="nil"/>
                  </w:tcBorders>
                  <w:noWrap w:val="0"/>
                  <w:vAlign w:val="center"/>
                </w:tcPr>
                <w:p w14:paraId="6863A43A">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584" w:type="pct"/>
                  <w:vMerge w:val="continue"/>
                  <w:tcBorders>
                    <w:tl2br w:val="nil"/>
                    <w:tr2bl w:val="nil"/>
                  </w:tcBorders>
                  <w:noWrap w:val="0"/>
                  <w:vAlign w:val="center"/>
                </w:tcPr>
                <w:p w14:paraId="6608B93E">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842" w:type="pct"/>
                  <w:tcBorders>
                    <w:tl2br w:val="nil"/>
                    <w:tr2bl w:val="nil"/>
                  </w:tcBorders>
                  <w:noWrap w:val="0"/>
                  <w:vAlign w:val="center"/>
                </w:tcPr>
                <w:p w14:paraId="13F16802">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1015" w:type="pct"/>
                  <w:tcBorders>
                    <w:tl2br w:val="nil"/>
                    <w:tr2bl w:val="nil"/>
                  </w:tcBorders>
                  <w:noWrap w:val="0"/>
                  <w:vAlign w:val="center"/>
                </w:tcPr>
                <w:p w14:paraId="7A36AF8F">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14:paraId="27F36C9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2" w:type="pct"/>
                  <w:tcBorders>
                    <w:tl2br w:val="nil"/>
                    <w:tr2bl w:val="nil"/>
                  </w:tcBorders>
                  <w:shd w:val="clear" w:color="auto" w:fill="auto"/>
                  <w:noWrap w:val="0"/>
                  <w:vAlign w:val="center"/>
                </w:tcPr>
                <w:p w14:paraId="170D8DC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1269" w:type="pct"/>
                  <w:tcBorders>
                    <w:tl2br w:val="nil"/>
                    <w:tr2bl w:val="nil"/>
                  </w:tcBorders>
                  <w:noWrap w:val="0"/>
                  <w:vAlign w:val="center"/>
                </w:tcPr>
                <w:p w14:paraId="6EC002EA">
                  <w:pPr>
                    <w:spacing w:line="240" w:lineRule="exact"/>
                    <w:jc w:val="center"/>
                    <w:rPr>
                      <w:rFonts w:hint="eastAsia"/>
                      <w:color w:val="auto"/>
                      <w:sz w:val="21"/>
                      <w:szCs w:val="21"/>
                      <w:highlight w:val="none"/>
                    </w:rPr>
                  </w:pPr>
                  <w:r>
                    <w:rPr>
                      <w:rFonts w:hint="eastAsia" w:cs="Times New Roman"/>
                      <w:bCs/>
                      <w:color w:val="auto"/>
                      <w:spacing w:val="0"/>
                      <w:position w:val="0"/>
                      <w:sz w:val="21"/>
                      <w:szCs w:val="21"/>
                      <w:highlight w:val="none"/>
                      <w:lang w:val="en-US" w:eastAsia="zh-CN"/>
                    </w:rPr>
                    <w:t>水帘气旋废液</w:t>
                  </w:r>
                </w:p>
              </w:tc>
              <w:tc>
                <w:tcPr>
                  <w:tcW w:w="935" w:type="pct"/>
                  <w:tcBorders>
                    <w:tl2br w:val="nil"/>
                    <w:tr2bl w:val="nil"/>
                  </w:tcBorders>
                  <w:noWrap w:val="0"/>
                  <w:vAlign w:val="center"/>
                </w:tcPr>
                <w:p w14:paraId="2886B3A6">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584" w:type="pct"/>
                  <w:vMerge w:val="continue"/>
                  <w:tcBorders>
                    <w:tl2br w:val="nil"/>
                    <w:tr2bl w:val="nil"/>
                  </w:tcBorders>
                  <w:noWrap w:val="0"/>
                  <w:vAlign w:val="center"/>
                </w:tcPr>
                <w:p w14:paraId="0294AF40">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842" w:type="pct"/>
                  <w:tcBorders>
                    <w:tl2br w:val="nil"/>
                    <w:tr2bl w:val="nil"/>
                  </w:tcBorders>
                  <w:noWrap w:val="0"/>
                  <w:vAlign w:val="center"/>
                </w:tcPr>
                <w:p w14:paraId="1351F227">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1015" w:type="pct"/>
                  <w:tcBorders>
                    <w:tl2br w:val="nil"/>
                    <w:tr2bl w:val="nil"/>
                  </w:tcBorders>
                  <w:noWrap w:val="0"/>
                  <w:vAlign w:val="center"/>
                </w:tcPr>
                <w:p w14:paraId="036B3AA5">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14:paraId="42033C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2" w:type="pct"/>
                  <w:tcBorders>
                    <w:tl2br w:val="nil"/>
                    <w:tr2bl w:val="nil"/>
                  </w:tcBorders>
                  <w:shd w:val="clear" w:color="auto" w:fill="auto"/>
                  <w:noWrap w:val="0"/>
                  <w:vAlign w:val="center"/>
                </w:tcPr>
                <w:p w14:paraId="580B370A">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1269" w:type="pct"/>
                  <w:tcBorders>
                    <w:tl2br w:val="nil"/>
                    <w:tr2bl w:val="nil"/>
                  </w:tcBorders>
                  <w:noWrap w:val="0"/>
                  <w:vAlign w:val="center"/>
                </w:tcPr>
                <w:p w14:paraId="39BD8216">
                  <w:pPr>
                    <w:spacing w:line="240" w:lineRule="exact"/>
                    <w:jc w:val="center"/>
                    <w:rPr>
                      <w:rFonts w:hint="default" w:cs="Times New Roman"/>
                      <w:bCs/>
                      <w:color w:val="auto"/>
                      <w:spacing w:val="0"/>
                      <w:position w:val="0"/>
                      <w:sz w:val="21"/>
                      <w:szCs w:val="21"/>
                      <w:highlight w:val="none"/>
                      <w:lang w:val="en-US" w:eastAsia="zh-CN"/>
                    </w:rPr>
                  </w:pPr>
                  <w:r>
                    <w:rPr>
                      <w:rFonts w:hint="eastAsia" w:cs="Times New Roman"/>
                      <w:bCs/>
                      <w:color w:val="auto"/>
                      <w:spacing w:val="0"/>
                      <w:position w:val="0"/>
                      <w:sz w:val="21"/>
                      <w:szCs w:val="21"/>
                      <w:highlight w:val="none"/>
                      <w:lang w:val="en-US" w:eastAsia="zh-CN"/>
                    </w:rPr>
                    <w:t>喷枪清洗废液</w:t>
                  </w:r>
                </w:p>
              </w:tc>
              <w:tc>
                <w:tcPr>
                  <w:tcW w:w="935" w:type="pct"/>
                  <w:tcBorders>
                    <w:tl2br w:val="nil"/>
                    <w:tr2bl w:val="nil"/>
                  </w:tcBorders>
                  <w:noWrap w:val="0"/>
                  <w:vAlign w:val="center"/>
                </w:tcPr>
                <w:p w14:paraId="5E10C6A1">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584" w:type="pct"/>
                  <w:vMerge w:val="continue"/>
                  <w:tcBorders>
                    <w:tl2br w:val="nil"/>
                    <w:tr2bl w:val="nil"/>
                  </w:tcBorders>
                  <w:noWrap w:val="0"/>
                  <w:vAlign w:val="center"/>
                </w:tcPr>
                <w:p w14:paraId="78701FFB">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842" w:type="pct"/>
                  <w:tcBorders>
                    <w:tl2br w:val="nil"/>
                    <w:tr2bl w:val="nil"/>
                  </w:tcBorders>
                  <w:noWrap w:val="0"/>
                  <w:vAlign w:val="center"/>
                </w:tcPr>
                <w:p w14:paraId="244A3179">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1015" w:type="pct"/>
                  <w:tcBorders>
                    <w:tl2br w:val="nil"/>
                    <w:tr2bl w:val="nil"/>
                  </w:tcBorders>
                  <w:noWrap w:val="0"/>
                  <w:vAlign w:val="center"/>
                </w:tcPr>
                <w:p w14:paraId="65CB108C">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val="en-US" w:eastAsia="zh-CN"/>
                    </w:rPr>
                  </w:pPr>
                </w:p>
              </w:tc>
            </w:tr>
            <w:tr w14:paraId="5F7E3A8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2" w:type="pct"/>
                  <w:tcBorders>
                    <w:tl2br w:val="nil"/>
                    <w:tr2bl w:val="nil"/>
                  </w:tcBorders>
                  <w:noWrap w:val="0"/>
                  <w:vAlign w:val="center"/>
                </w:tcPr>
                <w:p w14:paraId="2C34B56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c>
                <w:tcPr>
                  <w:tcW w:w="1269" w:type="pct"/>
                  <w:tcBorders>
                    <w:tl2br w:val="nil"/>
                    <w:tr2bl w:val="nil"/>
                  </w:tcBorders>
                  <w:noWrap w:val="0"/>
                  <w:vAlign w:val="center"/>
                </w:tcPr>
                <w:p w14:paraId="575B9BC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pacing w:val="0"/>
                      <w:position w:val="0"/>
                      <w:sz w:val="21"/>
                      <w:szCs w:val="21"/>
                      <w:highlight w:val="none"/>
                      <w:vertAlign w:val="baseline"/>
                      <w:lang w:val="en-US" w:eastAsia="zh-CN"/>
                    </w:rPr>
                    <w:t>废化学品包装物</w:t>
                  </w:r>
                </w:p>
              </w:tc>
              <w:tc>
                <w:tcPr>
                  <w:tcW w:w="935" w:type="pct"/>
                  <w:tcBorders>
                    <w:tl2br w:val="nil"/>
                    <w:tr2bl w:val="nil"/>
                  </w:tcBorders>
                  <w:noWrap w:val="0"/>
                  <w:vAlign w:val="center"/>
                </w:tcPr>
                <w:p w14:paraId="0FCCF5A2">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584" w:type="pct"/>
                  <w:vMerge w:val="continue"/>
                  <w:tcBorders>
                    <w:tl2br w:val="nil"/>
                    <w:tr2bl w:val="nil"/>
                  </w:tcBorders>
                  <w:noWrap w:val="0"/>
                  <w:vAlign w:val="center"/>
                </w:tcPr>
                <w:p w14:paraId="6E31AB00">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842" w:type="pct"/>
                  <w:tcBorders>
                    <w:tl2br w:val="nil"/>
                    <w:tr2bl w:val="nil"/>
                  </w:tcBorders>
                  <w:noWrap w:val="0"/>
                  <w:vAlign w:val="center"/>
                </w:tcPr>
                <w:p w14:paraId="14FA45C9">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1015" w:type="pct"/>
                  <w:tcBorders>
                    <w:tl2br w:val="nil"/>
                    <w:tr2bl w:val="nil"/>
                  </w:tcBorders>
                  <w:noWrap w:val="0"/>
                  <w:vAlign w:val="center"/>
                </w:tcPr>
                <w:p w14:paraId="760F2C66">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14:paraId="13ABC6F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2" w:type="pct"/>
                  <w:tcBorders>
                    <w:tl2br w:val="nil"/>
                    <w:tr2bl w:val="nil"/>
                  </w:tcBorders>
                  <w:noWrap w:val="0"/>
                  <w:vAlign w:val="center"/>
                </w:tcPr>
                <w:p w14:paraId="4AAF62A0">
                  <w:pPr>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1269" w:type="pct"/>
                  <w:tcBorders>
                    <w:tl2br w:val="nil"/>
                    <w:tr2bl w:val="nil"/>
                  </w:tcBorders>
                  <w:noWrap w:val="0"/>
                  <w:vAlign w:val="center"/>
                </w:tcPr>
                <w:p w14:paraId="1A1E93F4">
                  <w:pPr>
                    <w:keepNext w:val="0"/>
                    <w:keepLines w:val="0"/>
                    <w:widowControl/>
                    <w:suppressLineNumbers w:val="0"/>
                    <w:jc w:val="center"/>
                    <w:textAlignment w:val="center"/>
                    <w:rPr>
                      <w:rFonts w:hint="eastAsia" w:cs="Times New Roman"/>
                      <w:color w:val="auto"/>
                      <w:spacing w:val="0"/>
                      <w:position w:val="0"/>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废润滑油</w:t>
                  </w:r>
                </w:p>
              </w:tc>
              <w:tc>
                <w:tcPr>
                  <w:tcW w:w="935" w:type="pct"/>
                  <w:tcBorders>
                    <w:tl2br w:val="nil"/>
                    <w:tr2bl w:val="nil"/>
                  </w:tcBorders>
                  <w:noWrap w:val="0"/>
                  <w:vAlign w:val="center"/>
                </w:tcPr>
                <w:p w14:paraId="5AE71CE3">
                  <w:pPr>
                    <w:keepNext w:val="0"/>
                    <w:keepLines w:val="0"/>
                    <w:widowControl/>
                    <w:suppressLineNumbers w:val="0"/>
                    <w:jc w:val="center"/>
                    <w:textAlignment w:val="center"/>
                    <w:rPr>
                      <w:rFonts w:hint="eastAsia" w:cs="Times New Roman"/>
                      <w:color w:val="auto"/>
                      <w:spacing w:val="0"/>
                      <w:position w:val="0"/>
                      <w:sz w:val="21"/>
                      <w:szCs w:val="21"/>
                      <w:highlight w:val="none"/>
                      <w:lang w:val="en-US" w:eastAsia="zh-CN"/>
                    </w:rPr>
                  </w:pPr>
                </w:p>
              </w:tc>
              <w:tc>
                <w:tcPr>
                  <w:tcW w:w="584" w:type="pct"/>
                  <w:vMerge w:val="continue"/>
                  <w:tcBorders>
                    <w:tl2br w:val="nil"/>
                    <w:tr2bl w:val="nil"/>
                  </w:tcBorders>
                  <w:noWrap w:val="0"/>
                  <w:vAlign w:val="center"/>
                </w:tcPr>
                <w:p w14:paraId="0D598E7A">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842" w:type="pct"/>
                  <w:tcBorders>
                    <w:tl2br w:val="nil"/>
                    <w:tr2bl w:val="nil"/>
                  </w:tcBorders>
                  <w:noWrap w:val="0"/>
                  <w:vAlign w:val="center"/>
                </w:tcPr>
                <w:p w14:paraId="3A6F803D">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1015" w:type="pct"/>
                  <w:tcBorders>
                    <w:tl2br w:val="nil"/>
                    <w:tr2bl w:val="nil"/>
                  </w:tcBorders>
                  <w:noWrap w:val="0"/>
                  <w:vAlign w:val="center"/>
                </w:tcPr>
                <w:p w14:paraId="57D5FBDD">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14:paraId="046E838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2" w:type="pct"/>
                  <w:tcBorders>
                    <w:tl2br w:val="nil"/>
                    <w:tr2bl w:val="nil"/>
                  </w:tcBorders>
                  <w:noWrap w:val="0"/>
                  <w:vAlign w:val="center"/>
                </w:tcPr>
                <w:p w14:paraId="411B7385">
                  <w:pPr>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w:t>
                  </w:r>
                </w:p>
              </w:tc>
              <w:tc>
                <w:tcPr>
                  <w:tcW w:w="1269" w:type="pct"/>
                  <w:tcBorders>
                    <w:tl2br w:val="nil"/>
                    <w:tr2bl w:val="nil"/>
                  </w:tcBorders>
                  <w:noWrap w:val="0"/>
                  <w:vAlign w:val="center"/>
                </w:tcPr>
                <w:p w14:paraId="668BB9C7">
                  <w:pPr>
                    <w:keepNext w:val="0"/>
                    <w:keepLines w:val="0"/>
                    <w:widowControl/>
                    <w:suppressLineNumbers w:val="0"/>
                    <w:jc w:val="center"/>
                    <w:textAlignment w:val="center"/>
                    <w:rPr>
                      <w:rFonts w:hint="eastAsia" w:cs="Times New Roman"/>
                      <w:color w:val="auto"/>
                      <w:spacing w:val="0"/>
                      <w:position w:val="0"/>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润滑油空桶</w:t>
                  </w:r>
                </w:p>
              </w:tc>
              <w:tc>
                <w:tcPr>
                  <w:tcW w:w="935" w:type="pct"/>
                  <w:tcBorders>
                    <w:tl2br w:val="nil"/>
                    <w:tr2bl w:val="nil"/>
                  </w:tcBorders>
                  <w:noWrap w:val="0"/>
                  <w:vAlign w:val="center"/>
                </w:tcPr>
                <w:p w14:paraId="013FDA19">
                  <w:pPr>
                    <w:keepNext w:val="0"/>
                    <w:keepLines w:val="0"/>
                    <w:widowControl/>
                    <w:suppressLineNumbers w:val="0"/>
                    <w:jc w:val="center"/>
                    <w:textAlignment w:val="center"/>
                    <w:rPr>
                      <w:rFonts w:hint="eastAsia" w:cs="Times New Roman"/>
                      <w:color w:val="auto"/>
                      <w:spacing w:val="0"/>
                      <w:position w:val="0"/>
                      <w:sz w:val="21"/>
                      <w:szCs w:val="21"/>
                      <w:highlight w:val="none"/>
                      <w:lang w:val="en-US" w:eastAsia="zh-CN"/>
                    </w:rPr>
                  </w:pPr>
                </w:p>
              </w:tc>
              <w:tc>
                <w:tcPr>
                  <w:tcW w:w="584" w:type="pct"/>
                  <w:vMerge w:val="continue"/>
                  <w:tcBorders>
                    <w:tl2br w:val="nil"/>
                    <w:tr2bl w:val="nil"/>
                  </w:tcBorders>
                  <w:noWrap w:val="0"/>
                  <w:vAlign w:val="center"/>
                </w:tcPr>
                <w:p w14:paraId="61F001D9">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842" w:type="pct"/>
                  <w:tcBorders>
                    <w:tl2br w:val="nil"/>
                    <w:tr2bl w:val="nil"/>
                  </w:tcBorders>
                  <w:noWrap w:val="0"/>
                  <w:vAlign w:val="center"/>
                </w:tcPr>
                <w:p w14:paraId="24F723C7">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1015" w:type="pct"/>
                  <w:tcBorders>
                    <w:tl2br w:val="nil"/>
                    <w:tr2bl w:val="nil"/>
                  </w:tcBorders>
                  <w:noWrap w:val="0"/>
                  <w:vAlign w:val="center"/>
                </w:tcPr>
                <w:p w14:paraId="102031BE">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14:paraId="65FEC35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2" w:type="pct"/>
                  <w:tcBorders>
                    <w:tl2br w:val="nil"/>
                    <w:tr2bl w:val="nil"/>
                  </w:tcBorders>
                  <w:noWrap w:val="0"/>
                  <w:vAlign w:val="center"/>
                </w:tcPr>
                <w:p w14:paraId="0BE331E5">
                  <w:pPr>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269" w:type="pct"/>
                  <w:tcBorders>
                    <w:tl2br w:val="nil"/>
                    <w:tr2bl w:val="nil"/>
                  </w:tcBorders>
                  <w:noWrap w:val="0"/>
                  <w:vAlign w:val="center"/>
                </w:tcPr>
                <w:p w14:paraId="011448D7">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废含油抹布及手套</w:t>
                  </w:r>
                </w:p>
              </w:tc>
              <w:tc>
                <w:tcPr>
                  <w:tcW w:w="935" w:type="pct"/>
                  <w:tcBorders>
                    <w:tl2br w:val="nil"/>
                    <w:tr2bl w:val="nil"/>
                  </w:tcBorders>
                  <w:noWrap w:val="0"/>
                  <w:vAlign w:val="center"/>
                </w:tcPr>
                <w:p w14:paraId="2129F9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84" w:type="pct"/>
                  <w:vMerge w:val="continue"/>
                  <w:tcBorders>
                    <w:tl2br w:val="nil"/>
                    <w:tr2bl w:val="nil"/>
                  </w:tcBorders>
                  <w:noWrap w:val="0"/>
                  <w:vAlign w:val="center"/>
                </w:tcPr>
                <w:p w14:paraId="343DB3CC">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p>
              </w:tc>
              <w:tc>
                <w:tcPr>
                  <w:tcW w:w="842" w:type="pct"/>
                  <w:tcBorders>
                    <w:tl2br w:val="nil"/>
                    <w:tr2bl w:val="nil"/>
                  </w:tcBorders>
                  <w:noWrap w:val="0"/>
                  <w:vAlign w:val="center"/>
                </w:tcPr>
                <w:p w14:paraId="55F829EF">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1015" w:type="pct"/>
                  <w:tcBorders>
                    <w:tl2br w:val="nil"/>
                    <w:tr2bl w:val="nil"/>
                  </w:tcBorders>
                  <w:noWrap w:val="0"/>
                  <w:vAlign w:val="center"/>
                </w:tcPr>
                <w:p w14:paraId="58317A84">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cs="Times New Roman"/>
                      <w:color w:val="auto"/>
                      <w:sz w:val="21"/>
                      <w:szCs w:val="21"/>
                      <w:highlight w:val="none"/>
                      <w:lang w:val="en-US" w:eastAsia="zh-CN"/>
                    </w:rPr>
                  </w:pPr>
                </w:p>
              </w:tc>
            </w:tr>
            <w:tr w14:paraId="05943DC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97" w:hRule="atLeast"/>
                <w:jc w:val="center"/>
              </w:trPr>
              <w:tc>
                <w:tcPr>
                  <w:tcW w:w="1622" w:type="pct"/>
                  <w:gridSpan w:val="2"/>
                  <w:tcBorders>
                    <w:tl2br w:val="nil"/>
                    <w:tr2bl w:val="nil"/>
                  </w:tcBorders>
                  <w:noWrap w:val="0"/>
                  <w:vAlign w:val="center"/>
                </w:tcPr>
                <w:p w14:paraId="6C1B2A7D">
                  <w:pPr>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合计</w:t>
                  </w:r>
                </w:p>
              </w:tc>
              <w:tc>
                <w:tcPr>
                  <w:tcW w:w="935" w:type="pct"/>
                  <w:tcBorders>
                    <w:tl2br w:val="nil"/>
                    <w:tr2bl w:val="nil"/>
                  </w:tcBorders>
                  <w:shd w:val="clear" w:color="auto" w:fill="auto"/>
                  <w:noWrap w:val="0"/>
                  <w:vAlign w:val="center"/>
                </w:tcPr>
                <w:p w14:paraId="165877F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584" w:type="pct"/>
                  <w:tcBorders>
                    <w:tl2br w:val="nil"/>
                    <w:tr2bl w:val="nil"/>
                  </w:tcBorders>
                  <w:noWrap w:val="0"/>
                  <w:vAlign w:val="center"/>
                </w:tcPr>
                <w:p w14:paraId="77EEF46B">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w:t>
                  </w:r>
                </w:p>
              </w:tc>
              <w:tc>
                <w:tcPr>
                  <w:tcW w:w="842" w:type="pct"/>
                  <w:tcBorders>
                    <w:tl2br w:val="nil"/>
                    <w:tr2bl w:val="nil"/>
                  </w:tcBorders>
                  <w:noWrap w:val="0"/>
                  <w:vAlign w:val="center"/>
                </w:tcPr>
                <w:p w14:paraId="41CCFE3B">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1015" w:type="pct"/>
                  <w:tcBorders>
                    <w:tl2br w:val="nil"/>
                    <w:tr2bl w:val="nil"/>
                  </w:tcBorders>
                  <w:noWrap w:val="0"/>
                  <w:vAlign w:val="center"/>
                </w:tcPr>
                <w:p w14:paraId="2ADE2D2B">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14:paraId="037619F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6"/>
                  <w:tcBorders>
                    <w:tl2br w:val="nil"/>
                    <w:tr2bl w:val="nil"/>
                  </w:tcBorders>
                  <w:noWrap w:val="0"/>
                  <w:vAlign w:val="center"/>
                </w:tcPr>
                <w:p w14:paraId="59EEA8D9">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center"/>
                    <w:rPr>
                      <w:rFonts w:hint="default" w:cs="Times New Roman"/>
                      <w:color w:val="auto"/>
                      <w:sz w:val="21"/>
                      <w:szCs w:val="21"/>
                      <w:highlight w:val="none"/>
                      <w:lang w:val="en-US" w:eastAsia="zh-CN"/>
                    </w:rPr>
                  </w:pPr>
                </w:p>
              </w:tc>
            </w:tr>
          </w:tbl>
          <w:p w14:paraId="06569D7E">
            <w:pPr>
              <w:pStyle w:val="17"/>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auto"/>
              </w:rPr>
            </w:pPr>
            <w:r>
              <w:rPr>
                <w:rFonts w:hint="eastAsia" w:ascii="Times New Roman" w:hAnsi="Times New Roman" w:cs="Times New Roman"/>
                <w:color w:val="auto"/>
                <w:sz w:val="24"/>
                <w:highlight w:val="none"/>
                <w:shd w:val="clear" w:color="auto" w:fill="auto"/>
                <w:lang w:eastAsia="zh-CN"/>
              </w:rPr>
              <w:t>根据《建筑设计防火规范》（GB 50016-2014[2018年版]）设计中将安全通道、搬运通道及操作区域面积占总面积的比例控制在40%左右，</w:t>
            </w:r>
            <w:r>
              <w:rPr>
                <w:rFonts w:hint="eastAsia" w:ascii="Times New Roman" w:hAnsi="Times New Roman" w:cs="Times New Roman"/>
                <w:color w:val="auto"/>
                <w:sz w:val="24"/>
                <w:highlight w:val="none"/>
                <w:shd w:val="clear" w:color="auto" w:fill="auto"/>
                <w:lang w:val="en-US" w:eastAsia="zh-CN"/>
              </w:rPr>
              <w:t>因此，项目</w:t>
            </w:r>
            <w:r>
              <w:rPr>
                <w:rFonts w:hint="eastAsia" w:ascii="Times New Roman" w:hAnsi="Times New Roman" w:cs="Times New Roman"/>
                <w:color w:val="auto"/>
                <w:sz w:val="24"/>
                <w:highlight w:val="none"/>
                <w:shd w:val="clear" w:color="auto" w:fill="auto"/>
                <w:lang w:eastAsia="zh-CN"/>
              </w:rPr>
              <w:t>安全通道、搬运通道及操作区域面积</w:t>
            </w:r>
            <w:r>
              <w:rPr>
                <w:rFonts w:hint="eastAsia" w:ascii="Times New Roman" w:hAnsi="Times New Roman" w:cs="Times New Roman"/>
                <w:color w:val="auto"/>
                <w:sz w:val="24"/>
                <w:highlight w:val="none"/>
                <w:shd w:val="clear" w:color="auto" w:fill="auto"/>
                <w:lang w:val="en-US" w:eastAsia="zh-CN"/>
              </w:rPr>
              <w:t>约为8m</w:t>
            </w:r>
            <w:r>
              <w:rPr>
                <w:rFonts w:hint="eastAsia" w:ascii="Times New Roman" w:hAnsi="Times New Roman" w:cs="Times New Roman"/>
                <w:color w:val="auto"/>
                <w:sz w:val="24"/>
                <w:highlight w:val="none"/>
                <w:shd w:val="clear" w:color="auto" w:fill="auto"/>
                <w:vertAlign w:val="superscript"/>
                <w:lang w:val="en-US" w:eastAsia="zh-CN"/>
              </w:rPr>
              <w:t>2</w:t>
            </w:r>
            <w:r>
              <w:rPr>
                <w:rFonts w:hint="eastAsia" w:ascii="Times New Roman" w:hAnsi="Times New Roman" w:cs="Times New Roman"/>
                <w:color w:val="auto"/>
                <w:sz w:val="24"/>
                <w:highlight w:val="none"/>
                <w:shd w:val="clear" w:color="auto" w:fill="auto"/>
                <w:lang w:val="en-US" w:eastAsia="zh-CN"/>
              </w:rPr>
              <w:t>；根据上表分析，项目</w:t>
            </w:r>
            <w:r>
              <w:rPr>
                <w:rFonts w:ascii="Times New Roman" w:hAnsi="Times New Roman" w:eastAsia="宋体" w:cs="Times New Roman"/>
                <w:color w:val="auto"/>
                <w:sz w:val="24"/>
                <w:szCs w:val="24"/>
                <w:highlight w:val="none"/>
              </w:rPr>
              <w:t>危废</w:t>
            </w:r>
            <w:r>
              <w:rPr>
                <w:rFonts w:hint="eastAsia" w:ascii="Times New Roman" w:hAnsi="Times New Roman" w:eastAsia="宋体" w:cs="Times New Roman"/>
                <w:color w:val="auto"/>
                <w:sz w:val="24"/>
                <w:szCs w:val="24"/>
                <w:highlight w:val="none"/>
                <w:lang w:val="en-US" w:eastAsia="zh-CN"/>
              </w:rPr>
              <w:t>暂存</w:t>
            </w:r>
            <w:r>
              <w:rPr>
                <w:rFonts w:hint="eastAsia" w:ascii="Times New Roman" w:hAnsi="Times New Roman" w:cs="Times New Roman"/>
                <w:color w:val="auto"/>
                <w:sz w:val="24"/>
                <w:highlight w:val="none"/>
                <w:shd w:val="clear" w:color="auto" w:fill="auto"/>
                <w:lang w:val="en-US" w:eastAsia="zh-CN"/>
              </w:rPr>
              <w:t>面积为12.5m</w:t>
            </w:r>
            <w:r>
              <w:rPr>
                <w:rFonts w:hint="eastAsia" w:ascii="Times New Roman" w:hAnsi="Times New Roman" w:cs="Times New Roman"/>
                <w:color w:val="auto"/>
                <w:sz w:val="24"/>
                <w:highlight w:val="none"/>
                <w:shd w:val="clear" w:color="auto" w:fill="auto"/>
                <w:vertAlign w:val="superscript"/>
                <w:lang w:val="en-US" w:eastAsia="zh-CN"/>
              </w:rPr>
              <w:t>2</w:t>
            </w:r>
            <w:r>
              <w:rPr>
                <w:rFonts w:hint="eastAsia" w:ascii="Times New Roman" w:hAnsi="Times New Roman" w:cs="Times New Roman"/>
                <w:color w:val="auto"/>
                <w:sz w:val="24"/>
                <w:highlight w:val="none"/>
                <w:shd w:val="clear" w:color="auto" w:fill="auto"/>
                <w:lang w:val="en-US" w:eastAsia="zh-CN"/>
              </w:rPr>
              <w:t>。本次拟设置</w:t>
            </w:r>
            <w:r>
              <w:rPr>
                <w:rFonts w:ascii="Times New Roman" w:hAnsi="Times New Roman" w:eastAsia="宋体" w:cs="Times New Roman"/>
                <w:color w:val="auto"/>
                <w:sz w:val="24"/>
                <w:szCs w:val="24"/>
                <w:highlight w:val="none"/>
              </w:rPr>
              <w:t>危废</w:t>
            </w:r>
            <w:r>
              <w:rPr>
                <w:rFonts w:hint="eastAsia" w:ascii="Times New Roman" w:hAnsi="Times New Roman" w:eastAsia="宋体" w:cs="Times New Roman"/>
                <w:color w:val="auto"/>
                <w:sz w:val="24"/>
                <w:szCs w:val="24"/>
                <w:highlight w:val="none"/>
                <w:lang w:val="en-US" w:eastAsia="zh-CN"/>
              </w:rPr>
              <w:t>暂存</w:t>
            </w:r>
            <w:r>
              <w:rPr>
                <w:rFonts w:hint="eastAsia" w:ascii="Times New Roman" w:hAnsi="Times New Roman" w:eastAsia="宋体" w:cs="Times New Roman"/>
                <w:color w:val="auto"/>
                <w:sz w:val="24"/>
                <w:szCs w:val="24"/>
                <w:highlight w:val="none"/>
              </w:rPr>
              <w:t>间</w:t>
            </w:r>
            <w:r>
              <w:rPr>
                <w:rFonts w:hint="eastAsia" w:ascii="Times New Roman" w:hAnsi="Times New Roman" w:cs="Times New Roman"/>
                <w:color w:val="auto"/>
                <w:sz w:val="24"/>
                <w:highlight w:val="none"/>
                <w:shd w:val="clear" w:color="auto" w:fill="auto"/>
                <w:lang w:val="en-US" w:eastAsia="zh-CN"/>
              </w:rPr>
              <w:t>面积为22m</w:t>
            </w:r>
            <w:r>
              <w:rPr>
                <w:rFonts w:hint="eastAsia" w:ascii="Times New Roman" w:hAnsi="Times New Roman" w:cs="Times New Roman"/>
                <w:color w:val="auto"/>
                <w:sz w:val="24"/>
                <w:highlight w:val="none"/>
                <w:shd w:val="clear" w:color="auto" w:fill="auto"/>
                <w:vertAlign w:val="superscript"/>
                <w:lang w:val="en-US" w:eastAsia="zh-CN"/>
              </w:rPr>
              <w:t>2</w:t>
            </w:r>
            <w:r>
              <w:rPr>
                <w:rFonts w:hint="eastAsia" w:ascii="Times New Roman" w:hAnsi="Times New Roman" w:cs="Times New Roman"/>
                <w:color w:val="auto"/>
                <w:sz w:val="24"/>
                <w:highlight w:val="none"/>
                <w:shd w:val="clear" w:color="auto" w:fill="auto"/>
                <w:lang w:val="en-US" w:eastAsia="zh-CN"/>
              </w:rPr>
              <w:t>，满足项目一般固废分类、分区及规范暂存需求，设置合理</w:t>
            </w:r>
            <w:r>
              <w:rPr>
                <w:rFonts w:hint="default" w:ascii="Times New Roman" w:hAnsi="Times New Roman" w:eastAsia="宋体" w:cs="Times New Roman"/>
                <w:color w:val="auto"/>
                <w:sz w:val="24"/>
                <w:szCs w:val="24"/>
                <w:highlight w:val="none"/>
                <w:shd w:val="clear" w:color="auto" w:fill="auto"/>
              </w:rPr>
              <w:t>。</w:t>
            </w:r>
          </w:p>
          <w:p w14:paraId="3D0EBCC5">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auto"/>
                <w:spacing w:val="0"/>
                <w:position w:val="0"/>
                <w:sz w:val="24"/>
                <w:szCs w:val="24"/>
                <w:highlight w:val="none"/>
              </w:rPr>
            </w:pPr>
            <w:r>
              <w:rPr>
                <w:rStyle w:val="67"/>
                <w:rFonts w:ascii="Times New Roman" w:hAnsi="Times New Roman" w:eastAsia="宋体" w:cs="Times New Roman"/>
                <w:color w:val="auto"/>
                <w:spacing w:val="0"/>
                <w:position w:val="0"/>
                <w:sz w:val="24"/>
                <w:szCs w:val="24"/>
                <w:highlight w:val="none"/>
              </w:rPr>
              <w:t>4.</w:t>
            </w:r>
            <w:r>
              <w:rPr>
                <w:rStyle w:val="67"/>
                <w:rFonts w:hint="eastAsia" w:ascii="Times New Roman" w:hAnsi="Times New Roman" w:eastAsia="宋体" w:cs="Times New Roman"/>
                <w:color w:val="auto"/>
                <w:spacing w:val="0"/>
                <w:position w:val="0"/>
                <w:sz w:val="24"/>
                <w:szCs w:val="24"/>
                <w:highlight w:val="none"/>
              </w:rPr>
              <w:t>5</w:t>
            </w:r>
            <w:r>
              <w:rPr>
                <w:rStyle w:val="67"/>
                <w:rFonts w:ascii="Times New Roman" w:hAnsi="Times New Roman" w:eastAsia="宋体" w:cs="Times New Roman"/>
                <w:color w:val="auto"/>
                <w:spacing w:val="0"/>
                <w:position w:val="0"/>
                <w:sz w:val="24"/>
                <w:szCs w:val="24"/>
                <w:highlight w:val="none"/>
              </w:rPr>
              <w:t>地下水及土壤环境</w:t>
            </w:r>
            <w:bookmarkEnd w:id="55"/>
            <w:bookmarkEnd w:id="56"/>
            <w:r>
              <w:rPr>
                <w:rFonts w:ascii="Times New Roman" w:hAnsi="Times New Roman" w:eastAsia="宋体" w:cs="Times New Roman"/>
                <w:color w:val="auto"/>
                <w:spacing w:val="0"/>
                <w:position w:val="0"/>
                <w:sz w:val="24"/>
                <w:szCs w:val="24"/>
                <w:highlight w:val="none"/>
              </w:rPr>
              <w:t xml:space="preserve"> </w:t>
            </w:r>
          </w:p>
          <w:p w14:paraId="7B44907E">
            <w:pPr>
              <w:widowControl/>
              <w:spacing w:line="360" w:lineRule="auto"/>
              <w:ind w:firstLine="482" w:firstLineChars="200"/>
              <w:rPr>
                <w:rFonts w:ascii="Times New Roman" w:hAnsi="Times New Roman" w:eastAsia="宋体" w:cs="Times New Roman"/>
                <w:b/>
                <w:bCs/>
                <w:color w:val="auto"/>
                <w:spacing w:val="0"/>
                <w:kern w:val="0"/>
                <w:position w:val="0"/>
                <w:sz w:val="24"/>
                <w:highlight w:val="none"/>
                <w:lang w:bidi="ar"/>
              </w:rPr>
            </w:pPr>
            <w:r>
              <w:rPr>
                <w:rFonts w:ascii="Times New Roman" w:hAnsi="Times New Roman" w:eastAsia="宋体" w:cs="Times New Roman"/>
                <w:b/>
                <w:bCs/>
                <w:color w:val="auto"/>
                <w:spacing w:val="0"/>
                <w:kern w:val="0"/>
                <w:position w:val="0"/>
                <w:sz w:val="24"/>
                <w:highlight w:val="none"/>
                <w:lang w:bidi="ar"/>
              </w:rPr>
              <w:t>（1）潜在污染源及影响途径</w:t>
            </w:r>
          </w:p>
          <w:p w14:paraId="7B9A75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lang w:val="en-US" w:eastAsia="zh-CN" w:bidi="ar"/>
              </w:rPr>
              <w:t>项目生产过程中对地下水和土壤的潜在污染源及影响途径如下所示：</w:t>
            </w:r>
          </w:p>
          <w:p w14:paraId="76DB67A9">
            <w:pPr>
              <w:keepNext w:val="0"/>
              <w:keepLines w:val="0"/>
              <w:widowControl/>
              <w:suppressLineNumbers w:val="0"/>
              <w:jc w:val="center"/>
              <w:rPr>
                <w:rFonts w:hint="default" w:ascii="Times New Roman" w:hAnsi="Times New Roman" w:eastAsia="宋体" w:cs="Times New Roman"/>
                <w:b/>
                <w:bCs/>
                <w:color w:val="auto"/>
                <w:spacing w:val="0"/>
                <w:position w:val="0"/>
                <w:sz w:val="24"/>
                <w:szCs w:val="24"/>
                <w:highlight w:val="none"/>
              </w:rPr>
            </w:pPr>
            <w:r>
              <w:rPr>
                <w:rFonts w:hint="default" w:ascii="Times New Roman" w:hAnsi="Times New Roman" w:eastAsia="宋体" w:cs="Times New Roman"/>
                <w:b/>
                <w:bCs/>
                <w:color w:val="auto"/>
                <w:spacing w:val="0"/>
                <w:position w:val="0"/>
                <w:sz w:val="24"/>
                <w:szCs w:val="24"/>
                <w:highlight w:val="none"/>
                <w:lang w:eastAsia="zh-CN"/>
              </w:rPr>
              <w:t>表</w:t>
            </w:r>
            <w:r>
              <w:rPr>
                <w:rFonts w:hint="default" w:ascii="Times New Roman" w:hAnsi="Times New Roman" w:eastAsia="宋体" w:cs="Times New Roman"/>
                <w:b/>
                <w:bCs/>
                <w:color w:val="auto"/>
                <w:spacing w:val="0"/>
                <w:position w:val="0"/>
                <w:sz w:val="24"/>
                <w:szCs w:val="24"/>
                <w:highlight w:val="none"/>
                <w:lang w:val="en-US" w:eastAsia="zh-CN"/>
              </w:rPr>
              <w:t>4</w:t>
            </w:r>
            <w:r>
              <w:rPr>
                <w:rFonts w:hint="eastAsia" w:ascii="Times New Roman" w:hAnsi="Times New Roman" w:eastAsia="宋体" w:cs="Times New Roman"/>
                <w:b/>
                <w:bCs/>
                <w:color w:val="auto"/>
                <w:spacing w:val="0"/>
                <w:position w:val="0"/>
                <w:sz w:val="24"/>
                <w:szCs w:val="24"/>
                <w:highlight w:val="none"/>
                <w:lang w:val="en-US" w:eastAsia="zh-CN"/>
              </w:rPr>
              <w:t>.</w:t>
            </w:r>
            <w:r>
              <w:rPr>
                <w:rFonts w:hint="eastAsia" w:cs="Times New Roman"/>
                <w:b/>
                <w:bCs/>
                <w:color w:val="auto"/>
                <w:spacing w:val="0"/>
                <w:position w:val="0"/>
                <w:sz w:val="24"/>
                <w:szCs w:val="24"/>
                <w:highlight w:val="none"/>
                <w:lang w:val="en-US" w:eastAsia="zh-CN"/>
              </w:rPr>
              <w:t>5</w:t>
            </w:r>
            <w:r>
              <w:rPr>
                <w:rFonts w:hint="eastAsia" w:ascii="Times New Roman" w:hAnsi="Times New Roman" w:eastAsia="宋体" w:cs="Times New Roman"/>
                <w:b/>
                <w:bCs/>
                <w:color w:val="auto"/>
                <w:spacing w:val="0"/>
                <w:position w:val="0"/>
                <w:sz w:val="24"/>
                <w:szCs w:val="24"/>
                <w:highlight w:val="none"/>
                <w:lang w:val="en-US" w:eastAsia="zh-CN"/>
              </w:rPr>
              <w:t>-</w:t>
            </w:r>
            <w:r>
              <w:rPr>
                <w:rFonts w:hint="eastAsia" w:cs="Times New Roman"/>
                <w:b/>
                <w:bCs/>
                <w:color w:val="auto"/>
                <w:spacing w:val="0"/>
                <w:position w:val="0"/>
                <w:sz w:val="24"/>
                <w:szCs w:val="24"/>
                <w:highlight w:val="none"/>
                <w:lang w:val="en-US" w:eastAsia="zh-CN"/>
              </w:rPr>
              <w:t xml:space="preserve">1 </w:t>
            </w:r>
            <w:r>
              <w:rPr>
                <w:rFonts w:hint="default" w:ascii="Times New Roman" w:hAnsi="Times New Roman" w:eastAsia="宋体" w:cs="Times New Roman"/>
                <w:b/>
                <w:bCs/>
                <w:color w:val="auto"/>
                <w:spacing w:val="0"/>
                <w:kern w:val="0"/>
                <w:position w:val="0"/>
                <w:sz w:val="24"/>
                <w:szCs w:val="24"/>
                <w:highlight w:val="none"/>
                <w:lang w:val="en-US" w:eastAsia="zh-CN" w:bidi="ar"/>
              </w:rPr>
              <w:t>地下水、土壤潜在污染源及其影响途径一览表</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34"/>
              <w:gridCol w:w="1523"/>
              <w:gridCol w:w="3467"/>
            </w:tblGrid>
            <w:tr w14:paraId="3ABB5A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4" w:type="dxa"/>
                  <w:tcBorders>
                    <w:tl2br w:val="nil"/>
                    <w:tr2bl w:val="nil"/>
                  </w:tcBorders>
                  <w:noWrap w:val="0"/>
                  <w:vAlign w:val="center"/>
                </w:tcPr>
                <w:p w14:paraId="4B6C7904">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en-US" w:eastAsia="zh-CN"/>
                    </w:rPr>
                  </w:pPr>
                  <w:r>
                    <w:rPr>
                      <w:rFonts w:hint="default" w:ascii="Times New Roman" w:hAnsi="Times New Roman" w:eastAsia="宋体" w:cs="Times New Roman"/>
                      <w:b/>
                      <w:bCs/>
                      <w:color w:val="auto"/>
                      <w:spacing w:val="0"/>
                      <w:position w:val="0"/>
                      <w:sz w:val="21"/>
                      <w:szCs w:val="21"/>
                      <w:highlight w:val="none"/>
                      <w:vertAlign w:val="baseline"/>
                      <w:lang w:val="en-US" w:eastAsia="zh-CN"/>
                    </w:rPr>
                    <w:t>区域</w:t>
                  </w:r>
                </w:p>
              </w:tc>
              <w:tc>
                <w:tcPr>
                  <w:tcW w:w="1523" w:type="dxa"/>
                  <w:tcBorders>
                    <w:tl2br w:val="nil"/>
                    <w:tr2bl w:val="nil"/>
                  </w:tcBorders>
                  <w:noWrap w:val="0"/>
                  <w:vAlign w:val="center"/>
                </w:tcPr>
                <w:p w14:paraId="54C93AA6">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en-US" w:eastAsia="zh-CN"/>
                    </w:rPr>
                  </w:pPr>
                  <w:r>
                    <w:rPr>
                      <w:rFonts w:hint="default" w:ascii="Times New Roman" w:hAnsi="Times New Roman" w:eastAsia="宋体" w:cs="Times New Roman"/>
                      <w:b/>
                      <w:bCs/>
                      <w:color w:val="auto"/>
                      <w:spacing w:val="0"/>
                      <w:position w:val="0"/>
                      <w:sz w:val="21"/>
                      <w:szCs w:val="21"/>
                      <w:highlight w:val="none"/>
                      <w:vertAlign w:val="baseline"/>
                      <w:lang w:val="en-US" w:eastAsia="zh-CN"/>
                    </w:rPr>
                    <w:t>潜在污染源</w:t>
                  </w:r>
                </w:p>
              </w:tc>
              <w:tc>
                <w:tcPr>
                  <w:tcW w:w="3467" w:type="dxa"/>
                  <w:tcBorders>
                    <w:tl2br w:val="nil"/>
                    <w:tr2bl w:val="nil"/>
                  </w:tcBorders>
                  <w:noWrap w:val="0"/>
                  <w:vAlign w:val="center"/>
                </w:tcPr>
                <w:p w14:paraId="0B7CE888">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jc w:val="center"/>
                    <w:textAlignment w:val="auto"/>
                    <w:rPr>
                      <w:rFonts w:hint="default" w:ascii="Times New Roman" w:hAnsi="Times New Roman" w:eastAsia="宋体" w:cs="Times New Roman"/>
                      <w:b/>
                      <w:bCs/>
                      <w:color w:val="auto"/>
                      <w:spacing w:val="0"/>
                      <w:position w:val="0"/>
                      <w:sz w:val="21"/>
                      <w:szCs w:val="21"/>
                      <w:highlight w:val="none"/>
                      <w:vertAlign w:val="baseline"/>
                      <w:lang w:val="en-US" w:eastAsia="zh-CN"/>
                    </w:rPr>
                  </w:pPr>
                  <w:r>
                    <w:rPr>
                      <w:rFonts w:hint="default" w:ascii="Times New Roman" w:hAnsi="Times New Roman" w:eastAsia="宋体" w:cs="Times New Roman"/>
                      <w:b/>
                      <w:bCs/>
                      <w:color w:val="auto"/>
                      <w:spacing w:val="0"/>
                      <w:position w:val="0"/>
                      <w:sz w:val="21"/>
                      <w:szCs w:val="21"/>
                      <w:highlight w:val="none"/>
                      <w:vertAlign w:val="baseline"/>
                      <w:lang w:val="en-US" w:eastAsia="zh-CN"/>
                    </w:rPr>
                    <w:t>影响途径</w:t>
                  </w:r>
                </w:p>
              </w:tc>
            </w:tr>
            <w:tr w14:paraId="44547E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4" w:type="dxa"/>
                  <w:tcBorders>
                    <w:tl2br w:val="nil"/>
                    <w:tr2bl w:val="nil"/>
                  </w:tcBorders>
                  <w:noWrap w:val="0"/>
                  <w:vAlign w:val="center"/>
                </w:tcPr>
                <w:p w14:paraId="6045BF8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cs="Times New Roman"/>
                      <w:color w:val="auto"/>
                      <w:spacing w:val="0"/>
                      <w:kern w:val="0"/>
                      <w:position w:val="0"/>
                      <w:sz w:val="21"/>
                      <w:szCs w:val="21"/>
                      <w:highlight w:val="none"/>
                      <w:lang w:val="en-US" w:eastAsia="zh-CN" w:bidi="ar"/>
                    </w:rPr>
                  </w:pPr>
                  <w:r>
                    <w:rPr>
                      <w:rFonts w:hint="eastAsia" w:cs="Times New Roman"/>
                      <w:color w:val="auto"/>
                      <w:spacing w:val="0"/>
                      <w:kern w:val="0"/>
                      <w:position w:val="0"/>
                      <w:sz w:val="21"/>
                      <w:szCs w:val="21"/>
                      <w:highlight w:val="none"/>
                      <w:lang w:val="en-US" w:eastAsia="zh-CN" w:bidi="ar"/>
                    </w:rPr>
                    <w:t>生产区</w:t>
                  </w:r>
                  <w:r>
                    <w:rPr>
                      <w:rFonts w:hint="eastAsia" w:ascii="Times New Roman" w:hAnsi="Times New Roman" w:eastAsia="宋体" w:cs="Times New Roman"/>
                      <w:color w:val="auto"/>
                      <w:spacing w:val="0"/>
                      <w:position w:val="0"/>
                      <w:highlight w:val="none"/>
                      <w:lang w:val="en-US" w:eastAsia="zh-CN"/>
                    </w:rPr>
                    <w:t>、</w:t>
                  </w:r>
                  <w:r>
                    <w:rPr>
                      <w:rFonts w:hint="eastAsia" w:ascii="Times New Roman" w:hAnsi="Times New Roman" w:eastAsia="宋体" w:cs="Times New Roman"/>
                      <w:color w:val="auto"/>
                      <w:spacing w:val="0"/>
                      <w:kern w:val="0"/>
                      <w:position w:val="0"/>
                      <w:sz w:val="21"/>
                      <w:szCs w:val="21"/>
                      <w:highlight w:val="none"/>
                      <w:lang w:val="en-US" w:eastAsia="zh-CN" w:bidi="ar"/>
                    </w:rPr>
                    <w:t>废水处理设施</w:t>
                  </w:r>
                  <w:r>
                    <w:rPr>
                      <w:rFonts w:hint="eastAsia" w:cs="Times New Roman"/>
                      <w:color w:val="auto"/>
                      <w:spacing w:val="0"/>
                      <w:kern w:val="0"/>
                      <w:position w:val="0"/>
                      <w:sz w:val="21"/>
                      <w:szCs w:val="21"/>
                      <w:highlight w:val="none"/>
                      <w:lang w:val="en-US" w:eastAsia="zh-CN" w:bidi="ar"/>
                    </w:rPr>
                    <w:t>、</w:t>
                  </w:r>
                </w:p>
                <w:p w14:paraId="08F5A34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position w:val="0"/>
                      <w:highlight w:val="none"/>
                      <w:lang w:val="en-US" w:eastAsia="zh-CN"/>
                    </w:rPr>
                    <w:t>化粪池</w:t>
                  </w:r>
                  <w:r>
                    <w:rPr>
                      <w:rFonts w:hint="eastAsia" w:ascii="Times New Roman" w:hAnsi="Times New Roman" w:eastAsia="宋体" w:cs="Times New Roman"/>
                      <w:color w:val="auto"/>
                      <w:spacing w:val="0"/>
                      <w:kern w:val="0"/>
                      <w:position w:val="0"/>
                      <w:sz w:val="21"/>
                      <w:szCs w:val="21"/>
                      <w:highlight w:val="none"/>
                      <w:lang w:val="en-US" w:eastAsia="zh-CN" w:bidi="ar"/>
                    </w:rPr>
                    <w:t>及配套管网等</w:t>
                  </w:r>
                </w:p>
              </w:tc>
              <w:tc>
                <w:tcPr>
                  <w:tcW w:w="1523" w:type="dxa"/>
                  <w:tcBorders>
                    <w:tl2br w:val="nil"/>
                    <w:tr2bl w:val="nil"/>
                  </w:tcBorders>
                  <w:noWrap w:val="0"/>
                  <w:vAlign w:val="center"/>
                </w:tcPr>
                <w:p w14:paraId="1510023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kern w:val="0"/>
                      <w:position w:val="0"/>
                      <w:sz w:val="21"/>
                      <w:szCs w:val="21"/>
                      <w:highlight w:val="none"/>
                      <w:lang w:val="en-US" w:eastAsia="zh-CN" w:bidi="ar"/>
                    </w:rPr>
                  </w:pPr>
                  <w:r>
                    <w:rPr>
                      <w:rFonts w:hint="eastAsia" w:ascii="Times New Roman" w:hAnsi="Times New Roman" w:eastAsia="宋体" w:cs="Times New Roman"/>
                      <w:color w:val="auto"/>
                      <w:spacing w:val="0"/>
                      <w:kern w:val="0"/>
                      <w:position w:val="0"/>
                      <w:sz w:val="21"/>
                      <w:szCs w:val="21"/>
                      <w:highlight w:val="none"/>
                      <w:lang w:val="en-US" w:eastAsia="zh-CN" w:bidi="ar"/>
                    </w:rPr>
                    <w:t>废水</w:t>
                  </w:r>
                </w:p>
              </w:tc>
              <w:tc>
                <w:tcPr>
                  <w:tcW w:w="3467" w:type="dxa"/>
                  <w:tcBorders>
                    <w:tl2br w:val="nil"/>
                    <w:tr2bl w:val="nil"/>
                  </w:tcBorders>
                  <w:noWrap w:val="0"/>
                  <w:vAlign w:val="center"/>
                </w:tcPr>
                <w:p w14:paraId="234C60B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kern w:val="0"/>
                      <w:position w:val="0"/>
                      <w:sz w:val="21"/>
                      <w:szCs w:val="21"/>
                      <w:highlight w:val="none"/>
                      <w:lang w:val="en-US" w:eastAsia="zh-CN" w:bidi="ar"/>
                    </w:rPr>
                  </w:pPr>
                  <w:r>
                    <w:rPr>
                      <w:rFonts w:hint="eastAsia" w:ascii="Times New Roman" w:hAnsi="Times New Roman" w:eastAsia="宋体" w:cs="Times New Roman"/>
                      <w:color w:val="auto"/>
                      <w:spacing w:val="0"/>
                      <w:kern w:val="0"/>
                      <w:position w:val="0"/>
                      <w:sz w:val="21"/>
                      <w:szCs w:val="21"/>
                      <w:highlight w:val="none"/>
                      <w:lang w:val="en-US" w:eastAsia="zh-CN" w:bidi="ar"/>
                    </w:rPr>
                    <w:t>池底或池壁渗透，污水管网破裂，渗透地表，污染地下水及土壤</w:t>
                  </w:r>
                </w:p>
              </w:tc>
            </w:tr>
            <w:tr w14:paraId="7579DB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4" w:type="dxa"/>
                  <w:tcBorders>
                    <w:tl2br w:val="nil"/>
                    <w:tr2bl w:val="nil"/>
                  </w:tcBorders>
                  <w:noWrap w:val="0"/>
                  <w:vAlign w:val="center"/>
                </w:tcPr>
                <w:p w14:paraId="7446964E">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Times New Roman" w:hAnsi="Times New Roman" w:eastAsia="宋体" w:cs="Times New Roman"/>
                      <w:color w:val="auto"/>
                      <w:spacing w:val="0"/>
                      <w:kern w:val="0"/>
                      <w:position w:val="0"/>
                      <w:sz w:val="21"/>
                      <w:szCs w:val="21"/>
                      <w:highlight w:val="none"/>
                      <w:lang w:val="en-US" w:eastAsia="zh-CN" w:bidi="ar"/>
                    </w:rPr>
                  </w:pPr>
                  <w:r>
                    <w:rPr>
                      <w:rFonts w:hint="eastAsia" w:ascii="Times New Roman" w:hAnsi="Times New Roman" w:eastAsia="宋体" w:cs="Times New Roman"/>
                      <w:color w:val="auto"/>
                      <w:spacing w:val="0"/>
                      <w:position w:val="0"/>
                      <w:sz w:val="21"/>
                      <w:szCs w:val="21"/>
                      <w:highlight w:val="none"/>
                      <w:vertAlign w:val="baseline"/>
                      <w:lang w:val="en-US" w:eastAsia="zh-CN"/>
                    </w:rPr>
                    <w:t>化学品仓库</w:t>
                  </w:r>
                  <w:r>
                    <w:rPr>
                      <w:rFonts w:hint="eastAsia" w:ascii="Times New Roman" w:hAnsi="Times New Roman" w:eastAsia="宋体" w:cs="Times New Roman"/>
                      <w:color w:val="auto"/>
                      <w:spacing w:val="0"/>
                      <w:highlight w:val="none"/>
                      <w:lang w:eastAsia="zh-CN"/>
                    </w:rPr>
                    <w:t>、</w:t>
                  </w:r>
                  <w:r>
                    <w:rPr>
                      <w:rFonts w:hint="eastAsia" w:cs="Times New Roman"/>
                      <w:color w:val="auto"/>
                      <w:spacing w:val="0"/>
                      <w:highlight w:val="none"/>
                      <w:lang w:val="en-US" w:eastAsia="zh-CN"/>
                    </w:rPr>
                    <w:t>喷漆晾干房</w:t>
                  </w:r>
                  <w:r>
                    <w:rPr>
                      <w:rFonts w:hint="eastAsia"/>
                      <w:color w:val="auto"/>
                      <w:szCs w:val="21"/>
                      <w:highlight w:val="none"/>
                      <w:lang w:val="en-US" w:eastAsia="zh-CN"/>
                    </w:rPr>
                    <w:t>、车间涉及化学品区域</w:t>
                  </w:r>
                  <w:r>
                    <w:rPr>
                      <w:rFonts w:hint="eastAsia" w:ascii="Times New Roman" w:hAnsi="Times New Roman" w:eastAsia="宋体" w:cs="Times New Roman"/>
                      <w:color w:val="auto"/>
                      <w:spacing w:val="0"/>
                      <w:highlight w:val="none"/>
                      <w:lang w:val="en-US" w:eastAsia="zh-CN"/>
                    </w:rPr>
                    <w:t>等</w:t>
                  </w:r>
                </w:p>
              </w:tc>
              <w:tc>
                <w:tcPr>
                  <w:tcW w:w="1523" w:type="dxa"/>
                  <w:tcBorders>
                    <w:tl2br w:val="nil"/>
                    <w:tr2bl w:val="nil"/>
                  </w:tcBorders>
                  <w:noWrap w:val="0"/>
                  <w:vAlign w:val="center"/>
                </w:tcPr>
                <w:p w14:paraId="1FC1F02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kern w:val="0"/>
                      <w:position w:val="0"/>
                      <w:sz w:val="21"/>
                      <w:szCs w:val="21"/>
                      <w:highlight w:val="none"/>
                      <w:lang w:val="en-US" w:eastAsia="zh-CN" w:bidi="ar"/>
                    </w:rPr>
                  </w:pPr>
                  <w:r>
                    <w:rPr>
                      <w:rFonts w:hint="eastAsia" w:ascii="Times New Roman" w:hAnsi="Times New Roman" w:eastAsia="宋体" w:cs="Times New Roman"/>
                      <w:color w:val="auto"/>
                      <w:spacing w:val="0"/>
                      <w:kern w:val="0"/>
                      <w:position w:val="0"/>
                      <w:sz w:val="21"/>
                      <w:szCs w:val="21"/>
                      <w:highlight w:val="none"/>
                      <w:lang w:val="en-US" w:eastAsia="zh-CN" w:bidi="ar"/>
                    </w:rPr>
                    <w:t>化学品</w:t>
                  </w:r>
                </w:p>
              </w:tc>
              <w:tc>
                <w:tcPr>
                  <w:tcW w:w="3467" w:type="dxa"/>
                  <w:tcBorders>
                    <w:tl2br w:val="nil"/>
                    <w:tr2bl w:val="nil"/>
                  </w:tcBorders>
                  <w:noWrap w:val="0"/>
                  <w:vAlign w:val="center"/>
                </w:tcPr>
                <w:p w14:paraId="41275D6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kern w:val="0"/>
                      <w:position w:val="0"/>
                      <w:sz w:val="21"/>
                      <w:szCs w:val="21"/>
                      <w:highlight w:val="none"/>
                      <w:lang w:val="en-US" w:eastAsia="zh-CN" w:bidi="ar"/>
                    </w:rPr>
                  </w:pPr>
                  <w:r>
                    <w:rPr>
                      <w:rFonts w:hint="eastAsia" w:ascii="Times New Roman" w:hAnsi="Times New Roman" w:eastAsia="宋体" w:cs="Times New Roman"/>
                      <w:color w:val="auto"/>
                      <w:spacing w:val="0"/>
                      <w:kern w:val="0"/>
                      <w:position w:val="0"/>
                      <w:sz w:val="21"/>
                      <w:szCs w:val="21"/>
                      <w:highlight w:val="none"/>
                      <w:lang w:val="en-US" w:eastAsia="zh-CN" w:bidi="ar"/>
                    </w:rPr>
                    <w:t>化学品泄漏，污染地下水及土壤</w:t>
                  </w:r>
                </w:p>
              </w:tc>
            </w:tr>
            <w:tr w14:paraId="0A637B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4" w:type="dxa"/>
                  <w:tcBorders>
                    <w:tl2br w:val="nil"/>
                    <w:tr2bl w:val="nil"/>
                  </w:tcBorders>
                  <w:noWrap w:val="0"/>
                  <w:vAlign w:val="center"/>
                </w:tcPr>
                <w:p w14:paraId="29F8B6AD">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cs="Times New Roman"/>
                      <w:color w:val="auto"/>
                      <w:spacing w:val="0"/>
                      <w:position w:val="0"/>
                      <w:sz w:val="21"/>
                      <w:szCs w:val="21"/>
                      <w:highlight w:val="none"/>
                      <w:vertAlign w:val="baseline"/>
                      <w:lang w:val="en-US" w:eastAsia="zh-CN"/>
                    </w:rPr>
                    <w:t>危废暂存</w:t>
                  </w:r>
                  <w:r>
                    <w:rPr>
                      <w:rFonts w:hint="eastAsia" w:ascii="Times New Roman" w:hAnsi="Times New Roman" w:eastAsia="宋体" w:cs="Times New Roman"/>
                      <w:color w:val="auto"/>
                      <w:spacing w:val="0"/>
                      <w:position w:val="0"/>
                      <w:sz w:val="21"/>
                      <w:szCs w:val="21"/>
                      <w:highlight w:val="none"/>
                      <w:vertAlign w:val="baseline"/>
                      <w:lang w:val="en-US" w:eastAsia="zh-CN"/>
                    </w:rPr>
                    <w:t>间</w:t>
                  </w:r>
                </w:p>
              </w:tc>
              <w:tc>
                <w:tcPr>
                  <w:tcW w:w="1523" w:type="dxa"/>
                  <w:tcBorders>
                    <w:tl2br w:val="nil"/>
                    <w:tr2bl w:val="nil"/>
                  </w:tcBorders>
                  <w:noWrap w:val="0"/>
                  <w:vAlign w:val="center"/>
                </w:tcPr>
                <w:p w14:paraId="354A0B1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
                    </w:rPr>
                    <w:t>危险废物</w:t>
                  </w:r>
                </w:p>
              </w:tc>
              <w:tc>
                <w:tcPr>
                  <w:tcW w:w="3467" w:type="dxa"/>
                  <w:tcBorders>
                    <w:tl2br w:val="nil"/>
                    <w:tr2bl w:val="nil"/>
                  </w:tcBorders>
                  <w:noWrap w:val="0"/>
                  <w:vAlign w:val="center"/>
                </w:tcPr>
                <w:p w14:paraId="6A36C7C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
                    </w:rPr>
                    <w:t>危险废物泄漏，污染地下水及土壤</w:t>
                  </w:r>
                </w:p>
              </w:tc>
            </w:tr>
          </w:tbl>
          <w:p w14:paraId="27694EDC">
            <w:pPr>
              <w:pStyle w:val="28"/>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482" w:firstLineChars="200"/>
              <w:jc w:val="both"/>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eastAsia" w:ascii="Times New Roman" w:hAnsi="Times New Roman" w:eastAsia="宋体" w:cs="Times New Roman"/>
                <w:b/>
                <w:bCs/>
                <w:color w:val="auto"/>
                <w:spacing w:val="0"/>
                <w:position w:val="0"/>
                <w:sz w:val="24"/>
                <w:szCs w:val="24"/>
                <w:highlight w:val="none"/>
                <w:lang w:val="en-US" w:eastAsia="zh-CN"/>
              </w:rPr>
              <w:t>（2）</w:t>
            </w:r>
            <w:r>
              <w:rPr>
                <w:rFonts w:hint="default" w:ascii="Times New Roman" w:hAnsi="Times New Roman" w:eastAsia="宋体" w:cs="Times New Roman"/>
                <w:b/>
                <w:bCs/>
                <w:color w:val="auto"/>
                <w:spacing w:val="0"/>
                <w:position w:val="0"/>
                <w:sz w:val="24"/>
                <w:szCs w:val="24"/>
                <w:highlight w:val="none"/>
                <w:lang w:val="en-US" w:eastAsia="zh-CN"/>
              </w:rPr>
              <w:t>防护措施</w:t>
            </w:r>
          </w:p>
          <w:p w14:paraId="3F16D13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pacing w:val="0"/>
                <w:position w:val="0"/>
                <w:sz w:val="24"/>
                <w:szCs w:val="24"/>
                <w:highlight w:val="none"/>
                <w:lang w:eastAsia="zh-CN"/>
              </w:rPr>
            </w:pPr>
            <w:r>
              <w:rPr>
                <w:rFonts w:hint="default" w:ascii="Times New Roman" w:hAnsi="Times New Roman" w:eastAsia="宋体" w:cs="Times New Roman"/>
                <w:color w:val="auto"/>
                <w:spacing w:val="0"/>
                <w:kern w:val="0"/>
                <w:position w:val="0"/>
                <w:sz w:val="24"/>
                <w:szCs w:val="24"/>
                <w:highlight w:val="none"/>
                <w:lang w:val="en-US" w:eastAsia="zh-CN" w:bidi="ar"/>
              </w:rPr>
              <w:t>项目拟采用的分区保护措施如下表：</w:t>
            </w:r>
          </w:p>
          <w:p w14:paraId="0DEA60A5">
            <w:pPr>
              <w:keepNext w:val="0"/>
              <w:keepLines w:val="0"/>
              <w:widowControl/>
              <w:suppressLineNumbers w:val="0"/>
              <w:jc w:val="center"/>
              <w:rPr>
                <w:rFonts w:hint="default" w:ascii="Times New Roman" w:hAnsi="Times New Roman" w:eastAsia="宋体" w:cs="Times New Roman"/>
                <w:b/>
                <w:bCs/>
                <w:color w:val="auto"/>
                <w:spacing w:val="0"/>
                <w:position w:val="0"/>
                <w:sz w:val="24"/>
                <w:szCs w:val="24"/>
                <w:highlight w:val="none"/>
              </w:rPr>
            </w:pPr>
            <w:r>
              <w:rPr>
                <w:rFonts w:hint="default" w:ascii="Times New Roman" w:hAnsi="Times New Roman" w:eastAsia="宋体" w:cs="Times New Roman"/>
                <w:b/>
                <w:bCs/>
                <w:color w:val="auto"/>
                <w:spacing w:val="0"/>
                <w:position w:val="0"/>
                <w:sz w:val="24"/>
                <w:szCs w:val="24"/>
                <w:highlight w:val="none"/>
                <w:lang w:eastAsia="zh-CN"/>
              </w:rPr>
              <w:t>表</w:t>
            </w:r>
            <w:r>
              <w:rPr>
                <w:rFonts w:hint="default" w:ascii="Times New Roman" w:hAnsi="Times New Roman" w:eastAsia="宋体" w:cs="Times New Roman"/>
                <w:b/>
                <w:bCs/>
                <w:color w:val="auto"/>
                <w:spacing w:val="0"/>
                <w:position w:val="0"/>
                <w:sz w:val="24"/>
                <w:szCs w:val="24"/>
                <w:highlight w:val="none"/>
                <w:lang w:val="en-US" w:eastAsia="zh-CN"/>
              </w:rPr>
              <w:t>4</w:t>
            </w:r>
            <w:r>
              <w:rPr>
                <w:rFonts w:hint="eastAsia" w:ascii="Times New Roman" w:hAnsi="Times New Roman" w:eastAsia="宋体" w:cs="Times New Roman"/>
                <w:b/>
                <w:bCs/>
                <w:color w:val="auto"/>
                <w:spacing w:val="0"/>
                <w:position w:val="0"/>
                <w:sz w:val="24"/>
                <w:szCs w:val="24"/>
                <w:highlight w:val="none"/>
                <w:lang w:val="en-US" w:eastAsia="zh-CN"/>
              </w:rPr>
              <w:t>.</w:t>
            </w:r>
            <w:r>
              <w:rPr>
                <w:rFonts w:hint="eastAsia" w:cs="Times New Roman"/>
                <w:b/>
                <w:bCs/>
                <w:color w:val="auto"/>
                <w:spacing w:val="0"/>
                <w:position w:val="0"/>
                <w:sz w:val="24"/>
                <w:szCs w:val="24"/>
                <w:highlight w:val="none"/>
                <w:lang w:val="en-US" w:eastAsia="zh-CN"/>
              </w:rPr>
              <w:t>5</w:t>
            </w:r>
            <w:r>
              <w:rPr>
                <w:rFonts w:hint="eastAsia" w:ascii="Times New Roman" w:hAnsi="Times New Roman" w:eastAsia="宋体" w:cs="Times New Roman"/>
                <w:b/>
                <w:bCs/>
                <w:color w:val="auto"/>
                <w:spacing w:val="0"/>
                <w:position w:val="0"/>
                <w:sz w:val="24"/>
                <w:szCs w:val="24"/>
                <w:highlight w:val="none"/>
                <w:lang w:val="en-US" w:eastAsia="zh-CN"/>
              </w:rPr>
              <w:t>-</w:t>
            </w:r>
            <w:r>
              <w:rPr>
                <w:rFonts w:hint="eastAsia" w:cs="Times New Roman"/>
                <w:b/>
                <w:bCs/>
                <w:color w:val="auto"/>
                <w:spacing w:val="0"/>
                <w:position w:val="0"/>
                <w:sz w:val="24"/>
                <w:szCs w:val="24"/>
                <w:highlight w:val="none"/>
                <w:lang w:val="en-US" w:eastAsia="zh-CN"/>
              </w:rPr>
              <w:t>2</w:t>
            </w:r>
            <w:r>
              <w:rPr>
                <w:rFonts w:hint="default" w:ascii="Times New Roman" w:hAnsi="Times New Roman" w:eastAsia="宋体" w:cs="Times New Roman"/>
                <w:b/>
                <w:bCs/>
                <w:color w:val="auto"/>
                <w:spacing w:val="0"/>
                <w:position w:val="0"/>
                <w:sz w:val="24"/>
                <w:szCs w:val="24"/>
                <w:highlight w:val="none"/>
                <w:lang w:val="en-US" w:eastAsia="zh-CN"/>
              </w:rPr>
              <w:t xml:space="preserve"> </w:t>
            </w:r>
            <w:r>
              <w:rPr>
                <w:rFonts w:hint="default" w:ascii="Times New Roman" w:hAnsi="Times New Roman" w:eastAsia="宋体" w:cs="Times New Roman"/>
                <w:b/>
                <w:bCs/>
                <w:color w:val="auto"/>
                <w:spacing w:val="0"/>
                <w:kern w:val="0"/>
                <w:position w:val="0"/>
                <w:sz w:val="24"/>
                <w:szCs w:val="24"/>
                <w:highlight w:val="none"/>
                <w:lang w:val="en-US" w:eastAsia="zh-CN" w:bidi="ar"/>
              </w:rPr>
              <w:t>地下水、土壤分区防护措施一览表</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52"/>
              <w:gridCol w:w="1525"/>
              <w:gridCol w:w="2025"/>
              <w:gridCol w:w="4222"/>
            </w:tblGrid>
            <w:tr w14:paraId="049FA4A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77" w:type="dxa"/>
                  <w:gridSpan w:val="2"/>
                  <w:tcBorders>
                    <w:tl2br w:val="nil"/>
                    <w:tr2bl w:val="nil"/>
                  </w:tcBorders>
                  <w:noWrap w:val="0"/>
                  <w:vAlign w:val="center"/>
                </w:tcPr>
                <w:p w14:paraId="4A69D852">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en-US" w:eastAsia="zh-CN"/>
                    </w:rPr>
                  </w:pPr>
                  <w:r>
                    <w:rPr>
                      <w:rFonts w:hint="default" w:ascii="Times New Roman" w:hAnsi="Times New Roman" w:eastAsia="宋体" w:cs="Times New Roman"/>
                      <w:b/>
                      <w:bCs/>
                      <w:color w:val="auto"/>
                      <w:spacing w:val="0"/>
                      <w:position w:val="0"/>
                      <w:sz w:val="21"/>
                      <w:szCs w:val="21"/>
                      <w:highlight w:val="none"/>
                      <w:vertAlign w:val="baseline"/>
                      <w:lang w:val="en-US" w:eastAsia="zh-CN"/>
                    </w:rPr>
                    <w:t>序号</w:t>
                  </w:r>
                </w:p>
              </w:tc>
              <w:tc>
                <w:tcPr>
                  <w:tcW w:w="2025" w:type="dxa"/>
                  <w:tcBorders>
                    <w:tl2br w:val="nil"/>
                    <w:tr2bl w:val="nil"/>
                  </w:tcBorders>
                  <w:noWrap w:val="0"/>
                  <w:vAlign w:val="center"/>
                </w:tcPr>
                <w:p w14:paraId="430F2423">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en-US" w:eastAsia="zh-CN"/>
                    </w:rPr>
                  </w:pPr>
                  <w:r>
                    <w:rPr>
                      <w:rFonts w:hint="default" w:ascii="Times New Roman" w:hAnsi="Times New Roman" w:eastAsia="宋体" w:cs="Times New Roman"/>
                      <w:b/>
                      <w:bCs/>
                      <w:color w:val="auto"/>
                      <w:spacing w:val="0"/>
                      <w:position w:val="0"/>
                      <w:sz w:val="21"/>
                      <w:szCs w:val="21"/>
                      <w:highlight w:val="none"/>
                      <w:vertAlign w:val="baseline"/>
                      <w:lang w:val="en-US" w:eastAsia="zh-CN"/>
                    </w:rPr>
                    <w:t>区域</w:t>
                  </w:r>
                </w:p>
              </w:tc>
              <w:tc>
                <w:tcPr>
                  <w:tcW w:w="4222" w:type="dxa"/>
                  <w:tcBorders>
                    <w:tl2br w:val="nil"/>
                    <w:tr2bl w:val="nil"/>
                  </w:tcBorders>
                  <w:noWrap w:val="0"/>
                  <w:vAlign w:val="center"/>
                </w:tcPr>
                <w:p w14:paraId="62B26F3E">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en-US" w:eastAsia="zh-CN"/>
                    </w:rPr>
                  </w:pPr>
                  <w:r>
                    <w:rPr>
                      <w:rFonts w:hint="default" w:ascii="Times New Roman" w:hAnsi="Times New Roman" w:eastAsia="宋体" w:cs="Times New Roman"/>
                      <w:b/>
                      <w:bCs/>
                      <w:color w:val="auto"/>
                      <w:spacing w:val="0"/>
                      <w:position w:val="0"/>
                      <w:sz w:val="21"/>
                      <w:szCs w:val="21"/>
                      <w:highlight w:val="none"/>
                      <w:vertAlign w:val="baseline"/>
                      <w:lang w:val="en-US" w:eastAsia="zh-CN"/>
                    </w:rPr>
                    <w:t>防护措施</w:t>
                  </w:r>
                </w:p>
              </w:tc>
            </w:tr>
            <w:tr w14:paraId="57C591A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52" w:type="dxa"/>
                  <w:tcBorders>
                    <w:tl2br w:val="nil"/>
                    <w:tr2bl w:val="nil"/>
                  </w:tcBorders>
                  <w:noWrap w:val="0"/>
                  <w:vAlign w:val="center"/>
                </w:tcPr>
                <w:p w14:paraId="54965771">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1</w:t>
                  </w:r>
                </w:p>
              </w:tc>
              <w:tc>
                <w:tcPr>
                  <w:tcW w:w="1525" w:type="dxa"/>
                  <w:tcBorders>
                    <w:tl2br w:val="nil"/>
                    <w:tr2bl w:val="nil"/>
                  </w:tcBorders>
                  <w:noWrap w:val="0"/>
                  <w:vAlign w:val="center"/>
                </w:tcPr>
                <w:p w14:paraId="55CBB544">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重点防渗区</w:t>
                  </w:r>
                </w:p>
              </w:tc>
              <w:tc>
                <w:tcPr>
                  <w:tcW w:w="2025" w:type="dxa"/>
                  <w:tcBorders>
                    <w:tl2br w:val="nil"/>
                    <w:tr2bl w:val="nil"/>
                  </w:tcBorders>
                  <w:noWrap w:val="0"/>
                  <w:vAlign w:val="center"/>
                </w:tcPr>
                <w:p w14:paraId="7880762A">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position w:val="0"/>
                      <w:sz w:val="21"/>
                      <w:szCs w:val="21"/>
                      <w:highlight w:val="none"/>
                      <w:vertAlign w:val="baseline"/>
                      <w:lang w:val="en-US" w:eastAsia="zh-CN"/>
                    </w:rPr>
                    <w:t>化学品仓库</w:t>
                  </w:r>
                  <w:r>
                    <w:rPr>
                      <w:rFonts w:hint="eastAsia" w:ascii="Times New Roman" w:hAnsi="Times New Roman" w:eastAsia="宋体" w:cs="Times New Roman"/>
                      <w:color w:val="auto"/>
                      <w:spacing w:val="0"/>
                      <w:highlight w:val="none"/>
                      <w:lang w:eastAsia="zh-CN"/>
                    </w:rPr>
                    <w:t>、</w:t>
                  </w:r>
                  <w:r>
                    <w:rPr>
                      <w:rFonts w:hint="eastAsia" w:cs="Times New Roman"/>
                      <w:color w:val="auto"/>
                      <w:spacing w:val="0"/>
                      <w:highlight w:val="none"/>
                      <w:lang w:val="en-US" w:eastAsia="zh-CN"/>
                    </w:rPr>
                    <w:t>喷漆晾干房、</w:t>
                  </w:r>
                  <w:r>
                    <w:rPr>
                      <w:rFonts w:hint="eastAsia" w:cs="Times New Roman"/>
                      <w:color w:val="auto"/>
                      <w:spacing w:val="0"/>
                      <w:position w:val="0"/>
                      <w:sz w:val="21"/>
                      <w:szCs w:val="21"/>
                      <w:highlight w:val="none"/>
                      <w:vertAlign w:val="baseline"/>
                      <w:lang w:val="en-US" w:eastAsia="zh-CN"/>
                    </w:rPr>
                    <w:t>危废暂存</w:t>
                  </w:r>
                  <w:r>
                    <w:rPr>
                      <w:rFonts w:hint="eastAsia" w:ascii="Times New Roman" w:hAnsi="Times New Roman" w:eastAsia="宋体" w:cs="Times New Roman"/>
                      <w:color w:val="auto"/>
                      <w:spacing w:val="0"/>
                      <w:position w:val="0"/>
                      <w:sz w:val="21"/>
                      <w:szCs w:val="21"/>
                      <w:highlight w:val="none"/>
                      <w:vertAlign w:val="baseline"/>
                      <w:lang w:val="en-US" w:eastAsia="zh-CN"/>
                    </w:rPr>
                    <w:t>间、</w:t>
                  </w:r>
                  <w:r>
                    <w:rPr>
                      <w:rFonts w:hint="eastAsia" w:ascii="Times New Roman" w:hAnsi="Times New Roman" w:eastAsia="宋体" w:cs="Times New Roman"/>
                      <w:color w:val="auto"/>
                      <w:spacing w:val="0"/>
                      <w:kern w:val="0"/>
                      <w:sz w:val="21"/>
                      <w:szCs w:val="21"/>
                      <w:highlight w:val="none"/>
                      <w:lang w:val="en-US" w:eastAsia="zh-CN" w:bidi="ar"/>
                    </w:rPr>
                    <w:t>废水处理设施</w:t>
                  </w:r>
                  <w:r>
                    <w:rPr>
                      <w:rFonts w:hint="eastAsia"/>
                      <w:color w:val="auto"/>
                      <w:szCs w:val="21"/>
                      <w:highlight w:val="none"/>
                      <w:lang w:val="en-US" w:eastAsia="zh-CN"/>
                    </w:rPr>
                    <w:t>、车间涉及化学品区域</w:t>
                  </w:r>
                  <w:r>
                    <w:rPr>
                      <w:rFonts w:hint="eastAsia" w:eastAsia="宋体"/>
                      <w:color w:val="auto"/>
                      <w:kern w:val="0"/>
                      <w:sz w:val="21"/>
                      <w:szCs w:val="21"/>
                      <w:highlight w:val="none"/>
                      <w:lang w:eastAsia="zh-CN" w:bidi="ar"/>
                    </w:rPr>
                    <w:t>等</w:t>
                  </w:r>
                </w:p>
              </w:tc>
              <w:tc>
                <w:tcPr>
                  <w:tcW w:w="4222" w:type="dxa"/>
                  <w:tcBorders>
                    <w:tl2br w:val="nil"/>
                    <w:tr2bl w:val="nil"/>
                  </w:tcBorders>
                  <w:noWrap w:val="0"/>
                  <w:vAlign w:val="center"/>
                </w:tcPr>
                <w:p w14:paraId="1B776EB9">
                  <w:pPr>
                    <w:keepNext w:val="0"/>
                    <w:keepLines w:val="0"/>
                    <w:pageBreakBefore w:val="0"/>
                    <w:widowControl/>
                    <w:suppressLineNumbers w:val="0"/>
                    <w:kinsoku/>
                    <w:wordWrap/>
                    <w:overflowPunct w:val="0"/>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bidi="ar"/>
                    </w:rPr>
                    <w:t>危废暂存间采用“2mmHPDE膜+防渗混凝土”进行防渗</w:t>
                  </w:r>
                  <w:r>
                    <w:rPr>
                      <w:rFonts w:hint="eastAsia" w:ascii="Times New Roman" w:hAnsi="Times New Roman" w:eastAsia="宋体" w:cs="Times New Roman"/>
                      <w:color w:val="auto"/>
                      <w:spacing w:val="0"/>
                      <w:position w:val="0"/>
                      <w:sz w:val="21"/>
                      <w:szCs w:val="21"/>
                      <w:highlight w:val="none"/>
                      <w:lang w:val="en-US" w:eastAsia="zh-CN"/>
                    </w:rPr>
                    <w:t>+</w:t>
                  </w:r>
                  <w:r>
                    <w:rPr>
                      <w:rFonts w:ascii="Times New Roman" w:hAnsi="Times New Roman" w:eastAsia="宋体" w:cs="Times New Roman"/>
                      <w:color w:val="auto"/>
                      <w:spacing w:val="0"/>
                      <w:position w:val="0"/>
                      <w:sz w:val="21"/>
                      <w:szCs w:val="21"/>
                      <w:highlight w:val="none"/>
                    </w:rPr>
                    <w:t>托盘</w:t>
                  </w:r>
                  <w:r>
                    <w:rPr>
                      <w:rFonts w:hint="eastAsia" w:ascii="Times New Roman" w:hAnsi="Times New Roman" w:eastAsia="宋体" w:cs="Times New Roman"/>
                      <w:color w:val="auto"/>
                      <w:spacing w:val="0"/>
                      <w:kern w:val="0"/>
                      <w:position w:val="0"/>
                      <w:sz w:val="21"/>
                      <w:szCs w:val="21"/>
                      <w:highlight w:val="none"/>
                      <w:lang w:val="en-US" w:eastAsia="zh-CN" w:bidi="ar"/>
                    </w:rPr>
                    <w:t>”，在各类危险废物下方增设托盘，同时确保防渗系数K</w:t>
                  </w:r>
                  <w:r>
                    <w:rPr>
                      <w:rFonts w:hint="default" w:ascii="Times New Roman" w:hAnsi="Times New Roman" w:eastAsia="宋体" w:cs="Times New Roman"/>
                      <w:color w:val="auto"/>
                      <w:spacing w:val="0"/>
                      <w:kern w:val="0"/>
                      <w:position w:val="0"/>
                      <w:sz w:val="21"/>
                      <w:szCs w:val="21"/>
                      <w:highlight w:val="none"/>
                      <w:lang w:val="en-US" w:eastAsia="zh-CN" w:bidi="ar"/>
                    </w:rPr>
                    <w:t>≤</w:t>
                  </w:r>
                  <w:r>
                    <w:rPr>
                      <w:rFonts w:hint="eastAsia" w:ascii="Times New Roman" w:hAnsi="Times New Roman" w:eastAsia="宋体" w:cs="Times New Roman"/>
                      <w:color w:val="auto"/>
                      <w:spacing w:val="0"/>
                      <w:kern w:val="0"/>
                      <w:position w:val="0"/>
                      <w:sz w:val="21"/>
                      <w:szCs w:val="21"/>
                      <w:highlight w:val="none"/>
                      <w:lang w:val="en-US" w:eastAsia="zh-CN" w:bidi="ar"/>
                    </w:rPr>
                    <w:t>10</w:t>
                  </w:r>
                  <w:r>
                    <w:rPr>
                      <w:rFonts w:hint="eastAsia" w:ascii="Times New Roman" w:hAnsi="Times New Roman" w:eastAsia="宋体" w:cs="Times New Roman"/>
                      <w:color w:val="auto"/>
                      <w:spacing w:val="0"/>
                      <w:kern w:val="0"/>
                      <w:position w:val="0"/>
                      <w:sz w:val="21"/>
                      <w:szCs w:val="21"/>
                      <w:highlight w:val="none"/>
                      <w:vertAlign w:val="superscript"/>
                      <w:lang w:val="en-US" w:eastAsia="zh-CN" w:bidi="ar"/>
                    </w:rPr>
                    <w:t>-10</w:t>
                  </w:r>
                  <w:r>
                    <w:rPr>
                      <w:rFonts w:hint="eastAsia" w:ascii="Times New Roman" w:hAnsi="Times New Roman" w:eastAsia="宋体" w:cs="Times New Roman"/>
                      <w:color w:val="auto"/>
                      <w:spacing w:val="0"/>
                      <w:kern w:val="0"/>
                      <w:position w:val="0"/>
                      <w:sz w:val="21"/>
                      <w:szCs w:val="21"/>
                      <w:highlight w:val="none"/>
                      <w:lang w:val="en-US" w:eastAsia="zh-CN" w:bidi="ar"/>
                    </w:rPr>
                    <w:t>cm/s，或者参照</w:t>
                  </w:r>
                  <w:r>
                    <w:rPr>
                      <w:rFonts w:ascii="Times New Roman" w:hAnsi="Times New Roman" w:eastAsia="宋体" w:cs="Times New Roman"/>
                      <w:color w:val="auto"/>
                      <w:spacing w:val="0"/>
                      <w:kern w:val="0"/>
                      <w:position w:val="0"/>
                      <w:szCs w:val="21"/>
                      <w:highlight w:val="none"/>
                      <w:lang w:bidi="ar"/>
                    </w:rPr>
                    <w:t>《危险废物贮存污染控制标准》（GB18597-2023）</w:t>
                  </w:r>
                  <w:r>
                    <w:rPr>
                      <w:rFonts w:hint="eastAsia" w:ascii="Times New Roman" w:hAnsi="Times New Roman" w:eastAsia="宋体" w:cs="Times New Roman"/>
                      <w:color w:val="auto"/>
                      <w:spacing w:val="0"/>
                      <w:kern w:val="0"/>
                      <w:position w:val="0"/>
                      <w:sz w:val="21"/>
                      <w:szCs w:val="21"/>
                      <w:highlight w:val="none"/>
                      <w:lang w:val="en-US" w:eastAsia="zh-CN" w:bidi="ar"/>
                    </w:rPr>
                    <w:t>和《石油化工企业防渗设计通则》（</w:t>
                  </w:r>
                  <w:r>
                    <w:rPr>
                      <w:rFonts w:hint="default" w:ascii="Times New Roman" w:hAnsi="Times New Roman" w:eastAsia="宋体" w:cs="Times New Roman"/>
                      <w:color w:val="auto"/>
                      <w:spacing w:val="0"/>
                      <w:kern w:val="0"/>
                      <w:position w:val="0"/>
                      <w:sz w:val="21"/>
                      <w:szCs w:val="21"/>
                      <w:highlight w:val="none"/>
                      <w:lang w:val="en-US" w:eastAsia="zh-CN" w:bidi="ar"/>
                    </w:rPr>
                    <w:t>QSY1303-2010</w:t>
                  </w:r>
                  <w:r>
                    <w:rPr>
                      <w:rFonts w:hint="eastAsia" w:ascii="Times New Roman" w:hAnsi="Times New Roman" w:eastAsia="宋体" w:cs="Times New Roman"/>
                      <w:color w:val="auto"/>
                      <w:spacing w:val="0"/>
                      <w:kern w:val="0"/>
                      <w:position w:val="0"/>
                      <w:sz w:val="21"/>
                      <w:szCs w:val="21"/>
                      <w:highlight w:val="none"/>
                      <w:lang w:val="en-US" w:eastAsia="zh-CN" w:bidi="ar"/>
                    </w:rPr>
                    <w:t>）的重点污染防治区进行防渗设计，可采用混凝土地坪</w:t>
                  </w:r>
                  <w:r>
                    <w:rPr>
                      <w:rFonts w:hint="default" w:ascii="Times New Roman" w:hAnsi="Times New Roman" w:eastAsia="宋体" w:cs="Times New Roman"/>
                      <w:color w:val="auto"/>
                      <w:spacing w:val="0"/>
                      <w:kern w:val="0"/>
                      <w:position w:val="0"/>
                      <w:sz w:val="21"/>
                      <w:szCs w:val="21"/>
                      <w:highlight w:val="none"/>
                      <w:lang w:val="en-US" w:eastAsia="zh-CN" w:bidi="ar"/>
                    </w:rPr>
                    <w:t>+</w:t>
                  </w:r>
                  <w:r>
                    <w:rPr>
                      <w:rFonts w:hint="eastAsia" w:ascii="Times New Roman" w:hAnsi="Times New Roman" w:eastAsia="宋体" w:cs="Times New Roman"/>
                      <w:color w:val="auto"/>
                      <w:spacing w:val="0"/>
                      <w:kern w:val="0"/>
                      <w:position w:val="0"/>
                      <w:sz w:val="21"/>
                      <w:szCs w:val="21"/>
                      <w:highlight w:val="none"/>
                      <w:lang w:val="en-US" w:eastAsia="zh-CN" w:bidi="ar"/>
                    </w:rPr>
                    <w:t>环氧树脂涂层进行处理。</w:t>
                  </w:r>
                </w:p>
              </w:tc>
            </w:tr>
            <w:tr w14:paraId="7099219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52" w:type="dxa"/>
                  <w:tcBorders>
                    <w:tl2br w:val="nil"/>
                    <w:tr2bl w:val="nil"/>
                  </w:tcBorders>
                  <w:noWrap w:val="0"/>
                  <w:vAlign w:val="center"/>
                </w:tcPr>
                <w:p w14:paraId="45605072">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2</w:t>
                  </w:r>
                </w:p>
              </w:tc>
              <w:tc>
                <w:tcPr>
                  <w:tcW w:w="1525" w:type="dxa"/>
                  <w:tcBorders>
                    <w:tl2br w:val="nil"/>
                    <w:tr2bl w:val="nil"/>
                  </w:tcBorders>
                  <w:noWrap w:val="0"/>
                  <w:vAlign w:val="center"/>
                </w:tcPr>
                <w:p w14:paraId="6AE50CD3">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一般防渗区</w:t>
                  </w:r>
                </w:p>
              </w:tc>
              <w:tc>
                <w:tcPr>
                  <w:tcW w:w="2025" w:type="dxa"/>
                  <w:tcBorders>
                    <w:tl2br w:val="nil"/>
                    <w:tr2bl w:val="nil"/>
                  </w:tcBorders>
                  <w:noWrap w:val="0"/>
                  <w:vAlign w:val="center"/>
                </w:tcPr>
                <w:p w14:paraId="1DD49C2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color w:val="auto"/>
                      <w:sz w:val="21"/>
                      <w:szCs w:val="21"/>
                      <w:highlight w:val="none"/>
                      <w:lang w:val="en-US" w:eastAsia="zh-CN"/>
                    </w:rPr>
                    <w:t>一般</w:t>
                  </w:r>
                  <w:r>
                    <w:rPr>
                      <w:color w:val="auto"/>
                      <w:sz w:val="21"/>
                      <w:szCs w:val="21"/>
                      <w:highlight w:val="none"/>
                    </w:rPr>
                    <w:t>生产车间、成品</w:t>
                  </w:r>
                  <w:r>
                    <w:rPr>
                      <w:rFonts w:hint="eastAsia"/>
                      <w:color w:val="auto"/>
                      <w:sz w:val="21"/>
                      <w:szCs w:val="21"/>
                      <w:highlight w:val="none"/>
                    </w:rPr>
                    <w:t>区</w:t>
                  </w:r>
                  <w:r>
                    <w:rPr>
                      <w:color w:val="auto"/>
                      <w:sz w:val="21"/>
                      <w:szCs w:val="21"/>
                      <w:highlight w:val="none"/>
                    </w:rPr>
                    <w:t>、</w:t>
                  </w:r>
                  <w:r>
                    <w:rPr>
                      <w:rFonts w:hint="eastAsia" w:ascii="Times New Roman" w:hAnsi="Times New Roman" w:eastAsia="宋体"/>
                      <w:color w:val="auto"/>
                      <w:sz w:val="21"/>
                      <w:szCs w:val="21"/>
                      <w:highlight w:val="none"/>
                      <w:lang w:val="en-US" w:eastAsia="zh-CN"/>
                    </w:rPr>
                    <w:t>原料</w:t>
                  </w:r>
                  <w:r>
                    <w:rPr>
                      <w:rFonts w:hint="eastAsia"/>
                      <w:color w:val="auto"/>
                      <w:sz w:val="21"/>
                      <w:szCs w:val="21"/>
                      <w:highlight w:val="none"/>
                      <w:lang w:val="en-US" w:eastAsia="zh-CN"/>
                    </w:rPr>
                    <w:t>区、</w:t>
                  </w:r>
                  <w:r>
                    <w:rPr>
                      <w:rFonts w:hint="eastAsia" w:ascii="Times New Roman" w:hAnsi="Times New Roman" w:eastAsia="宋体" w:cs="Times New Roman"/>
                      <w:color w:val="auto"/>
                      <w:spacing w:val="0"/>
                      <w:highlight w:val="none"/>
                      <w:lang w:val="en-US" w:eastAsia="zh-CN"/>
                    </w:rPr>
                    <w:t>化粪池</w:t>
                  </w:r>
                  <w:r>
                    <w:rPr>
                      <w:rFonts w:hint="eastAsia" w:ascii="Times New Roman" w:hAnsi="Times New Roman" w:eastAsia="宋体" w:cs="Times New Roman"/>
                      <w:color w:val="auto"/>
                      <w:spacing w:val="0"/>
                      <w:kern w:val="0"/>
                      <w:sz w:val="21"/>
                      <w:szCs w:val="21"/>
                      <w:highlight w:val="none"/>
                      <w:lang w:val="en-US" w:eastAsia="zh-CN" w:bidi="ar"/>
                    </w:rPr>
                    <w:t>及配套管网、</w:t>
                  </w:r>
                  <w:r>
                    <w:rPr>
                      <w:rFonts w:hint="eastAsia" w:cs="Times New Roman"/>
                      <w:color w:val="auto"/>
                      <w:spacing w:val="0"/>
                      <w:kern w:val="0"/>
                      <w:sz w:val="21"/>
                      <w:szCs w:val="21"/>
                      <w:highlight w:val="none"/>
                      <w:lang w:val="en-US" w:eastAsia="zh-CN" w:bidi="ar"/>
                    </w:rPr>
                    <w:t>一般固废间等</w:t>
                  </w:r>
                </w:p>
              </w:tc>
              <w:tc>
                <w:tcPr>
                  <w:tcW w:w="4222" w:type="dxa"/>
                  <w:tcBorders>
                    <w:tl2br w:val="nil"/>
                    <w:tr2bl w:val="nil"/>
                  </w:tcBorders>
                  <w:noWrap w:val="0"/>
                  <w:vAlign w:val="center"/>
                </w:tcPr>
                <w:p w14:paraId="704E0E97">
                  <w:pPr>
                    <w:keepNext w:val="0"/>
                    <w:keepLines w:val="0"/>
                    <w:pageBreakBefore w:val="0"/>
                    <w:widowControl/>
                    <w:suppressLineNumbers w:val="0"/>
                    <w:kinsoku w:val="0"/>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bidi="ar"/>
                    </w:rPr>
                    <w:t>防渗混凝土，防渗系数K</w:t>
                  </w:r>
                  <w:r>
                    <w:rPr>
                      <w:rFonts w:hint="default" w:ascii="Times New Roman" w:hAnsi="Times New Roman" w:eastAsia="宋体" w:cs="Times New Roman"/>
                      <w:color w:val="auto"/>
                      <w:spacing w:val="0"/>
                      <w:kern w:val="0"/>
                      <w:position w:val="0"/>
                      <w:sz w:val="21"/>
                      <w:szCs w:val="21"/>
                      <w:highlight w:val="none"/>
                      <w:lang w:val="en-US" w:eastAsia="zh-CN" w:bidi="ar"/>
                    </w:rPr>
                    <w:t>≤</w:t>
                  </w:r>
                  <w:r>
                    <w:rPr>
                      <w:rFonts w:hint="eastAsia" w:ascii="Times New Roman" w:hAnsi="Times New Roman" w:eastAsia="宋体" w:cs="Times New Roman"/>
                      <w:color w:val="auto"/>
                      <w:spacing w:val="0"/>
                      <w:kern w:val="0"/>
                      <w:position w:val="0"/>
                      <w:sz w:val="21"/>
                      <w:szCs w:val="21"/>
                      <w:highlight w:val="none"/>
                      <w:lang w:val="en-US" w:eastAsia="zh-CN" w:bidi="ar"/>
                    </w:rPr>
                    <w:t>10</w:t>
                  </w:r>
                  <w:r>
                    <w:rPr>
                      <w:rFonts w:hint="eastAsia" w:ascii="Times New Roman" w:hAnsi="Times New Roman" w:eastAsia="宋体" w:cs="Times New Roman"/>
                      <w:color w:val="auto"/>
                      <w:spacing w:val="0"/>
                      <w:kern w:val="0"/>
                      <w:position w:val="0"/>
                      <w:sz w:val="21"/>
                      <w:szCs w:val="21"/>
                      <w:highlight w:val="none"/>
                      <w:vertAlign w:val="superscript"/>
                      <w:lang w:val="en-US" w:eastAsia="zh-CN" w:bidi="ar"/>
                    </w:rPr>
                    <w:t>-7</w:t>
                  </w:r>
                  <w:r>
                    <w:rPr>
                      <w:rFonts w:hint="eastAsia" w:ascii="Times New Roman" w:hAnsi="Times New Roman" w:eastAsia="宋体" w:cs="Times New Roman"/>
                      <w:color w:val="auto"/>
                      <w:spacing w:val="0"/>
                      <w:kern w:val="0"/>
                      <w:position w:val="0"/>
                      <w:sz w:val="21"/>
                      <w:szCs w:val="21"/>
                      <w:highlight w:val="none"/>
                      <w:lang w:val="en-US" w:eastAsia="zh-CN" w:bidi="ar"/>
                    </w:rPr>
                    <w:t>cm/s。或者参照</w:t>
                  </w:r>
                  <w:r>
                    <w:rPr>
                      <w:rFonts w:ascii="Times New Roman" w:hAnsi="Times New Roman" w:eastAsia="宋体" w:cs="Times New Roman"/>
                      <w:color w:val="auto"/>
                      <w:spacing w:val="0"/>
                      <w:position w:val="0"/>
                      <w:szCs w:val="21"/>
                      <w:highlight w:val="none"/>
                    </w:rPr>
                    <w:t>《一般工业固体废物贮存和填埋污染控制标准》</w:t>
                  </w:r>
                  <w:r>
                    <w:rPr>
                      <w:rFonts w:ascii="Times New Roman" w:hAnsi="Times New Roman" w:eastAsia="宋体" w:cs="Times New Roman"/>
                      <w:color w:val="auto"/>
                      <w:spacing w:val="0"/>
                      <w:kern w:val="0"/>
                      <w:position w:val="0"/>
                      <w:szCs w:val="21"/>
                      <w:highlight w:val="none"/>
                      <w:lang w:bidi="ar"/>
                    </w:rPr>
                    <w:t>（GB18599-2020）</w:t>
                  </w:r>
                  <w:r>
                    <w:rPr>
                      <w:rFonts w:hint="eastAsia" w:ascii="Times New Roman" w:hAnsi="Times New Roman" w:eastAsia="宋体" w:cs="Times New Roman"/>
                      <w:color w:val="auto"/>
                      <w:spacing w:val="0"/>
                      <w:kern w:val="0"/>
                      <w:position w:val="0"/>
                      <w:sz w:val="21"/>
                      <w:szCs w:val="21"/>
                      <w:highlight w:val="none"/>
                      <w:lang w:val="en-US" w:eastAsia="zh-CN" w:bidi="ar"/>
                    </w:rPr>
                    <w:t>和《石油化工企业防渗设计通则》（</w:t>
                  </w:r>
                  <w:r>
                    <w:rPr>
                      <w:rFonts w:hint="default" w:ascii="Times New Roman" w:hAnsi="Times New Roman" w:eastAsia="宋体" w:cs="Times New Roman"/>
                      <w:color w:val="auto"/>
                      <w:spacing w:val="0"/>
                      <w:kern w:val="0"/>
                      <w:position w:val="0"/>
                      <w:sz w:val="21"/>
                      <w:szCs w:val="21"/>
                      <w:highlight w:val="none"/>
                      <w:lang w:val="en-US" w:eastAsia="zh-CN" w:bidi="ar"/>
                    </w:rPr>
                    <w:t>QSY1303-2010</w:t>
                  </w:r>
                  <w:r>
                    <w:rPr>
                      <w:rFonts w:hint="eastAsia" w:ascii="Times New Roman" w:hAnsi="Times New Roman" w:eastAsia="宋体" w:cs="Times New Roman"/>
                      <w:color w:val="auto"/>
                      <w:spacing w:val="0"/>
                      <w:kern w:val="0"/>
                      <w:position w:val="0"/>
                      <w:sz w:val="21"/>
                      <w:szCs w:val="21"/>
                      <w:highlight w:val="none"/>
                      <w:lang w:val="en-US" w:eastAsia="zh-CN" w:bidi="ar"/>
                    </w:rPr>
                    <w:t>）的一般污染防治区进行防渗设计。</w:t>
                  </w:r>
                </w:p>
              </w:tc>
            </w:tr>
            <w:tr w14:paraId="4CB4EFE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52" w:type="dxa"/>
                  <w:tcBorders>
                    <w:tl2br w:val="nil"/>
                    <w:tr2bl w:val="nil"/>
                  </w:tcBorders>
                  <w:noWrap w:val="0"/>
                  <w:vAlign w:val="center"/>
                </w:tcPr>
                <w:p w14:paraId="667F3871">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3</w:t>
                  </w:r>
                </w:p>
              </w:tc>
              <w:tc>
                <w:tcPr>
                  <w:tcW w:w="1525" w:type="dxa"/>
                  <w:tcBorders>
                    <w:tl2br w:val="nil"/>
                    <w:tr2bl w:val="nil"/>
                  </w:tcBorders>
                  <w:noWrap w:val="0"/>
                  <w:vAlign w:val="center"/>
                </w:tcPr>
                <w:p w14:paraId="1939BF93">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非污染防治区</w:t>
                  </w:r>
                </w:p>
              </w:tc>
              <w:tc>
                <w:tcPr>
                  <w:tcW w:w="2025" w:type="dxa"/>
                  <w:tcBorders>
                    <w:tl2br w:val="nil"/>
                    <w:tr2bl w:val="nil"/>
                  </w:tcBorders>
                  <w:noWrap w:val="0"/>
                  <w:vAlign w:val="center"/>
                </w:tcPr>
                <w:p w14:paraId="2AE746C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kern w:val="0"/>
                      <w:position w:val="0"/>
                      <w:sz w:val="21"/>
                      <w:szCs w:val="21"/>
                      <w:highlight w:val="none"/>
                      <w:lang w:val="en-US" w:eastAsia="zh-CN" w:bidi="ar"/>
                    </w:rPr>
                  </w:pPr>
                  <w:r>
                    <w:rPr>
                      <w:rFonts w:hint="eastAsia" w:ascii="Times New Roman" w:hAnsi="Times New Roman" w:eastAsia="宋体" w:cs="Times New Roman"/>
                      <w:color w:val="auto"/>
                      <w:spacing w:val="0"/>
                      <w:kern w:val="0"/>
                      <w:position w:val="0"/>
                      <w:sz w:val="21"/>
                      <w:szCs w:val="21"/>
                      <w:highlight w:val="none"/>
                      <w:lang w:val="en-US" w:eastAsia="zh-CN" w:bidi="ar"/>
                    </w:rPr>
                    <w:t>办公室、</w:t>
                  </w:r>
                </w:p>
                <w:p w14:paraId="7456C9C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bidi="ar"/>
                    </w:rPr>
                    <w:t>厂</w:t>
                  </w:r>
                  <w:r>
                    <w:rPr>
                      <w:rFonts w:hint="eastAsia" w:cs="Times New Roman"/>
                      <w:color w:val="auto"/>
                      <w:spacing w:val="0"/>
                      <w:kern w:val="0"/>
                      <w:position w:val="0"/>
                      <w:sz w:val="21"/>
                      <w:szCs w:val="21"/>
                      <w:highlight w:val="none"/>
                      <w:lang w:val="en-US" w:eastAsia="zh-CN" w:bidi="ar"/>
                    </w:rPr>
                    <w:t>房过道</w:t>
                  </w:r>
                </w:p>
              </w:tc>
              <w:tc>
                <w:tcPr>
                  <w:tcW w:w="4222" w:type="dxa"/>
                  <w:tcBorders>
                    <w:tl2br w:val="nil"/>
                    <w:tr2bl w:val="nil"/>
                  </w:tcBorders>
                  <w:noWrap w:val="0"/>
                  <w:vAlign w:val="center"/>
                </w:tcPr>
                <w:p w14:paraId="57604D63">
                  <w:pPr>
                    <w:pStyle w:val="1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lang w:val="en-US" w:eastAsia="zh-CN"/>
                    </w:rPr>
                    <w:t>地面硬化</w:t>
                  </w:r>
                </w:p>
              </w:tc>
            </w:tr>
          </w:tbl>
          <w:p w14:paraId="21EB4383">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highlight w:val="none"/>
                <w:lang w:val="en-US" w:eastAsia="zh-CN" w:bidi="ar"/>
              </w:rPr>
            </w:pPr>
            <w:r>
              <w:rPr>
                <w:rFonts w:ascii="Times New Roman" w:hAnsi="Times New Roman" w:eastAsia="宋体" w:cs="Times New Roman"/>
                <w:b w:val="0"/>
                <w:bCs w:val="0"/>
                <w:color w:val="auto"/>
                <w:spacing w:val="0"/>
                <w:position w:val="0"/>
                <w:sz w:val="24"/>
                <w:szCs w:val="24"/>
                <w:highlight w:val="none"/>
              </w:rPr>
              <w:t>综上，在严格落实以上分区防控措施的情况下，且项目在生产运营期间，加强车间管理，对员工进行培训，确保生产过程中不会发生物料泄漏，若发生地面破裂应及时更换或修补。通过采取上述措施，本项目建设一般不会对周边地下水、土壤环境造成不利影响</w:t>
            </w:r>
            <w:r>
              <w:rPr>
                <w:rFonts w:hint="eastAsia" w:ascii="Times New Roman" w:hAnsi="Times New Roman" w:eastAsia="宋体" w:cs="Times New Roman"/>
                <w:color w:val="auto"/>
                <w:spacing w:val="0"/>
                <w:kern w:val="0"/>
                <w:position w:val="0"/>
                <w:sz w:val="24"/>
                <w:szCs w:val="24"/>
                <w:highlight w:val="none"/>
                <w:lang w:val="en-US" w:eastAsia="zh-CN" w:bidi="ar"/>
              </w:rPr>
              <w:t>。</w:t>
            </w:r>
          </w:p>
          <w:p w14:paraId="34B33633">
            <w:pPr>
              <w:pStyle w:val="27"/>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firstLineChars="200"/>
              <w:textAlignment w:val="auto"/>
              <w:rPr>
                <w:rFonts w:hint="eastAsia" w:ascii="Times New Roman" w:hAnsi="Times New Roman" w:eastAsia="宋体" w:cs="Times New Roman"/>
                <w:b w:val="0"/>
                <w:bCs w:val="0"/>
                <w:color w:val="auto"/>
                <w:kern w:val="2"/>
                <w:sz w:val="24"/>
                <w:szCs w:val="24"/>
                <w:highlight w:val="none"/>
                <w:u w:val="none"/>
                <w:lang w:val="en-US" w:eastAsia="zh-CN" w:bidi="ar"/>
              </w:rPr>
            </w:pPr>
            <w:r>
              <w:rPr>
                <w:rFonts w:hint="eastAsia" w:ascii="Times New Roman" w:hAnsi="Times New Roman" w:eastAsia="宋体" w:cs="Times New Roman"/>
                <w:b/>
                <w:bCs/>
                <w:color w:val="auto"/>
                <w:kern w:val="2"/>
                <w:sz w:val="24"/>
                <w:szCs w:val="24"/>
                <w:highlight w:val="none"/>
                <w:u w:val="none"/>
                <w:lang w:val="en-US" w:eastAsia="zh-CN" w:bidi="ar"/>
              </w:rPr>
              <w:t>（3）跟踪监测要求</w:t>
            </w:r>
          </w:p>
          <w:p w14:paraId="12393FEC">
            <w:pPr>
              <w:pStyle w:val="3"/>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Times New Roman"/>
                <w:b w:val="0"/>
                <w:bCs w:val="0"/>
                <w:color w:val="auto"/>
                <w:kern w:val="2"/>
                <w:sz w:val="24"/>
                <w:szCs w:val="24"/>
                <w:highlight w:val="none"/>
                <w:u w:val="none"/>
                <w:lang w:val="en-US" w:eastAsia="zh-CN" w:bidi="ar"/>
              </w:rPr>
            </w:pPr>
            <w:r>
              <w:rPr>
                <w:rFonts w:hint="eastAsia" w:ascii="Times New Roman" w:hAnsi="Times New Roman" w:eastAsia="宋体" w:cs="Times New Roman"/>
                <w:b w:val="0"/>
                <w:bCs w:val="0"/>
                <w:color w:val="auto"/>
                <w:kern w:val="2"/>
                <w:sz w:val="24"/>
                <w:szCs w:val="24"/>
                <w:highlight w:val="none"/>
                <w:u w:val="none"/>
                <w:lang w:val="en-US" w:eastAsia="zh-CN" w:bidi="ar"/>
              </w:rPr>
              <w:t>经上述分析，建设单位在实际生产过程中及时做好排查工作，做好车间地面硬化工作，在不露天堆放物料的情况下，项目不会存在渗漏污染地下水、土壤的情况，项目运行期间对地下水、土壤无污染影响途径，无需布设跟踪监测点。</w:t>
            </w:r>
          </w:p>
          <w:p w14:paraId="68ED7914">
            <w:pPr>
              <w:pStyle w:val="3"/>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ascii="Times New Roman" w:hAnsi="Times New Roman" w:eastAsia="宋体" w:cs="Times New Roman"/>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4.</w:t>
            </w:r>
            <w:r>
              <w:rPr>
                <w:rFonts w:hint="eastAsia" w:ascii="Times New Roman" w:hAnsi="Times New Roman" w:eastAsia="宋体" w:cs="Times New Roman"/>
                <w:color w:val="auto"/>
                <w:spacing w:val="0"/>
                <w:position w:val="0"/>
                <w:sz w:val="24"/>
                <w:szCs w:val="24"/>
                <w:highlight w:val="none"/>
              </w:rPr>
              <w:t>6</w:t>
            </w:r>
            <w:r>
              <w:rPr>
                <w:rFonts w:ascii="Times New Roman" w:hAnsi="Times New Roman" w:eastAsia="宋体" w:cs="Times New Roman"/>
                <w:color w:val="auto"/>
                <w:spacing w:val="0"/>
                <w:position w:val="0"/>
                <w:sz w:val="24"/>
                <w:szCs w:val="24"/>
                <w:highlight w:val="none"/>
              </w:rPr>
              <w:t>环境风险分析</w:t>
            </w:r>
            <w:bookmarkEnd w:id="53"/>
            <w:bookmarkEnd w:id="54"/>
          </w:p>
          <w:p w14:paraId="1D0F19EA">
            <w:pPr>
              <w:pStyle w:val="1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auto"/>
                <w:spacing w:val="0"/>
                <w:position w:val="0"/>
                <w:sz w:val="24"/>
                <w:szCs w:val="24"/>
                <w:highlight w:val="none"/>
              </w:rPr>
            </w:pPr>
            <w:r>
              <w:rPr>
                <w:rFonts w:ascii="Times New Roman" w:hAnsi="Times New Roman" w:eastAsia="宋体" w:cs="Times New Roman"/>
                <w:b/>
                <w:bCs/>
                <w:color w:val="auto"/>
                <w:spacing w:val="0"/>
                <w:position w:val="0"/>
                <w:sz w:val="24"/>
                <w:szCs w:val="24"/>
                <w:highlight w:val="none"/>
              </w:rPr>
              <w:t>4.6.1环境风险识别</w:t>
            </w:r>
          </w:p>
          <w:p w14:paraId="01031413">
            <w:pPr>
              <w:pStyle w:val="63"/>
              <w:pageBreakBefore w:val="0"/>
              <w:kinsoku/>
              <w:wordWrap/>
              <w:overflowPunct/>
              <w:topLinePunct w:val="0"/>
              <w:autoSpaceDE/>
              <w:autoSpaceDN/>
              <w:bidi w:val="0"/>
              <w:spacing w:line="360" w:lineRule="auto"/>
              <w:textAlignment w:val="auto"/>
              <w:rPr>
                <w:rFonts w:hint="eastAsia" w:ascii="Times New Roman" w:hAnsi="Times New Roman" w:eastAsia="宋体" w:cs="Times New Roman"/>
                <w:color w:val="auto"/>
                <w:spacing w:val="0"/>
                <w:position w:val="0"/>
                <w:highlight w:val="none"/>
              </w:rPr>
            </w:pPr>
            <w:r>
              <w:rPr>
                <w:rFonts w:hint="eastAsia" w:ascii="Times New Roman" w:hAnsi="Times New Roman" w:eastAsia="宋体" w:cs="Times New Roman"/>
                <w:color w:val="auto"/>
                <w:spacing w:val="0"/>
                <w:position w:val="0"/>
                <w:highlight w:val="none"/>
              </w:rPr>
              <w:t xml:space="preserve">（1）建设项目风险源调查 </w:t>
            </w:r>
          </w:p>
          <w:p w14:paraId="33C87434">
            <w:pPr>
              <w:pStyle w:val="63"/>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spacing w:val="0"/>
                <w:position w:val="0"/>
                <w:highlight w:val="none"/>
              </w:rPr>
            </w:pPr>
            <w:r>
              <w:rPr>
                <w:rFonts w:hint="eastAsia" w:ascii="Times New Roman" w:hAnsi="Times New Roman" w:eastAsia="宋体" w:cs="Times New Roman"/>
                <w:color w:val="auto"/>
                <w:spacing w:val="0"/>
                <w:position w:val="0"/>
                <w:highlight w:val="none"/>
              </w:rPr>
              <w:t>项目生产工艺较为简单，根据《建设项目环境风险评价技术导则》（HJ169-2018），本项目生产工艺均为常压状态，作业不属于高压的工艺等。同时参考《危险化学品重大危险源辨识》（GB 18218-2018），项目重点关注的风险物质数量及主要分布情况具体见下表。</w:t>
            </w:r>
          </w:p>
          <w:p w14:paraId="150575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highlight w:val="none"/>
              </w:rPr>
            </w:pPr>
            <w:r>
              <w:rPr>
                <w:rFonts w:ascii="Times New Roman" w:hAnsi="Times New Roman" w:eastAsia="宋体" w:cs="Times New Roman"/>
                <w:b/>
                <w:bCs/>
                <w:color w:val="auto"/>
                <w:spacing w:val="0"/>
                <w:position w:val="0"/>
                <w:sz w:val="24"/>
                <w:highlight w:val="none"/>
              </w:rPr>
              <w:t>表4</w:t>
            </w:r>
            <w:r>
              <w:rPr>
                <w:rFonts w:hint="eastAsia" w:ascii="Times New Roman" w:hAnsi="Times New Roman" w:eastAsia="宋体" w:cs="Times New Roman"/>
                <w:b/>
                <w:bCs/>
                <w:color w:val="auto"/>
                <w:spacing w:val="0"/>
                <w:position w:val="0"/>
                <w:sz w:val="24"/>
                <w:highlight w:val="none"/>
                <w:lang w:val="en-US" w:eastAsia="zh-CN"/>
              </w:rPr>
              <w:t>.</w:t>
            </w:r>
            <w:r>
              <w:rPr>
                <w:rFonts w:hint="eastAsia" w:cs="Times New Roman"/>
                <w:b/>
                <w:bCs/>
                <w:color w:val="auto"/>
                <w:spacing w:val="0"/>
                <w:position w:val="0"/>
                <w:sz w:val="24"/>
                <w:highlight w:val="none"/>
                <w:lang w:val="en-US" w:eastAsia="zh-CN"/>
              </w:rPr>
              <w:t>6</w:t>
            </w:r>
            <w:r>
              <w:rPr>
                <w:rFonts w:hint="eastAsia" w:ascii="Times New Roman" w:hAnsi="Times New Roman" w:eastAsia="宋体" w:cs="Times New Roman"/>
                <w:b/>
                <w:bCs/>
                <w:color w:val="auto"/>
                <w:spacing w:val="0"/>
                <w:position w:val="0"/>
                <w:sz w:val="24"/>
                <w:highlight w:val="none"/>
                <w:lang w:val="en-US" w:eastAsia="zh-CN"/>
              </w:rPr>
              <w:t>-</w:t>
            </w:r>
            <w:r>
              <w:rPr>
                <w:rFonts w:hint="eastAsia" w:cs="Times New Roman"/>
                <w:b/>
                <w:bCs/>
                <w:color w:val="auto"/>
                <w:spacing w:val="0"/>
                <w:position w:val="0"/>
                <w:sz w:val="24"/>
                <w:highlight w:val="none"/>
                <w:lang w:val="en-US" w:eastAsia="zh-CN"/>
              </w:rPr>
              <w:t>1</w:t>
            </w:r>
            <w:r>
              <w:rPr>
                <w:rFonts w:hint="default" w:ascii="Times New Roman" w:hAnsi="Times New Roman" w:eastAsia="宋体" w:cs="Times New Roman"/>
                <w:b/>
                <w:bCs/>
                <w:color w:val="auto"/>
                <w:sz w:val="24"/>
                <w:szCs w:val="24"/>
                <w:highlight w:val="none"/>
              </w:rPr>
              <w:t>各单元主要风险物质一览表</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65"/>
              <w:gridCol w:w="913"/>
              <w:gridCol w:w="839"/>
              <w:gridCol w:w="759"/>
              <w:gridCol w:w="1886"/>
              <w:gridCol w:w="1220"/>
              <w:gridCol w:w="1042"/>
            </w:tblGrid>
            <w:tr w14:paraId="625634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tcBorders>
                    <w:tl2br w:val="nil"/>
                    <w:tr2bl w:val="nil"/>
                  </w:tcBorders>
                  <w:noWrap w:val="0"/>
                  <w:vAlign w:val="center"/>
                </w:tcPr>
                <w:p w14:paraId="1E64CBA0">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物质名称</w:t>
                  </w:r>
                </w:p>
              </w:tc>
              <w:tc>
                <w:tcPr>
                  <w:tcW w:w="913" w:type="dxa"/>
                  <w:tcBorders>
                    <w:tl2br w:val="nil"/>
                    <w:tr2bl w:val="nil"/>
                  </w:tcBorders>
                  <w:noWrap w:val="0"/>
                  <w:vAlign w:val="center"/>
                </w:tcPr>
                <w:p w14:paraId="246F66D4">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rPr>
                  </w:pPr>
                  <w:r>
                    <w:rPr>
                      <w:rFonts w:hint="eastAsia" w:ascii="Times New Roman" w:hAnsi="Times New Roman" w:eastAsia="宋体" w:cs="Times New Roman"/>
                      <w:b/>
                      <w:bCs/>
                      <w:color w:val="auto"/>
                      <w:sz w:val="21"/>
                      <w:szCs w:val="21"/>
                      <w:highlight w:val="none"/>
                      <w:vertAlign w:val="baseline"/>
                      <w:lang w:val="en-US" w:eastAsia="zh-CN"/>
                    </w:rPr>
                    <w:t>年用量t</w:t>
                  </w:r>
                </w:p>
              </w:tc>
              <w:tc>
                <w:tcPr>
                  <w:tcW w:w="839" w:type="dxa"/>
                  <w:tcBorders>
                    <w:tl2br w:val="nil"/>
                    <w:tr2bl w:val="nil"/>
                  </w:tcBorders>
                  <w:noWrap w:val="0"/>
                  <w:vAlign w:val="center"/>
                </w:tcPr>
                <w:p w14:paraId="777FB79D">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最大储</w:t>
                  </w:r>
                </w:p>
                <w:p w14:paraId="7E6D87B8">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存量t</w:t>
                  </w:r>
                </w:p>
              </w:tc>
              <w:tc>
                <w:tcPr>
                  <w:tcW w:w="759" w:type="dxa"/>
                  <w:tcBorders>
                    <w:tl2br w:val="nil"/>
                    <w:tr2bl w:val="nil"/>
                  </w:tcBorders>
                  <w:noWrap w:val="0"/>
                  <w:vAlign w:val="center"/>
                </w:tcPr>
                <w:p w14:paraId="7061776E">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形态</w:t>
                  </w:r>
                </w:p>
              </w:tc>
              <w:tc>
                <w:tcPr>
                  <w:tcW w:w="1886" w:type="dxa"/>
                  <w:tcBorders>
                    <w:tl2br w:val="nil"/>
                    <w:tr2bl w:val="nil"/>
                  </w:tcBorders>
                  <w:noWrap w:val="0"/>
                  <w:vAlign w:val="center"/>
                </w:tcPr>
                <w:p w14:paraId="110CA780">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eastAsia="zh-CN"/>
                    </w:rPr>
                  </w:pPr>
                  <w:r>
                    <w:rPr>
                      <w:rFonts w:hint="default" w:ascii="Times New Roman" w:hAnsi="Times New Roman" w:eastAsia="宋体" w:cs="Times New Roman"/>
                      <w:b/>
                      <w:bCs/>
                      <w:color w:val="auto"/>
                      <w:kern w:val="2"/>
                      <w:sz w:val="21"/>
                      <w:szCs w:val="21"/>
                      <w:highlight w:val="none"/>
                      <w:lang w:eastAsia="zh-CN"/>
                    </w:rPr>
                    <w:t>主要</w:t>
                  </w:r>
                  <w:r>
                    <w:rPr>
                      <w:rFonts w:hint="eastAsia" w:ascii="Times New Roman" w:hAnsi="Times New Roman" w:eastAsia="宋体" w:cs="Times New Roman"/>
                      <w:b/>
                      <w:bCs/>
                      <w:color w:val="auto"/>
                      <w:kern w:val="2"/>
                      <w:sz w:val="21"/>
                      <w:szCs w:val="21"/>
                      <w:highlight w:val="none"/>
                      <w:lang w:val="en-US" w:eastAsia="zh-CN"/>
                    </w:rPr>
                    <w:t>危险</w:t>
                  </w:r>
                  <w:r>
                    <w:rPr>
                      <w:rFonts w:hint="default" w:ascii="Times New Roman" w:hAnsi="Times New Roman" w:eastAsia="宋体" w:cs="Times New Roman"/>
                      <w:b/>
                      <w:bCs/>
                      <w:color w:val="auto"/>
                      <w:kern w:val="2"/>
                      <w:sz w:val="21"/>
                      <w:szCs w:val="21"/>
                      <w:highlight w:val="none"/>
                      <w:lang w:eastAsia="zh-CN"/>
                    </w:rPr>
                    <w:t>成分</w:t>
                  </w:r>
                </w:p>
              </w:tc>
              <w:tc>
                <w:tcPr>
                  <w:tcW w:w="1220" w:type="dxa"/>
                  <w:tcBorders>
                    <w:tl2br w:val="nil"/>
                    <w:tr2bl w:val="nil"/>
                  </w:tcBorders>
                  <w:noWrap w:val="0"/>
                  <w:vAlign w:val="center"/>
                </w:tcPr>
                <w:p w14:paraId="02A3DAC2">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lang w:eastAsia="zh-CN"/>
                    </w:rPr>
                    <w:t>主要成分最大储存量</w:t>
                  </w:r>
                  <w:r>
                    <w:rPr>
                      <w:rFonts w:hint="default" w:ascii="Times New Roman" w:hAnsi="Times New Roman" w:eastAsia="宋体" w:cs="Times New Roman"/>
                      <w:b/>
                      <w:bCs/>
                      <w:color w:val="auto"/>
                      <w:kern w:val="2"/>
                      <w:sz w:val="21"/>
                      <w:szCs w:val="21"/>
                      <w:highlight w:val="none"/>
                      <w:lang w:val="en-US" w:eastAsia="zh-CN"/>
                    </w:rPr>
                    <w:t>t</w:t>
                  </w:r>
                </w:p>
              </w:tc>
              <w:tc>
                <w:tcPr>
                  <w:tcW w:w="1042" w:type="dxa"/>
                  <w:tcBorders>
                    <w:tl2br w:val="nil"/>
                    <w:tr2bl w:val="nil"/>
                  </w:tcBorders>
                  <w:noWrap w:val="0"/>
                  <w:vAlign w:val="center"/>
                </w:tcPr>
                <w:p w14:paraId="68599D46">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eastAsia="zh-CN"/>
                    </w:rPr>
                  </w:pPr>
                  <w:r>
                    <w:rPr>
                      <w:rFonts w:hint="eastAsia" w:ascii="Times New Roman" w:hAnsi="Times New Roman" w:eastAsia="宋体" w:cs="Times New Roman"/>
                      <w:b/>
                      <w:bCs/>
                      <w:color w:val="auto"/>
                      <w:sz w:val="21"/>
                      <w:szCs w:val="21"/>
                      <w:highlight w:val="none"/>
                      <w:vertAlign w:val="baseline"/>
                      <w:lang w:val="en-US" w:eastAsia="zh-CN"/>
                    </w:rPr>
                    <w:t>分布情况</w:t>
                  </w:r>
                </w:p>
              </w:tc>
            </w:tr>
            <w:tr w14:paraId="08F9C5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vMerge w:val="restart"/>
                  <w:tcBorders>
                    <w:tl2br w:val="nil"/>
                    <w:tr2bl w:val="nil"/>
                  </w:tcBorders>
                  <w:noWrap w:val="0"/>
                  <w:vAlign w:val="center"/>
                </w:tcPr>
                <w:p w14:paraId="67173DF8">
                  <w:pPr>
                    <w:autoSpaceDE w:val="0"/>
                    <w:autoSpaceDN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b w:val="0"/>
                      <w:bCs/>
                      <w:color w:val="auto"/>
                      <w:spacing w:val="0"/>
                      <w:kern w:val="2"/>
                      <w:position w:val="0"/>
                      <w:sz w:val="21"/>
                      <w:szCs w:val="21"/>
                      <w:highlight w:val="none"/>
                      <w:lang w:val="en-US" w:eastAsia="zh-CN" w:bidi="ar-SA"/>
                    </w:rPr>
                    <w:t>油性漆</w:t>
                  </w:r>
                </w:p>
              </w:tc>
              <w:tc>
                <w:tcPr>
                  <w:tcW w:w="913" w:type="dxa"/>
                  <w:vMerge w:val="restart"/>
                  <w:tcBorders>
                    <w:tl2br w:val="nil"/>
                    <w:tr2bl w:val="nil"/>
                  </w:tcBorders>
                  <w:noWrap w:val="0"/>
                  <w:vAlign w:val="center"/>
                </w:tcPr>
                <w:p w14:paraId="51E8F05C">
                  <w:pPr>
                    <w:autoSpaceDE w:val="0"/>
                    <w:autoSpaceDN w:val="0"/>
                    <w:jc w:val="center"/>
                    <w:rPr>
                      <w:rFonts w:hint="default" w:ascii="Times New Roman" w:hAnsi="Times New Roman" w:eastAsia="宋体" w:cs="Times New Roman"/>
                      <w:color w:val="auto"/>
                      <w:sz w:val="21"/>
                      <w:szCs w:val="21"/>
                      <w:highlight w:val="none"/>
                      <w:lang w:val="en-US" w:eastAsia="zh-CN"/>
                    </w:rPr>
                  </w:pPr>
                </w:p>
              </w:tc>
              <w:tc>
                <w:tcPr>
                  <w:tcW w:w="839" w:type="dxa"/>
                  <w:vMerge w:val="restart"/>
                  <w:tcBorders>
                    <w:tl2br w:val="nil"/>
                    <w:tr2bl w:val="nil"/>
                  </w:tcBorders>
                  <w:noWrap w:val="0"/>
                  <w:vAlign w:val="center"/>
                </w:tcPr>
                <w:p w14:paraId="2E1CB7BD">
                  <w:pPr>
                    <w:autoSpaceDE w:val="0"/>
                    <w:autoSpaceDN w:val="0"/>
                    <w:jc w:val="center"/>
                    <w:rPr>
                      <w:rFonts w:hint="default" w:ascii="Times New Roman" w:hAnsi="Times New Roman" w:eastAsia="宋体" w:cs="Times New Roman"/>
                      <w:color w:val="auto"/>
                      <w:kern w:val="0"/>
                      <w:sz w:val="21"/>
                      <w:szCs w:val="21"/>
                      <w:highlight w:val="none"/>
                      <w:lang w:val="en-US" w:eastAsia="zh-CN" w:bidi="ar-SA"/>
                    </w:rPr>
                  </w:pPr>
                </w:p>
              </w:tc>
              <w:tc>
                <w:tcPr>
                  <w:tcW w:w="759" w:type="dxa"/>
                  <w:vMerge w:val="restart"/>
                  <w:tcBorders>
                    <w:tl2br w:val="nil"/>
                    <w:tr2bl w:val="nil"/>
                  </w:tcBorders>
                  <w:noWrap w:val="0"/>
                  <w:vAlign w:val="center"/>
                </w:tcPr>
                <w:p w14:paraId="525516A9">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液态</w:t>
                  </w:r>
                </w:p>
              </w:tc>
              <w:tc>
                <w:tcPr>
                  <w:tcW w:w="1886" w:type="dxa"/>
                  <w:tcBorders>
                    <w:tl2br w:val="nil"/>
                    <w:tr2bl w:val="nil"/>
                  </w:tcBorders>
                  <w:noWrap w:val="0"/>
                  <w:vAlign w:val="center"/>
                </w:tcPr>
                <w:p w14:paraId="072FF2A6">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cs="Times New Roman"/>
                      <w:i w:val="0"/>
                      <w:iCs w:val="0"/>
                      <w:caps w:val="0"/>
                      <w:color w:val="auto"/>
                      <w:spacing w:val="0"/>
                      <w:sz w:val="21"/>
                      <w:szCs w:val="21"/>
                      <w:highlight w:val="none"/>
                      <w:shd w:val="clear" w:fill="FFFFFF"/>
                      <w:lang w:val="en-US" w:eastAsia="zh-CN"/>
                    </w:rPr>
                    <w:t>乙酯（14</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w:t>
                  </w:r>
                  <w:r>
                    <w:rPr>
                      <w:rFonts w:hint="eastAsia" w:cs="Times New Roman"/>
                      <w:i w:val="0"/>
                      <w:iCs w:val="0"/>
                      <w:caps w:val="0"/>
                      <w:color w:val="auto"/>
                      <w:spacing w:val="0"/>
                      <w:sz w:val="21"/>
                      <w:szCs w:val="21"/>
                      <w:highlight w:val="none"/>
                      <w:shd w:val="clear" w:fill="FFFFFF"/>
                      <w:lang w:val="en-US" w:eastAsia="zh-CN"/>
                    </w:rPr>
                    <w:t>）</w:t>
                  </w:r>
                </w:p>
              </w:tc>
              <w:tc>
                <w:tcPr>
                  <w:tcW w:w="1220" w:type="dxa"/>
                  <w:tcBorders>
                    <w:tl2br w:val="nil"/>
                    <w:tr2bl w:val="nil"/>
                  </w:tcBorders>
                  <w:noWrap w:val="0"/>
                  <w:vAlign w:val="center"/>
                </w:tcPr>
                <w:p w14:paraId="5D575BEB">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highlight w:val="none"/>
                      <w:lang w:val="en-US" w:eastAsia="zh-CN" w:bidi="ar-SA"/>
                    </w:rPr>
                  </w:pPr>
                </w:p>
              </w:tc>
              <w:tc>
                <w:tcPr>
                  <w:tcW w:w="1042" w:type="dxa"/>
                  <w:vMerge w:val="restart"/>
                  <w:tcBorders>
                    <w:tl2br w:val="nil"/>
                    <w:tr2bl w:val="nil"/>
                  </w:tcBorders>
                  <w:noWrap w:val="0"/>
                  <w:vAlign w:val="center"/>
                </w:tcPr>
                <w:p w14:paraId="5373DA2E">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化学品</w:t>
                  </w:r>
                </w:p>
                <w:p w14:paraId="00FE774A">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仓库</w:t>
                  </w:r>
                </w:p>
              </w:tc>
            </w:tr>
            <w:tr w14:paraId="3265EB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vMerge w:val="continue"/>
                  <w:tcBorders>
                    <w:tl2br w:val="nil"/>
                    <w:tr2bl w:val="nil"/>
                  </w:tcBorders>
                  <w:noWrap w:val="0"/>
                  <w:vAlign w:val="center"/>
                </w:tcPr>
                <w:p w14:paraId="44DD4AE1">
                  <w:pPr>
                    <w:autoSpaceDE w:val="0"/>
                    <w:autoSpaceDN w:val="0"/>
                    <w:jc w:val="center"/>
                    <w:rPr>
                      <w:rFonts w:hint="eastAsia" w:cs="Times New Roman"/>
                      <w:b w:val="0"/>
                      <w:bCs/>
                      <w:color w:val="auto"/>
                      <w:spacing w:val="0"/>
                      <w:kern w:val="2"/>
                      <w:position w:val="0"/>
                      <w:sz w:val="21"/>
                      <w:szCs w:val="21"/>
                      <w:highlight w:val="none"/>
                      <w:lang w:val="en-US" w:eastAsia="zh-CN" w:bidi="ar-SA"/>
                    </w:rPr>
                  </w:pPr>
                </w:p>
              </w:tc>
              <w:tc>
                <w:tcPr>
                  <w:tcW w:w="913" w:type="dxa"/>
                  <w:vMerge w:val="continue"/>
                  <w:tcBorders>
                    <w:tl2br w:val="nil"/>
                    <w:tr2bl w:val="nil"/>
                  </w:tcBorders>
                  <w:noWrap w:val="0"/>
                  <w:vAlign w:val="center"/>
                </w:tcPr>
                <w:p w14:paraId="25ACBC87">
                  <w:pPr>
                    <w:autoSpaceDE w:val="0"/>
                    <w:autoSpaceDN w:val="0"/>
                    <w:jc w:val="center"/>
                    <w:rPr>
                      <w:rFonts w:hint="eastAsia" w:cs="Times New Roman"/>
                      <w:b w:val="0"/>
                      <w:bCs/>
                      <w:color w:val="auto"/>
                      <w:spacing w:val="0"/>
                      <w:kern w:val="2"/>
                      <w:position w:val="0"/>
                      <w:sz w:val="21"/>
                      <w:szCs w:val="21"/>
                      <w:highlight w:val="none"/>
                      <w:lang w:val="en-US" w:eastAsia="zh-CN" w:bidi="ar-SA"/>
                    </w:rPr>
                  </w:pPr>
                </w:p>
              </w:tc>
              <w:tc>
                <w:tcPr>
                  <w:tcW w:w="839" w:type="dxa"/>
                  <w:vMerge w:val="continue"/>
                  <w:tcBorders>
                    <w:tl2br w:val="nil"/>
                    <w:tr2bl w:val="nil"/>
                  </w:tcBorders>
                  <w:noWrap w:val="0"/>
                  <w:vAlign w:val="center"/>
                </w:tcPr>
                <w:p w14:paraId="1B600BB4">
                  <w:pPr>
                    <w:autoSpaceDE w:val="0"/>
                    <w:autoSpaceDN w:val="0"/>
                    <w:jc w:val="center"/>
                    <w:rPr>
                      <w:rFonts w:hint="eastAsia" w:cs="Times New Roman"/>
                      <w:b w:val="0"/>
                      <w:bCs/>
                      <w:color w:val="auto"/>
                      <w:spacing w:val="0"/>
                      <w:kern w:val="2"/>
                      <w:position w:val="0"/>
                      <w:sz w:val="21"/>
                      <w:szCs w:val="21"/>
                      <w:highlight w:val="none"/>
                      <w:lang w:val="en-US" w:eastAsia="zh-CN" w:bidi="ar-SA"/>
                    </w:rPr>
                  </w:pPr>
                </w:p>
              </w:tc>
              <w:tc>
                <w:tcPr>
                  <w:tcW w:w="759" w:type="dxa"/>
                  <w:vMerge w:val="continue"/>
                  <w:tcBorders>
                    <w:tl2br w:val="nil"/>
                    <w:tr2bl w:val="nil"/>
                  </w:tcBorders>
                  <w:noWrap w:val="0"/>
                  <w:vAlign w:val="center"/>
                </w:tcPr>
                <w:p w14:paraId="3114E807">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1886" w:type="dxa"/>
                  <w:tcBorders>
                    <w:tl2br w:val="nil"/>
                    <w:tr2bl w:val="nil"/>
                  </w:tcBorders>
                  <w:noWrap w:val="0"/>
                  <w:vAlign w:val="center"/>
                </w:tcPr>
                <w:p w14:paraId="5BFD90C2">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cs="Times New Roman"/>
                      <w:i w:val="0"/>
                      <w:iCs w:val="0"/>
                      <w:caps w:val="0"/>
                      <w:color w:val="auto"/>
                      <w:spacing w:val="0"/>
                      <w:sz w:val="21"/>
                      <w:szCs w:val="21"/>
                      <w:highlight w:val="none"/>
                      <w:shd w:val="clear" w:fill="FFFFFF"/>
                      <w:lang w:val="en-US" w:eastAsia="zh-CN"/>
                    </w:rPr>
                  </w:pPr>
                  <w:r>
                    <w:rPr>
                      <w:rFonts w:hint="eastAsia" w:cs="Times New Roman"/>
                      <w:i w:val="0"/>
                      <w:iCs w:val="0"/>
                      <w:caps w:val="0"/>
                      <w:color w:val="auto"/>
                      <w:spacing w:val="0"/>
                      <w:sz w:val="21"/>
                      <w:szCs w:val="21"/>
                      <w:highlight w:val="none"/>
                      <w:shd w:val="clear" w:fill="FFFFFF"/>
                      <w:lang w:val="en-US" w:eastAsia="zh-CN"/>
                    </w:rPr>
                    <w:t>丁酯（5%）</w:t>
                  </w:r>
                </w:p>
              </w:tc>
              <w:tc>
                <w:tcPr>
                  <w:tcW w:w="1220" w:type="dxa"/>
                  <w:tcBorders>
                    <w:tl2br w:val="nil"/>
                    <w:tr2bl w:val="nil"/>
                  </w:tcBorders>
                  <w:noWrap w:val="0"/>
                  <w:vAlign w:val="center"/>
                </w:tcPr>
                <w:p w14:paraId="1EAC8074">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highlight w:val="none"/>
                      <w:lang w:val="en-US" w:eastAsia="zh-CN" w:bidi="ar-SA"/>
                    </w:rPr>
                  </w:pPr>
                </w:p>
              </w:tc>
              <w:tc>
                <w:tcPr>
                  <w:tcW w:w="1042" w:type="dxa"/>
                  <w:vMerge w:val="continue"/>
                  <w:tcBorders>
                    <w:tl2br w:val="nil"/>
                    <w:tr2bl w:val="nil"/>
                  </w:tcBorders>
                  <w:noWrap w:val="0"/>
                  <w:vAlign w:val="center"/>
                </w:tcPr>
                <w:p w14:paraId="7CF95345">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p>
              </w:tc>
            </w:tr>
            <w:tr w14:paraId="26FE08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vMerge w:val="continue"/>
                  <w:tcBorders>
                    <w:tl2br w:val="nil"/>
                    <w:tr2bl w:val="nil"/>
                  </w:tcBorders>
                  <w:noWrap w:val="0"/>
                  <w:vAlign w:val="center"/>
                </w:tcPr>
                <w:p w14:paraId="0846F563">
                  <w:pPr>
                    <w:autoSpaceDE w:val="0"/>
                    <w:autoSpaceDN w:val="0"/>
                    <w:jc w:val="center"/>
                    <w:rPr>
                      <w:rFonts w:hint="eastAsia" w:cs="Times New Roman"/>
                      <w:b w:val="0"/>
                      <w:bCs/>
                      <w:color w:val="auto"/>
                      <w:spacing w:val="0"/>
                      <w:kern w:val="2"/>
                      <w:position w:val="0"/>
                      <w:sz w:val="21"/>
                      <w:szCs w:val="21"/>
                      <w:highlight w:val="none"/>
                      <w:lang w:val="en-US" w:eastAsia="zh-CN" w:bidi="ar-SA"/>
                    </w:rPr>
                  </w:pPr>
                </w:p>
              </w:tc>
              <w:tc>
                <w:tcPr>
                  <w:tcW w:w="913" w:type="dxa"/>
                  <w:vMerge w:val="continue"/>
                  <w:tcBorders>
                    <w:tl2br w:val="nil"/>
                    <w:tr2bl w:val="nil"/>
                  </w:tcBorders>
                  <w:noWrap w:val="0"/>
                  <w:vAlign w:val="center"/>
                </w:tcPr>
                <w:p w14:paraId="4E418858">
                  <w:pPr>
                    <w:autoSpaceDE w:val="0"/>
                    <w:autoSpaceDN w:val="0"/>
                    <w:jc w:val="center"/>
                    <w:rPr>
                      <w:rFonts w:hint="eastAsia" w:cs="Times New Roman"/>
                      <w:b w:val="0"/>
                      <w:bCs/>
                      <w:color w:val="auto"/>
                      <w:spacing w:val="0"/>
                      <w:kern w:val="2"/>
                      <w:position w:val="0"/>
                      <w:sz w:val="21"/>
                      <w:szCs w:val="21"/>
                      <w:highlight w:val="none"/>
                      <w:lang w:val="en-US" w:eastAsia="zh-CN" w:bidi="ar-SA"/>
                    </w:rPr>
                  </w:pPr>
                </w:p>
              </w:tc>
              <w:tc>
                <w:tcPr>
                  <w:tcW w:w="839" w:type="dxa"/>
                  <w:vMerge w:val="continue"/>
                  <w:tcBorders>
                    <w:tl2br w:val="nil"/>
                    <w:tr2bl w:val="nil"/>
                  </w:tcBorders>
                  <w:noWrap w:val="0"/>
                  <w:vAlign w:val="center"/>
                </w:tcPr>
                <w:p w14:paraId="786537E2">
                  <w:pPr>
                    <w:autoSpaceDE w:val="0"/>
                    <w:autoSpaceDN w:val="0"/>
                    <w:jc w:val="center"/>
                    <w:rPr>
                      <w:rFonts w:hint="eastAsia" w:cs="Times New Roman"/>
                      <w:b w:val="0"/>
                      <w:bCs/>
                      <w:color w:val="auto"/>
                      <w:spacing w:val="0"/>
                      <w:kern w:val="2"/>
                      <w:position w:val="0"/>
                      <w:sz w:val="21"/>
                      <w:szCs w:val="21"/>
                      <w:highlight w:val="none"/>
                      <w:lang w:val="en-US" w:eastAsia="zh-CN" w:bidi="ar-SA"/>
                    </w:rPr>
                  </w:pPr>
                </w:p>
              </w:tc>
              <w:tc>
                <w:tcPr>
                  <w:tcW w:w="759" w:type="dxa"/>
                  <w:vMerge w:val="continue"/>
                  <w:tcBorders>
                    <w:tl2br w:val="nil"/>
                    <w:tr2bl w:val="nil"/>
                  </w:tcBorders>
                  <w:noWrap w:val="0"/>
                  <w:vAlign w:val="center"/>
                </w:tcPr>
                <w:p w14:paraId="3D9554F2">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1886" w:type="dxa"/>
                  <w:tcBorders>
                    <w:tl2br w:val="nil"/>
                    <w:tr2bl w:val="nil"/>
                  </w:tcBorders>
                  <w:noWrap w:val="0"/>
                  <w:vAlign w:val="center"/>
                </w:tcPr>
                <w:p w14:paraId="660F9371">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cs="Times New Roman"/>
                      <w:i w:val="0"/>
                      <w:iCs w:val="0"/>
                      <w:caps w:val="0"/>
                      <w:color w:val="auto"/>
                      <w:spacing w:val="0"/>
                      <w:sz w:val="21"/>
                      <w:szCs w:val="21"/>
                      <w:highlight w:val="none"/>
                      <w:shd w:val="clear" w:fill="FFFFFF"/>
                      <w:lang w:val="en-US" w:eastAsia="zh-CN"/>
                    </w:rPr>
                  </w:pPr>
                  <w:r>
                    <w:rPr>
                      <w:rFonts w:hint="eastAsia" w:cs="Times New Roman"/>
                      <w:i w:val="0"/>
                      <w:iCs w:val="0"/>
                      <w:caps w:val="0"/>
                      <w:color w:val="auto"/>
                      <w:spacing w:val="0"/>
                      <w:sz w:val="21"/>
                      <w:szCs w:val="21"/>
                      <w:highlight w:val="none"/>
                      <w:shd w:val="clear" w:fill="FFFFFF"/>
                      <w:lang w:val="en-US" w:eastAsia="zh-CN"/>
                    </w:rPr>
                    <w:t>二甲苯（4%）</w:t>
                  </w:r>
                </w:p>
              </w:tc>
              <w:tc>
                <w:tcPr>
                  <w:tcW w:w="1220" w:type="dxa"/>
                  <w:tcBorders>
                    <w:tl2br w:val="nil"/>
                    <w:tr2bl w:val="nil"/>
                  </w:tcBorders>
                  <w:noWrap w:val="0"/>
                  <w:vAlign w:val="center"/>
                </w:tcPr>
                <w:p w14:paraId="11394854">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highlight w:val="none"/>
                      <w:lang w:val="en-US" w:eastAsia="zh-CN" w:bidi="ar-SA"/>
                    </w:rPr>
                  </w:pPr>
                </w:p>
              </w:tc>
              <w:tc>
                <w:tcPr>
                  <w:tcW w:w="1042" w:type="dxa"/>
                  <w:vMerge w:val="continue"/>
                  <w:tcBorders>
                    <w:tl2br w:val="nil"/>
                    <w:tr2bl w:val="nil"/>
                  </w:tcBorders>
                  <w:noWrap w:val="0"/>
                  <w:vAlign w:val="center"/>
                </w:tcPr>
                <w:p w14:paraId="43B5E34D">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p>
              </w:tc>
            </w:tr>
            <w:tr w14:paraId="327CBA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vMerge w:val="restart"/>
                  <w:tcBorders>
                    <w:tl2br w:val="nil"/>
                    <w:tr2bl w:val="nil"/>
                  </w:tcBorders>
                  <w:noWrap w:val="0"/>
                  <w:vAlign w:val="center"/>
                </w:tcPr>
                <w:p w14:paraId="1F72B57E">
                  <w:pPr>
                    <w:autoSpaceDE w:val="0"/>
                    <w:autoSpaceDN w:val="0"/>
                    <w:jc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b w:val="0"/>
                      <w:bCs/>
                      <w:color w:val="auto"/>
                      <w:spacing w:val="0"/>
                      <w:kern w:val="2"/>
                      <w:position w:val="0"/>
                      <w:sz w:val="21"/>
                      <w:szCs w:val="21"/>
                      <w:highlight w:val="none"/>
                      <w:lang w:val="en-US" w:eastAsia="zh-CN" w:bidi="ar-SA"/>
                    </w:rPr>
                    <w:t>水性漆</w:t>
                  </w:r>
                </w:p>
              </w:tc>
              <w:tc>
                <w:tcPr>
                  <w:tcW w:w="913" w:type="dxa"/>
                  <w:vMerge w:val="restart"/>
                  <w:tcBorders>
                    <w:tl2br w:val="nil"/>
                    <w:tr2bl w:val="nil"/>
                  </w:tcBorders>
                  <w:noWrap w:val="0"/>
                  <w:vAlign w:val="center"/>
                </w:tcPr>
                <w:p w14:paraId="652B04E7">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839" w:type="dxa"/>
                  <w:vMerge w:val="restart"/>
                  <w:tcBorders>
                    <w:tl2br w:val="nil"/>
                    <w:tr2bl w:val="nil"/>
                  </w:tcBorders>
                  <w:noWrap w:val="0"/>
                  <w:vAlign w:val="center"/>
                </w:tcPr>
                <w:p w14:paraId="0ACF5304">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759" w:type="dxa"/>
                  <w:vMerge w:val="restart"/>
                  <w:tcBorders>
                    <w:tl2br w:val="nil"/>
                    <w:tr2bl w:val="nil"/>
                  </w:tcBorders>
                  <w:noWrap w:val="0"/>
                  <w:vAlign w:val="center"/>
                </w:tcPr>
                <w:p w14:paraId="37388CDA">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液态</w:t>
                  </w:r>
                </w:p>
              </w:tc>
              <w:tc>
                <w:tcPr>
                  <w:tcW w:w="1886" w:type="dxa"/>
                  <w:tcBorders>
                    <w:tl2br w:val="nil"/>
                    <w:tr2bl w:val="nil"/>
                  </w:tcBorders>
                  <w:noWrap w:val="0"/>
                  <w:vAlign w:val="center"/>
                </w:tcPr>
                <w:p w14:paraId="070CD7A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2-丁氧基乙醇</w:t>
                  </w:r>
                  <w:r>
                    <w:rPr>
                      <w:rFonts w:hint="eastAsia" w:cs="Times New Roman"/>
                      <w:color w:val="auto"/>
                      <w:sz w:val="21"/>
                      <w:szCs w:val="21"/>
                      <w:highlight w:val="none"/>
                      <w:lang w:val="en-US" w:eastAsia="zh-CN"/>
                    </w:rPr>
                    <w:t>（5%）</w:t>
                  </w:r>
                </w:p>
              </w:tc>
              <w:tc>
                <w:tcPr>
                  <w:tcW w:w="1220" w:type="dxa"/>
                  <w:tcBorders>
                    <w:tl2br w:val="nil"/>
                    <w:tr2bl w:val="nil"/>
                  </w:tcBorders>
                  <w:noWrap w:val="0"/>
                  <w:vAlign w:val="center"/>
                </w:tcPr>
                <w:p w14:paraId="0C4F383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42" w:type="dxa"/>
                  <w:vMerge w:val="continue"/>
                  <w:tcBorders>
                    <w:tl2br w:val="nil"/>
                    <w:tr2bl w:val="nil"/>
                  </w:tcBorders>
                  <w:noWrap w:val="0"/>
                  <w:vAlign w:val="center"/>
                </w:tcPr>
                <w:p w14:paraId="0DC55DB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7C587D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vMerge w:val="continue"/>
                  <w:tcBorders>
                    <w:tl2br w:val="nil"/>
                    <w:tr2bl w:val="nil"/>
                  </w:tcBorders>
                  <w:noWrap w:val="0"/>
                  <w:vAlign w:val="center"/>
                </w:tcPr>
                <w:p w14:paraId="42A97261">
                  <w:pPr>
                    <w:autoSpaceDE w:val="0"/>
                    <w:autoSpaceDN w:val="0"/>
                    <w:jc w:val="center"/>
                    <w:rPr>
                      <w:rFonts w:hint="eastAsia" w:cs="Times New Roman"/>
                      <w:b w:val="0"/>
                      <w:bCs/>
                      <w:color w:val="auto"/>
                      <w:spacing w:val="0"/>
                      <w:kern w:val="2"/>
                      <w:position w:val="0"/>
                      <w:sz w:val="21"/>
                      <w:szCs w:val="21"/>
                      <w:highlight w:val="none"/>
                      <w:lang w:val="en-US" w:eastAsia="zh-CN" w:bidi="ar-SA"/>
                    </w:rPr>
                  </w:pPr>
                </w:p>
              </w:tc>
              <w:tc>
                <w:tcPr>
                  <w:tcW w:w="913" w:type="dxa"/>
                  <w:vMerge w:val="continue"/>
                  <w:tcBorders>
                    <w:tl2br w:val="nil"/>
                    <w:tr2bl w:val="nil"/>
                  </w:tcBorders>
                  <w:noWrap w:val="0"/>
                  <w:vAlign w:val="center"/>
                </w:tcPr>
                <w:p w14:paraId="32B19227">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ascii="Times New Roman" w:hAnsi="Times New Roman" w:cs="Times New Roman"/>
                      <w:b w:val="0"/>
                      <w:bCs w:val="0"/>
                      <w:color w:val="auto"/>
                      <w:kern w:val="2"/>
                      <w:sz w:val="21"/>
                      <w:szCs w:val="21"/>
                      <w:highlight w:val="none"/>
                      <w:lang w:val="en-US" w:eastAsia="zh-CN" w:bidi="ar-SA"/>
                    </w:rPr>
                  </w:pPr>
                </w:p>
              </w:tc>
              <w:tc>
                <w:tcPr>
                  <w:tcW w:w="839" w:type="dxa"/>
                  <w:vMerge w:val="continue"/>
                  <w:tcBorders>
                    <w:tl2br w:val="nil"/>
                    <w:tr2bl w:val="nil"/>
                  </w:tcBorders>
                  <w:noWrap w:val="0"/>
                  <w:vAlign w:val="center"/>
                </w:tcPr>
                <w:p w14:paraId="7909607B">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cs="Times New Roman"/>
                      <w:b w:val="0"/>
                      <w:bCs/>
                      <w:color w:val="auto"/>
                      <w:spacing w:val="0"/>
                      <w:kern w:val="2"/>
                      <w:position w:val="0"/>
                      <w:sz w:val="21"/>
                      <w:szCs w:val="21"/>
                      <w:highlight w:val="none"/>
                      <w:lang w:val="en-US" w:eastAsia="zh-CN" w:bidi="ar-SA"/>
                    </w:rPr>
                  </w:pPr>
                </w:p>
              </w:tc>
              <w:tc>
                <w:tcPr>
                  <w:tcW w:w="759" w:type="dxa"/>
                  <w:vMerge w:val="continue"/>
                  <w:tcBorders>
                    <w:tl2br w:val="nil"/>
                    <w:tr2bl w:val="nil"/>
                  </w:tcBorders>
                  <w:noWrap w:val="0"/>
                  <w:vAlign w:val="center"/>
                </w:tcPr>
                <w:p w14:paraId="72F3A72C">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1886" w:type="dxa"/>
                  <w:tcBorders>
                    <w:tl2br w:val="nil"/>
                    <w:tr2bl w:val="nil"/>
                  </w:tcBorders>
                  <w:noWrap w:val="0"/>
                  <w:vAlign w:val="center"/>
                </w:tcPr>
                <w:p w14:paraId="1D5E8F7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异丙醇</w:t>
                  </w:r>
                  <w:r>
                    <w:rPr>
                      <w:rFonts w:hint="eastAsia" w:cs="Times New Roman"/>
                      <w:color w:val="auto"/>
                      <w:sz w:val="21"/>
                      <w:szCs w:val="21"/>
                      <w:highlight w:val="none"/>
                      <w:lang w:val="en-US" w:eastAsia="zh-CN"/>
                    </w:rPr>
                    <w:t>（1%）</w:t>
                  </w:r>
                </w:p>
              </w:tc>
              <w:tc>
                <w:tcPr>
                  <w:tcW w:w="1220" w:type="dxa"/>
                  <w:tcBorders>
                    <w:tl2br w:val="nil"/>
                    <w:tr2bl w:val="nil"/>
                  </w:tcBorders>
                  <w:noWrap w:val="0"/>
                  <w:vAlign w:val="center"/>
                </w:tcPr>
                <w:p w14:paraId="59B4760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42" w:type="dxa"/>
                  <w:vMerge w:val="continue"/>
                  <w:tcBorders>
                    <w:tl2br w:val="nil"/>
                    <w:tr2bl w:val="nil"/>
                  </w:tcBorders>
                  <w:noWrap w:val="0"/>
                  <w:vAlign w:val="center"/>
                </w:tcPr>
                <w:p w14:paraId="2F8CB68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338A2E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vMerge w:val="restart"/>
                  <w:tcBorders>
                    <w:tl2br w:val="nil"/>
                    <w:tr2bl w:val="nil"/>
                  </w:tcBorders>
                  <w:noWrap w:val="0"/>
                  <w:vAlign w:val="center"/>
                </w:tcPr>
                <w:p w14:paraId="71C818B9">
                  <w:pPr>
                    <w:autoSpaceDE w:val="0"/>
                    <w:autoSpaceDN w:val="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color w:val="auto"/>
                      <w:spacing w:val="0"/>
                      <w:kern w:val="2"/>
                      <w:position w:val="0"/>
                      <w:sz w:val="21"/>
                      <w:szCs w:val="21"/>
                      <w:highlight w:val="none"/>
                      <w:lang w:val="en-US" w:eastAsia="zh-CN" w:bidi="ar-SA"/>
                    </w:rPr>
                    <w:t>固化剂</w:t>
                  </w:r>
                </w:p>
              </w:tc>
              <w:tc>
                <w:tcPr>
                  <w:tcW w:w="913" w:type="dxa"/>
                  <w:vMerge w:val="restart"/>
                  <w:tcBorders>
                    <w:tl2br w:val="nil"/>
                    <w:tr2bl w:val="nil"/>
                  </w:tcBorders>
                  <w:noWrap w:val="0"/>
                  <w:vAlign w:val="center"/>
                </w:tcPr>
                <w:p w14:paraId="4E38148F">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839" w:type="dxa"/>
                  <w:vMerge w:val="restart"/>
                  <w:tcBorders>
                    <w:tl2br w:val="nil"/>
                    <w:tr2bl w:val="nil"/>
                  </w:tcBorders>
                  <w:noWrap w:val="0"/>
                  <w:vAlign w:val="center"/>
                </w:tcPr>
                <w:p w14:paraId="5DCC3A97">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759" w:type="dxa"/>
                  <w:vMerge w:val="restart"/>
                  <w:tcBorders>
                    <w:tl2br w:val="nil"/>
                    <w:tr2bl w:val="nil"/>
                  </w:tcBorders>
                  <w:noWrap w:val="0"/>
                  <w:vAlign w:val="center"/>
                </w:tcPr>
                <w:p w14:paraId="5C9383D3">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液态</w:t>
                  </w:r>
                </w:p>
              </w:tc>
              <w:tc>
                <w:tcPr>
                  <w:tcW w:w="1886" w:type="dxa"/>
                  <w:tcBorders>
                    <w:tl2br w:val="nil"/>
                    <w:tr2bl w:val="nil"/>
                  </w:tcBorders>
                  <w:noWrap w:val="0"/>
                  <w:vAlign w:val="center"/>
                </w:tcPr>
                <w:p w14:paraId="47830439">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pacing w:val="0"/>
                      <w:sz w:val="21"/>
                      <w:szCs w:val="21"/>
                      <w:highlight w:val="none"/>
                      <w:lang w:val="en-US" w:eastAsia="zh-CN"/>
                    </w:rPr>
                    <w:t>醋酸丁酯（</w:t>
                  </w:r>
                  <w:r>
                    <w:rPr>
                      <w:rFonts w:hint="eastAsia" w:ascii="Times New Roman" w:hAnsi="Times New Roman" w:cs="Times New Roman"/>
                      <w:i w:val="0"/>
                      <w:iCs w:val="0"/>
                      <w:color w:val="auto"/>
                      <w:spacing w:val="0"/>
                      <w:kern w:val="0"/>
                      <w:sz w:val="21"/>
                      <w:szCs w:val="21"/>
                      <w:highlight w:val="none"/>
                      <w:u w:val="none"/>
                      <w:lang w:val="en-US" w:eastAsia="zh-CN" w:bidi="ar"/>
                    </w:rPr>
                    <w:t>10%</w:t>
                  </w:r>
                  <w:r>
                    <w:rPr>
                      <w:rFonts w:hint="eastAsia" w:cs="Times New Roman"/>
                      <w:b w:val="0"/>
                      <w:bCs/>
                      <w:color w:val="auto"/>
                      <w:spacing w:val="0"/>
                      <w:sz w:val="21"/>
                      <w:szCs w:val="21"/>
                      <w:highlight w:val="none"/>
                      <w:lang w:val="en-US" w:eastAsia="zh-CN"/>
                    </w:rPr>
                    <w:t>）</w:t>
                  </w:r>
                </w:p>
              </w:tc>
              <w:tc>
                <w:tcPr>
                  <w:tcW w:w="1220" w:type="dxa"/>
                  <w:tcBorders>
                    <w:tl2br w:val="nil"/>
                    <w:tr2bl w:val="nil"/>
                  </w:tcBorders>
                  <w:noWrap w:val="0"/>
                  <w:vAlign w:val="center"/>
                </w:tcPr>
                <w:p w14:paraId="33CA9DC8">
                  <w:pPr>
                    <w:keepNext w:val="0"/>
                    <w:keepLines w:val="0"/>
                    <w:widowControl/>
                    <w:suppressLineNumbers w:val="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042" w:type="dxa"/>
                  <w:vMerge w:val="continue"/>
                  <w:tcBorders>
                    <w:tl2br w:val="nil"/>
                    <w:tr2bl w:val="nil"/>
                  </w:tcBorders>
                  <w:noWrap w:val="0"/>
                  <w:vAlign w:val="center"/>
                </w:tcPr>
                <w:p w14:paraId="16C79DF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3D5C43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vMerge w:val="continue"/>
                  <w:tcBorders>
                    <w:tl2br w:val="nil"/>
                    <w:tr2bl w:val="nil"/>
                  </w:tcBorders>
                  <w:noWrap w:val="0"/>
                  <w:vAlign w:val="center"/>
                </w:tcPr>
                <w:p w14:paraId="27E3B755">
                  <w:pPr>
                    <w:autoSpaceDE w:val="0"/>
                    <w:autoSpaceDN w:val="0"/>
                    <w:jc w:val="center"/>
                    <w:rPr>
                      <w:rFonts w:hint="eastAsia" w:cs="Times New Roman"/>
                      <w:b w:val="0"/>
                      <w:bCs/>
                      <w:color w:val="auto"/>
                      <w:spacing w:val="0"/>
                      <w:kern w:val="2"/>
                      <w:position w:val="0"/>
                      <w:sz w:val="21"/>
                      <w:szCs w:val="21"/>
                      <w:highlight w:val="none"/>
                      <w:lang w:val="en-US" w:eastAsia="zh-CN" w:bidi="ar-SA"/>
                    </w:rPr>
                  </w:pPr>
                </w:p>
              </w:tc>
              <w:tc>
                <w:tcPr>
                  <w:tcW w:w="913" w:type="dxa"/>
                  <w:vMerge w:val="continue"/>
                  <w:tcBorders>
                    <w:tl2br w:val="nil"/>
                    <w:tr2bl w:val="nil"/>
                  </w:tcBorders>
                  <w:noWrap w:val="0"/>
                  <w:vAlign w:val="center"/>
                </w:tcPr>
                <w:p w14:paraId="1AEFC5D1">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ascii="Times New Roman" w:hAnsi="Times New Roman" w:cs="Times New Roman"/>
                      <w:b w:val="0"/>
                      <w:bCs w:val="0"/>
                      <w:color w:val="auto"/>
                      <w:kern w:val="2"/>
                      <w:sz w:val="21"/>
                      <w:szCs w:val="21"/>
                      <w:highlight w:val="none"/>
                      <w:lang w:val="en-US" w:eastAsia="zh-CN" w:bidi="ar-SA"/>
                    </w:rPr>
                  </w:pPr>
                </w:p>
              </w:tc>
              <w:tc>
                <w:tcPr>
                  <w:tcW w:w="839" w:type="dxa"/>
                  <w:vMerge w:val="continue"/>
                  <w:tcBorders>
                    <w:tl2br w:val="nil"/>
                    <w:tr2bl w:val="nil"/>
                  </w:tcBorders>
                  <w:noWrap w:val="0"/>
                  <w:vAlign w:val="center"/>
                </w:tcPr>
                <w:p w14:paraId="207D8642">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759" w:type="dxa"/>
                  <w:vMerge w:val="continue"/>
                  <w:tcBorders>
                    <w:tl2br w:val="nil"/>
                    <w:tr2bl w:val="nil"/>
                  </w:tcBorders>
                  <w:noWrap w:val="0"/>
                  <w:vAlign w:val="center"/>
                </w:tcPr>
                <w:p w14:paraId="1CB5DFC2">
                  <w:pPr>
                    <w:keepNext w:val="0"/>
                    <w:keepLines/>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p>
              </w:tc>
              <w:tc>
                <w:tcPr>
                  <w:tcW w:w="1886" w:type="dxa"/>
                  <w:tcBorders>
                    <w:tl2br w:val="nil"/>
                    <w:tr2bl w:val="nil"/>
                  </w:tcBorders>
                  <w:noWrap w:val="0"/>
                  <w:vAlign w:val="center"/>
                </w:tcPr>
                <w:p w14:paraId="7669F6EE">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b w:val="0"/>
                      <w:bCs/>
                      <w:color w:val="auto"/>
                      <w:spacing w:val="0"/>
                      <w:sz w:val="21"/>
                      <w:szCs w:val="21"/>
                      <w:highlight w:val="none"/>
                      <w:lang w:val="en-US" w:eastAsia="zh-CN"/>
                    </w:rPr>
                    <w:t>甲苯异氰酸酯（</w:t>
                  </w:r>
                  <w:r>
                    <w:rPr>
                      <w:rFonts w:hint="eastAsia" w:ascii="Times New Roman" w:hAnsi="Times New Roman" w:cs="Times New Roman"/>
                      <w:i w:val="0"/>
                      <w:iCs w:val="0"/>
                      <w:color w:val="auto"/>
                      <w:spacing w:val="0"/>
                      <w:kern w:val="0"/>
                      <w:sz w:val="21"/>
                      <w:szCs w:val="21"/>
                      <w:highlight w:val="none"/>
                      <w:u w:val="none"/>
                      <w:lang w:val="en-US" w:eastAsia="zh-CN" w:bidi="ar"/>
                    </w:rPr>
                    <w:t>30%</w:t>
                  </w:r>
                  <w:r>
                    <w:rPr>
                      <w:rFonts w:hint="eastAsia" w:cs="Times New Roman"/>
                      <w:b w:val="0"/>
                      <w:bCs/>
                      <w:color w:val="auto"/>
                      <w:spacing w:val="0"/>
                      <w:sz w:val="21"/>
                      <w:szCs w:val="21"/>
                      <w:highlight w:val="none"/>
                      <w:lang w:val="en-US" w:eastAsia="zh-CN"/>
                    </w:rPr>
                    <w:t>）</w:t>
                  </w:r>
                </w:p>
              </w:tc>
              <w:tc>
                <w:tcPr>
                  <w:tcW w:w="1220" w:type="dxa"/>
                  <w:tcBorders>
                    <w:tl2br w:val="nil"/>
                    <w:tr2bl w:val="nil"/>
                  </w:tcBorders>
                  <w:noWrap w:val="0"/>
                  <w:vAlign w:val="center"/>
                </w:tcPr>
                <w:p w14:paraId="3296EB4D">
                  <w:pPr>
                    <w:keepNext w:val="0"/>
                    <w:keepLines w:val="0"/>
                    <w:widowControl/>
                    <w:suppressLineNumbers w:val="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042" w:type="dxa"/>
                  <w:vMerge w:val="continue"/>
                  <w:tcBorders>
                    <w:tl2br w:val="nil"/>
                    <w:tr2bl w:val="nil"/>
                  </w:tcBorders>
                  <w:noWrap w:val="0"/>
                  <w:vAlign w:val="center"/>
                </w:tcPr>
                <w:p w14:paraId="34AF90D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6E0A62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vMerge w:val="restart"/>
                  <w:tcBorders>
                    <w:tl2br w:val="nil"/>
                    <w:tr2bl w:val="nil"/>
                  </w:tcBorders>
                  <w:noWrap w:val="0"/>
                  <w:vAlign w:val="center"/>
                </w:tcPr>
                <w:p w14:paraId="516BF922">
                  <w:pPr>
                    <w:autoSpaceDE w:val="0"/>
                    <w:autoSpaceDN w:val="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color w:val="auto"/>
                      <w:spacing w:val="0"/>
                      <w:kern w:val="2"/>
                      <w:position w:val="0"/>
                      <w:sz w:val="21"/>
                      <w:szCs w:val="21"/>
                      <w:highlight w:val="none"/>
                      <w:lang w:val="en-US" w:eastAsia="zh-CN" w:bidi="ar-SA"/>
                    </w:rPr>
                    <w:t>稀释剂</w:t>
                  </w:r>
                </w:p>
              </w:tc>
              <w:tc>
                <w:tcPr>
                  <w:tcW w:w="913" w:type="dxa"/>
                  <w:vMerge w:val="restart"/>
                  <w:tcBorders>
                    <w:tl2br w:val="nil"/>
                    <w:tr2bl w:val="nil"/>
                  </w:tcBorders>
                  <w:noWrap w:val="0"/>
                  <w:vAlign w:val="center"/>
                </w:tcPr>
                <w:p w14:paraId="1D775DF6">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839" w:type="dxa"/>
                  <w:vMerge w:val="restart"/>
                  <w:tcBorders>
                    <w:tl2br w:val="nil"/>
                    <w:tr2bl w:val="nil"/>
                  </w:tcBorders>
                  <w:noWrap w:val="0"/>
                  <w:vAlign w:val="center"/>
                </w:tcPr>
                <w:p w14:paraId="1AE925EA">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759" w:type="dxa"/>
                  <w:vMerge w:val="restart"/>
                  <w:tcBorders>
                    <w:tl2br w:val="nil"/>
                    <w:tr2bl w:val="nil"/>
                  </w:tcBorders>
                  <w:noWrap w:val="0"/>
                  <w:vAlign w:val="center"/>
                </w:tcPr>
                <w:p w14:paraId="2BA78E5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液态</w:t>
                  </w:r>
                </w:p>
              </w:tc>
              <w:tc>
                <w:tcPr>
                  <w:tcW w:w="1886" w:type="dxa"/>
                  <w:tcBorders>
                    <w:tl2br w:val="nil"/>
                    <w:tr2bl w:val="nil"/>
                  </w:tcBorders>
                  <w:noWrap w:val="0"/>
                  <w:vAlign w:val="center"/>
                </w:tcPr>
                <w:p w14:paraId="04215ADC">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pacing w:val="0"/>
                      <w:sz w:val="21"/>
                      <w:szCs w:val="21"/>
                      <w:highlight w:val="none"/>
                      <w:lang w:val="en-US" w:eastAsia="zh-CN"/>
                    </w:rPr>
                    <w:t>乙酸丁酯</w:t>
                  </w:r>
                  <w:r>
                    <w:rPr>
                      <w:rFonts w:hint="eastAsia" w:cs="Times New Roman"/>
                      <w:b w:val="0"/>
                      <w:bCs/>
                      <w:color w:val="auto"/>
                      <w:spacing w:val="0"/>
                      <w:sz w:val="21"/>
                      <w:szCs w:val="21"/>
                      <w:highlight w:val="none"/>
                      <w:lang w:val="en-US" w:eastAsia="zh-CN"/>
                    </w:rPr>
                    <w:t>（</w:t>
                  </w:r>
                  <w:r>
                    <w:rPr>
                      <w:rFonts w:hint="eastAsia" w:ascii="Times New Roman" w:hAnsi="Times New Roman" w:cs="Times New Roman"/>
                      <w:i w:val="0"/>
                      <w:iCs w:val="0"/>
                      <w:color w:val="auto"/>
                      <w:spacing w:val="0"/>
                      <w:kern w:val="0"/>
                      <w:sz w:val="21"/>
                      <w:szCs w:val="21"/>
                      <w:highlight w:val="none"/>
                      <w:u w:val="none"/>
                      <w:lang w:val="en-US" w:eastAsia="zh-CN" w:bidi="ar"/>
                    </w:rPr>
                    <w:t>55%</w:t>
                  </w:r>
                  <w:r>
                    <w:rPr>
                      <w:rFonts w:hint="eastAsia" w:cs="Times New Roman"/>
                      <w:b w:val="0"/>
                      <w:bCs/>
                      <w:color w:val="auto"/>
                      <w:spacing w:val="0"/>
                      <w:sz w:val="21"/>
                      <w:szCs w:val="21"/>
                      <w:highlight w:val="none"/>
                      <w:lang w:val="en-US" w:eastAsia="zh-CN"/>
                    </w:rPr>
                    <w:t>）</w:t>
                  </w:r>
                </w:p>
              </w:tc>
              <w:tc>
                <w:tcPr>
                  <w:tcW w:w="1220" w:type="dxa"/>
                  <w:tcBorders>
                    <w:tl2br w:val="nil"/>
                    <w:tr2bl w:val="nil"/>
                  </w:tcBorders>
                  <w:noWrap w:val="0"/>
                  <w:vAlign w:val="center"/>
                </w:tcPr>
                <w:p w14:paraId="677D91C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42" w:type="dxa"/>
                  <w:vMerge w:val="continue"/>
                  <w:tcBorders>
                    <w:tl2br w:val="nil"/>
                    <w:tr2bl w:val="nil"/>
                  </w:tcBorders>
                  <w:noWrap w:val="0"/>
                  <w:vAlign w:val="center"/>
                </w:tcPr>
                <w:p w14:paraId="377D0F0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5E2307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vMerge w:val="continue"/>
                  <w:tcBorders>
                    <w:tl2br w:val="nil"/>
                    <w:tr2bl w:val="nil"/>
                  </w:tcBorders>
                  <w:noWrap w:val="0"/>
                  <w:vAlign w:val="center"/>
                </w:tcPr>
                <w:p w14:paraId="08F793F8">
                  <w:pPr>
                    <w:autoSpaceDE w:val="0"/>
                    <w:autoSpaceDN w:val="0"/>
                    <w:jc w:val="center"/>
                    <w:rPr>
                      <w:rFonts w:hint="eastAsia" w:cs="Times New Roman"/>
                      <w:b w:val="0"/>
                      <w:bCs/>
                      <w:color w:val="auto"/>
                      <w:spacing w:val="0"/>
                      <w:kern w:val="2"/>
                      <w:position w:val="0"/>
                      <w:sz w:val="21"/>
                      <w:szCs w:val="21"/>
                      <w:highlight w:val="none"/>
                      <w:lang w:val="en-US" w:eastAsia="zh-CN" w:bidi="ar-SA"/>
                    </w:rPr>
                  </w:pPr>
                </w:p>
              </w:tc>
              <w:tc>
                <w:tcPr>
                  <w:tcW w:w="913" w:type="dxa"/>
                  <w:vMerge w:val="continue"/>
                  <w:tcBorders>
                    <w:tl2br w:val="nil"/>
                    <w:tr2bl w:val="nil"/>
                  </w:tcBorders>
                  <w:noWrap w:val="0"/>
                  <w:vAlign w:val="center"/>
                </w:tcPr>
                <w:p w14:paraId="333B71F3">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ascii="Times New Roman" w:hAnsi="Times New Roman" w:cs="Times New Roman"/>
                      <w:i w:val="0"/>
                      <w:iCs w:val="0"/>
                      <w:color w:val="auto"/>
                      <w:spacing w:val="0"/>
                      <w:kern w:val="0"/>
                      <w:sz w:val="21"/>
                      <w:szCs w:val="21"/>
                      <w:highlight w:val="none"/>
                      <w:u w:val="none"/>
                      <w:lang w:val="en-US" w:eastAsia="zh-CN" w:bidi="ar"/>
                    </w:rPr>
                  </w:pPr>
                </w:p>
              </w:tc>
              <w:tc>
                <w:tcPr>
                  <w:tcW w:w="839" w:type="dxa"/>
                  <w:vMerge w:val="continue"/>
                  <w:tcBorders>
                    <w:tl2br w:val="nil"/>
                    <w:tr2bl w:val="nil"/>
                  </w:tcBorders>
                  <w:noWrap w:val="0"/>
                  <w:vAlign w:val="center"/>
                </w:tcPr>
                <w:p w14:paraId="65DDE3BA">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ascii="Times New Roman" w:hAnsi="Times New Roman" w:cs="Times New Roman"/>
                      <w:i w:val="0"/>
                      <w:iCs w:val="0"/>
                      <w:color w:val="auto"/>
                      <w:spacing w:val="0"/>
                      <w:kern w:val="0"/>
                      <w:sz w:val="21"/>
                      <w:szCs w:val="21"/>
                      <w:highlight w:val="none"/>
                      <w:u w:val="none"/>
                      <w:lang w:val="en-US" w:eastAsia="zh-CN" w:bidi="ar"/>
                    </w:rPr>
                  </w:pPr>
                </w:p>
              </w:tc>
              <w:tc>
                <w:tcPr>
                  <w:tcW w:w="759" w:type="dxa"/>
                  <w:vMerge w:val="continue"/>
                  <w:tcBorders>
                    <w:tl2br w:val="nil"/>
                    <w:tr2bl w:val="nil"/>
                  </w:tcBorders>
                  <w:noWrap w:val="0"/>
                  <w:vAlign w:val="center"/>
                </w:tcPr>
                <w:p w14:paraId="5F693A3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p>
              </w:tc>
              <w:tc>
                <w:tcPr>
                  <w:tcW w:w="1886" w:type="dxa"/>
                  <w:tcBorders>
                    <w:tl2br w:val="nil"/>
                    <w:tr2bl w:val="nil"/>
                  </w:tcBorders>
                  <w:noWrap w:val="0"/>
                  <w:vAlign w:val="center"/>
                </w:tcPr>
                <w:p w14:paraId="0BC48457">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color w:val="auto"/>
                      <w:spacing w:val="-2"/>
                      <w:sz w:val="21"/>
                      <w:szCs w:val="21"/>
                      <w:highlight w:val="none"/>
                    </w:rPr>
                  </w:pPr>
                  <w:r>
                    <w:rPr>
                      <w:rFonts w:hint="eastAsia" w:cs="Times New Roman"/>
                      <w:i w:val="0"/>
                      <w:iCs w:val="0"/>
                      <w:caps w:val="0"/>
                      <w:color w:val="auto"/>
                      <w:spacing w:val="0"/>
                      <w:sz w:val="21"/>
                      <w:szCs w:val="21"/>
                      <w:highlight w:val="none"/>
                      <w:shd w:val="clear" w:fill="FFFFFF"/>
                      <w:lang w:val="en-US" w:eastAsia="zh-CN"/>
                    </w:rPr>
                    <w:t>二甲苯</w:t>
                  </w:r>
                  <w:r>
                    <w:rPr>
                      <w:rFonts w:hint="eastAsia" w:cs="Times New Roman"/>
                      <w:b w:val="0"/>
                      <w:bCs/>
                      <w:color w:val="auto"/>
                      <w:spacing w:val="0"/>
                      <w:sz w:val="21"/>
                      <w:szCs w:val="21"/>
                      <w:highlight w:val="none"/>
                      <w:lang w:val="en-US" w:eastAsia="zh-CN"/>
                    </w:rPr>
                    <w:t>（1</w:t>
                  </w:r>
                  <w:r>
                    <w:rPr>
                      <w:rFonts w:hint="eastAsia" w:ascii="Times New Roman" w:hAnsi="Times New Roman" w:cs="Times New Roman"/>
                      <w:i w:val="0"/>
                      <w:iCs w:val="0"/>
                      <w:color w:val="auto"/>
                      <w:spacing w:val="0"/>
                      <w:kern w:val="0"/>
                      <w:sz w:val="21"/>
                      <w:szCs w:val="21"/>
                      <w:highlight w:val="none"/>
                      <w:u w:val="none"/>
                      <w:lang w:val="en-US" w:eastAsia="zh-CN" w:bidi="ar"/>
                    </w:rPr>
                    <w:t>5%</w:t>
                  </w:r>
                  <w:r>
                    <w:rPr>
                      <w:rFonts w:hint="eastAsia" w:cs="Times New Roman"/>
                      <w:b w:val="0"/>
                      <w:bCs/>
                      <w:color w:val="auto"/>
                      <w:spacing w:val="0"/>
                      <w:sz w:val="21"/>
                      <w:szCs w:val="21"/>
                      <w:highlight w:val="none"/>
                      <w:lang w:val="en-US" w:eastAsia="zh-CN"/>
                    </w:rPr>
                    <w:t>）</w:t>
                  </w:r>
                </w:p>
              </w:tc>
              <w:tc>
                <w:tcPr>
                  <w:tcW w:w="1220" w:type="dxa"/>
                  <w:tcBorders>
                    <w:tl2br w:val="nil"/>
                    <w:tr2bl w:val="nil"/>
                  </w:tcBorders>
                  <w:noWrap w:val="0"/>
                  <w:vAlign w:val="center"/>
                </w:tcPr>
                <w:p w14:paraId="3E7F226E">
                  <w:pPr>
                    <w:keepNext w:val="0"/>
                    <w:keepLines w:val="0"/>
                    <w:widowControl/>
                    <w:suppressLineNumbers w:val="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042" w:type="dxa"/>
                  <w:vMerge w:val="continue"/>
                  <w:tcBorders>
                    <w:tl2br w:val="nil"/>
                    <w:tr2bl w:val="nil"/>
                  </w:tcBorders>
                  <w:noWrap w:val="0"/>
                  <w:vAlign w:val="center"/>
                </w:tcPr>
                <w:p w14:paraId="0485C8A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010065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vMerge w:val="continue"/>
                  <w:tcBorders>
                    <w:tl2br w:val="nil"/>
                    <w:tr2bl w:val="nil"/>
                  </w:tcBorders>
                  <w:noWrap w:val="0"/>
                  <w:vAlign w:val="center"/>
                </w:tcPr>
                <w:p w14:paraId="269EA9E1">
                  <w:pPr>
                    <w:autoSpaceDE w:val="0"/>
                    <w:autoSpaceDN w:val="0"/>
                    <w:jc w:val="center"/>
                    <w:rPr>
                      <w:rFonts w:hint="eastAsia" w:cs="Times New Roman"/>
                      <w:b w:val="0"/>
                      <w:bCs/>
                      <w:color w:val="auto"/>
                      <w:spacing w:val="0"/>
                      <w:kern w:val="2"/>
                      <w:position w:val="0"/>
                      <w:sz w:val="21"/>
                      <w:szCs w:val="21"/>
                      <w:highlight w:val="none"/>
                      <w:lang w:val="en-US" w:eastAsia="zh-CN" w:bidi="ar-SA"/>
                    </w:rPr>
                  </w:pPr>
                </w:p>
              </w:tc>
              <w:tc>
                <w:tcPr>
                  <w:tcW w:w="913" w:type="dxa"/>
                  <w:vMerge w:val="continue"/>
                  <w:tcBorders>
                    <w:tl2br w:val="nil"/>
                    <w:tr2bl w:val="nil"/>
                  </w:tcBorders>
                  <w:noWrap w:val="0"/>
                  <w:vAlign w:val="center"/>
                </w:tcPr>
                <w:p w14:paraId="1A9BF8D5">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ascii="Times New Roman" w:hAnsi="Times New Roman" w:cs="Times New Roman"/>
                      <w:i w:val="0"/>
                      <w:iCs w:val="0"/>
                      <w:color w:val="auto"/>
                      <w:spacing w:val="0"/>
                      <w:kern w:val="0"/>
                      <w:sz w:val="21"/>
                      <w:szCs w:val="21"/>
                      <w:highlight w:val="none"/>
                      <w:u w:val="none"/>
                      <w:lang w:val="en-US" w:eastAsia="zh-CN" w:bidi="ar"/>
                    </w:rPr>
                  </w:pPr>
                </w:p>
              </w:tc>
              <w:tc>
                <w:tcPr>
                  <w:tcW w:w="839" w:type="dxa"/>
                  <w:vMerge w:val="continue"/>
                  <w:tcBorders>
                    <w:tl2br w:val="nil"/>
                    <w:tr2bl w:val="nil"/>
                  </w:tcBorders>
                  <w:noWrap w:val="0"/>
                  <w:vAlign w:val="center"/>
                </w:tcPr>
                <w:p w14:paraId="6395D82A">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ascii="Times New Roman" w:hAnsi="Times New Roman" w:cs="Times New Roman"/>
                      <w:i w:val="0"/>
                      <w:iCs w:val="0"/>
                      <w:color w:val="auto"/>
                      <w:spacing w:val="0"/>
                      <w:kern w:val="0"/>
                      <w:sz w:val="21"/>
                      <w:szCs w:val="21"/>
                      <w:highlight w:val="none"/>
                      <w:u w:val="none"/>
                      <w:lang w:val="en-US" w:eastAsia="zh-CN" w:bidi="ar"/>
                    </w:rPr>
                  </w:pPr>
                </w:p>
              </w:tc>
              <w:tc>
                <w:tcPr>
                  <w:tcW w:w="759" w:type="dxa"/>
                  <w:vMerge w:val="continue"/>
                  <w:tcBorders>
                    <w:tl2br w:val="nil"/>
                    <w:tr2bl w:val="nil"/>
                  </w:tcBorders>
                  <w:noWrap w:val="0"/>
                  <w:vAlign w:val="center"/>
                </w:tcPr>
                <w:p w14:paraId="1B7351F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p>
              </w:tc>
              <w:tc>
                <w:tcPr>
                  <w:tcW w:w="1886" w:type="dxa"/>
                  <w:tcBorders>
                    <w:tl2br w:val="nil"/>
                    <w:tr2bl w:val="nil"/>
                  </w:tcBorders>
                  <w:noWrap w:val="0"/>
                  <w:vAlign w:val="center"/>
                </w:tcPr>
                <w:p w14:paraId="6BF3F559">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color w:val="auto"/>
                      <w:spacing w:val="-2"/>
                      <w:sz w:val="21"/>
                      <w:szCs w:val="21"/>
                      <w:highlight w:val="none"/>
                    </w:rPr>
                  </w:pPr>
                  <w:r>
                    <w:rPr>
                      <w:rFonts w:hint="eastAsia" w:cs="Times New Roman"/>
                      <w:i w:val="0"/>
                      <w:iCs w:val="0"/>
                      <w:caps w:val="0"/>
                      <w:color w:val="auto"/>
                      <w:spacing w:val="0"/>
                      <w:sz w:val="21"/>
                      <w:szCs w:val="21"/>
                      <w:highlight w:val="none"/>
                      <w:shd w:val="clear" w:fill="FFFFFF"/>
                      <w:lang w:val="en-US" w:eastAsia="zh-CN"/>
                    </w:rPr>
                    <w:t>乙酸乙酯</w:t>
                  </w:r>
                  <w:r>
                    <w:rPr>
                      <w:rFonts w:hint="eastAsia" w:cs="Times New Roman"/>
                      <w:b w:val="0"/>
                      <w:bCs/>
                      <w:color w:val="auto"/>
                      <w:spacing w:val="0"/>
                      <w:sz w:val="21"/>
                      <w:szCs w:val="21"/>
                      <w:highlight w:val="none"/>
                      <w:lang w:val="en-US" w:eastAsia="zh-CN"/>
                    </w:rPr>
                    <w:t>（1</w:t>
                  </w:r>
                  <w:r>
                    <w:rPr>
                      <w:rFonts w:hint="eastAsia" w:ascii="Times New Roman" w:hAnsi="Times New Roman" w:cs="Times New Roman"/>
                      <w:i w:val="0"/>
                      <w:iCs w:val="0"/>
                      <w:color w:val="auto"/>
                      <w:spacing w:val="0"/>
                      <w:kern w:val="0"/>
                      <w:sz w:val="21"/>
                      <w:szCs w:val="21"/>
                      <w:highlight w:val="none"/>
                      <w:u w:val="none"/>
                      <w:lang w:val="en-US" w:eastAsia="zh-CN" w:bidi="ar"/>
                    </w:rPr>
                    <w:t>5%</w:t>
                  </w:r>
                  <w:r>
                    <w:rPr>
                      <w:rFonts w:hint="eastAsia" w:cs="Times New Roman"/>
                      <w:b w:val="0"/>
                      <w:bCs/>
                      <w:color w:val="auto"/>
                      <w:spacing w:val="0"/>
                      <w:sz w:val="21"/>
                      <w:szCs w:val="21"/>
                      <w:highlight w:val="none"/>
                      <w:lang w:val="en-US" w:eastAsia="zh-CN"/>
                    </w:rPr>
                    <w:t>）</w:t>
                  </w:r>
                </w:p>
              </w:tc>
              <w:tc>
                <w:tcPr>
                  <w:tcW w:w="1220" w:type="dxa"/>
                  <w:tcBorders>
                    <w:tl2br w:val="nil"/>
                    <w:tr2bl w:val="nil"/>
                  </w:tcBorders>
                  <w:noWrap w:val="0"/>
                  <w:vAlign w:val="center"/>
                </w:tcPr>
                <w:p w14:paraId="1C80967D">
                  <w:pPr>
                    <w:keepNext w:val="0"/>
                    <w:keepLines w:val="0"/>
                    <w:widowControl/>
                    <w:suppressLineNumbers w:val="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042" w:type="dxa"/>
                  <w:vMerge w:val="continue"/>
                  <w:tcBorders>
                    <w:tl2br w:val="nil"/>
                    <w:tr2bl w:val="nil"/>
                  </w:tcBorders>
                  <w:noWrap w:val="0"/>
                  <w:vAlign w:val="center"/>
                </w:tcPr>
                <w:p w14:paraId="16CE9BD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225B06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vMerge w:val="continue"/>
                  <w:tcBorders>
                    <w:tl2br w:val="nil"/>
                    <w:tr2bl w:val="nil"/>
                  </w:tcBorders>
                  <w:noWrap w:val="0"/>
                  <w:vAlign w:val="center"/>
                </w:tcPr>
                <w:p w14:paraId="0F4457C4">
                  <w:pPr>
                    <w:autoSpaceDE w:val="0"/>
                    <w:autoSpaceDN w:val="0"/>
                    <w:jc w:val="center"/>
                    <w:rPr>
                      <w:rFonts w:hint="eastAsia" w:cs="Times New Roman"/>
                      <w:b w:val="0"/>
                      <w:bCs/>
                      <w:color w:val="auto"/>
                      <w:spacing w:val="0"/>
                      <w:kern w:val="2"/>
                      <w:position w:val="0"/>
                      <w:sz w:val="21"/>
                      <w:szCs w:val="21"/>
                      <w:highlight w:val="none"/>
                      <w:lang w:val="en-US" w:eastAsia="zh-CN" w:bidi="ar-SA"/>
                    </w:rPr>
                  </w:pPr>
                </w:p>
              </w:tc>
              <w:tc>
                <w:tcPr>
                  <w:tcW w:w="913" w:type="dxa"/>
                  <w:vMerge w:val="continue"/>
                  <w:tcBorders>
                    <w:tl2br w:val="nil"/>
                    <w:tr2bl w:val="nil"/>
                  </w:tcBorders>
                  <w:noWrap w:val="0"/>
                  <w:vAlign w:val="center"/>
                </w:tcPr>
                <w:p w14:paraId="3F7E266E">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ascii="Times New Roman" w:hAnsi="Times New Roman" w:cs="Times New Roman"/>
                      <w:i w:val="0"/>
                      <w:iCs w:val="0"/>
                      <w:color w:val="auto"/>
                      <w:spacing w:val="0"/>
                      <w:kern w:val="0"/>
                      <w:sz w:val="21"/>
                      <w:szCs w:val="21"/>
                      <w:highlight w:val="none"/>
                      <w:u w:val="none"/>
                      <w:lang w:val="en-US" w:eastAsia="zh-CN" w:bidi="ar"/>
                    </w:rPr>
                  </w:pPr>
                </w:p>
              </w:tc>
              <w:tc>
                <w:tcPr>
                  <w:tcW w:w="839" w:type="dxa"/>
                  <w:vMerge w:val="continue"/>
                  <w:tcBorders>
                    <w:tl2br w:val="nil"/>
                    <w:tr2bl w:val="nil"/>
                  </w:tcBorders>
                  <w:noWrap w:val="0"/>
                  <w:vAlign w:val="center"/>
                </w:tcPr>
                <w:p w14:paraId="357DACE2">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ascii="Times New Roman" w:hAnsi="Times New Roman" w:cs="Times New Roman"/>
                      <w:i w:val="0"/>
                      <w:iCs w:val="0"/>
                      <w:color w:val="auto"/>
                      <w:spacing w:val="0"/>
                      <w:kern w:val="0"/>
                      <w:sz w:val="21"/>
                      <w:szCs w:val="21"/>
                      <w:highlight w:val="none"/>
                      <w:u w:val="none"/>
                      <w:lang w:val="en-US" w:eastAsia="zh-CN" w:bidi="ar"/>
                    </w:rPr>
                  </w:pPr>
                </w:p>
              </w:tc>
              <w:tc>
                <w:tcPr>
                  <w:tcW w:w="759" w:type="dxa"/>
                  <w:vMerge w:val="continue"/>
                  <w:tcBorders>
                    <w:tl2br w:val="nil"/>
                    <w:tr2bl w:val="nil"/>
                  </w:tcBorders>
                  <w:noWrap w:val="0"/>
                  <w:vAlign w:val="center"/>
                </w:tcPr>
                <w:p w14:paraId="3C5891B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p>
              </w:tc>
              <w:tc>
                <w:tcPr>
                  <w:tcW w:w="1886" w:type="dxa"/>
                  <w:tcBorders>
                    <w:tl2br w:val="nil"/>
                    <w:tr2bl w:val="nil"/>
                  </w:tcBorders>
                  <w:noWrap w:val="0"/>
                  <w:vAlign w:val="center"/>
                </w:tcPr>
                <w:p w14:paraId="42D4583F">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cs="Times New Roman"/>
                      <w:i w:val="0"/>
                      <w:iCs w:val="0"/>
                      <w:caps w:val="0"/>
                      <w:color w:val="auto"/>
                      <w:spacing w:val="0"/>
                      <w:sz w:val="21"/>
                      <w:szCs w:val="21"/>
                      <w:highlight w:val="none"/>
                      <w:shd w:val="clear" w:fill="FFFFFF"/>
                      <w:lang w:val="en-US" w:eastAsia="zh-CN"/>
                    </w:rPr>
                  </w:pPr>
                  <w:r>
                    <w:rPr>
                      <w:rFonts w:hint="eastAsia" w:ascii="Times New Roman" w:hAnsi="Times New Roman" w:eastAsia="宋体" w:cs="Times New Roman"/>
                      <w:b w:val="0"/>
                      <w:bCs/>
                      <w:color w:val="auto"/>
                      <w:spacing w:val="0"/>
                      <w:sz w:val="21"/>
                      <w:szCs w:val="21"/>
                      <w:highlight w:val="none"/>
                      <w:lang w:val="en-US" w:eastAsia="zh-CN"/>
                    </w:rPr>
                    <w:t>丙二醇甲醚醋酸酯</w:t>
                  </w:r>
                  <w:r>
                    <w:rPr>
                      <w:rFonts w:hint="eastAsia" w:cs="Times New Roman"/>
                      <w:b w:val="0"/>
                      <w:bCs/>
                      <w:color w:val="auto"/>
                      <w:spacing w:val="0"/>
                      <w:sz w:val="21"/>
                      <w:szCs w:val="21"/>
                      <w:highlight w:val="none"/>
                      <w:lang w:val="en-US" w:eastAsia="zh-CN"/>
                    </w:rPr>
                    <w:t>（1</w:t>
                  </w:r>
                  <w:r>
                    <w:rPr>
                      <w:rFonts w:hint="eastAsia" w:ascii="Times New Roman" w:hAnsi="Times New Roman" w:cs="Times New Roman"/>
                      <w:i w:val="0"/>
                      <w:iCs w:val="0"/>
                      <w:color w:val="auto"/>
                      <w:spacing w:val="0"/>
                      <w:kern w:val="0"/>
                      <w:sz w:val="21"/>
                      <w:szCs w:val="21"/>
                      <w:highlight w:val="none"/>
                      <w:u w:val="none"/>
                      <w:lang w:val="en-US" w:eastAsia="zh-CN" w:bidi="ar"/>
                    </w:rPr>
                    <w:t>5%</w:t>
                  </w:r>
                  <w:r>
                    <w:rPr>
                      <w:rFonts w:hint="eastAsia" w:cs="Times New Roman"/>
                      <w:b w:val="0"/>
                      <w:bCs/>
                      <w:color w:val="auto"/>
                      <w:spacing w:val="0"/>
                      <w:sz w:val="21"/>
                      <w:szCs w:val="21"/>
                      <w:highlight w:val="none"/>
                      <w:lang w:val="en-US" w:eastAsia="zh-CN"/>
                    </w:rPr>
                    <w:t>）</w:t>
                  </w:r>
                </w:p>
              </w:tc>
              <w:tc>
                <w:tcPr>
                  <w:tcW w:w="1220" w:type="dxa"/>
                  <w:tcBorders>
                    <w:tl2br w:val="nil"/>
                    <w:tr2bl w:val="nil"/>
                  </w:tcBorders>
                  <w:noWrap w:val="0"/>
                  <w:vAlign w:val="center"/>
                </w:tcPr>
                <w:p w14:paraId="6A00DB3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42" w:type="dxa"/>
                  <w:vMerge w:val="continue"/>
                  <w:tcBorders>
                    <w:tl2br w:val="nil"/>
                    <w:tr2bl w:val="nil"/>
                  </w:tcBorders>
                  <w:noWrap w:val="0"/>
                  <w:vAlign w:val="center"/>
                </w:tcPr>
                <w:p w14:paraId="65D951B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2CD01B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tcBorders>
                    <w:tl2br w:val="nil"/>
                    <w:tr2bl w:val="nil"/>
                  </w:tcBorders>
                  <w:noWrap w:val="0"/>
                  <w:vAlign w:val="center"/>
                </w:tcPr>
                <w:p w14:paraId="3F571B0B">
                  <w:pPr>
                    <w:autoSpaceDE w:val="0"/>
                    <w:autoSpaceDN w:val="0"/>
                    <w:jc w:val="center"/>
                    <w:rPr>
                      <w:rFonts w:hint="default" w:cs="Times New Roman"/>
                      <w:b w:val="0"/>
                      <w:bCs/>
                      <w:color w:val="auto"/>
                      <w:spacing w:val="0"/>
                      <w:kern w:val="2"/>
                      <w:position w:val="0"/>
                      <w:sz w:val="21"/>
                      <w:szCs w:val="21"/>
                      <w:highlight w:val="none"/>
                      <w:lang w:val="en-US" w:eastAsia="zh-CN" w:bidi="ar-SA"/>
                    </w:rPr>
                  </w:pPr>
                  <w:r>
                    <w:rPr>
                      <w:rFonts w:hint="eastAsia" w:cs="Times New Roman"/>
                      <w:b w:val="0"/>
                      <w:bCs/>
                      <w:color w:val="auto"/>
                      <w:spacing w:val="0"/>
                      <w:kern w:val="2"/>
                      <w:position w:val="0"/>
                      <w:sz w:val="21"/>
                      <w:szCs w:val="21"/>
                      <w:highlight w:val="none"/>
                      <w:lang w:val="en-US" w:eastAsia="zh-CN" w:bidi="ar-SA"/>
                    </w:rPr>
                    <w:t>润滑油</w:t>
                  </w:r>
                </w:p>
              </w:tc>
              <w:tc>
                <w:tcPr>
                  <w:tcW w:w="913" w:type="dxa"/>
                  <w:tcBorders>
                    <w:tl2br w:val="nil"/>
                    <w:tr2bl w:val="nil"/>
                  </w:tcBorders>
                  <w:noWrap w:val="0"/>
                  <w:vAlign w:val="center"/>
                </w:tcPr>
                <w:p w14:paraId="3E73A56C">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i w:val="0"/>
                      <w:iCs w:val="0"/>
                      <w:color w:val="auto"/>
                      <w:spacing w:val="0"/>
                      <w:kern w:val="0"/>
                      <w:sz w:val="21"/>
                      <w:szCs w:val="21"/>
                      <w:highlight w:val="none"/>
                      <w:u w:val="none"/>
                      <w:lang w:val="en-US" w:eastAsia="zh-CN" w:bidi="ar"/>
                    </w:rPr>
                  </w:pPr>
                </w:p>
              </w:tc>
              <w:tc>
                <w:tcPr>
                  <w:tcW w:w="839" w:type="dxa"/>
                  <w:tcBorders>
                    <w:tl2br w:val="nil"/>
                    <w:tr2bl w:val="nil"/>
                  </w:tcBorders>
                  <w:noWrap w:val="0"/>
                  <w:vAlign w:val="center"/>
                </w:tcPr>
                <w:p w14:paraId="304185FA">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ascii="Times New Roman" w:hAnsi="Times New Roman" w:cs="Times New Roman"/>
                      <w:i w:val="0"/>
                      <w:iCs w:val="0"/>
                      <w:color w:val="auto"/>
                      <w:spacing w:val="0"/>
                      <w:kern w:val="0"/>
                      <w:sz w:val="21"/>
                      <w:szCs w:val="21"/>
                      <w:highlight w:val="none"/>
                      <w:u w:val="none"/>
                      <w:lang w:val="en-US" w:eastAsia="zh-CN" w:bidi="ar"/>
                    </w:rPr>
                  </w:pPr>
                </w:p>
              </w:tc>
              <w:tc>
                <w:tcPr>
                  <w:tcW w:w="759" w:type="dxa"/>
                  <w:tcBorders>
                    <w:tl2br w:val="nil"/>
                    <w:tr2bl w:val="nil"/>
                  </w:tcBorders>
                  <w:noWrap w:val="0"/>
                  <w:vAlign w:val="center"/>
                </w:tcPr>
                <w:p w14:paraId="49A90F8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液态</w:t>
                  </w:r>
                </w:p>
              </w:tc>
              <w:tc>
                <w:tcPr>
                  <w:tcW w:w="1886" w:type="dxa"/>
                  <w:tcBorders>
                    <w:tl2br w:val="nil"/>
                    <w:tr2bl w:val="nil"/>
                  </w:tcBorders>
                  <w:noWrap w:val="0"/>
                  <w:vAlign w:val="center"/>
                </w:tcPr>
                <w:p w14:paraId="60742176">
                  <w:pPr>
                    <w:pStyle w:val="89"/>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pacing w:val="0"/>
                      <w:sz w:val="21"/>
                      <w:szCs w:val="21"/>
                      <w:highlight w:val="none"/>
                      <w:lang w:val="en-US" w:eastAsia="zh-CN"/>
                    </w:rPr>
                  </w:pPr>
                  <w:r>
                    <w:rPr>
                      <w:rFonts w:hint="eastAsia" w:cs="Times New Roman"/>
                      <w:b w:val="0"/>
                      <w:bCs/>
                      <w:color w:val="auto"/>
                      <w:spacing w:val="0"/>
                      <w:kern w:val="2"/>
                      <w:position w:val="0"/>
                      <w:sz w:val="21"/>
                      <w:szCs w:val="21"/>
                      <w:highlight w:val="none"/>
                      <w:lang w:val="en-US" w:eastAsia="zh-CN" w:bidi="ar-SA"/>
                    </w:rPr>
                    <w:t>润滑油</w:t>
                  </w:r>
                </w:p>
              </w:tc>
              <w:tc>
                <w:tcPr>
                  <w:tcW w:w="1220" w:type="dxa"/>
                  <w:tcBorders>
                    <w:tl2br w:val="nil"/>
                    <w:tr2bl w:val="nil"/>
                  </w:tcBorders>
                  <w:noWrap w:val="0"/>
                  <w:vAlign w:val="center"/>
                </w:tcPr>
                <w:p w14:paraId="4DCD065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42" w:type="dxa"/>
                  <w:vMerge w:val="continue"/>
                  <w:tcBorders>
                    <w:tl2br w:val="nil"/>
                    <w:tr2bl w:val="nil"/>
                  </w:tcBorders>
                  <w:noWrap w:val="0"/>
                  <w:vAlign w:val="center"/>
                </w:tcPr>
                <w:p w14:paraId="267016B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16A101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tcBorders>
                    <w:tl2br w:val="nil"/>
                    <w:tr2bl w:val="nil"/>
                  </w:tcBorders>
                  <w:noWrap w:val="0"/>
                  <w:vAlign w:val="center"/>
                </w:tcPr>
                <w:p w14:paraId="7BD6F282">
                  <w:pPr>
                    <w:pStyle w:val="107"/>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Cs/>
                      <w:color w:val="auto"/>
                      <w:spacing w:val="0"/>
                      <w:position w:val="0"/>
                      <w:sz w:val="21"/>
                      <w:szCs w:val="21"/>
                      <w:highlight w:val="none"/>
                      <w:lang w:val="en-US" w:eastAsia="zh-CN"/>
                    </w:rPr>
                    <w:t>漆渣</w:t>
                  </w:r>
                </w:p>
              </w:tc>
              <w:tc>
                <w:tcPr>
                  <w:tcW w:w="913" w:type="dxa"/>
                  <w:tcBorders>
                    <w:tl2br w:val="nil"/>
                    <w:tr2bl w:val="nil"/>
                  </w:tcBorders>
                  <w:noWrap w:val="0"/>
                  <w:vAlign w:val="center"/>
                </w:tcPr>
                <w:p w14:paraId="32985368">
                  <w:pPr>
                    <w:spacing w:line="240" w:lineRule="exact"/>
                    <w:jc w:val="center"/>
                    <w:rPr>
                      <w:rFonts w:hint="default" w:ascii="Times New Roman" w:hAnsi="Times New Roman" w:eastAsia="宋体" w:cs="Times New Roman"/>
                      <w:b w:val="0"/>
                      <w:bCs w:val="0"/>
                      <w:color w:val="auto"/>
                      <w:sz w:val="21"/>
                      <w:szCs w:val="21"/>
                      <w:highlight w:val="none"/>
                      <w:lang w:val="en-US" w:eastAsia="zh-CN"/>
                    </w:rPr>
                  </w:pPr>
                </w:p>
              </w:tc>
              <w:tc>
                <w:tcPr>
                  <w:tcW w:w="839" w:type="dxa"/>
                  <w:tcBorders>
                    <w:tl2br w:val="nil"/>
                    <w:tr2bl w:val="nil"/>
                  </w:tcBorders>
                  <w:noWrap w:val="0"/>
                  <w:vAlign w:val="center"/>
                </w:tcPr>
                <w:p w14:paraId="205B0746">
                  <w:pPr>
                    <w:spacing w:line="240" w:lineRule="exact"/>
                    <w:jc w:val="center"/>
                    <w:rPr>
                      <w:rFonts w:hint="default" w:ascii="Times New Roman" w:hAnsi="Times New Roman" w:eastAsia="宋体" w:cs="Times New Roman"/>
                      <w:b w:val="0"/>
                      <w:bCs w:val="0"/>
                      <w:color w:val="auto"/>
                      <w:sz w:val="21"/>
                      <w:szCs w:val="21"/>
                      <w:highlight w:val="none"/>
                      <w:lang w:val="en-US" w:eastAsia="zh-CN"/>
                    </w:rPr>
                  </w:pPr>
                </w:p>
              </w:tc>
              <w:tc>
                <w:tcPr>
                  <w:tcW w:w="759" w:type="dxa"/>
                  <w:tcBorders>
                    <w:tl2br w:val="nil"/>
                    <w:tr2bl w:val="nil"/>
                  </w:tcBorders>
                  <w:noWrap w:val="0"/>
                  <w:vAlign w:val="center"/>
                </w:tcPr>
                <w:p w14:paraId="48FC20A0">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rPr>
                  </w:pPr>
                  <w:r>
                    <w:rPr>
                      <w:rFonts w:ascii="Times New Roman" w:hAnsi="Times New Roman" w:eastAsia="宋体" w:cs="Times New Roman"/>
                      <w:color w:val="auto"/>
                      <w:spacing w:val="0"/>
                      <w:position w:val="0"/>
                      <w:sz w:val="21"/>
                      <w:szCs w:val="21"/>
                      <w:highlight w:val="none"/>
                    </w:rPr>
                    <w:t>固态</w:t>
                  </w:r>
                </w:p>
              </w:tc>
              <w:tc>
                <w:tcPr>
                  <w:tcW w:w="1886" w:type="dxa"/>
                  <w:tcBorders>
                    <w:tl2br w:val="nil"/>
                    <w:tr2bl w:val="nil"/>
                  </w:tcBorders>
                  <w:noWrap w:val="0"/>
                  <w:vAlign w:val="center"/>
                </w:tcPr>
                <w:p w14:paraId="45715FF0">
                  <w:pPr>
                    <w:pStyle w:val="107"/>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Cs/>
                      <w:color w:val="auto"/>
                      <w:spacing w:val="0"/>
                      <w:position w:val="0"/>
                      <w:sz w:val="21"/>
                      <w:szCs w:val="21"/>
                      <w:highlight w:val="none"/>
                      <w:lang w:val="en-US" w:eastAsia="zh-CN"/>
                    </w:rPr>
                    <w:t>漆渣</w:t>
                  </w:r>
                </w:p>
              </w:tc>
              <w:tc>
                <w:tcPr>
                  <w:tcW w:w="1220" w:type="dxa"/>
                  <w:tcBorders>
                    <w:tl2br w:val="nil"/>
                    <w:tr2bl w:val="nil"/>
                  </w:tcBorders>
                  <w:noWrap w:val="0"/>
                  <w:vAlign w:val="center"/>
                </w:tcPr>
                <w:p w14:paraId="22F7D845">
                  <w:pPr>
                    <w:spacing w:line="240" w:lineRule="exact"/>
                    <w:jc w:val="center"/>
                    <w:rPr>
                      <w:rFonts w:hint="default" w:ascii="Times New Roman" w:hAnsi="Times New Roman" w:eastAsia="宋体" w:cs="Times New Roman"/>
                      <w:b w:val="0"/>
                      <w:bCs w:val="0"/>
                      <w:color w:val="auto"/>
                      <w:sz w:val="21"/>
                      <w:szCs w:val="21"/>
                      <w:highlight w:val="none"/>
                      <w:lang w:val="en-US" w:eastAsia="zh-CN"/>
                    </w:rPr>
                  </w:pPr>
                </w:p>
              </w:tc>
              <w:tc>
                <w:tcPr>
                  <w:tcW w:w="1042" w:type="dxa"/>
                  <w:vMerge w:val="restart"/>
                  <w:tcBorders>
                    <w:tl2br w:val="nil"/>
                    <w:tr2bl w:val="nil"/>
                  </w:tcBorders>
                  <w:noWrap w:val="0"/>
                  <w:vAlign w:val="center"/>
                </w:tcPr>
                <w:p w14:paraId="436BE81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危废</w:t>
                  </w:r>
                </w:p>
                <w:p w14:paraId="642AEDE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暂存间</w:t>
                  </w:r>
                </w:p>
              </w:tc>
            </w:tr>
            <w:tr w14:paraId="362167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tcBorders>
                    <w:tl2br w:val="nil"/>
                    <w:tr2bl w:val="nil"/>
                  </w:tcBorders>
                  <w:noWrap w:val="0"/>
                  <w:vAlign w:val="center"/>
                </w:tcPr>
                <w:p w14:paraId="7712BB77">
                  <w:pPr>
                    <w:pStyle w:val="107"/>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Cs/>
                      <w:color w:val="auto"/>
                      <w:spacing w:val="0"/>
                      <w:kern w:val="2"/>
                      <w:position w:val="0"/>
                      <w:sz w:val="21"/>
                      <w:szCs w:val="21"/>
                      <w:highlight w:val="none"/>
                      <w:lang w:val="en-US" w:eastAsia="zh-CN" w:bidi="ar-SA"/>
                    </w:rPr>
                    <w:t>废活性炭</w:t>
                  </w:r>
                </w:p>
              </w:tc>
              <w:tc>
                <w:tcPr>
                  <w:tcW w:w="913" w:type="dxa"/>
                  <w:tcBorders>
                    <w:tl2br w:val="nil"/>
                    <w:tr2bl w:val="nil"/>
                  </w:tcBorders>
                  <w:noWrap w:val="0"/>
                  <w:vAlign w:val="center"/>
                </w:tcPr>
                <w:p w14:paraId="51FFB5CB">
                  <w:pPr>
                    <w:spacing w:line="240" w:lineRule="exact"/>
                    <w:jc w:val="center"/>
                    <w:rPr>
                      <w:rFonts w:hint="default" w:ascii="Times New Roman" w:hAnsi="Times New Roman" w:eastAsia="宋体" w:cs="Times New Roman"/>
                      <w:b w:val="0"/>
                      <w:bCs w:val="0"/>
                      <w:color w:val="auto"/>
                      <w:sz w:val="21"/>
                      <w:szCs w:val="21"/>
                      <w:highlight w:val="none"/>
                      <w:lang w:val="en-US" w:eastAsia="zh-CN"/>
                    </w:rPr>
                  </w:pPr>
                </w:p>
              </w:tc>
              <w:tc>
                <w:tcPr>
                  <w:tcW w:w="839" w:type="dxa"/>
                  <w:tcBorders>
                    <w:tl2br w:val="nil"/>
                    <w:tr2bl w:val="nil"/>
                  </w:tcBorders>
                  <w:noWrap w:val="0"/>
                  <w:vAlign w:val="center"/>
                </w:tcPr>
                <w:p w14:paraId="7BD0DF37">
                  <w:pPr>
                    <w:spacing w:line="240" w:lineRule="exact"/>
                    <w:jc w:val="center"/>
                    <w:rPr>
                      <w:rFonts w:hint="default" w:ascii="Times New Roman" w:hAnsi="Times New Roman" w:eastAsia="宋体" w:cs="Times New Roman"/>
                      <w:b w:val="0"/>
                      <w:bCs w:val="0"/>
                      <w:color w:val="auto"/>
                      <w:sz w:val="21"/>
                      <w:szCs w:val="21"/>
                      <w:highlight w:val="none"/>
                      <w:lang w:val="en-US" w:eastAsia="zh-CN"/>
                    </w:rPr>
                  </w:pPr>
                </w:p>
              </w:tc>
              <w:tc>
                <w:tcPr>
                  <w:tcW w:w="759" w:type="dxa"/>
                  <w:tcBorders>
                    <w:tl2br w:val="nil"/>
                    <w:tr2bl w:val="nil"/>
                  </w:tcBorders>
                  <w:noWrap w:val="0"/>
                  <w:vAlign w:val="center"/>
                </w:tcPr>
                <w:p w14:paraId="7EC7B818">
                  <w:pPr>
                    <w:spacing w:line="240" w:lineRule="exact"/>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eastAsia="宋体" w:cs="Times New Roman"/>
                      <w:color w:val="auto"/>
                      <w:spacing w:val="0"/>
                      <w:position w:val="0"/>
                      <w:sz w:val="21"/>
                      <w:szCs w:val="21"/>
                      <w:highlight w:val="none"/>
                    </w:rPr>
                    <w:t>固态</w:t>
                  </w:r>
                </w:p>
              </w:tc>
              <w:tc>
                <w:tcPr>
                  <w:tcW w:w="1886" w:type="dxa"/>
                  <w:tcBorders>
                    <w:tl2br w:val="nil"/>
                    <w:tr2bl w:val="nil"/>
                  </w:tcBorders>
                  <w:noWrap w:val="0"/>
                  <w:vAlign w:val="center"/>
                </w:tcPr>
                <w:p w14:paraId="41A8E750">
                  <w:pPr>
                    <w:pStyle w:val="107"/>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Cs/>
                      <w:color w:val="auto"/>
                      <w:spacing w:val="0"/>
                      <w:kern w:val="2"/>
                      <w:position w:val="0"/>
                      <w:sz w:val="21"/>
                      <w:szCs w:val="21"/>
                      <w:highlight w:val="none"/>
                      <w:lang w:val="en-US" w:eastAsia="zh-CN" w:bidi="ar-SA"/>
                    </w:rPr>
                    <w:t>废活性炭</w:t>
                  </w:r>
                </w:p>
              </w:tc>
              <w:tc>
                <w:tcPr>
                  <w:tcW w:w="1220" w:type="dxa"/>
                  <w:tcBorders>
                    <w:tl2br w:val="nil"/>
                    <w:tr2bl w:val="nil"/>
                  </w:tcBorders>
                  <w:noWrap w:val="0"/>
                  <w:vAlign w:val="center"/>
                </w:tcPr>
                <w:p w14:paraId="3C9166A6">
                  <w:pPr>
                    <w:spacing w:line="240" w:lineRule="exact"/>
                    <w:jc w:val="center"/>
                    <w:rPr>
                      <w:rFonts w:hint="default" w:ascii="Times New Roman" w:hAnsi="Times New Roman" w:eastAsia="宋体" w:cs="Times New Roman"/>
                      <w:b w:val="0"/>
                      <w:bCs w:val="0"/>
                      <w:color w:val="auto"/>
                      <w:sz w:val="21"/>
                      <w:szCs w:val="21"/>
                      <w:highlight w:val="none"/>
                      <w:lang w:val="en-US" w:eastAsia="zh-CN"/>
                    </w:rPr>
                  </w:pPr>
                </w:p>
              </w:tc>
              <w:tc>
                <w:tcPr>
                  <w:tcW w:w="1042" w:type="dxa"/>
                  <w:vMerge w:val="continue"/>
                  <w:tcBorders>
                    <w:tl2br w:val="nil"/>
                    <w:tr2bl w:val="nil"/>
                  </w:tcBorders>
                  <w:noWrap w:val="0"/>
                  <w:vAlign w:val="top"/>
                </w:tcPr>
                <w:p w14:paraId="2F70FCD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6B6C5E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tcBorders>
                    <w:tl2br w:val="nil"/>
                    <w:tr2bl w:val="nil"/>
                  </w:tcBorders>
                  <w:noWrap w:val="0"/>
                  <w:vAlign w:val="center"/>
                </w:tcPr>
                <w:p w14:paraId="2A6C4CDA">
                  <w:pPr>
                    <w:pStyle w:val="107"/>
                    <w:ind w:firstLine="0" w:firstLineChars="0"/>
                    <w:rPr>
                      <w:rFonts w:hint="default" w:ascii="Times New Roman" w:hAnsi="Times New Roman" w:eastAsia="宋体" w:cs="Times New Roman"/>
                      <w:bCs/>
                      <w:color w:val="auto"/>
                      <w:spacing w:val="0"/>
                      <w:kern w:val="2"/>
                      <w:position w:val="0"/>
                      <w:sz w:val="21"/>
                      <w:szCs w:val="21"/>
                      <w:highlight w:val="none"/>
                      <w:lang w:val="en-US" w:eastAsia="zh-CN" w:bidi="ar-SA"/>
                    </w:rPr>
                  </w:pPr>
                  <w:r>
                    <w:rPr>
                      <w:rFonts w:hint="eastAsia" w:cs="Times New Roman"/>
                      <w:bCs/>
                      <w:color w:val="auto"/>
                      <w:spacing w:val="0"/>
                      <w:kern w:val="2"/>
                      <w:position w:val="0"/>
                      <w:sz w:val="21"/>
                      <w:szCs w:val="21"/>
                      <w:highlight w:val="none"/>
                      <w:lang w:val="en-US" w:eastAsia="zh-CN" w:bidi="ar-SA"/>
                    </w:rPr>
                    <w:t>废过滤棉</w:t>
                  </w:r>
                </w:p>
              </w:tc>
              <w:tc>
                <w:tcPr>
                  <w:tcW w:w="913" w:type="dxa"/>
                  <w:tcBorders>
                    <w:tl2br w:val="nil"/>
                    <w:tr2bl w:val="nil"/>
                  </w:tcBorders>
                  <w:noWrap w:val="0"/>
                  <w:vAlign w:val="center"/>
                </w:tcPr>
                <w:p w14:paraId="61C968CE">
                  <w:pPr>
                    <w:spacing w:line="240" w:lineRule="exact"/>
                    <w:jc w:val="center"/>
                    <w:rPr>
                      <w:rFonts w:hint="default" w:cs="Times New Roman"/>
                      <w:color w:val="auto"/>
                      <w:spacing w:val="0"/>
                      <w:kern w:val="2"/>
                      <w:position w:val="0"/>
                      <w:sz w:val="21"/>
                      <w:szCs w:val="21"/>
                      <w:highlight w:val="none"/>
                      <w:lang w:val="en-US" w:eastAsia="zh-CN" w:bidi="ar-SA"/>
                    </w:rPr>
                  </w:pPr>
                </w:p>
              </w:tc>
              <w:tc>
                <w:tcPr>
                  <w:tcW w:w="839" w:type="dxa"/>
                  <w:tcBorders>
                    <w:tl2br w:val="nil"/>
                    <w:tr2bl w:val="nil"/>
                  </w:tcBorders>
                  <w:noWrap w:val="0"/>
                  <w:vAlign w:val="center"/>
                </w:tcPr>
                <w:p w14:paraId="3B40F24D">
                  <w:pPr>
                    <w:spacing w:line="240" w:lineRule="exact"/>
                    <w:jc w:val="center"/>
                    <w:rPr>
                      <w:rFonts w:hint="default" w:ascii="Times New Roman" w:hAnsi="Times New Roman" w:eastAsia="宋体" w:cs="Times New Roman"/>
                      <w:color w:val="auto"/>
                      <w:sz w:val="21"/>
                      <w:szCs w:val="21"/>
                      <w:highlight w:val="none"/>
                      <w:lang w:val="en-US" w:eastAsia="zh-CN"/>
                    </w:rPr>
                  </w:pPr>
                </w:p>
              </w:tc>
              <w:tc>
                <w:tcPr>
                  <w:tcW w:w="759" w:type="dxa"/>
                  <w:tcBorders>
                    <w:tl2br w:val="nil"/>
                    <w:tr2bl w:val="nil"/>
                  </w:tcBorders>
                  <w:noWrap w:val="0"/>
                  <w:vAlign w:val="center"/>
                </w:tcPr>
                <w:p w14:paraId="45DCDA9E">
                  <w:pPr>
                    <w:spacing w:line="240" w:lineRule="exact"/>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固态</w:t>
                  </w:r>
                </w:p>
              </w:tc>
              <w:tc>
                <w:tcPr>
                  <w:tcW w:w="1886" w:type="dxa"/>
                  <w:tcBorders>
                    <w:tl2br w:val="nil"/>
                    <w:tr2bl w:val="nil"/>
                  </w:tcBorders>
                  <w:noWrap w:val="0"/>
                  <w:vAlign w:val="center"/>
                </w:tcPr>
                <w:p w14:paraId="00DC9950">
                  <w:pPr>
                    <w:pStyle w:val="107"/>
                    <w:ind w:firstLine="0" w:firstLineChars="0"/>
                    <w:rPr>
                      <w:rFonts w:hint="eastAsia" w:ascii="Times New Roman" w:hAnsi="Times New Roman" w:eastAsia="宋体" w:cs="Times New Roman"/>
                      <w:bCs/>
                      <w:color w:val="auto"/>
                      <w:spacing w:val="0"/>
                      <w:kern w:val="2"/>
                      <w:position w:val="0"/>
                      <w:sz w:val="21"/>
                      <w:szCs w:val="21"/>
                      <w:highlight w:val="none"/>
                      <w:lang w:val="en-US" w:eastAsia="zh-CN" w:bidi="ar-SA"/>
                    </w:rPr>
                  </w:pPr>
                  <w:r>
                    <w:rPr>
                      <w:rFonts w:hint="eastAsia" w:cs="Times New Roman"/>
                      <w:bCs/>
                      <w:color w:val="auto"/>
                      <w:spacing w:val="0"/>
                      <w:kern w:val="2"/>
                      <w:position w:val="0"/>
                      <w:sz w:val="21"/>
                      <w:szCs w:val="21"/>
                      <w:highlight w:val="none"/>
                      <w:lang w:val="en-US" w:eastAsia="zh-CN" w:bidi="ar-SA"/>
                    </w:rPr>
                    <w:t>废过滤棉</w:t>
                  </w:r>
                </w:p>
              </w:tc>
              <w:tc>
                <w:tcPr>
                  <w:tcW w:w="1220" w:type="dxa"/>
                  <w:tcBorders>
                    <w:tl2br w:val="nil"/>
                    <w:tr2bl w:val="nil"/>
                  </w:tcBorders>
                  <w:noWrap w:val="0"/>
                  <w:vAlign w:val="center"/>
                </w:tcPr>
                <w:p w14:paraId="453E24F9">
                  <w:pPr>
                    <w:spacing w:line="240" w:lineRule="exact"/>
                    <w:jc w:val="center"/>
                    <w:rPr>
                      <w:rFonts w:hint="default" w:ascii="Times New Roman" w:hAnsi="Times New Roman" w:eastAsia="宋体" w:cs="Times New Roman"/>
                      <w:color w:val="auto"/>
                      <w:sz w:val="21"/>
                      <w:szCs w:val="21"/>
                      <w:highlight w:val="none"/>
                      <w:lang w:val="en-US" w:eastAsia="zh-CN"/>
                    </w:rPr>
                  </w:pPr>
                </w:p>
              </w:tc>
              <w:tc>
                <w:tcPr>
                  <w:tcW w:w="1042" w:type="dxa"/>
                  <w:vMerge w:val="continue"/>
                  <w:tcBorders>
                    <w:tl2br w:val="nil"/>
                    <w:tr2bl w:val="nil"/>
                  </w:tcBorders>
                  <w:noWrap w:val="0"/>
                  <w:vAlign w:val="top"/>
                </w:tcPr>
                <w:p w14:paraId="5DB1630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7B4C1C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tcBorders>
                    <w:tl2br w:val="nil"/>
                    <w:tr2bl w:val="nil"/>
                  </w:tcBorders>
                  <w:noWrap w:val="0"/>
                  <w:vAlign w:val="center"/>
                </w:tcPr>
                <w:p w14:paraId="537E19A9">
                  <w:pPr>
                    <w:spacing w:line="240" w:lineRule="exact"/>
                    <w:jc w:val="center"/>
                    <w:rPr>
                      <w:rFonts w:hint="eastAsia" w:cs="Times New Roman"/>
                      <w:b w:val="0"/>
                      <w:bCs w:val="0"/>
                      <w:color w:val="auto"/>
                      <w:kern w:val="2"/>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vertAlign w:val="baseline"/>
                      <w:lang w:val="en-US" w:eastAsia="zh-CN"/>
                    </w:rPr>
                    <w:t>沉淀污泥</w:t>
                  </w:r>
                </w:p>
              </w:tc>
              <w:tc>
                <w:tcPr>
                  <w:tcW w:w="913" w:type="dxa"/>
                  <w:tcBorders>
                    <w:tl2br w:val="nil"/>
                    <w:tr2bl w:val="nil"/>
                  </w:tcBorders>
                  <w:noWrap w:val="0"/>
                  <w:vAlign w:val="center"/>
                </w:tcPr>
                <w:p w14:paraId="30C075CE">
                  <w:pPr>
                    <w:spacing w:line="240" w:lineRule="exact"/>
                    <w:jc w:val="center"/>
                    <w:rPr>
                      <w:rFonts w:hint="default" w:ascii="Times New Roman" w:hAnsi="Times New Roman" w:eastAsia="宋体" w:cs="Times New Roman"/>
                      <w:snapToGrid w:val="0"/>
                      <w:color w:val="auto"/>
                      <w:kern w:val="21"/>
                      <w:sz w:val="21"/>
                      <w:szCs w:val="21"/>
                      <w:highlight w:val="none"/>
                      <w:lang w:val="en-US" w:eastAsia="zh-CN"/>
                    </w:rPr>
                  </w:pPr>
                </w:p>
              </w:tc>
              <w:tc>
                <w:tcPr>
                  <w:tcW w:w="839" w:type="dxa"/>
                  <w:tcBorders>
                    <w:tl2br w:val="nil"/>
                    <w:tr2bl w:val="nil"/>
                  </w:tcBorders>
                  <w:noWrap w:val="0"/>
                  <w:vAlign w:val="center"/>
                </w:tcPr>
                <w:p w14:paraId="55F95A7D">
                  <w:pPr>
                    <w:spacing w:line="240" w:lineRule="exact"/>
                    <w:jc w:val="center"/>
                    <w:rPr>
                      <w:rFonts w:hint="default" w:ascii="Times New Roman" w:hAnsi="Times New Roman" w:eastAsia="宋体" w:cs="Times New Roman"/>
                      <w:snapToGrid w:val="0"/>
                      <w:color w:val="auto"/>
                      <w:kern w:val="21"/>
                      <w:sz w:val="21"/>
                      <w:szCs w:val="21"/>
                      <w:highlight w:val="none"/>
                      <w:lang w:val="en-US" w:eastAsia="zh-CN"/>
                    </w:rPr>
                  </w:pPr>
                </w:p>
              </w:tc>
              <w:tc>
                <w:tcPr>
                  <w:tcW w:w="759" w:type="dxa"/>
                  <w:tcBorders>
                    <w:tl2br w:val="nil"/>
                    <w:tr2bl w:val="nil"/>
                  </w:tcBorders>
                  <w:noWrap w:val="0"/>
                  <w:vAlign w:val="center"/>
                </w:tcPr>
                <w:p w14:paraId="06C625E2">
                  <w:pPr>
                    <w:spacing w:line="240" w:lineRule="exact"/>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半</w:t>
                  </w:r>
                  <w:r>
                    <w:rPr>
                      <w:rFonts w:ascii="Times New Roman" w:hAnsi="Times New Roman" w:eastAsia="宋体" w:cs="Times New Roman"/>
                      <w:color w:val="auto"/>
                      <w:spacing w:val="0"/>
                      <w:position w:val="0"/>
                      <w:sz w:val="21"/>
                      <w:szCs w:val="21"/>
                      <w:highlight w:val="none"/>
                    </w:rPr>
                    <w:t>固态</w:t>
                  </w:r>
                </w:p>
              </w:tc>
              <w:tc>
                <w:tcPr>
                  <w:tcW w:w="1886" w:type="dxa"/>
                  <w:tcBorders>
                    <w:tl2br w:val="nil"/>
                    <w:tr2bl w:val="nil"/>
                  </w:tcBorders>
                  <w:noWrap w:val="0"/>
                  <w:vAlign w:val="center"/>
                </w:tcPr>
                <w:p w14:paraId="67FBBB70">
                  <w:pPr>
                    <w:spacing w:line="240" w:lineRule="exact"/>
                    <w:jc w:val="center"/>
                    <w:rPr>
                      <w:rFonts w:hint="eastAsia" w:cs="Times New Roman"/>
                      <w:b w:val="0"/>
                      <w:bCs w:val="0"/>
                      <w:color w:val="auto"/>
                      <w:kern w:val="2"/>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vertAlign w:val="baseline"/>
                      <w:lang w:val="en-US" w:eastAsia="zh-CN"/>
                    </w:rPr>
                    <w:t>沉淀污泥</w:t>
                  </w:r>
                </w:p>
              </w:tc>
              <w:tc>
                <w:tcPr>
                  <w:tcW w:w="1220" w:type="dxa"/>
                  <w:tcBorders>
                    <w:tl2br w:val="nil"/>
                    <w:tr2bl w:val="nil"/>
                  </w:tcBorders>
                  <w:noWrap w:val="0"/>
                  <w:vAlign w:val="center"/>
                </w:tcPr>
                <w:p w14:paraId="278DB7BC">
                  <w:pPr>
                    <w:spacing w:line="240" w:lineRule="exact"/>
                    <w:jc w:val="center"/>
                    <w:rPr>
                      <w:rFonts w:hint="default" w:cs="Times New Roman"/>
                      <w:b w:val="0"/>
                      <w:bCs w:val="0"/>
                      <w:color w:val="auto"/>
                      <w:sz w:val="21"/>
                      <w:szCs w:val="21"/>
                      <w:highlight w:val="none"/>
                      <w:lang w:val="en-US" w:eastAsia="zh-CN"/>
                    </w:rPr>
                  </w:pPr>
                </w:p>
              </w:tc>
              <w:tc>
                <w:tcPr>
                  <w:tcW w:w="1042" w:type="dxa"/>
                  <w:vMerge w:val="continue"/>
                  <w:tcBorders>
                    <w:tl2br w:val="nil"/>
                    <w:tr2bl w:val="nil"/>
                  </w:tcBorders>
                  <w:noWrap w:val="0"/>
                  <w:vAlign w:val="top"/>
                </w:tcPr>
                <w:p w14:paraId="3D8C3A7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65E307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tcBorders>
                    <w:tl2br w:val="nil"/>
                    <w:tr2bl w:val="nil"/>
                  </w:tcBorders>
                  <w:noWrap w:val="0"/>
                  <w:vAlign w:val="center"/>
                </w:tcPr>
                <w:p w14:paraId="4E432204">
                  <w:pPr>
                    <w:spacing w:line="240" w:lineRule="exact"/>
                    <w:jc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bCs/>
                      <w:color w:val="auto"/>
                      <w:spacing w:val="0"/>
                      <w:position w:val="0"/>
                      <w:sz w:val="21"/>
                      <w:szCs w:val="21"/>
                      <w:highlight w:val="none"/>
                      <w:lang w:val="en-US" w:eastAsia="zh-CN"/>
                    </w:rPr>
                    <w:t>水帘气旋废液</w:t>
                  </w:r>
                </w:p>
              </w:tc>
              <w:tc>
                <w:tcPr>
                  <w:tcW w:w="913" w:type="dxa"/>
                  <w:tcBorders>
                    <w:tl2br w:val="nil"/>
                    <w:tr2bl w:val="nil"/>
                  </w:tcBorders>
                  <w:noWrap w:val="0"/>
                  <w:vAlign w:val="center"/>
                </w:tcPr>
                <w:p w14:paraId="05B9D182">
                  <w:pPr>
                    <w:spacing w:line="240" w:lineRule="exact"/>
                    <w:jc w:val="center"/>
                    <w:rPr>
                      <w:rFonts w:hint="default" w:ascii="Times New Roman" w:hAnsi="Times New Roman" w:eastAsia="宋体" w:cs="Times New Roman"/>
                      <w:snapToGrid w:val="0"/>
                      <w:color w:val="auto"/>
                      <w:kern w:val="21"/>
                      <w:sz w:val="21"/>
                      <w:szCs w:val="21"/>
                      <w:highlight w:val="none"/>
                      <w:lang w:val="en-US" w:eastAsia="zh-CN"/>
                    </w:rPr>
                  </w:pPr>
                </w:p>
              </w:tc>
              <w:tc>
                <w:tcPr>
                  <w:tcW w:w="839" w:type="dxa"/>
                  <w:tcBorders>
                    <w:tl2br w:val="nil"/>
                    <w:tr2bl w:val="nil"/>
                  </w:tcBorders>
                  <w:noWrap w:val="0"/>
                  <w:vAlign w:val="center"/>
                </w:tcPr>
                <w:p w14:paraId="2B7EB3C5">
                  <w:pPr>
                    <w:spacing w:line="240" w:lineRule="exact"/>
                    <w:jc w:val="center"/>
                    <w:rPr>
                      <w:rFonts w:hint="default" w:ascii="Times New Roman" w:hAnsi="Times New Roman" w:eastAsia="宋体" w:cs="Times New Roman"/>
                      <w:snapToGrid w:val="0"/>
                      <w:color w:val="auto"/>
                      <w:kern w:val="21"/>
                      <w:sz w:val="21"/>
                      <w:szCs w:val="21"/>
                      <w:highlight w:val="none"/>
                      <w:lang w:val="en-US" w:eastAsia="zh-CN"/>
                    </w:rPr>
                  </w:pPr>
                </w:p>
              </w:tc>
              <w:tc>
                <w:tcPr>
                  <w:tcW w:w="759" w:type="dxa"/>
                  <w:tcBorders>
                    <w:tl2br w:val="nil"/>
                    <w:tr2bl w:val="nil"/>
                  </w:tcBorders>
                  <w:noWrap w:val="0"/>
                  <w:vAlign w:val="center"/>
                </w:tcPr>
                <w:p w14:paraId="570D9E8F">
                  <w:pPr>
                    <w:spacing w:line="240" w:lineRule="exact"/>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color w:val="auto"/>
                      <w:spacing w:val="0"/>
                      <w:position w:val="0"/>
                      <w:sz w:val="21"/>
                      <w:szCs w:val="21"/>
                      <w:highlight w:val="none"/>
                      <w:lang w:val="en-US" w:eastAsia="zh-CN"/>
                    </w:rPr>
                    <w:t>液态</w:t>
                  </w:r>
                </w:p>
              </w:tc>
              <w:tc>
                <w:tcPr>
                  <w:tcW w:w="1886" w:type="dxa"/>
                  <w:tcBorders>
                    <w:tl2br w:val="nil"/>
                    <w:tr2bl w:val="nil"/>
                  </w:tcBorders>
                  <w:noWrap w:val="0"/>
                  <w:vAlign w:val="center"/>
                </w:tcPr>
                <w:p w14:paraId="7927357B">
                  <w:pPr>
                    <w:spacing w:line="240" w:lineRule="exact"/>
                    <w:jc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bCs/>
                      <w:color w:val="auto"/>
                      <w:spacing w:val="0"/>
                      <w:position w:val="0"/>
                      <w:sz w:val="21"/>
                      <w:szCs w:val="21"/>
                      <w:highlight w:val="none"/>
                      <w:lang w:val="en-US" w:eastAsia="zh-CN"/>
                    </w:rPr>
                    <w:t>水帘气旋废液</w:t>
                  </w:r>
                </w:p>
              </w:tc>
              <w:tc>
                <w:tcPr>
                  <w:tcW w:w="1220" w:type="dxa"/>
                  <w:tcBorders>
                    <w:tl2br w:val="nil"/>
                    <w:tr2bl w:val="nil"/>
                  </w:tcBorders>
                  <w:noWrap w:val="0"/>
                  <w:vAlign w:val="center"/>
                </w:tcPr>
                <w:p w14:paraId="291DD743">
                  <w:pPr>
                    <w:spacing w:line="240" w:lineRule="exact"/>
                    <w:jc w:val="center"/>
                    <w:rPr>
                      <w:rFonts w:hint="default" w:ascii="Times New Roman" w:hAnsi="Times New Roman" w:eastAsia="宋体" w:cs="Times New Roman"/>
                      <w:b w:val="0"/>
                      <w:bCs w:val="0"/>
                      <w:color w:val="auto"/>
                      <w:sz w:val="21"/>
                      <w:szCs w:val="21"/>
                      <w:highlight w:val="none"/>
                      <w:lang w:val="en-US" w:eastAsia="zh-CN"/>
                    </w:rPr>
                  </w:pPr>
                </w:p>
              </w:tc>
              <w:tc>
                <w:tcPr>
                  <w:tcW w:w="1042" w:type="dxa"/>
                  <w:vMerge w:val="continue"/>
                  <w:tcBorders>
                    <w:tl2br w:val="nil"/>
                    <w:tr2bl w:val="nil"/>
                  </w:tcBorders>
                  <w:noWrap w:val="0"/>
                  <w:vAlign w:val="top"/>
                </w:tcPr>
                <w:p w14:paraId="459735B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4E5B7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tcBorders>
                    <w:tl2br w:val="nil"/>
                    <w:tr2bl w:val="nil"/>
                  </w:tcBorders>
                  <w:noWrap w:val="0"/>
                  <w:vAlign w:val="center"/>
                </w:tcPr>
                <w:p w14:paraId="63745B3A">
                  <w:pPr>
                    <w:spacing w:line="240" w:lineRule="exact"/>
                    <w:jc w:val="center"/>
                    <w:rPr>
                      <w:rFonts w:hint="eastAsia"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bCs/>
                      <w:color w:val="auto"/>
                      <w:spacing w:val="0"/>
                      <w:position w:val="0"/>
                      <w:sz w:val="21"/>
                      <w:szCs w:val="21"/>
                      <w:highlight w:val="none"/>
                      <w:lang w:val="en-US" w:eastAsia="zh-CN"/>
                    </w:rPr>
                    <w:t>喷枪清洗废液</w:t>
                  </w:r>
                </w:p>
              </w:tc>
              <w:tc>
                <w:tcPr>
                  <w:tcW w:w="913" w:type="dxa"/>
                  <w:tcBorders>
                    <w:tl2br w:val="nil"/>
                    <w:tr2bl w:val="nil"/>
                  </w:tcBorders>
                  <w:noWrap w:val="0"/>
                  <w:vAlign w:val="center"/>
                </w:tcPr>
                <w:p w14:paraId="38379B71">
                  <w:pPr>
                    <w:spacing w:line="240" w:lineRule="exact"/>
                    <w:jc w:val="center"/>
                    <w:rPr>
                      <w:rFonts w:hint="eastAsia" w:ascii="Times New Roman" w:hAnsi="Times New Roman" w:eastAsia="宋体" w:cs="Times New Roman"/>
                      <w:snapToGrid w:val="0"/>
                      <w:color w:val="auto"/>
                      <w:kern w:val="21"/>
                      <w:sz w:val="21"/>
                      <w:szCs w:val="21"/>
                      <w:highlight w:val="none"/>
                      <w:lang w:val="en-US" w:eastAsia="zh-CN"/>
                    </w:rPr>
                  </w:pPr>
                </w:p>
              </w:tc>
              <w:tc>
                <w:tcPr>
                  <w:tcW w:w="839" w:type="dxa"/>
                  <w:tcBorders>
                    <w:tl2br w:val="nil"/>
                    <w:tr2bl w:val="nil"/>
                  </w:tcBorders>
                  <w:noWrap w:val="0"/>
                  <w:vAlign w:val="center"/>
                </w:tcPr>
                <w:p w14:paraId="2ACFF543">
                  <w:pPr>
                    <w:spacing w:line="240" w:lineRule="exact"/>
                    <w:jc w:val="center"/>
                    <w:rPr>
                      <w:rFonts w:hint="eastAsia" w:ascii="Times New Roman" w:hAnsi="Times New Roman" w:eastAsia="宋体" w:cs="Times New Roman"/>
                      <w:snapToGrid w:val="0"/>
                      <w:color w:val="auto"/>
                      <w:kern w:val="21"/>
                      <w:sz w:val="21"/>
                      <w:szCs w:val="21"/>
                      <w:highlight w:val="none"/>
                      <w:lang w:val="en-US" w:eastAsia="zh-CN"/>
                    </w:rPr>
                  </w:pPr>
                </w:p>
              </w:tc>
              <w:tc>
                <w:tcPr>
                  <w:tcW w:w="759" w:type="dxa"/>
                  <w:tcBorders>
                    <w:tl2br w:val="nil"/>
                    <w:tr2bl w:val="nil"/>
                  </w:tcBorders>
                  <w:noWrap w:val="0"/>
                  <w:vAlign w:val="center"/>
                </w:tcPr>
                <w:p w14:paraId="47CE47C0">
                  <w:pPr>
                    <w:spacing w:line="240" w:lineRule="exact"/>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color w:val="auto"/>
                      <w:spacing w:val="0"/>
                      <w:position w:val="0"/>
                      <w:sz w:val="21"/>
                      <w:szCs w:val="21"/>
                      <w:highlight w:val="none"/>
                      <w:lang w:val="en-US" w:eastAsia="zh-CN"/>
                    </w:rPr>
                    <w:t>液态</w:t>
                  </w:r>
                </w:p>
              </w:tc>
              <w:tc>
                <w:tcPr>
                  <w:tcW w:w="1886" w:type="dxa"/>
                  <w:tcBorders>
                    <w:tl2br w:val="nil"/>
                    <w:tr2bl w:val="nil"/>
                  </w:tcBorders>
                  <w:noWrap w:val="0"/>
                  <w:vAlign w:val="center"/>
                </w:tcPr>
                <w:p w14:paraId="28D646D3">
                  <w:pPr>
                    <w:spacing w:line="240" w:lineRule="exact"/>
                    <w:jc w:val="center"/>
                    <w:rPr>
                      <w:rFonts w:hint="eastAsia"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bCs/>
                      <w:color w:val="auto"/>
                      <w:spacing w:val="0"/>
                      <w:position w:val="0"/>
                      <w:sz w:val="21"/>
                      <w:szCs w:val="21"/>
                      <w:highlight w:val="none"/>
                      <w:lang w:val="en-US" w:eastAsia="zh-CN"/>
                    </w:rPr>
                    <w:t>喷枪清洗废液</w:t>
                  </w:r>
                </w:p>
              </w:tc>
              <w:tc>
                <w:tcPr>
                  <w:tcW w:w="1220" w:type="dxa"/>
                  <w:tcBorders>
                    <w:tl2br w:val="nil"/>
                    <w:tr2bl w:val="nil"/>
                  </w:tcBorders>
                  <w:noWrap w:val="0"/>
                  <w:vAlign w:val="center"/>
                </w:tcPr>
                <w:p w14:paraId="7E3CAF93">
                  <w:pPr>
                    <w:spacing w:line="240" w:lineRule="exact"/>
                    <w:jc w:val="center"/>
                    <w:rPr>
                      <w:rFonts w:hint="eastAsia" w:ascii="Times New Roman" w:hAnsi="Times New Roman" w:eastAsia="宋体" w:cs="Times New Roman"/>
                      <w:b w:val="0"/>
                      <w:bCs w:val="0"/>
                      <w:color w:val="auto"/>
                      <w:sz w:val="21"/>
                      <w:szCs w:val="21"/>
                      <w:highlight w:val="none"/>
                      <w:lang w:val="en-US" w:eastAsia="zh-CN"/>
                    </w:rPr>
                  </w:pPr>
                </w:p>
              </w:tc>
              <w:tc>
                <w:tcPr>
                  <w:tcW w:w="1042" w:type="dxa"/>
                  <w:vMerge w:val="continue"/>
                  <w:tcBorders>
                    <w:tl2br w:val="nil"/>
                    <w:tr2bl w:val="nil"/>
                  </w:tcBorders>
                  <w:noWrap w:val="0"/>
                  <w:vAlign w:val="top"/>
                </w:tcPr>
                <w:p w14:paraId="79C51E6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209EF4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tcBorders>
                    <w:tl2br w:val="nil"/>
                    <w:tr2bl w:val="nil"/>
                  </w:tcBorders>
                  <w:noWrap w:val="0"/>
                  <w:vAlign w:val="center"/>
                </w:tcPr>
                <w:p w14:paraId="61C072F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废化学品包装物</w:t>
                  </w:r>
                </w:p>
              </w:tc>
              <w:tc>
                <w:tcPr>
                  <w:tcW w:w="913" w:type="dxa"/>
                  <w:tcBorders>
                    <w:tl2br w:val="nil"/>
                    <w:tr2bl w:val="nil"/>
                  </w:tcBorders>
                  <w:noWrap w:val="0"/>
                  <w:vAlign w:val="center"/>
                </w:tcPr>
                <w:p w14:paraId="07121E8D">
                  <w:pPr>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39" w:type="dxa"/>
                  <w:tcBorders>
                    <w:tl2br w:val="nil"/>
                    <w:tr2bl w:val="nil"/>
                  </w:tcBorders>
                  <w:noWrap w:val="0"/>
                  <w:vAlign w:val="center"/>
                </w:tcPr>
                <w:p w14:paraId="1D68F819">
                  <w:pPr>
                    <w:spacing w:line="240" w:lineRule="exact"/>
                    <w:jc w:val="center"/>
                    <w:rPr>
                      <w:rFonts w:hint="default" w:ascii="Times New Roman" w:hAnsi="Times New Roman" w:eastAsia="宋体" w:cs="Times New Roman"/>
                      <w:snapToGrid w:val="0"/>
                      <w:color w:val="auto"/>
                      <w:kern w:val="21"/>
                      <w:sz w:val="21"/>
                      <w:szCs w:val="21"/>
                      <w:highlight w:val="none"/>
                      <w:lang w:val="en-US" w:eastAsia="zh-CN"/>
                    </w:rPr>
                  </w:pPr>
                </w:p>
              </w:tc>
              <w:tc>
                <w:tcPr>
                  <w:tcW w:w="759" w:type="dxa"/>
                  <w:tcBorders>
                    <w:tl2br w:val="nil"/>
                    <w:tr2bl w:val="nil"/>
                  </w:tcBorders>
                  <w:noWrap w:val="0"/>
                  <w:vAlign w:val="center"/>
                </w:tcPr>
                <w:p w14:paraId="471623DB">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r>
                    <w:rPr>
                      <w:rFonts w:ascii="Times New Roman" w:hAnsi="Times New Roman" w:eastAsia="宋体" w:cs="Times New Roman"/>
                      <w:color w:val="auto"/>
                      <w:spacing w:val="0"/>
                      <w:position w:val="0"/>
                      <w:sz w:val="21"/>
                      <w:szCs w:val="21"/>
                      <w:highlight w:val="none"/>
                    </w:rPr>
                    <w:t>固态</w:t>
                  </w:r>
                </w:p>
              </w:tc>
              <w:tc>
                <w:tcPr>
                  <w:tcW w:w="1886" w:type="dxa"/>
                  <w:tcBorders>
                    <w:tl2br w:val="nil"/>
                    <w:tr2bl w:val="nil"/>
                  </w:tcBorders>
                  <w:noWrap w:val="0"/>
                  <w:vAlign w:val="center"/>
                </w:tcPr>
                <w:p w14:paraId="38E2B34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废化学品包装物</w:t>
                  </w:r>
                </w:p>
              </w:tc>
              <w:tc>
                <w:tcPr>
                  <w:tcW w:w="1220" w:type="dxa"/>
                  <w:tcBorders>
                    <w:tl2br w:val="nil"/>
                    <w:tr2bl w:val="nil"/>
                  </w:tcBorders>
                  <w:noWrap w:val="0"/>
                  <w:vAlign w:val="center"/>
                </w:tcPr>
                <w:p w14:paraId="0350D57B">
                  <w:pPr>
                    <w:spacing w:line="240" w:lineRule="exact"/>
                    <w:jc w:val="center"/>
                    <w:rPr>
                      <w:rFonts w:hint="default" w:ascii="Times New Roman" w:hAnsi="Times New Roman" w:eastAsia="宋体" w:cs="Times New Roman"/>
                      <w:b w:val="0"/>
                      <w:bCs w:val="0"/>
                      <w:color w:val="auto"/>
                      <w:sz w:val="21"/>
                      <w:szCs w:val="21"/>
                      <w:highlight w:val="none"/>
                      <w:lang w:val="en-US" w:eastAsia="zh-CN"/>
                    </w:rPr>
                  </w:pPr>
                </w:p>
              </w:tc>
              <w:tc>
                <w:tcPr>
                  <w:tcW w:w="1042" w:type="dxa"/>
                  <w:vMerge w:val="continue"/>
                  <w:tcBorders>
                    <w:tl2br w:val="nil"/>
                    <w:tr2bl w:val="nil"/>
                  </w:tcBorders>
                  <w:noWrap w:val="0"/>
                  <w:vAlign w:val="top"/>
                </w:tcPr>
                <w:p w14:paraId="4124C30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615441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tcBorders>
                    <w:tl2br w:val="nil"/>
                    <w:tr2bl w:val="nil"/>
                  </w:tcBorders>
                  <w:noWrap w:val="0"/>
                  <w:vAlign w:val="center"/>
                </w:tcPr>
                <w:p w14:paraId="5B7BB98A">
                  <w:pPr>
                    <w:keepNext w:val="0"/>
                    <w:keepLines w:val="0"/>
                    <w:widowControl/>
                    <w:suppressLineNumbers w:val="0"/>
                    <w:jc w:val="center"/>
                    <w:textAlignment w:val="center"/>
                    <w:rPr>
                      <w:rFonts w:hint="eastAsia" w:cs="Times New Roman"/>
                      <w:color w:val="auto"/>
                      <w:spacing w:val="0"/>
                      <w:position w:val="0"/>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废润滑油</w:t>
                  </w:r>
                </w:p>
              </w:tc>
              <w:tc>
                <w:tcPr>
                  <w:tcW w:w="913" w:type="dxa"/>
                  <w:tcBorders>
                    <w:tl2br w:val="nil"/>
                    <w:tr2bl w:val="nil"/>
                  </w:tcBorders>
                  <w:noWrap w:val="0"/>
                  <w:vAlign w:val="center"/>
                </w:tcPr>
                <w:p w14:paraId="4171F5A5">
                  <w:pPr>
                    <w:keepNext w:val="0"/>
                    <w:keepLines w:val="0"/>
                    <w:widowControl/>
                    <w:suppressLineNumbers w:val="0"/>
                    <w:jc w:val="center"/>
                    <w:textAlignment w:val="center"/>
                    <w:rPr>
                      <w:rFonts w:hint="eastAsia" w:cs="Times New Roman"/>
                      <w:color w:val="auto"/>
                      <w:spacing w:val="0"/>
                      <w:position w:val="0"/>
                      <w:sz w:val="21"/>
                      <w:szCs w:val="21"/>
                      <w:highlight w:val="none"/>
                      <w:lang w:val="en-US" w:eastAsia="zh-CN"/>
                    </w:rPr>
                  </w:pPr>
                </w:p>
              </w:tc>
              <w:tc>
                <w:tcPr>
                  <w:tcW w:w="839" w:type="dxa"/>
                  <w:tcBorders>
                    <w:tl2br w:val="nil"/>
                    <w:tr2bl w:val="nil"/>
                  </w:tcBorders>
                  <w:noWrap w:val="0"/>
                  <w:vAlign w:val="center"/>
                </w:tcPr>
                <w:p w14:paraId="75CF2802">
                  <w:pPr>
                    <w:spacing w:line="240" w:lineRule="exact"/>
                    <w:jc w:val="center"/>
                    <w:rPr>
                      <w:rFonts w:hint="default" w:ascii="Times New Roman" w:hAnsi="Times New Roman" w:eastAsia="宋体" w:cs="Times New Roman"/>
                      <w:color w:val="auto"/>
                      <w:sz w:val="21"/>
                      <w:szCs w:val="21"/>
                      <w:highlight w:val="none"/>
                      <w:lang w:val="en-US" w:eastAsia="zh-CN"/>
                    </w:rPr>
                  </w:pPr>
                </w:p>
              </w:tc>
              <w:tc>
                <w:tcPr>
                  <w:tcW w:w="759" w:type="dxa"/>
                  <w:tcBorders>
                    <w:tl2br w:val="nil"/>
                    <w:tr2bl w:val="nil"/>
                  </w:tcBorders>
                  <w:noWrap w:val="0"/>
                  <w:vAlign w:val="center"/>
                </w:tcPr>
                <w:p w14:paraId="7926FBFB">
                  <w:pPr>
                    <w:spacing w:line="240" w:lineRule="exact"/>
                    <w:jc w:val="center"/>
                    <w:rPr>
                      <w:rFonts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val="en-US" w:eastAsia="zh-CN"/>
                    </w:rPr>
                    <w:t>液态</w:t>
                  </w:r>
                </w:p>
              </w:tc>
              <w:tc>
                <w:tcPr>
                  <w:tcW w:w="1886" w:type="dxa"/>
                  <w:tcBorders>
                    <w:tl2br w:val="nil"/>
                    <w:tr2bl w:val="nil"/>
                  </w:tcBorders>
                  <w:noWrap w:val="0"/>
                  <w:vAlign w:val="center"/>
                </w:tcPr>
                <w:p w14:paraId="56ADAD0C">
                  <w:pPr>
                    <w:keepNext w:val="0"/>
                    <w:keepLines w:val="0"/>
                    <w:widowControl/>
                    <w:suppressLineNumbers w:val="0"/>
                    <w:jc w:val="center"/>
                    <w:textAlignment w:val="center"/>
                    <w:rPr>
                      <w:rFonts w:hint="eastAsia" w:cs="Times New Roman"/>
                      <w:color w:val="auto"/>
                      <w:spacing w:val="0"/>
                      <w:position w:val="0"/>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废润滑油</w:t>
                  </w:r>
                </w:p>
              </w:tc>
              <w:tc>
                <w:tcPr>
                  <w:tcW w:w="1220" w:type="dxa"/>
                  <w:tcBorders>
                    <w:tl2br w:val="nil"/>
                    <w:tr2bl w:val="nil"/>
                  </w:tcBorders>
                  <w:noWrap w:val="0"/>
                  <w:vAlign w:val="center"/>
                </w:tcPr>
                <w:p w14:paraId="69C1076D">
                  <w:pPr>
                    <w:spacing w:line="240" w:lineRule="exact"/>
                    <w:jc w:val="center"/>
                    <w:rPr>
                      <w:rFonts w:hint="eastAsia" w:ascii="Times New Roman" w:hAnsi="Times New Roman" w:eastAsia="宋体" w:cs="Times New Roman"/>
                      <w:color w:val="auto"/>
                      <w:sz w:val="21"/>
                      <w:szCs w:val="21"/>
                      <w:highlight w:val="none"/>
                      <w:lang w:val="en-US" w:eastAsia="zh-CN"/>
                    </w:rPr>
                  </w:pPr>
                </w:p>
              </w:tc>
              <w:tc>
                <w:tcPr>
                  <w:tcW w:w="1042" w:type="dxa"/>
                  <w:vMerge w:val="continue"/>
                  <w:tcBorders>
                    <w:tl2br w:val="nil"/>
                    <w:tr2bl w:val="nil"/>
                  </w:tcBorders>
                  <w:noWrap w:val="0"/>
                  <w:vAlign w:val="top"/>
                </w:tcPr>
                <w:p w14:paraId="7ED32B6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7AB20E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tcBorders>
                    <w:tl2br w:val="nil"/>
                    <w:tr2bl w:val="nil"/>
                  </w:tcBorders>
                  <w:noWrap w:val="0"/>
                  <w:vAlign w:val="center"/>
                </w:tcPr>
                <w:p w14:paraId="205B2749">
                  <w:pPr>
                    <w:keepNext w:val="0"/>
                    <w:keepLines w:val="0"/>
                    <w:widowControl/>
                    <w:suppressLineNumbers w:val="0"/>
                    <w:jc w:val="center"/>
                    <w:textAlignment w:val="center"/>
                    <w:rPr>
                      <w:rFonts w:hint="eastAsia" w:cs="Times New Roman"/>
                      <w:color w:val="auto"/>
                      <w:spacing w:val="0"/>
                      <w:position w:val="0"/>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润滑油空桶</w:t>
                  </w:r>
                </w:p>
              </w:tc>
              <w:tc>
                <w:tcPr>
                  <w:tcW w:w="913" w:type="dxa"/>
                  <w:tcBorders>
                    <w:tl2br w:val="nil"/>
                    <w:tr2bl w:val="nil"/>
                  </w:tcBorders>
                  <w:noWrap w:val="0"/>
                  <w:vAlign w:val="center"/>
                </w:tcPr>
                <w:p w14:paraId="1604D3AC">
                  <w:pPr>
                    <w:keepNext w:val="0"/>
                    <w:keepLines w:val="0"/>
                    <w:widowControl/>
                    <w:suppressLineNumbers w:val="0"/>
                    <w:jc w:val="center"/>
                    <w:textAlignment w:val="center"/>
                    <w:rPr>
                      <w:rFonts w:hint="eastAsia" w:cs="Times New Roman"/>
                      <w:color w:val="auto"/>
                      <w:spacing w:val="0"/>
                      <w:position w:val="0"/>
                      <w:sz w:val="21"/>
                      <w:szCs w:val="21"/>
                      <w:highlight w:val="none"/>
                      <w:lang w:val="en-US" w:eastAsia="zh-CN"/>
                    </w:rPr>
                  </w:pPr>
                </w:p>
              </w:tc>
              <w:tc>
                <w:tcPr>
                  <w:tcW w:w="839" w:type="dxa"/>
                  <w:tcBorders>
                    <w:tl2br w:val="nil"/>
                    <w:tr2bl w:val="nil"/>
                  </w:tcBorders>
                  <w:noWrap w:val="0"/>
                  <w:vAlign w:val="center"/>
                </w:tcPr>
                <w:p w14:paraId="1A7D6D7B">
                  <w:pPr>
                    <w:spacing w:line="240" w:lineRule="exact"/>
                    <w:jc w:val="center"/>
                    <w:rPr>
                      <w:rFonts w:hint="default" w:ascii="Times New Roman" w:hAnsi="Times New Roman" w:eastAsia="宋体" w:cs="Times New Roman"/>
                      <w:color w:val="auto"/>
                      <w:sz w:val="21"/>
                      <w:szCs w:val="21"/>
                      <w:highlight w:val="none"/>
                      <w:lang w:val="en-US" w:eastAsia="zh-CN"/>
                    </w:rPr>
                  </w:pPr>
                </w:p>
              </w:tc>
              <w:tc>
                <w:tcPr>
                  <w:tcW w:w="759" w:type="dxa"/>
                  <w:tcBorders>
                    <w:tl2br w:val="nil"/>
                    <w:tr2bl w:val="nil"/>
                  </w:tcBorders>
                  <w:noWrap w:val="0"/>
                  <w:vAlign w:val="center"/>
                </w:tcPr>
                <w:p w14:paraId="13CE57EA">
                  <w:pPr>
                    <w:spacing w:line="240" w:lineRule="exact"/>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固态</w:t>
                  </w:r>
                </w:p>
              </w:tc>
              <w:tc>
                <w:tcPr>
                  <w:tcW w:w="1886" w:type="dxa"/>
                  <w:tcBorders>
                    <w:tl2br w:val="nil"/>
                    <w:tr2bl w:val="nil"/>
                  </w:tcBorders>
                  <w:noWrap w:val="0"/>
                  <w:vAlign w:val="center"/>
                </w:tcPr>
                <w:p w14:paraId="387ABDC1">
                  <w:pPr>
                    <w:keepNext w:val="0"/>
                    <w:keepLines w:val="0"/>
                    <w:widowControl/>
                    <w:suppressLineNumbers w:val="0"/>
                    <w:jc w:val="center"/>
                    <w:textAlignment w:val="center"/>
                    <w:rPr>
                      <w:rFonts w:hint="eastAsia" w:cs="Times New Roman"/>
                      <w:color w:val="auto"/>
                      <w:spacing w:val="0"/>
                      <w:position w:val="0"/>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润滑油空桶</w:t>
                  </w:r>
                </w:p>
              </w:tc>
              <w:tc>
                <w:tcPr>
                  <w:tcW w:w="1220" w:type="dxa"/>
                  <w:tcBorders>
                    <w:tl2br w:val="nil"/>
                    <w:tr2bl w:val="nil"/>
                  </w:tcBorders>
                  <w:noWrap w:val="0"/>
                  <w:vAlign w:val="center"/>
                </w:tcPr>
                <w:p w14:paraId="1B2539D2">
                  <w:pPr>
                    <w:spacing w:line="240" w:lineRule="exact"/>
                    <w:jc w:val="center"/>
                    <w:rPr>
                      <w:rFonts w:hint="eastAsia" w:ascii="Times New Roman" w:hAnsi="Times New Roman" w:eastAsia="宋体" w:cs="Times New Roman"/>
                      <w:color w:val="auto"/>
                      <w:sz w:val="21"/>
                      <w:szCs w:val="21"/>
                      <w:highlight w:val="none"/>
                      <w:lang w:val="en-US" w:eastAsia="zh-CN"/>
                    </w:rPr>
                  </w:pPr>
                </w:p>
              </w:tc>
              <w:tc>
                <w:tcPr>
                  <w:tcW w:w="1042" w:type="dxa"/>
                  <w:vMerge w:val="continue"/>
                  <w:tcBorders>
                    <w:tl2br w:val="nil"/>
                    <w:tr2bl w:val="nil"/>
                  </w:tcBorders>
                  <w:noWrap w:val="0"/>
                  <w:vAlign w:val="top"/>
                </w:tcPr>
                <w:p w14:paraId="5ACDD40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166C26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65" w:type="dxa"/>
                  <w:tcBorders>
                    <w:tl2br w:val="nil"/>
                    <w:tr2bl w:val="nil"/>
                  </w:tcBorders>
                  <w:noWrap w:val="0"/>
                  <w:vAlign w:val="center"/>
                </w:tcPr>
                <w:p w14:paraId="5F6F5D2A">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废含油抹布及手套</w:t>
                  </w:r>
                </w:p>
              </w:tc>
              <w:tc>
                <w:tcPr>
                  <w:tcW w:w="913" w:type="dxa"/>
                  <w:tcBorders>
                    <w:tl2br w:val="nil"/>
                    <w:tr2bl w:val="nil"/>
                  </w:tcBorders>
                  <w:noWrap w:val="0"/>
                  <w:vAlign w:val="center"/>
                </w:tcPr>
                <w:p w14:paraId="4B21E6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39" w:type="dxa"/>
                  <w:tcBorders>
                    <w:tl2br w:val="nil"/>
                    <w:tr2bl w:val="nil"/>
                  </w:tcBorders>
                  <w:noWrap w:val="0"/>
                  <w:vAlign w:val="center"/>
                </w:tcPr>
                <w:p w14:paraId="4E12E76B">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759" w:type="dxa"/>
                  <w:tcBorders>
                    <w:tl2br w:val="nil"/>
                    <w:tr2bl w:val="nil"/>
                  </w:tcBorders>
                  <w:noWrap w:val="0"/>
                  <w:vAlign w:val="center"/>
                </w:tcPr>
                <w:p w14:paraId="39C1BA99">
                  <w:pPr>
                    <w:spacing w:line="240" w:lineRule="exact"/>
                    <w:jc w:val="center"/>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固态</w:t>
                  </w:r>
                </w:p>
              </w:tc>
              <w:tc>
                <w:tcPr>
                  <w:tcW w:w="1886" w:type="dxa"/>
                  <w:tcBorders>
                    <w:tl2br w:val="nil"/>
                    <w:tr2bl w:val="nil"/>
                  </w:tcBorders>
                  <w:noWrap w:val="0"/>
                  <w:vAlign w:val="center"/>
                </w:tcPr>
                <w:p w14:paraId="4D6BFE5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废含油抹布及手套</w:t>
                  </w:r>
                </w:p>
              </w:tc>
              <w:tc>
                <w:tcPr>
                  <w:tcW w:w="1220" w:type="dxa"/>
                  <w:tcBorders>
                    <w:tl2br w:val="nil"/>
                    <w:tr2bl w:val="nil"/>
                  </w:tcBorders>
                  <w:noWrap w:val="0"/>
                  <w:vAlign w:val="center"/>
                </w:tcPr>
                <w:p w14:paraId="31E9D044">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1042" w:type="dxa"/>
                  <w:vMerge w:val="continue"/>
                  <w:tcBorders>
                    <w:tl2br w:val="nil"/>
                    <w:tr2bl w:val="nil"/>
                  </w:tcBorders>
                  <w:noWrap w:val="0"/>
                  <w:vAlign w:val="top"/>
                </w:tcPr>
                <w:p w14:paraId="0E777F6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bl>
          <w:p w14:paraId="60659C8B">
            <w:pPr>
              <w:pStyle w:val="63"/>
              <w:keepNext w:val="0"/>
              <w:keepLines w:val="0"/>
              <w:pageBreakBefore w:val="0"/>
              <w:widowControl/>
              <w:kinsoku/>
              <w:wordWrap/>
              <w:overflowPunct/>
              <w:topLinePunct w:val="0"/>
              <w:autoSpaceDE/>
              <w:autoSpaceDN/>
              <w:bidi w:val="0"/>
              <w:adjustRightInd/>
              <w:snapToGrid w:val="0"/>
              <w:spacing w:before="157" w:beforeLines="50" w:line="360" w:lineRule="auto"/>
              <w:textAlignment w:val="auto"/>
              <w:rPr>
                <w:rFonts w:hint="eastAsia" w:ascii="Times New Roman" w:hAnsi="Times New Roman" w:eastAsia="宋体" w:cs="Times New Roman"/>
                <w:b/>
                <w:bCs/>
                <w:color w:val="auto"/>
                <w:spacing w:val="0"/>
                <w:position w:val="0"/>
                <w:highlight w:val="none"/>
                <w:lang w:eastAsia="zh-CN"/>
              </w:rPr>
            </w:pPr>
            <w:r>
              <w:rPr>
                <w:rFonts w:hint="eastAsia" w:ascii="Times New Roman" w:hAnsi="Times New Roman" w:eastAsia="宋体" w:cs="Times New Roman"/>
                <w:b/>
                <w:bCs/>
                <w:color w:val="auto"/>
                <w:spacing w:val="0"/>
                <w:position w:val="0"/>
                <w:highlight w:val="none"/>
                <w:lang w:eastAsia="zh-CN"/>
              </w:rPr>
              <w:t>（</w:t>
            </w:r>
            <w:r>
              <w:rPr>
                <w:rFonts w:hint="eastAsia" w:ascii="Times New Roman" w:hAnsi="Times New Roman" w:eastAsia="宋体" w:cs="Times New Roman"/>
                <w:b/>
                <w:bCs/>
                <w:color w:val="auto"/>
                <w:spacing w:val="0"/>
                <w:position w:val="0"/>
                <w:highlight w:val="none"/>
                <w:lang w:val="en-US" w:eastAsia="zh-CN"/>
              </w:rPr>
              <w:t>2</w:t>
            </w:r>
            <w:r>
              <w:rPr>
                <w:rFonts w:hint="eastAsia" w:ascii="Times New Roman" w:hAnsi="Times New Roman" w:eastAsia="宋体" w:cs="Times New Roman"/>
                <w:b/>
                <w:bCs/>
                <w:color w:val="auto"/>
                <w:spacing w:val="0"/>
                <w:position w:val="0"/>
                <w:highlight w:val="none"/>
                <w:lang w:eastAsia="zh-CN"/>
              </w:rPr>
              <w:t>）危险物质数量与临界量比值（Q）</w:t>
            </w:r>
          </w:p>
          <w:p w14:paraId="46A08864">
            <w:pPr>
              <w:pStyle w:val="72"/>
              <w:keepNext w:val="0"/>
              <w:keepLines w:val="0"/>
              <w:pageBreakBefore w:val="0"/>
              <w:widowControl/>
              <w:tabs>
                <w:tab w:val="left" w:pos="4507"/>
              </w:tabs>
              <w:kinsoku/>
              <w:wordWrap/>
              <w:overflowPunct/>
              <w:topLinePunct w:val="0"/>
              <w:autoSpaceDE/>
              <w:autoSpaceDN/>
              <w:bidi w:val="0"/>
              <w:adjustRightInd w:val="0"/>
              <w:snapToGrid w:val="0"/>
              <w:spacing w:after="0" w:line="240" w:lineRule="auto"/>
              <w:ind w:left="0" w:right="0"/>
              <w:textAlignment w:val="auto"/>
              <w:rPr>
                <w:rFonts w:hint="default" w:ascii="Times New Roman" w:hAnsi="Times New Roman" w:eastAsia="宋体" w:cs="Times New Roman"/>
                <w:color w:val="auto"/>
                <w:spacing w:val="0"/>
                <w:kern w:val="2"/>
                <w:position w:val="0"/>
                <w:highlight w:val="none"/>
                <w:lang w:val="en-US" w:eastAsia="zh-CN" w:bidi="ar-SA"/>
              </w:rPr>
            </w:pPr>
            <w:r>
              <w:rPr>
                <w:rFonts w:hint="default" w:ascii="Times New Roman" w:hAnsi="Times New Roman" w:eastAsia="宋体" w:cs="Times New Roman"/>
                <w:color w:val="auto"/>
                <w:spacing w:val="0"/>
                <w:kern w:val="2"/>
                <w:position w:val="0"/>
                <w:highlight w:val="none"/>
                <w:lang w:val="en-US" w:eastAsia="zh-CN" w:bidi="ar-SA"/>
              </w:rPr>
              <w:t>表</w:t>
            </w:r>
            <w:r>
              <w:rPr>
                <w:rFonts w:hint="eastAsia" w:ascii="Times New Roman" w:hAnsi="Times New Roman" w:eastAsia="宋体" w:cs="Times New Roman"/>
                <w:color w:val="auto"/>
                <w:spacing w:val="0"/>
                <w:kern w:val="2"/>
                <w:position w:val="0"/>
                <w:highlight w:val="none"/>
                <w:lang w:val="en-US" w:eastAsia="zh-CN" w:bidi="ar-SA"/>
              </w:rPr>
              <w:t>4.</w:t>
            </w:r>
            <w:r>
              <w:rPr>
                <w:rFonts w:hint="eastAsia" w:cs="Times New Roman"/>
                <w:color w:val="auto"/>
                <w:spacing w:val="0"/>
                <w:kern w:val="2"/>
                <w:position w:val="0"/>
                <w:highlight w:val="none"/>
                <w:lang w:val="en-US" w:eastAsia="zh-CN" w:bidi="ar-SA"/>
              </w:rPr>
              <w:t>6-2</w:t>
            </w:r>
            <w:r>
              <w:rPr>
                <w:rFonts w:hint="default" w:ascii="Times New Roman" w:hAnsi="Times New Roman" w:eastAsia="宋体" w:cs="Times New Roman"/>
                <w:color w:val="auto"/>
                <w:spacing w:val="0"/>
                <w:kern w:val="2"/>
                <w:position w:val="0"/>
                <w:highlight w:val="none"/>
                <w:lang w:val="en-US" w:eastAsia="zh-CN" w:bidi="ar-SA"/>
              </w:rPr>
              <w:t>风险物质数量与临界量比值（Q）确定</w:t>
            </w:r>
          </w:p>
          <w:tbl>
            <w:tblPr>
              <w:tblStyle w:val="29"/>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78"/>
              <w:gridCol w:w="1304"/>
              <w:gridCol w:w="1856"/>
              <w:gridCol w:w="1228"/>
              <w:gridCol w:w="1258"/>
            </w:tblGrid>
            <w:tr w14:paraId="6B2DE75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noWrap w:val="0"/>
                  <w:vAlign w:val="center"/>
                </w:tcPr>
                <w:p w14:paraId="21F2E2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物质名称</w:t>
                  </w:r>
                </w:p>
              </w:tc>
              <w:tc>
                <w:tcPr>
                  <w:tcW w:w="1304" w:type="dxa"/>
                  <w:tcBorders>
                    <w:tl2br w:val="nil"/>
                    <w:tr2bl w:val="nil"/>
                  </w:tcBorders>
                  <w:noWrap w:val="0"/>
                  <w:vAlign w:val="center"/>
                </w:tcPr>
                <w:p w14:paraId="41A0E0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CAS号</w:t>
                  </w:r>
                </w:p>
              </w:tc>
              <w:tc>
                <w:tcPr>
                  <w:tcW w:w="1856" w:type="dxa"/>
                  <w:tcBorders>
                    <w:tl2br w:val="nil"/>
                    <w:tr2bl w:val="nil"/>
                  </w:tcBorders>
                  <w:noWrap w:val="0"/>
                  <w:vAlign w:val="center"/>
                </w:tcPr>
                <w:p w14:paraId="0C869E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最大存储量（t）</w:t>
                  </w:r>
                </w:p>
              </w:tc>
              <w:tc>
                <w:tcPr>
                  <w:tcW w:w="1228" w:type="dxa"/>
                  <w:tcBorders>
                    <w:tl2br w:val="nil"/>
                    <w:tr2bl w:val="nil"/>
                  </w:tcBorders>
                  <w:noWrap w:val="0"/>
                  <w:vAlign w:val="center"/>
                </w:tcPr>
                <w:p w14:paraId="504997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临界量（t）</w:t>
                  </w:r>
                </w:p>
              </w:tc>
              <w:tc>
                <w:tcPr>
                  <w:tcW w:w="1258" w:type="dxa"/>
                  <w:tcBorders>
                    <w:tl2br w:val="nil"/>
                    <w:tr2bl w:val="nil"/>
                  </w:tcBorders>
                  <w:noWrap w:val="0"/>
                  <w:vAlign w:val="center"/>
                </w:tcPr>
                <w:p w14:paraId="2E3F8A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highlight w:val="none"/>
                    </w:rPr>
                    <w:t>w</w:t>
                  </w:r>
                  <w:r>
                    <w:rPr>
                      <w:rFonts w:hint="default" w:ascii="Times New Roman" w:hAnsi="Times New Roman" w:eastAsia="宋体" w:cs="Times New Roman"/>
                      <w:b/>
                      <w:bCs/>
                      <w:color w:val="auto"/>
                      <w:spacing w:val="0"/>
                      <w:kern w:val="0"/>
                      <w:position w:val="0"/>
                      <w:sz w:val="21"/>
                      <w:szCs w:val="21"/>
                      <w:highlight w:val="none"/>
                      <w:vertAlign w:val="subscript"/>
                    </w:rPr>
                    <w:t>i</w:t>
                  </w:r>
                  <w:r>
                    <w:rPr>
                      <w:rFonts w:hint="default" w:ascii="Times New Roman" w:hAnsi="Times New Roman" w:eastAsia="宋体" w:cs="Times New Roman"/>
                      <w:b/>
                      <w:bCs/>
                      <w:color w:val="auto"/>
                      <w:spacing w:val="0"/>
                      <w:kern w:val="0"/>
                      <w:position w:val="0"/>
                      <w:sz w:val="21"/>
                      <w:szCs w:val="21"/>
                      <w:highlight w:val="none"/>
                    </w:rPr>
                    <w:t>/W</w:t>
                  </w:r>
                  <w:r>
                    <w:rPr>
                      <w:rFonts w:hint="default" w:ascii="Times New Roman" w:hAnsi="Times New Roman" w:eastAsia="宋体" w:cs="Times New Roman"/>
                      <w:b/>
                      <w:bCs/>
                      <w:color w:val="auto"/>
                      <w:spacing w:val="0"/>
                      <w:kern w:val="0"/>
                      <w:position w:val="0"/>
                      <w:sz w:val="21"/>
                      <w:szCs w:val="21"/>
                      <w:highlight w:val="none"/>
                      <w:vertAlign w:val="subscript"/>
                    </w:rPr>
                    <w:t>i</w:t>
                  </w:r>
                </w:p>
              </w:tc>
            </w:tr>
            <w:tr w14:paraId="2409D78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000A7075">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二甲苯</w:t>
                  </w:r>
                </w:p>
              </w:tc>
              <w:tc>
                <w:tcPr>
                  <w:tcW w:w="1304" w:type="dxa"/>
                  <w:tcBorders>
                    <w:tl2br w:val="nil"/>
                    <w:tr2bl w:val="nil"/>
                  </w:tcBorders>
                  <w:noWrap w:val="0"/>
                  <w:vAlign w:val="center"/>
                </w:tcPr>
                <w:p w14:paraId="63F13177">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eastAsia="zh-CN"/>
                    </w:rPr>
                  </w:pPr>
                </w:p>
              </w:tc>
              <w:tc>
                <w:tcPr>
                  <w:tcW w:w="1856" w:type="dxa"/>
                  <w:tcBorders>
                    <w:tl2br w:val="nil"/>
                    <w:tr2bl w:val="nil"/>
                  </w:tcBorders>
                  <w:shd w:val="clear" w:color="auto" w:fill="auto"/>
                  <w:noWrap w:val="0"/>
                  <w:vAlign w:val="center"/>
                </w:tcPr>
                <w:p w14:paraId="2A57B158">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c>
                <w:tcPr>
                  <w:tcW w:w="1228" w:type="dxa"/>
                  <w:tcBorders>
                    <w:tl2br w:val="nil"/>
                    <w:tr2bl w:val="nil"/>
                  </w:tcBorders>
                  <w:noWrap w:val="0"/>
                  <w:vAlign w:val="center"/>
                </w:tcPr>
                <w:p w14:paraId="03077278">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c>
                <w:tcPr>
                  <w:tcW w:w="1258" w:type="dxa"/>
                  <w:tcBorders>
                    <w:tl2br w:val="nil"/>
                    <w:tr2bl w:val="nil"/>
                  </w:tcBorders>
                  <w:noWrap w:val="0"/>
                  <w:vAlign w:val="center"/>
                </w:tcPr>
                <w:p w14:paraId="212D9C2E">
                  <w:pPr>
                    <w:keepNext w:val="0"/>
                    <w:keepLines w:val="0"/>
                    <w:widowControl/>
                    <w:suppressLineNumbers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r>
            <w:tr w14:paraId="7B96DC4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16F38E1F">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2-丁氧基乙醇</w:t>
                  </w:r>
                </w:p>
              </w:tc>
              <w:tc>
                <w:tcPr>
                  <w:tcW w:w="1304" w:type="dxa"/>
                  <w:tcBorders>
                    <w:tl2br w:val="nil"/>
                    <w:tr2bl w:val="nil"/>
                  </w:tcBorders>
                  <w:shd w:val="clear" w:color="auto" w:fill="auto"/>
                  <w:noWrap w:val="0"/>
                  <w:vAlign w:val="center"/>
                </w:tcPr>
                <w:p w14:paraId="401D947A">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1856" w:type="dxa"/>
                  <w:tcBorders>
                    <w:tl2br w:val="nil"/>
                    <w:tr2bl w:val="nil"/>
                  </w:tcBorders>
                  <w:noWrap w:val="0"/>
                  <w:vAlign w:val="center"/>
                </w:tcPr>
                <w:p w14:paraId="44BB2AC1">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c>
                <w:tcPr>
                  <w:tcW w:w="1228" w:type="dxa"/>
                  <w:tcBorders>
                    <w:tl2br w:val="nil"/>
                    <w:tr2bl w:val="nil"/>
                  </w:tcBorders>
                  <w:noWrap w:val="0"/>
                  <w:vAlign w:val="center"/>
                </w:tcPr>
                <w:p w14:paraId="542279D5">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c>
                <w:tcPr>
                  <w:tcW w:w="1258" w:type="dxa"/>
                  <w:tcBorders>
                    <w:tl2br w:val="nil"/>
                    <w:tr2bl w:val="nil"/>
                  </w:tcBorders>
                  <w:noWrap w:val="0"/>
                  <w:vAlign w:val="center"/>
                </w:tcPr>
                <w:p w14:paraId="147BB31E">
                  <w:pPr>
                    <w:keepNext w:val="0"/>
                    <w:keepLines w:val="0"/>
                    <w:widowControl/>
                    <w:suppressLineNumbers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r>
            <w:tr w14:paraId="3C76563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4DCF5A27">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异丙醇</w:t>
                  </w:r>
                </w:p>
              </w:tc>
              <w:tc>
                <w:tcPr>
                  <w:tcW w:w="1304" w:type="dxa"/>
                  <w:tcBorders>
                    <w:tl2br w:val="nil"/>
                    <w:tr2bl w:val="nil"/>
                  </w:tcBorders>
                  <w:shd w:val="clear" w:color="auto" w:fill="auto"/>
                  <w:noWrap w:val="0"/>
                  <w:vAlign w:val="center"/>
                </w:tcPr>
                <w:p w14:paraId="781AA0E7">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1856" w:type="dxa"/>
                  <w:tcBorders>
                    <w:tl2br w:val="nil"/>
                    <w:tr2bl w:val="nil"/>
                  </w:tcBorders>
                  <w:noWrap w:val="0"/>
                  <w:vAlign w:val="center"/>
                </w:tcPr>
                <w:p w14:paraId="3F1351A2">
                  <w:pPr>
                    <w:keepNext w:val="0"/>
                    <w:keepLines w:val="0"/>
                    <w:pageBreakBefore w:val="0"/>
                    <w:widowControl/>
                    <w:suppressLineNumbers w:val="0"/>
                    <w:kinsoku/>
                    <w:wordWrap/>
                    <w:overflowPunct/>
                    <w:topLinePunct w:val="0"/>
                    <w:bidi w:val="0"/>
                    <w:jc w:val="center"/>
                    <w:textAlignment w:val="bottom"/>
                    <w:rPr>
                      <w:rFonts w:hint="eastAsia" w:ascii="Times New Roman" w:hAnsi="Times New Roman" w:eastAsia="宋体" w:cs="Times New Roman"/>
                      <w:color w:val="auto"/>
                      <w:spacing w:val="0"/>
                      <w:kern w:val="0"/>
                      <w:position w:val="0"/>
                      <w:sz w:val="21"/>
                      <w:szCs w:val="21"/>
                      <w:highlight w:val="none"/>
                      <w:lang w:val="en-US" w:eastAsia="zh-CN"/>
                    </w:rPr>
                  </w:pPr>
                </w:p>
              </w:tc>
              <w:tc>
                <w:tcPr>
                  <w:tcW w:w="1228" w:type="dxa"/>
                  <w:tcBorders>
                    <w:tl2br w:val="nil"/>
                    <w:tr2bl w:val="nil"/>
                  </w:tcBorders>
                  <w:noWrap w:val="0"/>
                  <w:vAlign w:val="center"/>
                </w:tcPr>
                <w:p w14:paraId="5D114886">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c>
                <w:tcPr>
                  <w:tcW w:w="1258" w:type="dxa"/>
                  <w:tcBorders>
                    <w:tl2br w:val="nil"/>
                    <w:tr2bl w:val="nil"/>
                  </w:tcBorders>
                  <w:noWrap w:val="0"/>
                  <w:vAlign w:val="center"/>
                </w:tcPr>
                <w:p w14:paraId="626C0A0A">
                  <w:pPr>
                    <w:keepNext w:val="0"/>
                    <w:keepLines w:val="0"/>
                    <w:widowControl/>
                    <w:suppressLineNumbers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r>
            <w:tr w14:paraId="7FE3425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18C1B3ED">
                  <w:pPr>
                    <w:keepNext w:val="0"/>
                    <w:keepLines w:val="0"/>
                    <w:pageBreakBefore w:val="0"/>
                    <w:widowControl/>
                    <w:suppressLineNumbers w:val="0"/>
                    <w:kinsoku/>
                    <w:wordWrap/>
                    <w:overflowPunct/>
                    <w:topLinePunct w:val="0"/>
                    <w:bidi w:val="0"/>
                    <w:jc w:val="center"/>
                    <w:textAlignment w:val="bottom"/>
                    <w:rPr>
                      <w:rFonts w:hint="eastAsia"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cs="Times New Roman"/>
                      <w:b w:val="0"/>
                      <w:bCs/>
                      <w:color w:val="auto"/>
                      <w:spacing w:val="0"/>
                      <w:sz w:val="21"/>
                      <w:szCs w:val="21"/>
                      <w:highlight w:val="none"/>
                      <w:lang w:val="en-US" w:eastAsia="zh-CN"/>
                    </w:rPr>
                    <w:t>甲苯异氰酸酯</w:t>
                  </w:r>
                </w:p>
              </w:tc>
              <w:tc>
                <w:tcPr>
                  <w:tcW w:w="1304" w:type="dxa"/>
                  <w:tcBorders>
                    <w:tl2br w:val="nil"/>
                    <w:tr2bl w:val="nil"/>
                  </w:tcBorders>
                  <w:shd w:val="clear" w:color="auto" w:fill="auto"/>
                  <w:noWrap w:val="0"/>
                  <w:vAlign w:val="center"/>
                </w:tcPr>
                <w:p w14:paraId="407B2930">
                  <w:pPr>
                    <w:keepNext w:val="0"/>
                    <w:keepLines w:val="0"/>
                    <w:pageBreakBefore w:val="0"/>
                    <w:widowControl/>
                    <w:suppressLineNumbers w:val="0"/>
                    <w:kinsoku/>
                    <w:wordWrap/>
                    <w:overflowPunct/>
                    <w:topLinePunct w:val="0"/>
                    <w:bidi w:val="0"/>
                    <w:spacing w:line="240" w:lineRule="auto"/>
                    <w:jc w:val="center"/>
                    <w:textAlignment w:val="bottom"/>
                    <w:rPr>
                      <w:rFonts w:hint="eastAsia" w:ascii="Times New Roman" w:hAnsi="Times New Roman" w:eastAsia="宋体" w:cs="Times New Roman"/>
                      <w:color w:val="auto"/>
                      <w:spacing w:val="0"/>
                      <w:kern w:val="0"/>
                      <w:position w:val="0"/>
                      <w:sz w:val="21"/>
                      <w:szCs w:val="21"/>
                      <w:highlight w:val="none"/>
                      <w:lang w:val="en-US" w:eastAsia="zh-CN" w:bidi="ar-SA"/>
                    </w:rPr>
                  </w:pPr>
                </w:p>
              </w:tc>
              <w:tc>
                <w:tcPr>
                  <w:tcW w:w="1856" w:type="dxa"/>
                  <w:tcBorders>
                    <w:tl2br w:val="nil"/>
                    <w:tr2bl w:val="nil"/>
                  </w:tcBorders>
                  <w:noWrap w:val="0"/>
                  <w:vAlign w:val="center"/>
                </w:tcPr>
                <w:p w14:paraId="2C3F7D0C">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c>
                <w:tcPr>
                  <w:tcW w:w="1228" w:type="dxa"/>
                  <w:tcBorders>
                    <w:tl2br w:val="nil"/>
                    <w:tr2bl w:val="nil"/>
                  </w:tcBorders>
                  <w:noWrap w:val="0"/>
                  <w:vAlign w:val="center"/>
                </w:tcPr>
                <w:p w14:paraId="29A40439">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58" w:type="dxa"/>
                  <w:tcBorders>
                    <w:tl2br w:val="nil"/>
                    <w:tr2bl w:val="nil"/>
                  </w:tcBorders>
                  <w:noWrap w:val="0"/>
                  <w:vAlign w:val="center"/>
                </w:tcPr>
                <w:p w14:paraId="7C8834D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539E59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7D039C9E">
                  <w:pPr>
                    <w:keepNext w:val="0"/>
                    <w:keepLines w:val="0"/>
                    <w:pageBreakBefore w:val="0"/>
                    <w:widowControl/>
                    <w:suppressLineNumbers w:val="0"/>
                    <w:kinsoku/>
                    <w:wordWrap/>
                    <w:overflowPunct/>
                    <w:topLinePunct w:val="0"/>
                    <w:bidi w:val="0"/>
                    <w:jc w:val="center"/>
                    <w:textAlignment w:val="bottom"/>
                    <w:rPr>
                      <w:rFonts w:hint="eastAsia"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乙酸丁酯</w:t>
                  </w:r>
                </w:p>
              </w:tc>
              <w:tc>
                <w:tcPr>
                  <w:tcW w:w="1304" w:type="dxa"/>
                  <w:tcBorders>
                    <w:tl2br w:val="nil"/>
                    <w:tr2bl w:val="nil"/>
                  </w:tcBorders>
                  <w:shd w:val="clear" w:color="auto" w:fill="auto"/>
                  <w:noWrap w:val="0"/>
                  <w:vAlign w:val="center"/>
                </w:tcPr>
                <w:p w14:paraId="6357C4E4">
                  <w:pPr>
                    <w:keepNext w:val="0"/>
                    <w:keepLines w:val="0"/>
                    <w:pageBreakBefore w:val="0"/>
                    <w:widowControl/>
                    <w:suppressLineNumbers w:val="0"/>
                    <w:kinsoku/>
                    <w:wordWrap/>
                    <w:overflowPunct/>
                    <w:topLinePunct w:val="0"/>
                    <w:bidi w:val="0"/>
                    <w:jc w:val="center"/>
                    <w:textAlignment w:val="bottom"/>
                    <w:rPr>
                      <w:rFonts w:hint="eastAsia" w:ascii="Times New Roman" w:hAnsi="Times New Roman" w:eastAsia="宋体" w:cs="Times New Roman"/>
                      <w:color w:val="auto"/>
                      <w:spacing w:val="0"/>
                      <w:kern w:val="0"/>
                      <w:position w:val="0"/>
                      <w:sz w:val="21"/>
                      <w:szCs w:val="21"/>
                      <w:highlight w:val="none"/>
                      <w:lang w:val="en-US" w:eastAsia="zh-CN" w:bidi="ar-SA"/>
                    </w:rPr>
                  </w:pPr>
                </w:p>
              </w:tc>
              <w:tc>
                <w:tcPr>
                  <w:tcW w:w="1856" w:type="dxa"/>
                  <w:tcBorders>
                    <w:tl2br w:val="nil"/>
                    <w:tr2bl w:val="nil"/>
                  </w:tcBorders>
                  <w:shd w:val="clear" w:color="auto" w:fill="auto"/>
                  <w:noWrap w:val="0"/>
                  <w:vAlign w:val="center"/>
                </w:tcPr>
                <w:p w14:paraId="4260141A">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c>
                <w:tcPr>
                  <w:tcW w:w="1228" w:type="dxa"/>
                  <w:tcBorders>
                    <w:tl2br w:val="nil"/>
                    <w:tr2bl w:val="nil"/>
                  </w:tcBorders>
                  <w:noWrap w:val="0"/>
                  <w:vAlign w:val="center"/>
                </w:tcPr>
                <w:p w14:paraId="09FE6589">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58" w:type="dxa"/>
                  <w:tcBorders>
                    <w:tl2br w:val="nil"/>
                    <w:tr2bl w:val="nil"/>
                  </w:tcBorders>
                  <w:noWrap w:val="0"/>
                  <w:vAlign w:val="center"/>
                </w:tcPr>
                <w:p w14:paraId="1CA32D8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806051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7F5504EC">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2"/>
                      <w:position w:val="0"/>
                      <w:sz w:val="21"/>
                      <w:szCs w:val="21"/>
                      <w:highlight w:val="none"/>
                      <w:vertAlign w:val="baseline"/>
                      <w:lang w:val="en-US" w:eastAsia="en-US" w:bidi="ar-SA"/>
                    </w:rPr>
                  </w:pPr>
                  <w:r>
                    <w:rPr>
                      <w:rFonts w:hint="eastAsia" w:ascii="Times New Roman" w:hAnsi="Times New Roman" w:eastAsia="宋体" w:cs="Times New Roman"/>
                      <w:i w:val="0"/>
                      <w:iCs w:val="0"/>
                      <w:color w:val="auto"/>
                      <w:kern w:val="0"/>
                      <w:sz w:val="21"/>
                      <w:szCs w:val="21"/>
                      <w:highlight w:val="none"/>
                      <w:u w:val="none"/>
                      <w:lang w:val="en-US" w:eastAsia="zh-CN" w:bidi="ar"/>
                    </w:rPr>
                    <w:t>乙酸乙酯</w:t>
                  </w:r>
                </w:p>
              </w:tc>
              <w:tc>
                <w:tcPr>
                  <w:tcW w:w="1304" w:type="dxa"/>
                  <w:tcBorders>
                    <w:tl2br w:val="nil"/>
                    <w:tr2bl w:val="nil"/>
                  </w:tcBorders>
                  <w:noWrap w:val="0"/>
                  <w:vAlign w:val="center"/>
                </w:tcPr>
                <w:p w14:paraId="1E183219">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c>
                <w:tcPr>
                  <w:tcW w:w="1856" w:type="dxa"/>
                  <w:tcBorders>
                    <w:tl2br w:val="nil"/>
                    <w:tr2bl w:val="nil"/>
                  </w:tcBorders>
                  <w:shd w:val="clear" w:color="auto" w:fill="auto"/>
                  <w:noWrap w:val="0"/>
                  <w:vAlign w:val="center"/>
                </w:tcPr>
                <w:p w14:paraId="45705982">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c>
                <w:tcPr>
                  <w:tcW w:w="1228" w:type="dxa"/>
                  <w:tcBorders>
                    <w:tl2br w:val="nil"/>
                    <w:tr2bl w:val="nil"/>
                  </w:tcBorders>
                  <w:noWrap w:val="0"/>
                  <w:vAlign w:val="center"/>
                </w:tcPr>
                <w:p w14:paraId="2E93388F">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c>
                <w:tcPr>
                  <w:tcW w:w="1258" w:type="dxa"/>
                  <w:tcBorders>
                    <w:tl2br w:val="nil"/>
                    <w:tr2bl w:val="nil"/>
                  </w:tcBorders>
                  <w:noWrap w:val="0"/>
                  <w:vAlign w:val="center"/>
                </w:tcPr>
                <w:p w14:paraId="367CA6B7">
                  <w:pPr>
                    <w:keepNext w:val="0"/>
                    <w:keepLines w:val="0"/>
                    <w:widowControl/>
                    <w:suppressLineNumbers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r>
            <w:tr w14:paraId="406E272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3FFA7B54">
                  <w:pPr>
                    <w:keepNext w:val="0"/>
                    <w:keepLines w:val="0"/>
                    <w:pageBreakBefore w:val="0"/>
                    <w:widowControl/>
                    <w:suppressLineNumbers w:val="0"/>
                    <w:kinsoku/>
                    <w:wordWrap/>
                    <w:overflowPunct/>
                    <w:topLinePunct w:val="0"/>
                    <w:bidi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color w:val="auto"/>
                      <w:spacing w:val="0"/>
                      <w:sz w:val="21"/>
                      <w:szCs w:val="21"/>
                      <w:highlight w:val="none"/>
                      <w:lang w:val="en-US" w:eastAsia="zh-CN"/>
                    </w:rPr>
                    <w:t>丙二醇甲醚醋酸酯</w:t>
                  </w:r>
                </w:p>
              </w:tc>
              <w:tc>
                <w:tcPr>
                  <w:tcW w:w="1304" w:type="dxa"/>
                  <w:tcBorders>
                    <w:tl2br w:val="nil"/>
                    <w:tr2bl w:val="nil"/>
                  </w:tcBorders>
                  <w:noWrap w:val="0"/>
                  <w:vAlign w:val="center"/>
                </w:tcPr>
                <w:p w14:paraId="17BEB7B7">
                  <w:pPr>
                    <w:keepNext w:val="0"/>
                    <w:keepLines w:val="0"/>
                    <w:pageBreakBefore w:val="0"/>
                    <w:widowControl/>
                    <w:suppressLineNumbers w:val="0"/>
                    <w:kinsoku/>
                    <w:wordWrap/>
                    <w:overflowPunct/>
                    <w:topLinePunct w:val="0"/>
                    <w:bidi w:val="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856" w:type="dxa"/>
                  <w:tcBorders>
                    <w:tl2br w:val="nil"/>
                    <w:tr2bl w:val="nil"/>
                  </w:tcBorders>
                  <w:shd w:val="clear" w:color="auto" w:fill="auto"/>
                  <w:noWrap w:val="0"/>
                  <w:vAlign w:val="center"/>
                </w:tcPr>
                <w:p w14:paraId="05537B6A">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color w:val="auto"/>
                      <w:spacing w:val="0"/>
                      <w:kern w:val="0"/>
                      <w:position w:val="0"/>
                      <w:sz w:val="21"/>
                      <w:szCs w:val="21"/>
                      <w:highlight w:val="none"/>
                      <w:lang w:val="en-US" w:eastAsia="zh-CN"/>
                    </w:rPr>
                  </w:pPr>
                </w:p>
              </w:tc>
              <w:tc>
                <w:tcPr>
                  <w:tcW w:w="1228" w:type="dxa"/>
                  <w:tcBorders>
                    <w:tl2br w:val="nil"/>
                    <w:tr2bl w:val="nil"/>
                  </w:tcBorders>
                  <w:noWrap w:val="0"/>
                  <w:vAlign w:val="center"/>
                </w:tcPr>
                <w:p w14:paraId="3C1FA919">
                  <w:pPr>
                    <w:keepNext w:val="0"/>
                    <w:keepLines w:val="0"/>
                    <w:pageBreakBefore w:val="0"/>
                    <w:widowControl/>
                    <w:suppressLineNumbers w:val="0"/>
                    <w:kinsoku/>
                    <w:wordWrap/>
                    <w:overflowPunct/>
                    <w:topLinePunct w:val="0"/>
                    <w:bidi w:val="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1258" w:type="dxa"/>
                  <w:tcBorders>
                    <w:tl2br w:val="nil"/>
                    <w:tr2bl w:val="nil"/>
                  </w:tcBorders>
                  <w:noWrap w:val="0"/>
                  <w:vAlign w:val="center"/>
                </w:tcPr>
                <w:p w14:paraId="3CA2A03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84251B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1906481A">
                  <w:pPr>
                    <w:pStyle w:val="107"/>
                    <w:ind w:firstLine="0" w:firstLineChars="0"/>
                    <w:rPr>
                      <w:rFonts w:hint="default" w:ascii="Times New Roman" w:hAnsi="Times New Roman" w:eastAsia="宋体" w:cs="Times New Roman"/>
                      <w:bCs/>
                      <w:color w:val="auto"/>
                      <w:spacing w:val="0"/>
                      <w:position w:val="0"/>
                      <w:sz w:val="21"/>
                      <w:szCs w:val="21"/>
                      <w:highlight w:val="none"/>
                      <w:lang w:val="en-US" w:eastAsia="zh-CN"/>
                    </w:rPr>
                  </w:pPr>
                  <w:r>
                    <w:rPr>
                      <w:rFonts w:hint="eastAsia" w:cs="Times New Roman"/>
                      <w:bCs/>
                      <w:color w:val="auto"/>
                      <w:spacing w:val="0"/>
                      <w:position w:val="0"/>
                      <w:sz w:val="21"/>
                      <w:szCs w:val="21"/>
                      <w:highlight w:val="none"/>
                      <w:lang w:val="en-US" w:eastAsia="zh-CN"/>
                    </w:rPr>
                    <w:t>润滑油</w:t>
                  </w:r>
                </w:p>
              </w:tc>
              <w:tc>
                <w:tcPr>
                  <w:tcW w:w="1304" w:type="dxa"/>
                  <w:tcBorders>
                    <w:tl2br w:val="nil"/>
                    <w:tr2bl w:val="nil"/>
                  </w:tcBorders>
                  <w:noWrap w:val="0"/>
                  <w:vAlign w:val="center"/>
                </w:tcPr>
                <w:p w14:paraId="75D02CFB">
                  <w:pPr>
                    <w:keepNext w:val="0"/>
                    <w:keepLines w:val="0"/>
                    <w:pageBreakBefore w:val="0"/>
                    <w:kinsoku/>
                    <w:wordWrap/>
                    <w:overflowPunct/>
                    <w:topLinePunct w:val="0"/>
                    <w:bidi w:val="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56" w:type="dxa"/>
                  <w:tcBorders>
                    <w:tl2br w:val="nil"/>
                    <w:tr2bl w:val="nil"/>
                  </w:tcBorders>
                  <w:shd w:val="clear" w:color="auto" w:fill="auto"/>
                  <w:noWrap w:val="0"/>
                  <w:vAlign w:val="center"/>
                </w:tcPr>
                <w:p w14:paraId="03E4E92E">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eastAsia="宋体" w:cs="Times New Roman"/>
                      <w:color w:val="auto"/>
                      <w:spacing w:val="0"/>
                      <w:kern w:val="2"/>
                      <w:position w:val="0"/>
                      <w:sz w:val="21"/>
                      <w:szCs w:val="21"/>
                      <w:highlight w:val="none"/>
                      <w:lang w:val="en-US" w:eastAsia="zh-CN" w:bidi="ar-SA"/>
                    </w:rPr>
                  </w:pPr>
                </w:p>
              </w:tc>
              <w:tc>
                <w:tcPr>
                  <w:tcW w:w="1228" w:type="dxa"/>
                  <w:tcBorders>
                    <w:tl2br w:val="nil"/>
                    <w:tr2bl w:val="nil"/>
                  </w:tcBorders>
                  <w:noWrap w:val="0"/>
                  <w:vAlign w:val="center"/>
                </w:tcPr>
                <w:p w14:paraId="5896A9DD">
                  <w:pPr>
                    <w:autoSpaceDE w:val="0"/>
                    <w:autoSpaceDN w:val="0"/>
                    <w:adjustRightInd w:val="0"/>
                    <w:snapToGrid w:val="0"/>
                    <w:spacing w:line="240" w:lineRule="auto"/>
                    <w:ind w:firstLine="0" w:firstLineChars="0"/>
                    <w:jc w:val="center"/>
                    <w:rPr>
                      <w:color w:val="auto"/>
                      <w:kern w:val="0"/>
                      <w:sz w:val="21"/>
                      <w:szCs w:val="21"/>
                      <w:highlight w:val="none"/>
                    </w:rPr>
                  </w:pPr>
                </w:p>
              </w:tc>
              <w:tc>
                <w:tcPr>
                  <w:tcW w:w="1258" w:type="dxa"/>
                  <w:tcBorders>
                    <w:tl2br w:val="nil"/>
                    <w:tr2bl w:val="nil"/>
                  </w:tcBorders>
                  <w:shd w:val="clear" w:color="auto" w:fill="auto"/>
                  <w:noWrap w:val="0"/>
                  <w:vAlign w:val="center"/>
                </w:tcPr>
                <w:p w14:paraId="33561D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A4833A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51CA2071">
                  <w:pPr>
                    <w:pStyle w:val="107"/>
                    <w:ind w:firstLine="0" w:firstLineChars="0"/>
                    <w:rPr>
                      <w:rFonts w:hint="default" w:ascii="Times New Roman" w:hAnsi="Times New Roman" w:eastAsia="宋体" w:cs="Times New Roman"/>
                      <w:b w:val="0"/>
                      <w:bCs/>
                      <w:color w:val="auto"/>
                      <w:spacing w:val="0"/>
                      <w:kern w:val="2"/>
                      <w:position w:val="0"/>
                      <w:sz w:val="21"/>
                      <w:szCs w:val="21"/>
                      <w:highlight w:val="none"/>
                      <w:lang w:val="en-US" w:eastAsia="zh-CN" w:bidi="ar-SA"/>
                    </w:rPr>
                  </w:pPr>
                  <w:r>
                    <w:rPr>
                      <w:rFonts w:hint="eastAsia" w:ascii="Times New Roman" w:hAnsi="Times New Roman" w:eastAsia="宋体" w:cs="Times New Roman"/>
                      <w:bCs/>
                      <w:color w:val="auto"/>
                      <w:spacing w:val="0"/>
                      <w:position w:val="0"/>
                      <w:sz w:val="21"/>
                      <w:szCs w:val="21"/>
                      <w:highlight w:val="none"/>
                      <w:lang w:val="en-US" w:eastAsia="zh-CN"/>
                    </w:rPr>
                    <w:t>漆渣</w:t>
                  </w:r>
                </w:p>
              </w:tc>
              <w:tc>
                <w:tcPr>
                  <w:tcW w:w="1304" w:type="dxa"/>
                  <w:tcBorders>
                    <w:tl2br w:val="nil"/>
                    <w:tr2bl w:val="nil"/>
                  </w:tcBorders>
                  <w:noWrap w:val="0"/>
                  <w:vAlign w:val="center"/>
                </w:tcPr>
                <w:p w14:paraId="1E32DB94">
                  <w:pPr>
                    <w:keepNext w:val="0"/>
                    <w:keepLines w:val="0"/>
                    <w:pageBreakBefore w:val="0"/>
                    <w:kinsoku/>
                    <w:wordWrap/>
                    <w:overflowPunct/>
                    <w:topLinePunct w:val="0"/>
                    <w:bidi w:val="0"/>
                    <w:jc w:val="center"/>
                    <w:rPr>
                      <w:rFonts w:hint="eastAsia" w:ascii="Times New Roman" w:hAnsi="Times New Roman" w:eastAsia="宋体" w:cs="Times New Roman"/>
                      <w:color w:val="auto"/>
                      <w:spacing w:val="0"/>
                      <w:kern w:val="0"/>
                      <w:position w:val="0"/>
                      <w:sz w:val="21"/>
                      <w:szCs w:val="21"/>
                      <w:highlight w:val="none"/>
                      <w:lang w:val="en-US" w:eastAsia="zh-CN"/>
                    </w:rPr>
                  </w:pPr>
                </w:p>
              </w:tc>
              <w:tc>
                <w:tcPr>
                  <w:tcW w:w="1856" w:type="dxa"/>
                  <w:tcBorders>
                    <w:tl2br w:val="nil"/>
                    <w:tr2bl w:val="nil"/>
                  </w:tcBorders>
                  <w:shd w:val="clear" w:color="auto" w:fill="auto"/>
                  <w:noWrap w:val="0"/>
                  <w:vAlign w:val="center"/>
                </w:tcPr>
                <w:p w14:paraId="01EBD131">
                  <w:pPr>
                    <w:spacing w:line="240" w:lineRule="exact"/>
                    <w:jc w:val="center"/>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p>
              </w:tc>
              <w:tc>
                <w:tcPr>
                  <w:tcW w:w="1228" w:type="dxa"/>
                  <w:tcBorders>
                    <w:tl2br w:val="nil"/>
                    <w:tr2bl w:val="nil"/>
                  </w:tcBorders>
                  <w:noWrap w:val="0"/>
                  <w:vAlign w:val="center"/>
                </w:tcPr>
                <w:p w14:paraId="41D524D0">
                  <w:pPr>
                    <w:keepNext w:val="0"/>
                    <w:keepLines w:val="0"/>
                    <w:pageBreakBefore w:val="0"/>
                    <w:widowControl/>
                    <w:suppressLineNumbers w:val="0"/>
                    <w:kinsoku/>
                    <w:wordWrap/>
                    <w:overflowPunct/>
                    <w:topLinePunct w:val="0"/>
                    <w:bidi w:val="0"/>
                    <w:spacing w:line="240" w:lineRule="auto"/>
                    <w:jc w:val="center"/>
                    <w:textAlignment w:val="bottom"/>
                    <w:rPr>
                      <w:rFonts w:hint="eastAsia" w:ascii="Times New Roman" w:hAnsi="Times New Roman" w:eastAsia="宋体" w:cs="Times New Roman"/>
                      <w:color w:val="auto"/>
                      <w:spacing w:val="0"/>
                      <w:kern w:val="0"/>
                      <w:position w:val="0"/>
                      <w:sz w:val="21"/>
                      <w:szCs w:val="21"/>
                      <w:highlight w:val="none"/>
                      <w:lang w:val="en-US" w:eastAsia="zh-CN"/>
                    </w:rPr>
                  </w:pPr>
                </w:p>
              </w:tc>
              <w:tc>
                <w:tcPr>
                  <w:tcW w:w="1258" w:type="dxa"/>
                  <w:tcBorders>
                    <w:tl2br w:val="nil"/>
                    <w:tr2bl w:val="nil"/>
                  </w:tcBorders>
                  <w:shd w:val="clear" w:color="auto" w:fill="auto"/>
                  <w:noWrap w:val="0"/>
                  <w:vAlign w:val="center"/>
                </w:tcPr>
                <w:p w14:paraId="15274414">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0DCD92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3A0D6716">
                  <w:pPr>
                    <w:pStyle w:val="107"/>
                    <w:ind w:firstLine="0" w:firstLineChars="0"/>
                    <w:rPr>
                      <w:rFonts w:hint="eastAsia" w:ascii="Times New Roman" w:hAnsi="Times New Roman" w:eastAsia="宋体" w:cs="Times New Roman"/>
                      <w:b w:val="0"/>
                      <w:bCs/>
                      <w:color w:val="auto"/>
                      <w:spacing w:val="0"/>
                      <w:kern w:val="2"/>
                      <w:position w:val="0"/>
                      <w:sz w:val="21"/>
                      <w:szCs w:val="21"/>
                      <w:highlight w:val="none"/>
                      <w:lang w:val="en-US" w:eastAsia="zh-CN" w:bidi="ar-SA"/>
                    </w:rPr>
                  </w:pPr>
                  <w:r>
                    <w:rPr>
                      <w:rFonts w:hint="eastAsia" w:ascii="Times New Roman" w:hAnsi="Times New Roman" w:eastAsia="宋体" w:cs="Times New Roman"/>
                      <w:bCs/>
                      <w:color w:val="auto"/>
                      <w:spacing w:val="0"/>
                      <w:kern w:val="2"/>
                      <w:position w:val="0"/>
                      <w:sz w:val="21"/>
                      <w:szCs w:val="21"/>
                      <w:highlight w:val="none"/>
                      <w:lang w:val="en-US" w:eastAsia="zh-CN" w:bidi="ar-SA"/>
                    </w:rPr>
                    <w:t>废活性炭</w:t>
                  </w:r>
                </w:p>
              </w:tc>
              <w:tc>
                <w:tcPr>
                  <w:tcW w:w="1304" w:type="dxa"/>
                  <w:tcBorders>
                    <w:tl2br w:val="nil"/>
                    <w:tr2bl w:val="nil"/>
                  </w:tcBorders>
                  <w:noWrap w:val="0"/>
                  <w:vAlign w:val="center"/>
                </w:tcPr>
                <w:p w14:paraId="0924DD50">
                  <w:pPr>
                    <w:keepNext w:val="0"/>
                    <w:keepLines w:val="0"/>
                    <w:pageBreakBefore w:val="0"/>
                    <w:kinsoku/>
                    <w:wordWrap/>
                    <w:overflowPunct/>
                    <w:topLinePunct w:val="0"/>
                    <w:bidi w:val="0"/>
                    <w:jc w:val="center"/>
                    <w:rPr>
                      <w:rFonts w:hint="eastAsia" w:ascii="Times New Roman" w:hAnsi="Times New Roman" w:eastAsia="宋体" w:cs="Times New Roman"/>
                      <w:color w:val="auto"/>
                      <w:spacing w:val="0"/>
                      <w:kern w:val="0"/>
                      <w:position w:val="0"/>
                      <w:sz w:val="21"/>
                      <w:szCs w:val="21"/>
                      <w:highlight w:val="none"/>
                      <w:lang w:val="en-US" w:eastAsia="zh-CN"/>
                    </w:rPr>
                  </w:pPr>
                </w:p>
              </w:tc>
              <w:tc>
                <w:tcPr>
                  <w:tcW w:w="1856" w:type="dxa"/>
                  <w:tcBorders>
                    <w:tl2br w:val="nil"/>
                    <w:tr2bl w:val="nil"/>
                  </w:tcBorders>
                  <w:shd w:val="clear" w:color="auto" w:fill="auto"/>
                  <w:noWrap w:val="0"/>
                  <w:vAlign w:val="center"/>
                </w:tcPr>
                <w:p w14:paraId="33EC816F">
                  <w:pPr>
                    <w:spacing w:line="240" w:lineRule="exact"/>
                    <w:jc w:val="center"/>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p>
              </w:tc>
              <w:tc>
                <w:tcPr>
                  <w:tcW w:w="1228" w:type="dxa"/>
                  <w:tcBorders>
                    <w:tl2br w:val="nil"/>
                    <w:tr2bl w:val="nil"/>
                  </w:tcBorders>
                  <w:noWrap w:val="0"/>
                  <w:vAlign w:val="center"/>
                </w:tcPr>
                <w:p w14:paraId="264513D8">
                  <w:pPr>
                    <w:keepNext w:val="0"/>
                    <w:keepLines w:val="0"/>
                    <w:pageBreakBefore w:val="0"/>
                    <w:widowControl/>
                    <w:suppressLineNumbers w:val="0"/>
                    <w:kinsoku/>
                    <w:wordWrap/>
                    <w:overflowPunct/>
                    <w:topLinePunct w:val="0"/>
                    <w:bidi w:val="0"/>
                    <w:spacing w:line="240" w:lineRule="auto"/>
                    <w:jc w:val="center"/>
                    <w:textAlignment w:val="bottom"/>
                    <w:rPr>
                      <w:rFonts w:hint="eastAsia" w:ascii="Times New Roman" w:hAnsi="Times New Roman" w:eastAsia="宋体" w:cs="Times New Roman"/>
                      <w:color w:val="auto"/>
                      <w:spacing w:val="0"/>
                      <w:kern w:val="0"/>
                      <w:position w:val="0"/>
                      <w:sz w:val="21"/>
                      <w:szCs w:val="21"/>
                      <w:highlight w:val="none"/>
                      <w:lang w:val="en-US" w:eastAsia="zh-CN"/>
                    </w:rPr>
                  </w:pPr>
                </w:p>
              </w:tc>
              <w:tc>
                <w:tcPr>
                  <w:tcW w:w="1258" w:type="dxa"/>
                  <w:tcBorders>
                    <w:tl2br w:val="nil"/>
                    <w:tr2bl w:val="nil"/>
                  </w:tcBorders>
                  <w:noWrap w:val="0"/>
                  <w:vAlign w:val="center"/>
                </w:tcPr>
                <w:p w14:paraId="639E187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E4E8F2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752F19CD">
                  <w:pPr>
                    <w:pStyle w:val="107"/>
                    <w:ind w:firstLine="0" w:firstLineChars="0"/>
                    <w:rPr>
                      <w:rFonts w:hint="default" w:ascii="Times New Roman" w:hAnsi="Times New Roman" w:eastAsia="宋体" w:cs="Times New Roman"/>
                      <w:bCs/>
                      <w:color w:val="auto"/>
                      <w:spacing w:val="0"/>
                      <w:kern w:val="2"/>
                      <w:position w:val="0"/>
                      <w:sz w:val="21"/>
                      <w:szCs w:val="21"/>
                      <w:highlight w:val="none"/>
                      <w:lang w:val="en-US" w:eastAsia="zh-CN" w:bidi="ar-SA"/>
                    </w:rPr>
                  </w:pPr>
                  <w:r>
                    <w:rPr>
                      <w:rFonts w:hint="eastAsia" w:cs="Times New Roman"/>
                      <w:bCs/>
                      <w:color w:val="auto"/>
                      <w:spacing w:val="0"/>
                      <w:kern w:val="2"/>
                      <w:position w:val="0"/>
                      <w:sz w:val="21"/>
                      <w:szCs w:val="21"/>
                      <w:highlight w:val="none"/>
                      <w:lang w:val="en-US" w:eastAsia="zh-CN" w:bidi="ar-SA"/>
                    </w:rPr>
                    <w:t>废过滤棉</w:t>
                  </w:r>
                </w:p>
              </w:tc>
              <w:tc>
                <w:tcPr>
                  <w:tcW w:w="1304" w:type="dxa"/>
                  <w:tcBorders>
                    <w:tl2br w:val="nil"/>
                    <w:tr2bl w:val="nil"/>
                  </w:tcBorders>
                  <w:noWrap w:val="0"/>
                  <w:vAlign w:val="center"/>
                </w:tcPr>
                <w:p w14:paraId="06683BB8">
                  <w:pPr>
                    <w:keepNext w:val="0"/>
                    <w:keepLines w:val="0"/>
                    <w:pageBreakBefore w:val="0"/>
                    <w:kinsoku/>
                    <w:wordWrap/>
                    <w:overflowPunct/>
                    <w:topLinePunct w:val="0"/>
                    <w:bidi w:val="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56" w:type="dxa"/>
                  <w:tcBorders>
                    <w:tl2br w:val="nil"/>
                    <w:tr2bl w:val="nil"/>
                  </w:tcBorders>
                  <w:shd w:val="clear" w:color="auto" w:fill="auto"/>
                  <w:noWrap w:val="0"/>
                  <w:vAlign w:val="center"/>
                </w:tcPr>
                <w:p w14:paraId="598DF81B">
                  <w:pPr>
                    <w:spacing w:line="240" w:lineRule="exact"/>
                    <w:jc w:val="center"/>
                    <w:rPr>
                      <w:rFonts w:hint="default" w:ascii="Times New Roman" w:hAnsi="Times New Roman" w:eastAsia="宋体" w:cs="Times New Roman"/>
                      <w:color w:val="auto"/>
                      <w:sz w:val="21"/>
                      <w:szCs w:val="21"/>
                      <w:highlight w:val="none"/>
                      <w:lang w:val="en-US" w:eastAsia="zh-CN"/>
                    </w:rPr>
                  </w:pPr>
                </w:p>
              </w:tc>
              <w:tc>
                <w:tcPr>
                  <w:tcW w:w="1228" w:type="dxa"/>
                  <w:tcBorders>
                    <w:tl2br w:val="nil"/>
                    <w:tr2bl w:val="nil"/>
                  </w:tcBorders>
                  <w:noWrap w:val="0"/>
                  <w:vAlign w:val="center"/>
                </w:tcPr>
                <w:p w14:paraId="13DB436D">
                  <w:pPr>
                    <w:keepNext w:val="0"/>
                    <w:keepLines w:val="0"/>
                    <w:pageBreakBefore w:val="0"/>
                    <w:widowControl/>
                    <w:suppressLineNumbers w:val="0"/>
                    <w:kinsoku/>
                    <w:wordWrap/>
                    <w:overflowPunct/>
                    <w:topLinePunct w:val="0"/>
                    <w:bidi w:val="0"/>
                    <w:spacing w:line="240" w:lineRule="auto"/>
                    <w:jc w:val="center"/>
                    <w:textAlignment w:val="bottom"/>
                    <w:rPr>
                      <w:color w:val="auto"/>
                      <w:kern w:val="0"/>
                      <w:sz w:val="21"/>
                      <w:szCs w:val="21"/>
                      <w:highlight w:val="none"/>
                    </w:rPr>
                  </w:pPr>
                </w:p>
              </w:tc>
              <w:tc>
                <w:tcPr>
                  <w:tcW w:w="1258" w:type="dxa"/>
                  <w:tcBorders>
                    <w:tl2br w:val="nil"/>
                    <w:tr2bl w:val="nil"/>
                  </w:tcBorders>
                  <w:shd w:val="clear" w:color="auto" w:fill="auto"/>
                  <w:noWrap w:val="0"/>
                  <w:vAlign w:val="center"/>
                </w:tcPr>
                <w:p w14:paraId="6B1B58F4">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619583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72BF52B9">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vertAlign w:val="baseline"/>
                      <w:lang w:val="en-US" w:eastAsia="zh-CN"/>
                    </w:rPr>
                    <w:t>沉淀污泥</w:t>
                  </w:r>
                </w:p>
              </w:tc>
              <w:tc>
                <w:tcPr>
                  <w:tcW w:w="1304" w:type="dxa"/>
                  <w:tcBorders>
                    <w:tl2br w:val="nil"/>
                    <w:tr2bl w:val="nil"/>
                  </w:tcBorders>
                  <w:noWrap w:val="0"/>
                  <w:vAlign w:val="center"/>
                </w:tcPr>
                <w:p w14:paraId="31DC1EA3">
                  <w:pPr>
                    <w:keepNext w:val="0"/>
                    <w:keepLines w:val="0"/>
                    <w:pageBreakBefore w:val="0"/>
                    <w:kinsoku/>
                    <w:wordWrap/>
                    <w:overflowPunct/>
                    <w:topLinePunct w:val="0"/>
                    <w:bidi w:val="0"/>
                    <w:jc w:val="center"/>
                    <w:rPr>
                      <w:rFonts w:hint="eastAsia" w:ascii="Times New Roman" w:hAnsi="Times New Roman" w:eastAsia="宋体" w:cs="Times New Roman"/>
                      <w:color w:val="auto"/>
                      <w:spacing w:val="0"/>
                      <w:kern w:val="0"/>
                      <w:position w:val="0"/>
                      <w:sz w:val="21"/>
                      <w:szCs w:val="21"/>
                      <w:highlight w:val="none"/>
                      <w:lang w:val="en-US" w:eastAsia="zh-CN"/>
                    </w:rPr>
                  </w:pPr>
                </w:p>
              </w:tc>
              <w:tc>
                <w:tcPr>
                  <w:tcW w:w="1856" w:type="dxa"/>
                  <w:tcBorders>
                    <w:tl2br w:val="nil"/>
                    <w:tr2bl w:val="nil"/>
                  </w:tcBorders>
                  <w:shd w:val="clear" w:color="auto" w:fill="auto"/>
                  <w:noWrap w:val="0"/>
                  <w:vAlign w:val="center"/>
                </w:tcPr>
                <w:p w14:paraId="56F8D9AB">
                  <w:pPr>
                    <w:spacing w:line="240" w:lineRule="exact"/>
                    <w:jc w:val="center"/>
                    <w:rPr>
                      <w:rFonts w:hint="eastAsia" w:ascii="Times New Roman" w:hAnsi="Times New Roman" w:eastAsia="宋体" w:cs="Times New Roman"/>
                      <w:color w:val="auto"/>
                      <w:spacing w:val="0"/>
                      <w:position w:val="0"/>
                      <w:sz w:val="21"/>
                      <w:szCs w:val="21"/>
                      <w:highlight w:val="none"/>
                      <w:vertAlign w:val="baseline"/>
                      <w:lang w:val="en-US" w:eastAsia="zh-CN"/>
                    </w:rPr>
                  </w:pPr>
                </w:p>
              </w:tc>
              <w:tc>
                <w:tcPr>
                  <w:tcW w:w="1228" w:type="dxa"/>
                  <w:tcBorders>
                    <w:tl2br w:val="nil"/>
                    <w:tr2bl w:val="nil"/>
                  </w:tcBorders>
                  <w:noWrap w:val="0"/>
                  <w:vAlign w:val="center"/>
                </w:tcPr>
                <w:p w14:paraId="6AE836E4">
                  <w:pPr>
                    <w:keepNext w:val="0"/>
                    <w:keepLines w:val="0"/>
                    <w:pageBreakBefore w:val="0"/>
                    <w:widowControl/>
                    <w:suppressLineNumbers w:val="0"/>
                    <w:kinsoku/>
                    <w:wordWrap/>
                    <w:overflowPunct/>
                    <w:topLinePunct w:val="0"/>
                    <w:bidi w:val="0"/>
                    <w:spacing w:line="240" w:lineRule="auto"/>
                    <w:jc w:val="center"/>
                    <w:textAlignment w:val="bottom"/>
                    <w:rPr>
                      <w:rFonts w:hint="eastAsia" w:ascii="Times New Roman" w:hAnsi="Times New Roman" w:eastAsia="宋体" w:cs="Times New Roman"/>
                      <w:color w:val="auto"/>
                      <w:spacing w:val="0"/>
                      <w:kern w:val="0"/>
                      <w:position w:val="0"/>
                      <w:sz w:val="21"/>
                      <w:szCs w:val="21"/>
                      <w:highlight w:val="none"/>
                      <w:lang w:val="en-US" w:eastAsia="zh-CN"/>
                    </w:rPr>
                  </w:pPr>
                </w:p>
              </w:tc>
              <w:tc>
                <w:tcPr>
                  <w:tcW w:w="1258" w:type="dxa"/>
                  <w:tcBorders>
                    <w:tl2br w:val="nil"/>
                    <w:tr2bl w:val="nil"/>
                  </w:tcBorders>
                  <w:noWrap w:val="0"/>
                  <w:vAlign w:val="center"/>
                </w:tcPr>
                <w:p w14:paraId="0562461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8544C5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0ECF796D">
                  <w:pPr>
                    <w:spacing w:line="240" w:lineRule="exact"/>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bCs/>
                      <w:color w:val="auto"/>
                      <w:spacing w:val="0"/>
                      <w:position w:val="0"/>
                      <w:sz w:val="21"/>
                      <w:szCs w:val="21"/>
                      <w:highlight w:val="none"/>
                      <w:lang w:val="en-US" w:eastAsia="zh-CN"/>
                    </w:rPr>
                    <w:t>水帘气旋废液</w:t>
                  </w:r>
                </w:p>
              </w:tc>
              <w:tc>
                <w:tcPr>
                  <w:tcW w:w="1304" w:type="dxa"/>
                  <w:tcBorders>
                    <w:tl2br w:val="nil"/>
                    <w:tr2bl w:val="nil"/>
                  </w:tcBorders>
                  <w:noWrap w:val="0"/>
                  <w:vAlign w:val="center"/>
                </w:tcPr>
                <w:p w14:paraId="5487806D">
                  <w:pPr>
                    <w:keepNext w:val="0"/>
                    <w:keepLines w:val="0"/>
                    <w:pageBreakBefore w:val="0"/>
                    <w:kinsoku/>
                    <w:wordWrap/>
                    <w:overflowPunct/>
                    <w:topLinePunct w:val="0"/>
                    <w:bidi w:val="0"/>
                    <w:jc w:val="center"/>
                    <w:rPr>
                      <w:rFonts w:hint="eastAsia" w:ascii="Times New Roman" w:hAnsi="Times New Roman" w:eastAsia="宋体" w:cs="Times New Roman"/>
                      <w:color w:val="auto"/>
                      <w:spacing w:val="0"/>
                      <w:kern w:val="0"/>
                      <w:position w:val="0"/>
                      <w:sz w:val="21"/>
                      <w:szCs w:val="21"/>
                      <w:highlight w:val="none"/>
                      <w:lang w:val="en-US" w:eastAsia="zh-CN"/>
                    </w:rPr>
                  </w:pPr>
                </w:p>
              </w:tc>
              <w:tc>
                <w:tcPr>
                  <w:tcW w:w="1856" w:type="dxa"/>
                  <w:tcBorders>
                    <w:tl2br w:val="nil"/>
                    <w:tr2bl w:val="nil"/>
                  </w:tcBorders>
                  <w:shd w:val="clear" w:color="auto" w:fill="auto"/>
                  <w:noWrap w:val="0"/>
                  <w:vAlign w:val="center"/>
                </w:tcPr>
                <w:p w14:paraId="3158A163">
                  <w:pPr>
                    <w:spacing w:line="240" w:lineRule="exact"/>
                    <w:jc w:val="center"/>
                    <w:rPr>
                      <w:rFonts w:hint="eastAsia" w:ascii="Times New Roman" w:hAnsi="Times New Roman" w:eastAsia="宋体" w:cs="Times New Roman"/>
                      <w:color w:val="auto"/>
                      <w:spacing w:val="0"/>
                      <w:position w:val="0"/>
                      <w:sz w:val="21"/>
                      <w:szCs w:val="21"/>
                      <w:highlight w:val="none"/>
                      <w:vertAlign w:val="baseline"/>
                      <w:lang w:val="en-US" w:eastAsia="zh-CN"/>
                    </w:rPr>
                  </w:pPr>
                </w:p>
              </w:tc>
              <w:tc>
                <w:tcPr>
                  <w:tcW w:w="1228" w:type="dxa"/>
                  <w:tcBorders>
                    <w:tl2br w:val="nil"/>
                    <w:tr2bl w:val="nil"/>
                  </w:tcBorders>
                  <w:noWrap w:val="0"/>
                  <w:vAlign w:val="center"/>
                </w:tcPr>
                <w:p w14:paraId="0149C3D2">
                  <w:pPr>
                    <w:keepNext w:val="0"/>
                    <w:keepLines w:val="0"/>
                    <w:pageBreakBefore w:val="0"/>
                    <w:widowControl/>
                    <w:suppressLineNumbers w:val="0"/>
                    <w:kinsoku/>
                    <w:wordWrap/>
                    <w:overflowPunct/>
                    <w:topLinePunct w:val="0"/>
                    <w:bidi w:val="0"/>
                    <w:spacing w:line="240" w:lineRule="auto"/>
                    <w:jc w:val="center"/>
                    <w:textAlignment w:val="bottom"/>
                    <w:rPr>
                      <w:rFonts w:hint="eastAsia" w:ascii="Times New Roman" w:hAnsi="Times New Roman" w:eastAsia="宋体" w:cs="Times New Roman"/>
                      <w:color w:val="auto"/>
                      <w:spacing w:val="0"/>
                      <w:kern w:val="0"/>
                      <w:position w:val="0"/>
                      <w:sz w:val="21"/>
                      <w:szCs w:val="21"/>
                      <w:highlight w:val="none"/>
                      <w:lang w:val="en-US" w:eastAsia="zh-CN"/>
                    </w:rPr>
                  </w:pPr>
                </w:p>
              </w:tc>
              <w:tc>
                <w:tcPr>
                  <w:tcW w:w="1258" w:type="dxa"/>
                  <w:tcBorders>
                    <w:tl2br w:val="nil"/>
                    <w:tr2bl w:val="nil"/>
                  </w:tcBorders>
                  <w:noWrap w:val="0"/>
                  <w:vAlign w:val="center"/>
                </w:tcPr>
                <w:p w14:paraId="4F50A14B">
                  <w:pPr>
                    <w:keepNext w:val="0"/>
                    <w:keepLines w:val="0"/>
                    <w:widowControl/>
                    <w:suppressLineNumbers w:val="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64913DF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4584E432">
                  <w:pPr>
                    <w:spacing w:line="240" w:lineRule="exact"/>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Cs/>
                      <w:color w:val="auto"/>
                      <w:spacing w:val="0"/>
                      <w:position w:val="0"/>
                      <w:sz w:val="21"/>
                      <w:szCs w:val="21"/>
                      <w:highlight w:val="none"/>
                      <w:lang w:val="en-US" w:eastAsia="zh-CN"/>
                    </w:rPr>
                    <w:t>喷枪清洗废液</w:t>
                  </w:r>
                </w:p>
              </w:tc>
              <w:tc>
                <w:tcPr>
                  <w:tcW w:w="1304" w:type="dxa"/>
                  <w:tcBorders>
                    <w:tl2br w:val="nil"/>
                    <w:tr2bl w:val="nil"/>
                  </w:tcBorders>
                  <w:noWrap w:val="0"/>
                  <w:vAlign w:val="center"/>
                </w:tcPr>
                <w:p w14:paraId="576422AD">
                  <w:pPr>
                    <w:keepNext w:val="0"/>
                    <w:keepLines w:val="0"/>
                    <w:pageBreakBefore w:val="0"/>
                    <w:kinsoku/>
                    <w:wordWrap/>
                    <w:overflowPunct/>
                    <w:topLinePunct w:val="0"/>
                    <w:bidi w:val="0"/>
                    <w:jc w:val="center"/>
                    <w:rPr>
                      <w:rFonts w:hint="eastAsia" w:ascii="Times New Roman" w:hAnsi="Times New Roman" w:eastAsia="宋体" w:cs="Times New Roman"/>
                      <w:color w:val="auto"/>
                      <w:spacing w:val="0"/>
                      <w:kern w:val="0"/>
                      <w:position w:val="0"/>
                      <w:sz w:val="21"/>
                      <w:szCs w:val="21"/>
                      <w:highlight w:val="none"/>
                      <w:lang w:val="en-US" w:eastAsia="zh-CN"/>
                    </w:rPr>
                  </w:pPr>
                </w:p>
              </w:tc>
              <w:tc>
                <w:tcPr>
                  <w:tcW w:w="1856" w:type="dxa"/>
                  <w:tcBorders>
                    <w:tl2br w:val="nil"/>
                    <w:tr2bl w:val="nil"/>
                  </w:tcBorders>
                  <w:shd w:val="clear" w:color="auto" w:fill="auto"/>
                  <w:noWrap w:val="0"/>
                  <w:vAlign w:val="center"/>
                </w:tcPr>
                <w:p w14:paraId="0F58C249">
                  <w:pPr>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28" w:type="dxa"/>
                  <w:tcBorders>
                    <w:tl2br w:val="nil"/>
                    <w:tr2bl w:val="nil"/>
                  </w:tcBorders>
                  <w:noWrap w:val="0"/>
                  <w:vAlign w:val="center"/>
                </w:tcPr>
                <w:p w14:paraId="47E2B8DB">
                  <w:pPr>
                    <w:keepNext w:val="0"/>
                    <w:keepLines w:val="0"/>
                    <w:pageBreakBefore w:val="0"/>
                    <w:widowControl/>
                    <w:suppressLineNumbers w:val="0"/>
                    <w:kinsoku/>
                    <w:wordWrap/>
                    <w:overflowPunct/>
                    <w:topLinePunct w:val="0"/>
                    <w:bidi w:val="0"/>
                    <w:spacing w:line="240" w:lineRule="auto"/>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58" w:type="dxa"/>
                  <w:tcBorders>
                    <w:tl2br w:val="nil"/>
                    <w:tr2bl w:val="nil"/>
                  </w:tcBorders>
                  <w:noWrap w:val="0"/>
                  <w:vAlign w:val="center"/>
                </w:tcPr>
                <w:p w14:paraId="144E02D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4771AE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4E92ED6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废化学品包装物</w:t>
                  </w:r>
                </w:p>
              </w:tc>
              <w:tc>
                <w:tcPr>
                  <w:tcW w:w="1304" w:type="dxa"/>
                  <w:tcBorders>
                    <w:tl2br w:val="nil"/>
                    <w:tr2bl w:val="nil"/>
                  </w:tcBorders>
                  <w:noWrap w:val="0"/>
                  <w:vAlign w:val="center"/>
                </w:tcPr>
                <w:p w14:paraId="755369C7">
                  <w:pPr>
                    <w:keepNext w:val="0"/>
                    <w:keepLines w:val="0"/>
                    <w:pageBreakBefore w:val="0"/>
                    <w:kinsoku/>
                    <w:wordWrap/>
                    <w:overflowPunct/>
                    <w:topLinePunct w:val="0"/>
                    <w:bidi w:val="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56" w:type="dxa"/>
                  <w:tcBorders>
                    <w:tl2br w:val="nil"/>
                    <w:tr2bl w:val="nil"/>
                  </w:tcBorders>
                  <w:shd w:val="clear" w:color="auto" w:fill="auto"/>
                  <w:noWrap w:val="0"/>
                  <w:vAlign w:val="center"/>
                </w:tcPr>
                <w:p w14:paraId="0274F500">
                  <w:pPr>
                    <w:spacing w:line="240" w:lineRule="exact"/>
                    <w:jc w:val="center"/>
                    <w:rPr>
                      <w:rFonts w:hint="default" w:ascii="Times New Roman" w:hAnsi="Times New Roman" w:eastAsia="宋体" w:cs="Times New Roman"/>
                      <w:color w:val="auto"/>
                      <w:spacing w:val="0"/>
                      <w:position w:val="0"/>
                      <w:sz w:val="21"/>
                      <w:szCs w:val="21"/>
                      <w:highlight w:val="none"/>
                      <w:vertAlign w:val="baseline"/>
                      <w:lang w:val="en-US" w:eastAsia="zh-CN"/>
                    </w:rPr>
                  </w:pPr>
                </w:p>
              </w:tc>
              <w:tc>
                <w:tcPr>
                  <w:tcW w:w="1228" w:type="dxa"/>
                  <w:tcBorders>
                    <w:tl2br w:val="nil"/>
                    <w:tr2bl w:val="nil"/>
                  </w:tcBorders>
                  <w:noWrap w:val="0"/>
                  <w:vAlign w:val="center"/>
                </w:tcPr>
                <w:p w14:paraId="26538186">
                  <w:pPr>
                    <w:keepNext w:val="0"/>
                    <w:keepLines w:val="0"/>
                    <w:pageBreakBefore w:val="0"/>
                    <w:widowControl/>
                    <w:suppressLineNumbers w:val="0"/>
                    <w:kinsoku/>
                    <w:wordWrap/>
                    <w:overflowPunct/>
                    <w:topLinePunct w:val="0"/>
                    <w:bidi w:val="0"/>
                    <w:spacing w:line="240" w:lineRule="auto"/>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58" w:type="dxa"/>
                  <w:tcBorders>
                    <w:tl2br w:val="nil"/>
                    <w:tr2bl w:val="nil"/>
                  </w:tcBorders>
                  <w:noWrap w:val="0"/>
                  <w:vAlign w:val="center"/>
                </w:tcPr>
                <w:p w14:paraId="2BF49A74">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830754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2F4C001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废润滑油</w:t>
                  </w:r>
                </w:p>
              </w:tc>
              <w:tc>
                <w:tcPr>
                  <w:tcW w:w="1304" w:type="dxa"/>
                  <w:tcBorders>
                    <w:tl2br w:val="nil"/>
                    <w:tr2bl w:val="nil"/>
                  </w:tcBorders>
                  <w:noWrap w:val="0"/>
                  <w:vAlign w:val="center"/>
                </w:tcPr>
                <w:p w14:paraId="0E998A07">
                  <w:pPr>
                    <w:keepNext w:val="0"/>
                    <w:keepLines w:val="0"/>
                    <w:pageBreakBefore w:val="0"/>
                    <w:kinsoku/>
                    <w:wordWrap/>
                    <w:overflowPunct/>
                    <w:topLinePunct w:val="0"/>
                    <w:bidi w:val="0"/>
                    <w:jc w:val="center"/>
                    <w:rPr>
                      <w:rFonts w:hint="eastAsia" w:cs="Times New Roman"/>
                      <w:i w:val="0"/>
                      <w:iCs w:val="0"/>
                      <w:color w:val="auto"/>
                      <w:kern w:val="0"/>
                      <w:sz w:val="21"/>
                      <w:szCs w:val="21"/>
                      <w:highlight w:val="none"/>
                      <w:u w:val="none"/>
                      <w:lang w:val="en-US" w:eastAsia="zh-CN" w:bidi="ar"/>
                    </w:rPr>
                  </w:pPr>
                </w:p>
              </w:tc>
              <w:tc>
                <w:tcPr>
                  <w:tcW w:w="1856" w:type="dxa"/>
                  <w:tcBorders>
                    <w:tl2br w:val="nil"/>
                    <w:tr2bl w:val="nil"/>
                  </w:tcBorders>
                  <w:shd w:val="clear" w:color="auto" w:fill="auto"/>
                  <w:noWrap w:val="0"/>
                  <w:vAlign w:val="center"/>
                </w:tcPr>
                <w:p w14:paraId="66500BD7">
                  <w:pPr>
                    <w:spacing w:line="240" w:lineRule="exact"/>
                    <w:jc w:val="center"/>
                    <w:rPr>
                      <w:rFonts w:hint="default" w:ascii="Times New Roman" w:hAnsi="Times New Roman" w:eastAsia="宋体" w:cs="Times New Roman"/>
                      <w:color w:val="auto"/>
                      <w:sz w:val="21"/>
                      <w:szCs w:val="21"/>
                      <w:highlight w:val="none"/>
                      <w:lang w:val="en-US" w:eastAsia="zh-CN"/>
                    </w:rPr>
                  </w:pPr>
                </w:p>
              </w:tc>
              <w:tc>
                <w:tcPr>
                  <w:tcW w:w="1228" w:type="dxa"/>
                  <w:tcBorders>
                    <w:tl2br w:val="nil"/>
                    <w:tr2bl w:val="nil"/>
                  </w:tcBorders>
                  <w:noWrap w:val="0"/>
                  <w:vAlign w:val="center"/>
                </w:tcPr>
                <w:p w14:paraId="1A7B5DE5">
                  <w:pPr>
                    <w:keepNext w:val="0"/>
                    <w:keepLines w:val="0"/>
                    <w:pageBreakBefore w:val="0"/>
                    <w:widowControl/>
                    <w:suppressLineNumbers w:val="0"/>
                    <w:kinsoku/>
                    <w:wordWrap/>
                    <w:overflowPunct/>
                    <w:topLinePunct w:val="0"/>
                    <w:bidi w:val="0"/>
                    <w:spacing w:line="240" w:lineRule="auto"/>
                    <w:jc w:val="center"/>
                    <w:textAlignment w:val="bottom"/>
                    <w:rPr>
                      <w:color w:val="auto"/>
                      <w:kern w:val="0"/>
                      <w:sz w:val="21"/>
                      <w:szCs w:val="21"/>
                      <w:highlight w:val="none"/>
                    </w:rPr>
                  </w:pPr>
                </w:p>
              </w:tc>
              <w:tc>
                <w:tcPr>
                  <w:tcW w:w="1258" w:type="dxa"/>
                  <w:tcBorders>
                    <w:tl2br w:val="nil"/>
                    <w:tr2bl w:val="nil"/>
                  </w:tcBorders>
                  <w:noWrap w:val="0"/>
                  <w:vAlign w:val="center"/>
                </w:tcPr>
                <w:p w14:paraId="4DC431D4">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69247D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0609934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润滑油空桶</w:t>
                  </w:r>
                </w:p>
              </w:tc>
              <w:tc>
                <w:tcPr>
                  <w:tcW w:w="1304" w:type="dxa"/>
                  <w:tcBorders>
                    <w:tl2br w:val="nil"/>
                    <w:tr2bl w:val="nil"/>
                  </w:tcBorders>
                  <w:noWrap w:val="0"/>
                  <w:vAlign w:val="center"/>
                </w:tcPr>
                <w:p w14:paraId="0EB607D2">
                  <w:pPr>
                    <w:keepNext w:val="0"/>
                    <w:keepLines w:val="0"/>
                    <w:pageBreakBefore w:val="0"/>
                    <w:kinsoku/>
                    <w:wordWrap/>
                    <w:overflowPunct/>
                    <w:topLinePunct w:val="0"/>
                    <w:bidi w:val="0"/>
                    <w:jc w:val="center"/>
                    <w:rPr>
                      <w:rFonts w:hint="eastAsia" w:cs="Times New Roman"/>
                      <w:i w:val="0"/>
                      <w:iCs w:val="0"/>
                      <w:color w:val="auto"/>
                      <w:kern w:val="0"/>
                      <w:sz w:val="21"/>
                      <w:szCs w:val="21"/>
                      <w:highlight w:val="none"/>
                      <w:u w:val="none"/>
                      <w:lang w:val="en-US" w:eastAsia="zh-CN" w:bidi="ar"/>
                    </w:rPr>
                  </w:pPr>
                </w:p>
              </w:tc>
              <w:tc>
                <w:tcPr>
                  <w:tcW w:w="1856" w:type="dxa"/>
                  <w:tcBorders>
                    <w:tl2br w:val="nil"/>
                    <w:tr2bl w:val="nil"/>
                  </w:tcBorders>
                  <w:shd w:val="clear" w:color="auto" w:fill="auto"/>
                  <w:noWrap w:val="0"/>
                  <w:vAlign w:val="center"/>
                </w:tcPr>
                <w:p w14:paraId="6408267D">
                  <w:pPr>
                    <w:spacing w:line="240" w:lineRule="exact"/>
                    <w:jc w:val="center"/>
                    <w:rPr>
                      <w:rFonts w:hint="default" w:ascii="Times New Roman" w:hAnsi="Times New Roman" w:eastAsia="宋体" w:cs="Times New Roman"/>
                      <w:color w:val="auto"/>
                      <w:sz w:val="21"/>
                      <w:szCs w:val="21"/>
                      <w:highlight w:val="none"/>
                      <w:lang w:val="en-US" w:eastAsia="zh-CN"/>
                    </w:rPr>
                  </w:pPr>
                </w:p>
              </w:tc>
              <w:tc>
                <w:tcPr>
                  <w:tcW w:w="1228" w:type="dxa"/>
                  <w:tcBorders>
                    <w:tl2br w:val="nil"/>
                    <w:tr2bl w:val="nil"/>
                  </w:tcBorders>
                  <w:noWrap w:val="0"/>
                  <w:vAlign w:val="center"/>
                </w:tcPr>
                <w:p w14:paraId="6B2A816B">
                  <w:pPr>
                    <w:keepNext w:val="0"/>
                    <w:keepLines w:val="0"/>
                    <w:pageBreakBefore w:val="0"/>
                    <w:widowControl/>
                    <w:suppressLineNumbers w:val="0"/>
                    <w:kinsoku/>
                    <w:wordWrap/>
                    <w:overflowPunct/>
                    <w:topLinePunct w:val="0"/>
                    <w:bidi w:val="0"/>
                    <w:spacing w:line="240" w:lineRule="auto"/>
                    <w:jc w:val="center"/>
                    <w:textAlignment w:val="bottom"/>
                    <w:rPr>
                      <w:color w:val="auto"/>
                      <w:kern w:val="0"/>
                      <w:sz w:val="21"/>
                      <w:szCs w:val="21"/>
                      <w:highlight w:val="none"/>
                    </w:rPr>
                  </w:pPr>
                </w:p>
              </w:tc>
              <w:tc>
                <w:tcPr>
                  <w:tcW w:w="1258" w:type="dxa"/>
                  <w:tcBorders>
                    <w:tl2br w:val="nil"/>
                    <w:tr2bl w:val="nil"/>
                  </w:tcBorders>
                  <w:noWrap w:val="0"/>
                  <w:vAlign w:val="center"/>
                </w:tcPr>
                <w:p w14:paraId="6BFCEB2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D92414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noWrap w:val="0"/>
                  <w:vAlign w:val="center"/>
                </w:tcPr>
                <w:p w14:paraId="5D55626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废含油抹布及手套</w:t>
                  </w:r>
                </w:p>
              </w:tc>
              <w:tc>
                <w:tcPr>
                  <w:tcW w:w="1304" w:type="dxa"/>
                  <w:tcBorders>
                    <w:tl2br w:val="nil"/>
                    <w:tr2bl w:val="nil"/>
                  </w:tcBorders>
                  <w:noWrap w:val="0"/>
                  <w:vAlign w:val="center"/>
                </w:tcPr>
                <w:p w14:paraId="128C79D0">
                  <w:pPr>
                    <w:keepNext w:val="0"/>
                    <w:keepLines w:val="0"/>
                    <w:pageBreakBefore w:val="0"/>
                    <w:kinsoku/>
                    <w:wordWrap/>
                    <w:overflowPunct/>
                    <w:topLinePunct w:val="0"/>
                    <w:bidi w:val="0"/>
                    <w:jc w:val="center"/>
                    <w:rPr>
                      <w:rFonts w:hint="default" w:cs="Times New Roman"/>
                      <w:i w:val="0"/>
                      <w:iCs w:val="0"/>
                      <w:color w:val="auto"/>
                      <w:kern w:val="0"/>
                      <w:sz w:val="21"/>
                      <w:szCs w:val="21"/>
                      <w:highlight w:val="none"/>
                      <w:u w:val="none"/>
                      <w:lang w:val="en-US" w:eastAsia="zh-CN" w:bidi="ar"/>
                    </w:rPr>
                  </w:pPr>
                </w:p>
              </w:tc>
              <w:tc>
                <w:tcPr>
                  <w:tcW w:w="1856" w:type="dxa"/>
                  <w:tcBorders>
                    <w:tl2br w:val="nil"/>
                    <w:tr2bl w:val="nil"/>
                  </w:tcBorders>
                  <w:shd w:val="clear" w:color="auto" w:fill="auto"/>
                  <w:noWrap w:val="0"/>
                  <w:vAlign w:val="center"/>
                </w:tcPr>
                <w:p w14:paraId="05447D44">
                  <w:pPr>
                    <w:spacing w:line="240" w:lineRule="exact"/>
                    <w:jc w:val="center"/>
                    <w:rPr>
                      <w:rFonts w:hint="default" w:ascii="Times New Roman" w:hAnsi="Times New Roman" w:eastAsia="宋体" w:cs="Times New Roman"/>
                      <w:color w:val="auto"/>
                      <w:spacing w:val="0"/>
                      <w:position w:val="0"/>
                      <w:sz w:val="21"/>
                      <w:szCs w:val="21"/>
                      <w:highlight w:val="none"/>
                      <w:lang w:val="en-US" w:eastAsia="zh-CN"/>
                    </w:rPr>
                  </w:pPr>
                </w:p>
              </w:tc>
              <w:tc>
                <w:tcPr>
                  <w:tcW w:w="1228" w:type="dxa"/>
                  <w:tcBorders>
                    <w:tl2br w:val="nil"/>
                    <w:tr2bl w:val="nil"/>
                  </w:tcBorders>
                  <w:noWrap w:val="0"/>
                  <w:vAlign w:val="center"/>
                </w:tcPr>
                <w:p w14:paraId="20A1047B">
                  <w:pPr>
                    <w:keepNext w:val="0"/>
                    <w:keepLines w:val="0"/>
                    <w:pageBreakBefore w:val="0"/>
                    <w:widowControl/>
                    <w:suppressLineNumbers w:val="0"/>
                    <w:kinsoku/>
                    <w:wordWrap/>
                    <w:overflowPunct/>
                    <w:topLinePunct w:val="0"/>
                    <w:bidi w:val="0"/>
                    <w:spacing w:line="240" w:lineRule="auto"/>
                    <w:jc w:val="center"/>
                    <w:textAlignment w:val="bottom"/>
                    <w:rPr>
                      <w:rFonts w:hint="default" w:eastAsia="宋体"/>
                      <w:color w:val="auto"/>
                      <w:sz w:val="21"/>
                      <w:szCs w:val="21"/>
                      <w:highlight w:val="none"/>
                      <w:lang w:val="en-US" w:eastAsia="zh-CN"/>
                    </w:rPr>
                  </w:pPr>
                </w:p>
              </w:tc>
              <w:tc>
                <w:tcPr>
                  <w:tcW w:w="1258" w:type="dxa"/>
                  <w:tcBorders>
                    <w:tl2br w:val="nil"/>
                    <w:tr2bl w:val="nil"/>
                  </w:tcBorders>
                  <w:noWrap w:val="0"/>
                  <w:vAlign w:val="center"/>
                </w:tcPr>
                <w:p w14:paraId="4E6A121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8349A9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66" w:type="dxa"/>
                  <w:gridSpan w:val="4"/>
                  <w:tcBorders>
                    <w:tl2br w:val="nil"/>
                    <w:tr2bl w:val="nil"/>
                  </w:tcBorders>
                  <w:shd w:val="clear" w:color="auto" w:fill="auto"/>
                  <w:noWrap w:val="0"/>
                  <w:vAlign w:val="center"/>
                </w:tcPr>
                <w:p w14:paraId="10DC63FF">
                  <w:pPr>
                    <w:keepNext w:val="0"/>
                    <w:keepLines w:val="0"/>
                    <w:pageBreakBefore w:val="0"/>
                    <w:widowControl/>
                    <w:suppressLineNumbers w:val="0"/>
                    <w:kinsoku/>
                    <w:wordWrap/>
                    <w:overflowPunct/>
                    <w:topLinePunct w:val="0"/>
                    <w:bidi w:val="0"/>
                    <w:jc w:val="center"/>
                    <w:textAlignment w:val="bottom"/>
                    <w:rPr>
                      <w:rFonts w:hint="eastAsia"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合计</w:t>
                  </w:r>
                  <w:r>
                    <w:rPr>
                      <w:rStyle w:val="137"/>
                      <w:rFonts w:ascii="Times New Roman" w:hAnsi="Times New Roman" w:eastAsia="宋体" w:cs="Times New Roman"/>
                      <w:color w:val="auto"/>
                      <w:spacing w:val="0"/>
                      <w:sz w:val="21"/>
                      <w:szCs w:val="21"/>
                      <w:highlight w:val="none"/>
                      <w:lang w:val="en-US" w:eastAsia="zh-CN" w:bidi="ar"/>
                    </w:rPr>
                    <w:t>Q</w:t>
                  </w:r>
                </w:p>
              </w:tc>
              <w:tc>
                <w:tcPr>
                  <w:tcW w:w="1258" w:type="dxa"/>
                  <w:tcBorders>
                    <w:tl2br w:val="nil"/>
                    <w:tr2bl w:val="nil"/>
                  </w:tcBorders>
                  <w:noWrap w:val="0"/>
                  <w:vAlign w:val="center"/>
                </w:tcPr>
                <w:p w14:paraId="2527BFE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w:t>
                  </w:r>
                  <w:r>
                    <w:rPr>
                      <w:rFonts w:hint="eastAsia" w:cs="Times New Roman"/>
                      <w:i w:val="0"/>
                      <w:iCs w:val="0"/>
                      <w:color w:val="auto"/>
                      <w:kern w:val="0"/>
                      <w:sz w:val="21"/>
                      <w:szCs w:val="21"/>
                      <w:highlight w:val="none"/>
                      <w:u w:val="none"/>
                      <w:lang w:val="en-US" w:eastAsia="zh-CN" w:bidi="ar"/>
                    </w:rPr>
                    <w:t>622</w:t>
                  </w:r>
                </w:p>
              </w:tc>
            </w:tr>
            <w:tr w14:paraId="755E617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24" w:type="dxa"/>
                  <w:gridSpan w:val="5"/>
                  <w:tcBorders>
                    <w:tl2br w:val="nil"/>
                    <w:tr2bl w:val="nil"/>
                  </w:tcBorders>
                  <w:noWrap w:val="0"/>
                  <w:vAlign w:val="center"/>
                </w:tcPr>
                <w:p w14:paraId="7C6B1EA4">
                  <w:pPr>
                    <w:keepNext w:val="0"/>
                    <w:keepLines w:val="0"/>
                    <w:pageBreakBefore w:val="0"/>
                    <w:widowControl/>
                    <w:kinsoku/>
                    <w:wordWrap/>
                    <w:overflowPunct/>
                    <w:topLinePunct w:val="0"/>
                    <w:bidi w:val="0"/>
                    <w:spacing w:line="240" w:lineRule="auto"/>
                    <w:ind w:firstLine="0" w:firstLineChars="0"/>
                    <w:jc w:val="both"/>
                    <w:textAlignment w:val="center"/>
                    <w:rPr>
                      <w:rFonts w:hint="eastAsia"/>
                      <w:color w:val="auto"/>
                      <w:sz w:val="18"/>
                      <w:szCs w:val="18"/>
                      <w:highlight w:val="none"/>
                      <w:lang w:eastAsia="zh-CN"/>
                    </w:rPr>
                  </w:pPr>
                  <w:r>
                    <w:rPr>
                      <w:color w:val="auto"/>
                      <w:sz w:val="18"/>
                      <w:szCs w:val="18"/>
                      <w:highlight w:val="none"/>
                    </w:rPr>
                    <w:t>备注</w:t>
                  </w:r>
                  <w:r>
                    <w:rPr>
                      <w:rFonts w:hint="eastAsia"/>
                      <w:color w:val="auto"/>
                      <w:sz w:val="18"/>
                      <w:szCs w:val="18"/>
                      <w:highlight w:val="none"/>
                      <w:lang w:eastAsia="zh-CN"/>
                    </w:rPr>
                    <w:t>：</w:t>
                  </w:r>
                </w:p>
                <w:p w14:paraId="737581C5">
                  <w:pPr>
                    <w:keepNext w:val="0"/>
                    <w:keepLines w:val="0"/>
                    <w:pageBreakBefore w:val="0"/>
                    <w:widowControl/>
                    <w:kinsoku/>
                    <w:wordWrap/>
                    <w:overflowPunct/>
                    <w:topLinePunct w:val="0"/>
                    <w:bidi w:val="0"/>
                    <w:spacing w:line="240" w:lineRule="auto"/>
                    <w:ind w:firstLine="0" w:firstLineChars="0"/>
                    <w:jc w:val="both"/>
                    <w:textAlignment w:val="center"/>
                    <w:rPr>
                      <w:color w:val="auto"/>
                      <w:sz w:val="18"/>
                      <w:szCs w:val="18"/>
                      <w:highlight w:val="none"/>
                    </w:rPr>
                  </w:pPr>
                  <w:r>
                    <w:rPr>
                      <w:color w:val="auto"/>
                      <w:sz w:val="18"/>
                      <w:szCs w:val="18"/>
                      <w:highlight w:val="none"/>
                    </w:rPr>
                    <w:t>①参照HJ169-2018附录B表B.2中的健康危险急性毒性物质（类别2、类别3）的临界量推荐值。</w:t>
                  </w:r>
                </w:p>
                <w:p w14:paraId="05D85C83">
                  <w:pPr>
                    <w:keepNext w:val="0"/>
                    <w:keepLines w:val="0"/>
                    <w:pageBreakBefore w:val="0"/>
                    <w:widowControl/>
                    <w:kinsoku/>
                    <w:wordWrap/>
                    <w:overflowPunct/>
                    <w:topLinePunct w:val="0"/>
                    <w:bidi w:val="0"/>
                    <w:spacing w:line="240" w:lineRule="auto"/>
                    <w:ind w:firstLine="0" w:firstLineChars="0"/>
                    <w:jc w:val="both"/>
                    <w:textAlignment w:val="center"/>
                    <w:rPr>
                      <w:rFonts w:hint="eastAsia"/>
                      <w:color w:val="auto"/>
                      <w:sz w:val="18"/>
                      <w:szCs w:val="18"/>
                      <w:highlight w:val="none"/>
                      <w:lang w:val="en-US" w:eastAsia="zh-CN"/>
                    </w:rPr>
                  </w:pPr>
                  <w:r>
                    <w:rPr>
                      <w:color w:val="auto"/>
                      <w:kern w:val="0"/>
                      <w:sz w:val="18"/>
                      <w:szCs w:val="18"/>
                      <w:highlight w:val="none"/>
                    </w:rPr>
                    <w:t>②</w:t>
                  </w:r>
                  <w:r>
                    <w:rPr>
                      <w:color w:val="auto"/>
                      <w:sz w:val="18"/>
                      <w:szCs w:val="18"/>
                      <w:highlight w:val="none"/>
                    </w:rPr>
                    <w:t>参照HJ 169-2018附录B表B.2的第八部分中的油类物质推荐临界量2500t。</w:t>
                  </w:r>
                </w:p>
              </w:tc>
            </w:tr>
          </w:tbl>
          <w:p w14:paraId="5D74305C">
            <w:pPr>
              <w:keepNext w:val="0"/>
              <w:keepLines w:val="0"/>
              <w:pageBreakBefore w:val="0"/>
              <w:widowControl w:val="0"/>
              <w:kinsoku/>
              <w:wordWrap/>
              <w:overflowPunct/>
              <w:topLinePunct w:val="0"/>
              <w:autoSpaceDE/>
              <w:autoSpaceDN/>
              <w:bidi w:val="0"/>
              <w:adjustRightInd/>
              <w:snapToGrid/>
              <w:spacing w:before="157" w:beforeLines="50" w:line="360" w:lineRule="auto"/>
              <w:ind w:left="0" w:firstLine="480" w:firstLineChars="200"/>
              <w:textAlignment w:val="auto"/>
              <w:rPr>
                <w:rFonts w:hint="eastAsia" w:eastAsia="宋体" w:cs="Times New Roman"/>
                <w:color w:val="auto"/>
                <w:kern w:val="0"/>
                <w:sz w:val="24"/>
                <w:szCs w:val="24"/>
                <w:highlight w:val="none"/>
                <w:lang w:eastAsia="zh-CN"/>
              </w:rPr>
            </w:pPr>
            <w:r>
              <w:rPr>
                <w:rFonts w:cs="Times New Roman"/>
                <w:color w:val="auto"/>
                <w:kern w:val="0"/>
                <w:sz w:val="24"/>
                <w:szCs w:val="24"/>
                <w:highlight w:val="none"/>
              </w:rPr>
              <w:t>判断企业生产原料、产品、中间产品、副产品、辅助生产物料是否涉及</w:t>
            </w:r>
            <w:r>
              <w:rPr>
                <w:rFonts w:cs="Times New Roman"/>
                <w:color w:val="auto"/>
                <w:sz w:val="24"/>
                <w:szCs w:val="24"/>
                <w:highlight w:val="none"/>
              </w:rPr>
              <w:t>《建设项目环境风险评价技术导则》（</w:t>
            </w:r>
            <w:r>
              <w:rPr>
                <w:rFonts w:hint="eastAsia" w:cs="Times New Roman"/>
                <w:color w:val="auto"/>
                <w:sz w:val="24"/>
                <w:szCs w:val="24"/>
                <w:highlight w:val="none"/>
                <w:lang w:eastAsia="zh-CN"/>
              </w:rPr>
              <w:t>HJ 169-2018</w:t>
            </w:r>
            <w:r>
              <w:rPr>
                <w:rFonts w:cs="Times New Roman"/>
                <w:color w:val="auto"/>
                <w:sz w:val="24"/>
                <w:szCs w:val="24"/>
                <w:highlight w:val="none"/>
              </w:rPr>
              <w:t>）附录B、《企业突发环境事件风险分级方法》（HJ 941-2018）、《危险化学品名录》和《</w:t>
            </w:r>
            <w:r>
              <w:rPr>
                <w:rFonts w:hint="eastAsia" w:ascii="Times New Roman" w:hAnsi="Times New Roman" w:eastAsia="宋体" w:cs="Times New Roman"/>
                <w:color w:val="auto"/>
                <w:kern w:val="2"/>
                <w:sz w:val="24"/>
                <w:szCs w:val="24"/>
                <w:highlight w:val="none"/>
                <w:u w:val="none"/>
                <w:lang w:val="en-US" w:eastAsia="zh-CN" w:bidi="ar"/>
              </w:rPr>
              <w:t>危险化学品重大危险源辨识</w:t>
            </w:r>
            <w:r>
              <w:rPr>
                <w:rFonts w:cs="Times New Roman"/>
                <w:color w:val="auto"/>
                <w:sz w:val="24"/>
                <w:szCs w:val="24"/>
                <w:highlight w:val="none"/>
              </w:rPr>
              <w:t>》（GB18218-2018）</w:t>
            </w:r>
            <w:r>
              <w:rPr>
                <w:rFonts w:cs="Times New Roman"/>
                <w:color w:val="auto"/>
                <w:kern w:val="0"/>
                <w:sz w:val="24"/>
                <w:szCs w:val="24"/>
                <w:highlight w:val="none"/>
              </w:rPr>
              <w:t>中所列化学物质，计算所涉及化学物质的总量与临界量的比值Q</w:t>
            </w:r>
            <w:r>
              <w:rPr>
                <w:rFonts w:hint="eastAsia" w:cs="Times New Roman"/>
                <w:color w:val="auto"/>
                <w:kern w:val="0"/>
                <w:sz w:val="24"/>
                <w:szCs w:val="24"/>
                <w:highlight w:val="none"/>
                <w:lang w:eastAsia="zh-CN"/>
              </w:rPr>
              <w:t>：</w:t>
            </w:r>
          </w:p>
          <w:p w14:paraId="5A3E6EA1">
            <w:pPr>
              <w:keepNext w:val="0"/>
              <w:keepLines w:val="0"/>
              <w:pageBreakBefore w:val="0"/>
              <w:kinsoku/>
              <w:wordWrap/>
              <w:overflowPunct/>
              <w:topLinePunct w:val="0"/>
              <w:autoSpaceDE/>
              <w:autoSpaceDN/>
              <w:bidi w:val="0"/>
              <w:adjustRightInd/>
              <w:spacing w:line="360" w:lineRule="auto"/>
              <w:ind w:left="0" w:firstLine="480" w:firstLineChars="200"/>
              <w:textAlignment w:val="auto"/>
              <w:rPr>
                <w:rFonts w:cs="Times New Roman"/>
                <w:color w:val="auto"/>
                <w:kern w:val="0"/>
                <w:sz w:val="24"/>
                <w:szCs w:val="24"/>
                <w:highlight w:val="none"/>
              </w:rPr>
            </w:pPr>
            <w:r>
              <w:rPr>
                <w:rFonts w:cs="Times New Roman"/>
                <w:color w:val="auto"/>
                <w:kern w:val="0"/>
                <w:sz w:val="24"/>
                <w:szCs w:val="24"/>
                <w:highlight w:val="none"/>
              </w:rPr>
              <w:t>（1）当企业只涉及一种化学物质时，该物质的总数量与其临界量的比值，即为Q。</w:t>
            </w:r>
          </w:p>
          <w:p w14:paraId="1A5E429C">
            <w:pPr>
              <w:keepNext w:val="0"/>
              <w:keepLines w:val="0"/>
              <w:pageBreakBefore w:val="0"/>
              <w:kinsoku/>
              <w:wordWrap/>
              <w:overflowPunct/>
              <w:topLinePunct w:val="0"/>
              <w:autoSpaceDE/>
              <w:autoSpaceDN/>
              <w:bidi w:val="0"/>
              <w:adjustRightInd/>
              <w:spacing w:line="360" w:lineRule="auto"/>
              <w:ind w:left="0" w:firstLine="480" w:firstLineChars="200"/>
              <w:textAlignment w:val="auto"/>
              <w:rPr>
                <w:rFonts w:hint="eastAsia" w:eastAsia="宋体" w:cs="Times New Roman"/>
                <w:color w:val="auto"/>
                <w:kern w:val="0"/>
                <w:sz w:val="24"/>
                <w:szCs w:val="24"/>
                <w:highlight w:val="none"/>
                <w:lang w:eastAsia="zh-CN"/>
              </w:rPr>
            </w:pPr>
            <w:r>
              <w:rPr>
                <w:rFonts w:cs="Times New Roman"/>
                <w:color w:val="auto"/>
                <w:kern w:val="0"/>
                <w:sz w:val="24"/>
                <w:szCs w:val="24"/>
                <w:highlight w:val="none"/>
              </w:rPr>
              <w:t>（2）当企业存在多种化学物质时，则按式（1）计算物质数量与临界量比值（Q）</w:t>
            </w:r>
            <w:r>
              <w:rPr>
                <w:rFonts w:hint="eastAsia" w:cs="Times New Roman"/>
                <w:color w:val="auto"/>
                <w:kern w:val="0"/>
                <w:sz w:val="24"/>
                <w:szCs w:val="24"/>
                <w:highlight w:val="none"/>
                <w:lang w:eastAsia="zh-CN"/>
              </w:rPr>
              <w:t>：</w:t>
            </w:r>
          </w:p>
          <w:p w14:paraId="6A6A44C3">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cs="Times New Roman"/>
                <w:color w:val="auto"/>
                <w:kern w:val="0"/>
                <w:sz w:val="24"/>
                <w:szCs w:val="24"/>
                <w:highlight w:val="none"/>
              </w:rPr>
            </w:pPr>
            <w:r>
              <w:rPr>
                <w:rFonts w:cs="Times New Roman"/>
                <w:color w:val="auto"/>
                <w:sz w:val="24"/>
                <w:szCs w:val="24"/>
                <w:highlight w:val="none"/>
              </w:rPr>
              <w:drawing>
                <wp:inline distT="0" distB="0" distL="114300" distR="114300">
                  <wp:extent cx="2085975" cy="438150"/>
                  <wp:effectExtent l="0" t="0" r="9525" b="0"/>
                  <wp:docPr id="222" name="图片 3" descr="说明: C:\Users\ADMINI~1\AppData\Local\Temp\ksohtml63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 descr="说明: C:\Users\ADMINI~1\AppData\Local\Temp\ksohtml6340\wps1.png"/>
                          <pic:cNvPicPr>
                            <a:picLocks noChangeAspect="1"/>
                          </pic:cNvPicPr>
                        </pic:nvPicPr>
                        <pic:blipFill>
                          <a:blip r:embed="rId21"/>
                          <a:stretch>
                            <a:fillRect/>
                          </a:stretch>
                        </pic:blipFill>
                        <pic:spPr>
                          <a:xfrm>
                            <a:off x="0" y="0"/>
                            <a:ext cx="2085975" cy="438150"/>
                          </a:xfrm>
                          <a:prstGeom prst="rect">
                            <a:avLst/>
                          </a:prstGeom>
                          <a:noFill/>
                          <a:ln>
                            <a:noFill/>
                          </a:ln>
                        </pic:spPr>
                      </pic:pic>
                    </a:graphicData>
                  </a:graphic>
                </wp:inline>
              </w:drawing>
            </w:r>
            <w:r>
              <w:rPr>
                <w:rFonts w:cs="Times New Roman"/>
                <w:color w:val="auto"/>
                <w:kern w:val="0"/>
                <w:sz w:val="24"/>
                <w:szCs w:val="24"/>
                <w:highlight w:val="none"/>
              </w:rPr>
              <w:t xml:space="preserve"> </w:t>
            </w:r>
          </w:p>
          <w:p w14:paraId="4EEB7609">
            <w:pPr>
              <w:keepNext w:val="0"/>
              <w:keepLines w:val="0"/>
              <w:pageBreakBefore w:val="0"/>
              <w:kinsoku/>
              <w:wordWrap/>
              <w:overflowPunct/>
              <w:topLinePunct w:val="0"/>
              <w:autoSpaceDE/>
              <w:autoSpaceDN/>
              <w:bidi w:val="0"/>
              <w:adjustRightInd/>
              <w:spacing w:line="360" w:lineRule="auto"/>
              <w:ind w:left="0" w:firstLine="480" w:firstLineChars="200"/>
              <w:textAlignment w:val="auto"/>
              <w:rPr>
                <w:rFonts w:cs="Times New Roman"/>
                <w:color w:val="auto"/>
                <w:kern w:val="0"/>
                <w:sz w:val="24"/>
                <w:szCs w:val="24"/>
                <w:highlight w:val="none"/>
              </w:rPr>
            </w:pPr>
            <w:r>
              <w:rPr>
                <w:rFonts w:cs="Times New Roman"/>
                <w:color w:val="auto"/>
                <w:kern w:val="0"/>
                <w:sz w:val="24"/>
                <w:szCs w:val="24"/>
                <w:highlight w:val="none"/>
              </w:rPr>
              <w:t>式中</w:t>
            </w:r>
            <w:r>
              <w:rPr>
                <w:rFonts w:hint="eastAsia" w:cs="Times New Roman"/>
                <w:color w:val="auto"/>
                <w:kern w:val="0"/>
                <w:sz w:val="24"/>
                <w:szCs w:val="24"/>
                <w:highlight w:val="none"/>
                <w:lang w:eastAsia="zh-CN"/>
              </w:rPr>
              <w:t>：</w:t>
            </w:r>
            <w:r>
              <w:rPr>
                <w:rFonts w:cs="Times New Roman"/>
                <w:color w:val="auto"/>
                <w:kern w:val="0"/>
                <w:sz w:val="24"/>
                <w:szCs w:val="24"/>
                <w:highlight w:val="none"/>
              </w:rPr>
              <w:t>q</w:t>
            </w:r>
            <w:r>
              <w:rPr>
                <w:rFonts w:cs="Times New Roman"/>
                <w:color w:val="auto"/>
                <w:kern w:val="0"/>
                <w:sz w:val="24"/>
                <w:szCs w:val="24"/>
                <w:highlight w:val="none"/>
                <w:vertAlign w:val="subscript"/>
              </w:rPr>
              <w:t>1</w:t>
            </w:r>
            <w:r>
              <w:rPr>
                <w:rFonts w:cs="Times New Roman"/>
                <w:color w:val="auto"/>
                <w:kern w:val="0"/>
                <w:sz w:val="24"/>
                <w:szCs w:val="24"/>
                <w:highlight w:val="none"/>
              </w:rPr>
              <w:t>，q</w:t>
            </w:r>
            <w:r>
              <w:rPr>
                <w:rFonts w:cs="Times New Roman"/>
                <w:color w:val="auto"/>
                <w:kern w:val="0"/>
                <w:sz w:val="24"/>
                <w:szCs w:val="24"/>
                <w:highlight w:val="none"/>
                <w:vertAlign w:val="subscript"/>
              </w:rPr>
              <w:t>2</w:t>
            </w:r>
            <w:r>
              <w:rPr>
                <w:rFonts w:cs="Times New Roman"/>
                <w:color w:val="auto"/>
                <w:kern w:val="0"/>
                <w:sz w:val="24"/>
                <w:szCs w:val="24"/>
                <w:highlight w:val="none"/>
              </w:rPr>
              <w:t>，...，q</w:t>
            </w:r>
            <w:r>
              <w:rPr>
                <w:rFonts w:cs="Times New Roman"/>
                <w:color w:val="auto"/>
                <w:kern w:val="0"/>
                <w:sz w:val="24"/>
                <w:szCs w:val="24"/>
                <w:highlight w:val="none"/>
                <w:vertAlign w:val="subscript"/>
              </w:rPr>
              <w:t>n</w:t>
            </w:r>
            <w:r>
              <w:rPr>
                <w:rFonts w:cs="Times New Roman"/>
                <w:color w:val="auto"/>
                <w:kern w:val="0"/>
                <w:sz w:val="24"/>
                <w:szCs w:val="24"/>
                <w:highlight w:val="none"/>
              </w:rPr>
              <w:t>—每种风险物质的最大存在总量，t；</w:t>
            </w:r>
          </w:p>
          <w:p w14:paraId="0D39AE58">
            <w:pPr>
              <w:keepNext w:val="0"/>
              <w:keepLines w:val="0"/>
              <w:pageBreakBefore w:val="0"/>
              <w:kinsoku/>
              <w:wordWrap/>
              <w:overflowPunct/>
              <w:topLinePunct w:val="0"/>
              <w:autoSpaceDE/>
              <w:autoSpaceDN/>
              <w:bidi w:val="0"/>
              <w:adjustRightInd/>
              <w:spacing w:line="360" w:lineRule="auto"/>
              <w:ind w:left="0" w:firstLine="480" w:firstLineChars="200"/>
              <w:textAlignment w:val="auto"/>
              <w:rPr>
                <w:rFonts w:cs="Times New Roman"/>
                <w:color w:val="auto"/>
                <w:kern w:val="0"/>
                <w:sz w:val="24"/>
                <w:szCs w:val="24"/>
                <w:highlight w:val="none"/>
              </w:rPr>
            </w:pPr>
            <w:r>
              <w:rPr>
                <w:rFonts w:cs="Times New Roman"/>
                <w:color w:val="auto"/>
                <w:kern w:val="0"/>
                <w:sz w:val="24"/>
                <w:szCs w:val="24"/>
                <w:highlight w:val="none"/>
              </w:rPr>
              <w:t>Q</w:t>
            </w:r>
            <w:r>
              <w:rPr>
                <w:rFonts w:cs="Times New Roman"/>
                <w:color w:val="auto"/>
                <w:kern w:val="0"/>
                <w:sz w:val="24"/>
                <w:szCs w:val="24"/>
                <w:highlight w:val="none"/>
                <w:vertAlign w:val="subscript"/>
              </w:rPr>
              <w:t>1</w:t>
            </w:r>
            <w:r>
              <w:rPr>
                <w:rFonts w:cs="Times New Roman"/>
                <w:color w:val="auto"/>
                <w:kern w:val="0"/>
                <w:sz w:val="24"/>
                <w:szCs w:val="24"/>
                <w:highlight w:val="none"/>
              </w:rPr>
              <w:t>，Q</w:t>
            </w:r>
            <w:r>
              <w:rPr>
                <w:rFonts w:cs="Times New Roman"/>
                <w:color w:val="auto"/>
                <w:kern w:val="0"/>
                <w:sz w:val="24"/>
                <w:szCs w:val="24"/>
                <w:highlight w:val="none"/>
                <w:vertAlign w:val="subscript"/>
              </w:rPr>
              <w:t>2</w:t>
            </w:r>
            <w:r>
              <w:rPr>
                <w:rFonts w:cs="Times New Roman"/>
                <w:color w:val="auto"/>
                <w:kern w:val="0"/>
                <w:sz w:val="24"/>
                <w:szCs w:val="24"/>
                <w:highlight w:val="none"/>
              </w:rPr>
              <w:t>，...，Q</w:t>
            </w:r>
            <w:r>
              <w:rPr>
                <w:rFonts w:cs="Times New Roman"/>
                <w:color w:val="auto"/>
                <w:kern w:val="0"/>
                <w:sz w:val="24"/>
                <w:szCs w:val="24"/>
                <w:highlight w:val="none"/>
                <w:vertAlign w:val="subscript"/>
              </w:rPr>
              <w:t>n</w:t>
            </w:r>
            <w:r>
              <w:rPr>
                <w:rFonts w:cs="Times New Roman"/>
                <w:color w:val="auto"/>
                <w:kern w:val="0"/>
                <w:sz w:val="24"/>
                <w:szCs w:val="24"/>
                <w:highlight w:val="none"/>
              </w:rPr>
              <w:t>—各事故环境风险物质相对应的临界量，t。</w:t>
            </w:r>
          </w:p>
          <w:p w14:paraId="1DB7914B">
            <w:pPr>
              <w:keepNext w:val="0"/>
              <w:keepLines w:val="0"/>
              <w:pageBreakBefore w:val="0"/>
              <w:kinsoku/>
              <w:wordWrap/>
              <w:overflowPunct/>
              <w:topLinePunct w:val="0"/>
              <w:autoSpaceDE/>
              <w:autoSpaceDN/>
              <w:bidi w:val="0"/>
              <w:adjustRightInd/>
              <w:spacing w:line="360" w:lineRule="auto"/>
              <w:ind w:left="0" w:firstLine="480" w:firstLineChars="200"/>
              <w:textAlignment w:val="auto"/>
              <w:rPr>
                <w:rFonts w:cs="Times New Roman"/>
                <w:color w:val="auto"/>
                <w:kern w:val="0"/>
                <w:sz w:val="24"/>
                <w:szCs w:val="24"/>
                <w:highlight w:val="none"/>
              </w:rPr>
            </w:pPr>
            <w:r>
              <w:rPr>
                <w:rFonts w:cs="Times New Roman"/>
                <w:color w:val="auto"/>
                <w:kern w:val="0"/>
                <w:sz w:val="24"/>
                <w:szCs w:val="24"/>
                <w:highlight w:val="none"/>
              </w:rPr>
              <w:t>当Q&lt;1时，该项目环境风险潜势为</w:t>
            </w:r>
            <w:r>
              <w:rPr>
                <w:rFonts w:hint="default" w:ascii="Times New Roman" w:hAnsi="Times New Roman" w:cs="Times New Roman"/>
                <w:color w:val="auto"/>
                <w:kern w:val="0"/>
                <w:sz w:val="24"/>
                <w:szCs w:val="24"/>
                <w:highlight w:val="none"/>
              </w:rPr>
              <w:t>Ⅰ</w:t>
            </w:r>
            <w:r>
              <w:rPr>
                <w:rFonts w:cs="Times New Roman"/>
                <w:color w:val="auto"/>
                <w:kern w:val="0"/>
                <w:sz w:val="24"/>
                <w:szCs w:val="24"/>
                <w:highlight w:val="none"/>
              </w:rPr>
              <w:t>。</w:t>
            </w:r>
          </w:p>
          <w:p w14:paraId="354CC03B">
            <w:pPr>
              <w:keepNext w:val="0"/>
              <w:keepLines w:val="0"/>
              <w:pageBreakBefore w:val="0"/>
              <w:kinsoku/>
              <w:wordWrap/>
              <w:overflowPunct/>
              <w:topLinePunct w:val="0"/>
              <w:autoSpaceDE/>
              <w:autoSpaceDN/>
              <w:bidi w:val="0"/>
              <w:adjustRightInd/>
              <w:spacing w:line="360" w:lineRule="auto"/>
              <w:ind w:left="0" w:firstLine="480" w:firstLineChars="200"/>
              <w:textAlignment w:val="auto"/>
              <w:rPr>
                <w:rFonts w:cs="Times New Roman"/>
                <w:color w:val="auto"/>
                <w:sz w:val="24"/>
                <w:szCs w:val="24"/>
                <w:highlight w:val="none"/>
              </w:rPr>
            </w:pPr>
            <w:r>
              <w:rPr>
                <w:rFonts w:cs="Times New Roman"/>
                <w:color w:val="auto"/>
                <w:kern w:val="0"/>
                <w:sz w:val="24"/>
                <w:szCs w:val="24"/>
                <w:highlight w:val="none"/>
              </w:rPr>
              <w:t>当Q≥1时，将Q值划分为</w:t>
            </w:r>
            <w:r>
              <w:rPr>
                <w:rFonts w:hint="eastAsia" w:cs="Times New Roman"/>
                <w:color w:val="auto"/>
                <w:kern w:val="0"/>
                <w:sz w:val="24"/>
                <w:szCs w:val="24"/>
                <w:highlight w:val="none"/>
                <w:lang w:eastAsia="zh-CN"/>
              </w:rPr>
              <w:t>：</w:t>
            </w:r>
            <w:r>
              <w:rPr>
                <w:rFonts w:cs="Times New Roman"/>
                <w:color w:val="auto"/>
                <w:kern w:val="0"/>
                <w:sz w:val="24"/>
                <w:szCs w:val="24"/>
                <w:highlight w:val="none"/>
              </w:rPr>
              <w:t>（1）1≤Q≤10；（2）10≤Q≤100；（3）Q≥100。</w:t>
            </w:r>
          </w:p>
          <w:p w14:paraId="4CF2AA4B">
            <w:pPr>
              <w:keepNext w:val="0"/>
              <w:keepLines w:val="0"/>
              <w:pageBreakBefore w:val="0"/>
              <w:kinsoku/>
              <w:wordWrap/>
              <w:overflowPunct/>
              <w:topLinePunct w:val="0"/>
              <w:autoSpaceDE/>
              <w:autoSpaceDN/>
              <w:bidi w:val="0"/>
              <w:adjustRightInd/>
              <w:spacing w:line="360" w:lineRule="auto"/>
              <w:ind w:left="0" w:firstLine="480" w:firstLineChars="200"/>
              <w:textAlignment w:val="auto"/>
              <w:rPr>
                <w:rFonts w:cs="Times New Roman"/>
                <w:color w:val="auto"/>
                <w:kern w:val="0"/>
                <w:sz w:val="24"/>
                <w:szCs w:val="24"/>
                <w:highlight w:val="none"/>
              </w:rPr>
            </w:pPr>
            <w:r>
              <w:rPr>
                <w:rFonts w:cs="Times New Roman"/>
                <w:color w:val="auto"/>
                <w:kern w:val="0"/>
                <w:sz w:val="24"/>
                <w:szCs w:val="24"/>
                <w:highlight w:val="none"/>
              </w:rPr>
              <w:t>根据计算结果，本项目涉及风险物质Q=</w:t>
            </w:r>
            <w:r>
              <w:rPr>
                <w:rFonts w:hint="eastAsia" w:cs="Times New Roman"/>
                <w:color w:val="auto"/>
                <w:kern w:val="0"/>
                <w:sz w:val="24"/>
                <w:szCs w:val="24"/>
                <w:highlight w:val="none"/>
              </w:rPr>
              <w:t>0.</w:t>
            </w:r>
            <w:r>
              <w:rPr>
                <w:rFonts w:hint="eastAsia" w:cs="Times New Roman"/>
                <w:color w:val="auto"/>
                <w:kern w:val="0"/>
                <w:sz w:val="24"/>
                <w:szCs w:val="24"/>
                <w:highlight w:val="none"/>
                <w:lang w:val="en-US" w:eastAsia="zh-CN"/>
              </w:rPr>
              <w:t>2622</w:t>
            </w:r>
            <w:r>
              <w:rPr>
                <w:rFonts w:cs="Times New Roman"/>
                <w:color w:val="auto"/>
                <w:kern w:val="0"/>
                <w:sz w:val="24"/>
                <w:szCs w:val="24"/>
                <w:highlight w:val="none"/>
              </w:rPr>
              <w:t>&lt;1，对照《建设项目环境风险评价技术导则》（HJ 169-2018）中表2建设项目环境风险潜势划分，本项目环境风险潜势为Ⅰ。</w:t>
            </w:r>
          </w:p>
          <w:p w14:paraId="28B994D1">
            <w:pPr>
              <w:pStyle w:val="63"/>
              <w:keepNext w:val="0"/>
              <w:keepLines w:val="0"/>
              <w:pageBreakBefore w:val="0"/>
              <w:widowControl/>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pacing w:val="0"/>
                <w:position w:val="0"/>
                <w:sz w:val="24"/>
                <w:szCs w:val="24"/>
                <w:highlight w:val="none"/>
              </w:rPr>
            </w:pPr>
            <w:r>
              <w:rPr>
                <w:rFonts w:cs="Times New Roman"/>
                <w:color w:val="auto"/>
                <w:kern w:val="0"/>
                <w:sz w:val="24"/>
                <w:szCs w:val="24"/>
                <w:highlight w:val="none"/>
              </w:rPr>
              <w:t>项目风险物质的最大储存量较小，项目可能发生的风险事故</w:t>
            </w:r>
            <w:r>
              <w:rPr>
                <w:rFonts w:hint="eastAsia" w:cs="Times New Roman"/>
                <w:color w:val="auto"/>
                <w:kern w:val="0"/>
                <w:sz w:val="24"/>
                <w:szCs w:val="24"/>
                <w:highlight w:val="none"/>
                <w:lang w:eastAsia="zh-CN"/>
              </w:rPr>
              <w:t>较为</w:t>
            </w:r>
            <w:r>
              <w:rPr>
                <w:rFonts w:cs="Times New Roman"/>
                <w:color w:val="auto"/>
                <w:kern w:val="0"/>
                <w:sz w:val="24"/>
                <w:szCs w:val="24"/>
                <w:highlight w:val="none"/>
              </w:rPr>
              <w:t>单一，危险</w:t>
            </w:r>
            <w:r>
              <w:rPr>
                <w:rFonts w:hint="eastAsia" w:cs="Times New Roman"/>
                <w:color w:val="auto"/>
                <w:kern w:val="0"/>
                <w:sz w:val="24"/>
                <w:szCs w:val="24"/>
                <w:highlight w:val="none"/>
              </w:rPr>
              <w:t>化学品泄漏</w:t>
            </w:r>
            <w:r>
              <w:rPr>
                <w:rFonts w:cs="Times New Roman"/>
                <w:color w:val="auto"/>
                <w:kern w:val="0"/>
                <w:sz w:val="24"/>
                <w:szCs w:val="24"/>
                <w:highlight w:val="none"/>
              </w:rPr>
              <w:t>和火灾风险是最可能发生的风险事故。因此，本环评认为项目在营运过程中，只要不断加强环境管理和生产安全管理，落实每一个环节的风险防范措施和应</w:t>
            </w:r>
            <w:r>
              <w:rPr>
                <w:rFonts w:ascii="Times New Roman" w:hAnsi="Times New Roman" w:eastAsia="宋体" w:cs="Times New Roman"/>
                <w:color w:val="auto"/>
                <w:kern w:val="0"/>
                <w:sz w:val="24"/>
                <w:szCs w:val="24"/>
                <w:highlight w:val="none"/>
                <w:lang w:val="en-US" w:eastAsia="zh-CN" w:bidi="ar-SA"/>
              </w:rPr>
              <w:t>急措施，环境风险事故具有可预防和可控制性。</w:t>
            </w:r>
            <w:r>
              <w:rPr>
                <w:rFonts w:hint="eastAsia" w:ascii="Times New Roman" w:hAnsi="Times New Roman" w:eastAsia="宋体" w:cs="Times New Roman"/>
                <w:color w:val="auto"/>
                <w:spacing w:val="0"/>
                <w:position w:val="0"/>
                <w:sz w:val="24"/>
                <w:szCs w:val="24"/>
                <w:highlight w:val="none"/>
              </w:rPr>
              <w:t xml:space="preserve"> </w:t>
            </w:r>
          </w:p>
          <w:p w14:paraId="2F74B64C">
            <w:pPr>
              <w:pStyle w:val="63"/>
              <w:keepNext w:val="0"/>
              <w:keepLines w:val="0"/>
              <w:pageBreakBefore w:val="0"/>
              <w:widowControl/>
              <w:kinsoku/>
              <w:wordWrap/>
              <w:overflowPunct/>
              <w:topLinePunct w:val="0"/>
              <w:autoSpaceDE/>
              <w:autoSpaceDN/>
              <w:bidi w:val="0"/>
              <w:adjustRightInd/>
              <w:spacing w:line="360" w:lineRule="auto"/>
              <w:textAlignment w:val="auto"/>
              <w:rPr>
                <w:rFonts w:hint="eastAsia" w:ascii="Times New Roman" w:hAnsi="Times New Roman" w:eastAsia="宋体" w:cs="Times New Roman"/>
                <w:b/>
                <w:bCs/>
                <w:color w:val="auto"/>
                <w:spacing w:val="0"/>
                <w:position w:val="0"/>
                <w:sz w:val="24"/>
                <w:szCs w:val="24"/>
                <w:highlight w:val="none"/>
              </w:rPr>
            </w:pPr>
            <w:r>
              <w:rPr>
                <w:rFonts w:hint="eastAsia" w:ascii="Times New Roman" w:hAnsi="Times New Roman" w:eastAsia="宋体" w:cs="Times New Roman"/>
                <w:b/>
                <w:bCs/>
                <w:color w:val="auto"/>
                <w:spacing w:val="0"/>
                <w:position w:val="0"/>
                <w:sz w:val="24"/>
                <w:szCs w:val="24"/>
                <w:highlight w:val="none"/>
              </w:rPr>
              <w:t>（3）环境风险类型及可能影响途径</w:t>
            </w:r>
          </w:p>
          <w:p w14:paraId="3278B4EB">
            <w:pPr>
              <w:spacing w:line="360" w:lineRule="auto"/>
              <w:ind w:firstLine="480" w:firstLineChars="200"/>
              <w:rPr>
                <w:rFonts w:ascii="Times New Roman" w:hAnsi="Times New Roman" w:eastAsia="宋体" w:cs="Times New Roman"/>
                <w:b/>
                <w:color w:val="auto"/>
                <w:spacing w:val="0"/>
                <w:position w:val="0"/>
                <w:sz w:val="24"/>
                <w:highlight w:val="none"/>
              </w:rPr>
            </w:pPr>
            <w:r>
              <w:rPr>
                <w:rFonts w:ascii="Times New Roman" w:hAnsi="Times New Roman" w:eastAsia="宋体" w:cs="Times New Roman"/>
                <w:color w:val="auto"/>
                <w:spacing w:val="0"/>
                <w:position w:val="0"/>
                <w:sz w:val="24"/>
                <w:highlight w:val="none"/>
              </w:rPr>
              <w:t>根据项目物质危险性识别以及生产系统危险性识别，项目风险事故发生对环境的影响途径，</w:t>
            </w:r>
            <w:r>
              <w:rPr>
                <w:rFonts w:hint="eastAsia" w:ascii="Times New Roman" w:hAnsi="Times New Roman" w:eastAsia="宋体" w:cs="Times New Roman"/>
                <w:color w:val="auto"/>
                <w:spacing w:val="0"/>
                <w:position w:val="0"/>
                <w:sz w:val="24"/>
                <w:highlight w:val="none"/>
              </w:rPr>
              <w:t>详</w:t>
            </w:r>
            <w:r>
              <w:rPr>
                <w:rFonts w:ascii="Times New Roman" w:hAnsi="Times New Roman" w:eastAsia="宋体" w:cs="Times New Roman"/>
                <w:color w:val="auto"/>
                <w:spacing w:val="0"/>
                <w:position w:val="0"/>
                <w:sz w:val="24"/>
                <w:highlight w:val="none"/>
              </w:rPr>
              <w:t>见表4</w:t>
            </w:r>
            <w:r>
              <w:rPr>
                <w:rFonts w:hint="eastAsia" w:ascii="Times New Roman" w:hAnsi="Times New Roman" w:eastAsia="宋体" w:cs="Times New Roman"/>
                <w:color w:val="auto"/>
                <w:spacing w:val="0"/>
                <w:position w:val="0"/>
                <w:sz w:val="24"/>
                <w:highlight w:val="none"/>
                <w:lang w:val="en-US" w:eastAsia="zh-CN"/>
              </w:rPr>
              <w:t>.</w:t>
            </w:r>
            <w:r>
              <w:rPr>
                <w:rFonts w:hint="eastAsia" w:cs="Times New Roman"/>
                <w:color w:val="auto"/>
                <w:spacing w:val="0"/>
                <w:position w:val="0"/>
                <w:sz w:val="24"/>
                <w:highlight w:val="none"/>
                <w:lang w:val="en-US" w:eastAsia="zh-CN"/>
              </w:rPr>
              <w:t>6-3</w:t>
            </w:r>
            <w:r>
              <w:rPr>
                <w:rFonts w:ascii="Times New Roman" w:hAnsi="Times New Roman" w:eastAsia="宋体" w:cs="Times New Roman"/>
                <w:color w:val="auto"/>
                <w:spacing w:val="0"/>
                <w:position w:val="0"/>
                <w:sz w:val="24"/>
                <w:highlight w:val="none"/>
              </w:rPr>
              <w:t>。</w:t>
            </w:r>
          </w:p>
          <w:p w14:paraId="196741BE">
            <w:pPr>
              <w:pStyle w:val="121"/>
              <w:spacing w:line="240" w:lineRule="auto"/>
              <w:ind w:leftChars="0" w:firstLine="0"/>
              <w:jc w:val="center"/>
              <w:rPr>
                <w:rFonts w:ascii="Times New Roman" w:hAnsi="Times New Roman" w:eastAsia="宋体" w:cs="Times New Roman"/>
                <w:b/>
                <w:color w:val="auto"/>
                <w:spacing w:val="0"/>
                <w:position w:val="0"/>
                <w:sz w:val="24"/>
                <w:szCs w:val="24"/>
                <w:highlight w:val="none"/>
              </w:rPr>
            </w:pPr>
            <w:r>
              <w:rPr>
                <w:rFonts w:ascii="Times New Roman" w:hAnsi="Times New Roman" w:eastAsia="宋体" w:cs="Times New Roman"/>
                <w:b/>
                <w:color w:val="auto"/>
                <w:spacing w:val="0"/>
                <w:position w:val="0"/>
                <w:sz w:val="24"/>
                <w:szCs w:val="24"/>
                <w:highlight w:val="none"/>
              </w:rPr>
              <w:t>表4</w:t>
            </w:r>
            <w:r>
              <w:rPr>
                <w:rFonts w:hint="eastAsia" w:ascii="Times New Roman" w:hAnsi="Times New Roman" w:eastAsia="宋体" w:cs="Times New Roman"/>
                <w:b/>
                <w:color w:val="auto"/>
                <w:spacing w:val="0"/>
                <w:position w:val="0"/>
                <w:sz w:val="24"/>
                <w:szCs w:val="24"/>
                <w:highlight w:val="none"/>
                <w:lang w:val="en-US" w:eastAsia="zh-CN"/>
              </w:rPr>
              <w:t>.</w:t>
            </w:r>
            <w:r>
              <w:rPr>
                <w:rFonts w:hint="eastAsia" w:eastAsia="宋体" w:cs="Times New Roman"/>
                <w:b/>
                <w:color w:val="auto"/>
                <w:spacing w:val="0"/>
                <w:position w:val="0"/>
                <w:sz w:val="24"/>
                <w:szCs w:val="24"/>
                <w:highlight w:val="none"/>
                <w:lang w:val="en-US" w:eastAsia="zh-CN"/>
              </w:rPr>
              <w:t>6-3</w:t>
            </w:r>
            <w:r>
              <w:rPr>
                <w:rFonts w:ascii="Times New Roman" w:hAnsi="Times New Roman" w:eastAsia="宋体" w:cs="Times New Roman"/>
                <w:b/>
                <w:color w:val="auto"/>
                <w:spacing w:val="0"/>
                <w:position w:val="0"/>
                <w:sz w:val="24"/>
                <w:szCs w:val="24"/>
                <w:highlight w:val="none"/>
              </w:rPr>
              <w:t xml:space="preserve"> 项目风险事故发生对环境的影响途径</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79"/>
              <w:gridCol w:w="3992"/>
              <w:gridCol w:w="3053"/>
            </w:tblGrid>
            <w:tr w14:paraId="5BDC4D1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079" w:type="dxa"/>
                  <w:tcBorders>
                    <w:tl2br w:val="nil"/>
                    <w:tr2bl w:val="nil"/>
                  </w:tcBorders>
                  <w:noWrap w:val="0"/>
                  <w:vAlign w:val="center"/>
                </w:tcPr>
                <w:p w14:paraId="678BD83C">
                  <w:pPr>
                    <w:spacing w:line="300" w:lineRule="exact"/>
                    <w:jc w:val="center"/>
                    <w:rPr>
                      <w:rFonts w:ascii="Times New Roman" w:hAnsi="Times New Roman" w:eastAsia="宋体" w:cs="Times New Roman"/>
                      <w:b/>
                      <w:bCs/>
                      <w:color w:val="auto"/>
                      <w:spacing w:val="0"/>
                      <w:position w:val="0"/>
                      <w:szCs w:val="21"/>
                      <w:highlight w:val="none"/>
                    </w:rPr>
                  </w:pPr>
                  <w:r>
                    <w:rPr>
                      <w:rFonts w:ascii="Times New Roman" w:hAnsi="Times New Roman" w:eastAsia="宋体" w:cs="Times New Roman"/>
                      <w:b/>
                      <w:bCs/>
                      <w:color w:val="auto"/>
                      <w:spacing w:val="0"/>
                      <w:position w:val="0"/>
                      <w:szCs w:val="21"/>
                      <w:highlight w:val="none"/>
                    </w:rPr>
                    <w:t>事故情景</w:t>
                  </w:r>
                </w:p>
              </w:tc>
              <w:tc>
                <w:tcPr>
                  <w:tcW w:w="3992" w:type="dxa"/>
                  <w:tcBorders>
                    <w:tl2br w:val="nil"/>
                    <w:tr2bl w:val="nil"/>
                  </w:tcBorders>
                  <w:noWrap w:val="0"/>
                  <w:vAlign w:val="center"/>
                </w:tcPr>
                <w:p w14:paraId="728FCCE2">
                  <w:pPr>
                    <w:jc w:val="center"/>
                    <w:rPr>
                      <w:rFonts w:ascii="Times New Roman" w:hAnsi="Times New Roman" w:eastAsia="宋体" w:cs="Times New Roman"/>
                      <w:b/>
                      <w:bCs/>
                      <w:color w:val="auto"/>
                      <w:spacing w:val="0"/>
                      <w:position w:val="0"/>
                      <w:szCs w:val="21"/>
                      <w:highlight w:val="none"/>
                    </w:rPr>
                  </w:pPr>
                  <w:r>
                    <w:rPr>
                      <w:rFonts w:ascii="Times New Roman" w:hAnsi="Times New Roman" w:eastAsia="宋体" w:cs="Times New Roman"/>
                      <w:b/>
                      <w:bCs/>
                      <w:color w:val="auto"/>
                      <w:spacing w:val="0"/>
                      <w:position w:val="0"/>
                      <w:szCs w:val="21"/>
                      <w:highlight w:val="none"/>
                    </w:rPr>
                    <w:t>污染途径</w:t>
                  </w:r>
                </w:p>
              </w:tc>
              <w:tc>
                <w:tcPr>
                  <w:tcW w:w="3053" w:type="dxa"/>
                  <w:tcBorders>
                    <w:tl2br w:val="nil"/>
                    <w:tr2bl w:val="nil"/>
                  </w:tcBorders>
                  <w:noWrap w:val="0"/>
                  <w:vAlign w:val="center"/>
                </w:tcPr>
                <w:p w14:paraId="3CF9C609">
                  <w:pPr>
                    <w:jc w:val="center"/>
                    <w:rPr>
                      <w:rFonts w:ascii="Times New Roman" w:hAnsi="Times New Roman" w:eastAsia="宋体" w:cs="Times New Roman"/>
                      <w:b/>
                      <w:bCs/>
                      <w:color w:val="auto"/>
                      <w:spacing w:val="0"/>
                      <w:position w:val="0"/>
                      <w:szCs w:val="21"/>
                      <w:highlight w:val="none"/>
                    </w:rPr>
                  </w:pPr>
                  <w:r>
                    <w:rPr>
                      <w:rFonts w:ascii="Times New Roman" w:hAnsi="Times New Roman" w:eastAsia="宋体" w:cs="Times New Roman"/>
                      <w:b/>
                      <w:bCs/>
                      <w:color w:val="auto"/>
                      <w:spacing w:val="0"/>
                      <w:position w:val="0"/>
                      <w:szCs w:val="21"/>
                      <w:highlight w:val="none"/>
                    </w:rPr>
                    <w:t>危害</w:t>
                  </w:r>
                </w:p>
              </w:tc>
            </w:tr>
            <w:tr w14:paraId="2D24632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9" w:type="dxa"/>
                  <w:tcBorders>
                    <w:tl2br w:val="nil"/>
                    <w:tr2bl w:val="nil"/>
                  </w:tcBorders>
                  <w:noWrap w:val="0"/>
                  <w:vAlign w:val="center"/>
                </w:tcPr>
                <w:p w14:paraId="4A8128F3">
                  <w:pPr>
                    <w:widowControl/>
                    <w:spacing w:line="300" w:lineRule="exact"/>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lang w:val="en-US" w:eastAsia="zh-CN" w:bidi="ar"/>
                    </w:rPr>
                    <w:t>化学品仓库</w:t>
                  </w:r>
                  <w:r>
                    <w:rPr>
                      <w:rFonts w:hint="eastAsia" w:ascii="Times New Roman" w:hAnsi="Times New Roman" w:eastAsia="宋体" w:cs="Times New Roman"/>
                      <w:color w:val="auto"/>
                      <w:spacing w:val="0"/>
                      <w:position w:val="0"/>
                      <w:sz w:val="21"/>
                      <w:szCs w:val="21"/>
                      <w:highlight w:val="none"/>
                    </w:rPr>
                    <w:t>、</w:t>
                  </w:r>
                  <w:r>
                    <w:rPr>
                      <w:rFonts w:ascii="Times New Roman" w:hAnsi="Times New Roman" w:eastAsia="宋体" w:cs="Times New Roman"/>
                      <w:color w:val="auto"/>
                      <w:spacing w:val="0"/>
                      <w:kern w:val="0"/>
                      <w:position w:val="0"/>
                      <w:sz w:val="21"/>
                      <w:szCs w:val="21"/>
                      <w:highlight w:val="none"/>
                      <w:lang w:bidi="ar"/>
                    </w:rPr>
                    <w:t>危废泄漏</w:t>
                  </w:r>
                </w:p>
              </w:tc>
              <w:tc>
                <w:tcPr>
                  <w:tcW w:w="3992" w:type="dxa"/>
                  <w:tcBorders>
                    <w:tl2br w:val="nil"/>
                    <w:tr2bl w:val="nil"/>
                  </w:tcBorders>
                  <w:noWrap w:val="0"/>
                  <w:vAlign w:val="center"/>
                </w:tcPr>
                <w:p w14:paraId="514A6B09">
                  <w:pPr>
                    <w:pStyle w:val="11"/>
                    <w:spacing w:line="300" w:lineRule="exact"/>
                    <w:jc w:val="both"/>
                    <w:rPr>
                      <w:rFonts w:ascii="Times New Roman" w:hAnsi="Times New Roman" w:eastAsia="宋体" w:cs="Times New Roman"/>
                      <w:color w:val="auto"/>
                      <w:spacing w:val="0"/>
                      <w:position w:val="0"/>
                      <w:sz w:val="21"/>
                      <w:szCs w:val="21"/>
                      <w:highlight w:val="none"/>
                      <w:lang w:bidi="ar"/>
                    </w:rPr>
                  </w:pPr>
                  <w:r>
                    <w:rPr>
                      <w:rFonts w:hint="eastAsia" w:ascii="Times New Roman" w:hAnsi="Times New Roman" w:eastAsia="宋体" w:cs="Times New Roman"/>
                      <w:color w:val="auto"/>
                      <w:spacing w:val="0"/>
                      <w:position w:val="0"/>
                      <w:sz w:val="21"/>
                      <w:szCs w:val="21"/>
                      <w:highlight w:val="none"/>
                      <w:lang w:val="en-US" w:eastAsia="zh-CN" w:bidi="ar"/>
                    </w:rPr>
                    <w:t>化学品仓库、</w:t>
                  </w:r>
                  <w:r>
                    <w:rPr>
                      <w:rFonts w:hint="eastAsia" w:cs="Times New Roman"/>
                      <w:color w:val="auto"/>
                      <w:sz w:val="21"/>
                      <w:szCs w:val="21"/>
                      <w:highlight w:val="none"/>
                      <w:lang w:val="en-US" w:eastAsia="zh-CN"/>
                    </w:rPr>
                    <w:t>化学品使用区域、</w:t>
                  </w:r>
                  <w:r>
                    <w:rPr>
                      <w:rFonts w:ascii="Times New Roman" w:hAnsi="Times New Roman" w:eastAsia="宋体" w:cs="Times New Roman"/>
                      <w:color w:val="auto"/>
                      <w:spacing w:val="0"/>
                      <w:position w:val="0"/>
                      <w:sz w:val="21"/>
                      <w:szCs w:val="21"/>
                      <w:highlight w:val="none"/>
                      <w:lang w:bidi="ar"/>
                    </w:rPr>
                    <w:t>危废包装</w:t>
                  </w:r>
                  <w:r>
                    <w:rPr>
                      <w:rFonts w:hint="eastAsia" w:ascii="Times New Roman" w:hAnsi="Times New Roman" w:eastAsia="宋体" w:cs="Times New Roman"/>
                      <w:color w:val="auto"/>
                      <w:spacing w:val="0"/>
                      <w:position w:val="0"/>
                      <w:sz w:val="21"/>
                      <w:szCs w:val="21"/>
                      <w:highlight w:val="none"/>
                      <w:lang w:bidi="ar"/>
                    </w:rPr>
                    <w:t>袋</w:t>
                  </w:r>
                  <w:r>
                    <w:rPr>
                      <w:rFonts w:ascii="Times New Roman" w:hAnsi="Times New Roman" w:eastAsia="宋体" w:cs="Times New Roman"/>
                      <w:color w:val="auto"/>
                      <w:spacing w:val="0"/>
                      <w:position w:val="0"/>
                      <w:sz w:val="21"/>
                      <w:szCs w:val="21"/>
                      <w:highlight w:val="none"/>
                      <w:lang w:bidi="ar"/>
                    </w:rPr>
                    <w:t>破损，发生泄漏，造成地面漫流</w:t>
                  </w:r>
                  <w:r>
                    <w:rPr>
                      <w:rFonts w:hint="eastAsia" w:ascii="Times New Roman" w:hAnsi="Times New Roman" w:eastAsia="宋体" w:cs="Times New Roman"/>
                      <w:color w:val="auto"/>
                      <w:spacing w:val="0"/>
                      <w:position w:val="0"/>
                      <w:sz w:val="21"/>
                      <w:szCs w:val="21"/>
                      <w:highlight w:val="none"/>
                      <w:lang w:bidi="ar"/>
                    </w:rPr>
                    <w:t>，</w:t>
                  </w:r>
                  <w:r>
                    <w:rPr>
                      <w:rFonts w:ascii="Times New Roman" w:hAnsi="Times New Roman" w:eastAsia="宋体" w:cs="Times New Roman"/>
                      <w:color w:val="auto"/>
                      <w:spacing w:val="0"/>
                      <w:position w:val="0"/>
                      <w:sz w:val="21"/>
                      <w:szCs w:val="21"/>
                      <w:highlight w:val="none"/>
                      <w:lang w:bidi="ar"/>
                    </w:rPr>
                    <w:t>对环境造成影响</w:t>
                  </w:r>
                  <w:r>
                    <w:rPr>
                      <w:rFonts w:hint="eastAsia" w:ascii="Times New Roman" w:hAnsi="Times New Roman" w:eastAsia="宋体" w:cs="Times New Roman"/>
                      <w:color w:val="auto"/>
                      <w:spacing w:val="0"/>
                      <w:position w:val="0"/>
                      <w:sz w:val="21"/>
                      <w:szCs w:val="21"/>
                      <w:highlight w:val="none"/>
                      <w:lang w:bidi="ar"/>
                    </w:rPr>
                    <w:t>。</w:t>
                  </w:r>
                </w:p>
              </w:tc>
              <w:tc>
                <w:tcPr>
                  <w:tcW w:w="3053" w:type="dxa"/>
                  <w:tcBorders>
                    <w:tl2br w:val="nil"/>
                    <w:tr2bl w:val="nil"/>
                  </w:tcBorders>
                  <w:noWrap w:val="0"/>
                  <w:vAlign w:val="center"/>
                </w:tcPr>
                <w:p w14:paraId="3271E76B">
                  <w:pPr>
                    <w:pStyle w:val="11"/>
                    <w:spacing w:line="300" w:lineRule="exact"/>
                    <w:jc w:val="center"/>
                    <w:rPr>
                      <w:rFonts w:hint="eastAsia" w:ascii="Times New Roman" w:hAnsi="Times New Roman" w:eastAsia="宋体" w:cs="Times New Roman"/>
                      <w:color w:val="auto"/>
                      <w:spacing w:val="0"/>
                      <w:position w:val="0"/>
                      <w:sz w:val="21"/>
                      <w:szCs w:val="21"/>
                      <w:highlight w:val="none"/>
                      <w:lang w:bidi="ar"/>
                    </w:rPr>
                  </w:pPr>
                  <w:r>
                    <w:rPr>
                      <w:rFonts w:hint="eastAsia" w:ascii="Times New Roman" w:hAnsi="Times New Roman" w:eastAsia="宋体" w:cs="Times New Roman"/>
                      <w:color w:val="auto"/>
                      <w:spacing w:val="0"/>
                      <w:position w:val="0"/>
                      <w:sz w:val="21"/>
                      <w:szCs w:val="21"/>
                      <w:highlight w:val="none"/>
                      <w:lang w:bidi="ar"/>
                    </w:rPr>
                    <w:t>破损渗入土壤并进入地下水，影响土壤及水质，</w:t>
                  </w:r>
                  <w:r>
                    <w:rPr>
                      <w:rFonts w:ascii="Times New Roman" w:hAnsi="Times New Roman" w:eastAsia="宋体" w:cs="Times New Roman"/>
                      <w:color w:val="auto"/>
                      <w:spacing w:val="0"/>
                      <w:position w:val="0"/>
                      <w:sz w:val="21"/>
                      <w:szCs w:val="21"/>
                      <w:highlight w:val="none"/>
                      <w:lang w:bidi="ar"/>
                    </w:rPr>
                    <w:t>扩散至大气中，会对周边大气环境产生影响</w:t>
                  </w:r>
                  <w:r>
                    <w:rPr>
                      <w:rFonts w:hint="eastAsia" w:ascii="Times New Roman" w:hAnsi="Times New Roman" w:eastAsia="宋体" w:cs="Times New Roman"/>
                      <w:color w:val="auto"/>
                      <w:spacing w:val="0"/>
                      <w:position w:val="0"/>
                      <w:sz w:val="21"/>
                      <w:szCs w:val="21"/>
                      <w:highlight w:val="none"/>
                      <w:lang w:bidi="ar"/>
                    </w:rPr>
                    <w:t>。</w:t>
                  </w:r>
                </w:p>
              </w:tc>
            </w:tr>
            <w:tr w14:paraId="777508E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9" w:type="dxa"/>
                  <w:tcBorders>
                    <w:tl2br w:val="nil"/>
                    <w:tr2bl w:val="nil"/>
                  </w:tcBorders>
                  <w:noWrap w:val="0"/>
                  <w:vAlign w:val="center"/>
                </w:tcPr>
                <w:p w14:paraId="1411BC38">
                  <w:pPr>
                    <w:widowControl/>
                    <w:spacing w:line="300" w:lineRule="exact"/>
                    <w:jc w:val="center"/>
                    <w:rPr>
                      <w:rFonts w:hint="eastAsia" w:ascii="Times New Roman" w:hAnsi="Times New Roman" w:eastAsia="宋体" w:cs="Times New Roman"/>
                      <w:color w:val="auto"/>
                      <w:spacing w:val="0"/>
                      <w:kern w:val="0"/>
                      <w:position w:val="0"/>
                      <w:sz w:val="21"/>
                      <w:szCs w:val="21"/>
                      <w:highlight w:val="none"/>
                      <w:lang w:val="en-US" w:eastAsia="zh-CN" w:bidi="ar"/>
                    </w:rPr>
                  </w:pPr>
                  <w:r>
                    <w:rPr>
                      <w:rFonts w:ascii="Times New Roman" w:hAnsi="Times New Roman" w:eastAsia="宋体" w:cs="Times New Roman"/>
                      <w:color w:val="auto"/>
                      <w:spacing w:val="0"/>
                      <w:kern w:val="0"/>
                      <w:position w:val="0"/>
                      <w:sz w:val="21"/>
                      <w:szCs w:val="21"/>
                      <w:highlight w:val="none"/>
                      <w:lang w:bidi="ar"/>
                    </w:rPr>
                    <w:t>废</w:t>
                  </w:r>
                  <w:r>
                    <w:rPr>
                      <w:rFonts w:hint="eastAsia" w:ascii="Times New Roman" w:hAnsi="Times New Roman" w:eastAsia="宋体" w:cs="Times New Roman"/>
                      <w:color w:val="auto"/>
                      <w:spacing w:val="0"/>
                      <w:kern w:val="0"/>
                      <w:position w:val="0"/>
                      <w:sz w:val="21"/>
                      <w:szCs w:val="21"/>
                      <w:highlight w:val="none"/>
                      <w:lang w:val="en-US" w:eastAsia="zh-CN" w:bidi="ar"/>
                    </w:rPr>
                    <w:t>水</w:t>
                  </w:r>
                  <w:r>
                    <w:rPr>
                      <w:rFonts w:ascii="Times New Roman" w:hAnsi="Times New Roman" w:eastAsia="宋体" w:cs="Times New Roman"/>
                      <w:color w:val="auto"/>
                      <w:spacing w:val="0"/>
                      <w:kern w:val="0"/>
                      <w:position w:val="0"/>
                      <w:sz w:val="21"/>
                      <w:szCs w:val="21"/>
                      <w:highlight w:val="none"/>
                      <w:lang w:bidi="ar"/>
                    </w:rPr>
                    <w:t>事故性排放</w:t>
                  </w:r>
                </w:p>
              </w:tc>
              <w:tc>
                <w:tcPr>
                  <w:tcW w:w="3992" w:type="dxa"/>
                  <w:tcBorders>
                    <w:tl2br w:val="nil"/>
                    <w:tr2bl w:val="nil"/>
                  </w:tcBorders>
                  <w:noWrap w:val="0"/>
                  <w:vAlign w:val="center"/>
                </w:tcPr>
                <w:p w14:paraId="5061DBB8">
                  <w:pPr>
                    <w:widowControl/>
                    <w:spacing w:line="300" w:lineRule="exact"/>
                    <w:jc w:val="center"/>
                    <w:rPr>
                      <w:rFonts w:ascii="Times New Roman" w:hAnsi="Times New Roman" w:eastAsia="宋体" w:cs="Times New Roman"/>
                      <w:color w:val="auto"/>
                      <w:spacing w:val="0"/>
                      <w:kern w:val="0"/>
                      <w:position w:val="0"/>
                      <w:sz w:val="21"/>
                      <w:szCs w:val="21"/>
                      <w:highlight w:val="none"/>
                      <w:lang w:bidi="ar"/>
                    </w:rPr>
                  </w:pPr>
                  <w:r>
                    <w:rPr>
                      <w:rFonts w:hint="eastAsia" w:ascii="Times New Roman" w:hAnsi="Times New Roman" w:eastAsia="宋体" w:cs="Times New Roman"/>
                      <w:color w:val="auto"/>
                      <w:sz w:val="21"/>
                      <w:szCs w:val="21"/>
                      <w:highlight w:val="none"/>
                      <w:shd w:val="clear" w:color="auto" w:fill="auto"/>
                      <w:lang w:val="en-US" w:eastAsia="zh-CN"/>
                    </w:rPr>
                    <w:t>收集池、输送管道破损发生泄漏、</w:t>
                  </w:r>
                  <w:r>
                    <w:rPr>
                      <w:rFonts w:hint="eastAsia" w:ascii="Times New Roman" w:hAnsi="Times New Roman" w:eastAsia="宋体" w:cs="Times New Roman"/>
                      <w:color w:val="auto"/>
                      <w:kern w:val="0"/>
                      <w:sz w:val="21"/>
                      <w:szCs w:val="21"/>
                      <w:highlight w:val="none"/>
                      <w:lang w:val="en-US" w:eastAsia="zh-CN" w:bidi="ar"/>
                    </w:rPr>
                    <w:t>废水处理设施发生故障。</w:t>
                  </w:r>
                </w:p>
              </w:tc>
              <w:tc>
                <w:tcPr>
                  <w:tcW w:w="3053" w:type="dxa"/>
                  <w:tcBorders>
                    <w:tl2br w:val="nil"/>
                    <w:tr2bl w:val="nil"/>
                  </w:tcBorders>
                  <w:noWrap w:val="0"/>
                  <w:vAlign w:val="center"/>
                </w:tcPr>
                <w:p w14:paraId="772A4A5A">
                  <w:pPr>
                    <w:widowControl/>
                    <w:spacing w:line="300" w:lineRule="exact"/>
                    <w:jc w:val="both"/>
                    <w:rPr>
                      <w:rFonts w:ascii="Times New Roman" w:hAnsi="Times New Roman" w:eastAsia="宋体" w:cs="Times New Roman"/>
                      <w:color w:val="auto"/>
                      <w:spacing w:val="0"/>
                      <w:kern w:val="0"/>
                      <w:positio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生产废水因废水处理设施故障，发生</w:t>
                  </w:r>
                  <w:r>
                    <w:rPr>
                      <w:rFonts w:hint="eastAsia" w:cs="Times New Roman"/>
                      <w:color w:val="auto"/>
                      <w:kern w:val="0"/>
                      <w:sz w:val="21"/>
                      <w:szCs w:val="21"/>
                      <w:highlight w:val="none"/>
                      <w:lang w:val="en-US" w:eastAsia="zh-CN" w:bidi="ar"/>
                    </w:rPr>
                    <w:t>泄漏</w:t>
                  </w:r>
                  <w:r>
                    <w:rPr>
                      <w:rFonts w:hint="eastAsia" w:ascii="Times New Roman" w:hAnsi="Times New Roman" w:eastAsia="宋体" w:cs="Times New Roman"/>
                      <w:color w:val="auto"/>
                      <w:kern w:val="0"/>
                      <w:sz w:val="21"/>
                      <w:szCs w:val="21"/>
                      <w:highlight w:val="none"/>
                      <w:lang w:val="en-US" w:eastAsia="zh-CN" w:bidi="ar"/>
                    </w:rPr>
                    <w:t>；生活污水未经有效处理，直接排放，会影响附近地表水及地下水。</w:t>
                  </w:r>
                </w:p>
              </w:tc>
            </w:tr>
            <w:tr w14:paraId="2B52B50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9" w:type="dxa"/>
                  <w:tcBorders>
                    <w:tl2br w:val="nil"/>
                    <w:tr2bl w:val="nil"/>
                  </w:tcBorders>
                  <w:noWrap w:val="0"/>
                  <w:vAlign w:val="center"/>
                </w:tcPr>
                <w:p w14:paraId="319F24B2">
                  <w:pPr>
                    <w:widowControl/>
                    <w:spacing w:line="300" w:lineRule="exact"/>
                    <w:jc w:val="center"/>
                    <w:rPr>
                      <w:rFonts w:ascii="Times New Roman" w:hAnsi="Times New Roman" w:eastAsia="宋体" w:cs="Times New Roman"/>
                      <w:color w:val="auto"/>
                      <w:spacing w:val="0"/>
                      <w:kern w:val="0"/>
                      <w:position w:val="0"/>
                      <w:sz w:val="21"/>
                      <w:szCs w:val="21"/>
                      <w:highlight w:val="none"/>
                      <w:lang w:bidi="ar"/>
                    </w:rPr>
                  </w:pPr>
                  <w:r>
                    <w:rPr>
                      <w:rFonts w:ascii="Times New Roman" w:hAnsi="Times New Roman" w:eastAsia="宋体" w:cs="Times New Roman"/>
                      <w:color w:val="auto"/>
                      <w:spacing w:val="0"/>
                      <w:kern w:val="0"/>
                      <w:position w:val="0"/>
                      <w:sz w:val="21"/>
                      <w:szCs w:val="21"/>
                      <w:highlight w:val="none"/>
                      <w:lang w:bidi="ar"/>
                    </w:rPr>
                    <w:t>废气事故性排放</w:t>
                  </w:r>
                </w:p>
              </w:tc>
              <w:tc>
                <w:tcPr>
                  <w:tcW w:w="3992" w:type="dxa"/>
                  <w:tcBorders>
                    <w:tl2br w:val="nil"/>
                    <w:tr2bl w:val="nil"/>
                  </w:tcBorders>
                  <w:noWrap w:val="0"/>
                  <w:vAlign w:val="center"/>
                </w:tcPr>
                <w:p w14:paraId="2A45C01E">
                  <w:pPr>
                    <w:widowControl/>
                    <w:spacing w:line="300" w:lineRule="exact"/>
                    <w:jc w:val="both"/>
                    <w:rPr>
                      <w:rFonts w:ascii="Times New Roman" w:hAnsi="Times New Roman" w:eastAsia="宋体" w:cs="Times New Roman"/>
                      <w:color w:val="auto"/>
                      <w:spacing w:val="0"/>
                      <w:kern w:val="0"/>
                      <w:position w:val="0"/>
                      <w:sz w:val="21"/>
                      <w:szCs w:val="21"/>
                      <w:highlight w:val="none"/>
                      <w:lang w:bidi="ar"/>
                    </w:rPr>
                  </w:pPr>
                  <w:r>
                    <w:rPr>
                      <w:rFonts w:ascii="Times New Roman" w:hAnsi="Times New Roman" w:eastAsia="宋体" w:cs="Times New Roman"/>
                      <w:color w:val="auto"/>
                      <w:spacing w:val="0"/>
                      <w:kern w:val="0"/>
                      <w:position w:val="0"/>
                      <w:sz w:val="21"/>
                      <w:szCs w:val="21"/>
                      <w:highlight w:val="none"/>
                      <w:lang w:bidi="ar"/>
                    </w:rPr>
                    <w:t>废气收集管道发生泄漏，导致废气未能得到有效收集，呈无组织扩散，会对大气环境造成影响；废气处理设施运行故障</w:t>
                  </w:r>
                  <w:r>
                    <w:rPr>
                      <w:rFonts w:hint="eastAsia" w:ascii="Times New Roman" w:hAnsi="Times New Roman" w:eastAsia="宋体" w:cs="Times New Roman"/>
                      <w:color w:val="auto"/>
                      <w:spacing w:val="0"/>
                      <w:kern w:val="0"/>
                      <w:position w:val="0"/>
                      <w:sz w:val="21"/>
                      <w:szCs w:val="21"/>
                      <w:highlight w:val="none"/>
                      <w:lang w:bidi="ar"/>
                    </w:rPr>
                    <w:t>。</w:t>
                  </w:r>
                </w:p>
              </w:tc>
              <w:tc>
                <w:tcPr>
                  <w:tcW w:w="3053" w:type="dxa"/>
                  <w:tcBorders>
                    <w:tl2br w:val="nil"/>
                    <w:tr2bl w:val="nil"/>
                  </w:tcBorders>
                  <w:noWrap w:val="0"/>
                  <w:vAlign w:val="center"/>
                </w:tcPr>
                <w:p w14:paraId="166CC87F">
                  <w:pPr>
                    <w:widowControl/>
                    <w:spacing w:line="300" w:lineRule="exact"/>
                    <w:jc w:val="both"/>
                    <w:rPr>
                      <w:rFonts w:ascii="Times New Roman" w:hAnsi="Times New Roman" w:eastAsia="宋体" w:cs="Times New Roman"/>
                      <w:color w:val="auto"/>
                      <w:spacing w:val="0"/>
                      <w:kern w:val="0"/>
                      <w:position w:val="0"/>
                      <w:sz w:val="21"/>
                      <w:szCs w:val="21"/>
                      <w:highlight w:val="none"/>
                      <w:lang w:bidi="ar"/>
                    </w:rPr>
                  </w:pPr>
                  <w:r>
                    <w:rPr>
                      <w:rFonts w:ascii="Times New Roman" w:hAnsi="Times New Roman" w:eastAsia="宋体" w:cs="Times New Roman"/>
                      <w:color w:val="auto"/>
                      <w:spacing w:val="0"/>
                      <w:kern w:val="0"/>
                      <w:position w:val="0"/>
                      <w:sz w:val="21"/>
                      <w:szCs w:val="21"/>
                      <w:highlight w:val="none"/>
                      <w:lang w:bidi="ar"/>
                    </w:rPr>
                    <w:t>废气直接外排会对周边大气环境造成影响，导致空气浓度超标</w:t>
                  </w:r>
                  <w:r>
                    <w:rPr>
                      <w:rFonts w:hint="eastAsia" w:ascii="Times New Roman" w:hAnsi="Times New Roman" w:eastAsia="宋体" w:cs="Times New Roman"/>
                      <w:color w:val="auto"/>
                      <w:spacing w:val="0"/>
                      <w:kern w:val="0"/>
                      <w:position w:val="0"/>
                      <w:sz w:val="21"/>
                      <w:szCs w:val="21"/>
                      <w:highlight w:val="none"/>
                      <w:lang w:bidi="ar"/>
                    </w:rPr>
                    <w:t>。</w:t>
                  </w:r>
                </w:p>
              </w:tc>
            </w:tr>
            <w:tr w14:paraId="64A8461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9" w:type="dxa"/>
                  <w:tcBorders>
                    <w:tl2br w:val="nil"/>
                    <w:tr2bl w:val="nil"/>
                  </w:tcBorders>
                  <w:noWrap w:val="0"/>
                  <w:vAlign w:val="center"/>
                </w:tcPr>
                <w:p w14:paraId="3A38DD27">
                  <w:pPr>
                    <w:widowControl/>
                    <w:spacing w:line="300" w:lineRule="exact"/>
                    <w:jc w:val="center"/>
                    <w:rPr>
                      <w:rFonts w:ascii="Times New Roman" w:hAnsi="Times New Roman" w:eastAsia="宋体" w:cs="Times New Roman"/>
                      <w:color w:val="auto"/>
                      <w:spacing w:val="0"/>
                      <w:kern w:val="0"/>
                      <w:position w:val="0"/>
                      <w:sz w:val="21"/>
                      <w:szCs w:val="21"/>
                      <w:highlight w:val="none"/>
                      <w:lang w:bidi="ar"/>
                    </w:rPr>
                  </w:pPr>
                  <w:r>
                    <w:rPr>
                      <w:rFonts w:ascii="Times New Roman" w:hAnsi="Times New Roman" w:eastAsia="宋体" w:cs="Times New Roman"/>
                      <w:color w:val="auto"/>
                      <w:spacing w:val="0"/>
                      <w:kern w:val="0"/>
                      <w:position w:val="0"/>
                      <w:sz w:val="21"/>
                      <w:szCs w:val="21"/>
                      <w:highlight w:val="none"/>
                      <w:lang w:bidi="ar"/>
                    </w:rPr>
                    <w:t>火灾及其衍生事故</w:t>
                  </w:r>
                </w:p>
              </w:tc>
              <w:tc>
                <w:tcPr>
                  <w:tcW w:w="3992" w:type="dxa"/>
                  <w:tcBorders>
                    <w:tl2br w:val="nil"/>
                    <w:tr2bl w:val="nil"/>
                  </w:tcBorders>
                  <w:noWrap w:val="0"/>
                  <w:vAlign w:val="center"/>
                </w:tcPr>
                <w:p w14:paraId="6F043932">
                  <w:pPr>
                    <w:widowControl/>
                    <w:spacing w:line="300" w:lineRule="exact"/>
                    <w:jc w:val="both"/>
                    <w:rPr>
                      <w:rFonts w:ascii="Times New Roman" w:hAnsi="Times New Roman" w:eastAsia="宋体" w:cs="Times New Roman"/>
                      <w:color w:val="auto"/>
                      <w:spacing w:val="0"/>
                      <w:kern w:val="0"/>
                      <w:position w:val="0"/>
                      <w:sz w:val="21"/>
                      <w:szCs w:val="21"/>
                      <w:highlight w:val="none"/>
                      <w:lang w:bidi="ar"/>
                    </w:rPr>
                  </w:pPr>
                  <w:r>
                    <w:rPr>
                      <w:rFonts w:hint="eastAsia" w:ascii="Times New Roman" w:hAnsi="Times New Roman" w:eastAsia="宋体" w:cs="Times New Roman"/>
                      <w:color w:val="auto"/>
                      <w:spacing w:val="0"/>
                      <w:kern w:val="0"/>
                      <w:position w:val="0"/>
                      <w:sz w:val="21"/>
                      <w:szCs w:val="21"/>
                      <w:highlight w:val="none"/>
                      <w:lang w:val="en-US" w:eastAsia="zh-CN" w:bidi="ar"/>
                    </w:rPr>
                    <w:t>原料、</w:t>
                  </w:r>
                  <w:r>
                    <w:rPr>
                      <w:rFonts w:hint="eastAsia" w:ascii="Times New Roman" w:hAnsi="Times New Roman" w:eastAsia="宋体" w:cs="Times New Roman"/>
                      <w:color w:val="auto"/>
                      <w:spacing w:val="0"/>
                      <w:kern w:val="0"/>
                      <w:position w:val="0"/>
                      <w:sz w:val="21"/>
                      <w:szCs w:val="21"/>
                      <w:highlight w:val="none"/>
                    </w:rPr>
                    <w:t>成品</w:t>
                  </w:r>
                  <w:r>
                    <w:rPr>
                      <w:rFonts w:hint="eastAsia" w:ascii="Times New Roman" w:hAnsi="Times New Roman" w:eastAsia="宋体" w:cs="Times New Roman"/>
                      <w:color w:val="auto"/>
                      <w:spacing w:val="0"/>
                      <w:kern w:val="0"/>
                      <w:position w:val="0"/>
                      <w:sz w:val="21"/>
                      <w:szCs w:val="21"/>
                      <w:highlight w:val="none"/>
                      <w:lang w:val="en-US" w:eastAsia="zh-CN"/>
                    </w:rPr>
                    <w:t>、</w:t>
                  </w:r>
                  <w:r>
                    <w:rPr>
                      <w:rFonts w:hint="eastAsia" w:cs="Times New Roman"/>
                      <w:color w:val="auto"/>
                      <w:spacing w:val="0"/>
                      <w:kern w:val="0"/>
                      <w:position w:val="0"/>
                      <w:sz w:val="21"/>
                      <w:szCs w:val="21"/>
                      <w:highlight w:val="none"/>
                      <w:lang w:val="en-US" w:eastAsia="zh-CN"/>
                    </w:rPr>
                    <w:t>喷漆晾干房、</w:t>
                  </w:r>
                  <w:r>
                    <w:rPr>
                      <w:rFonts w:hint="eastAsia" w:ascii="Times New Roman" w:hAnsi="Times New Roman" w:eastAsia="宋体" w:cs="Times New Roman"/>
                      <w:color w:val="auto"/>
                      <w:spacing w:val="0"/>
                      <w:kern w:val="0"/>
                      <w:position w:val="0"/>
                      <w:sz w:val="21"/>
                      <w:szCs w:val="21"/>
                      <w:highlight w:val="none"/>
                      <w:lang w:bidi="ar"/>
                    </w:rPr>
                    <w:t>化学品</w:t>
                  </w:r>
                  <w:r>
                    <w:rPr>
                      <w:rFonts w:hint="eastAsia" w:cs="Times New Roman"/>
                      <w:color w:val="auto"/>
                      <w:spacing w:val="0"/>
                      <w:kern w:val="0"/>
                      <w:position w:val="0"/>
                      <w:sz w:val="21"/>
                      <w:szCs w:val="21"/>
                      <w:highlight w:val="none"/>
                      <w:lang w:val="en-US" w:eastAsia="zh-CN" w:bidi="ar"/>
                    </w:rPr>
                    <w:t>仓库</w:t>
                  </w:r>
                  <w:r>
                    <w:rPr>
                      <w:rFonts w:hint="eastAsia" w:ascii="Times New Roman" w:hAnsi="Times New Roman" w:eastAsia="宋体" w:cs="Times New Roman"/>
                      <w:color w:val="auto"/>
                      <w:spacing w:val="0"/>
                      <w:kern w:val="0"/>
                      <w:position w:val="0"/>
                      <w:sz w:val="21"/>
                      <w:szCs w:val="21"/>
                      <w:highlight w:val="none"/>
                      <w:lang w:bidi="ar"/>
                    </w:rPr>
                    <w:t>、</w:t>
                  </w:r>
                  <w:r>
                    <w:rPr>
                      <w:rFonts w:hint="eastAsia" w:cs="Times New Roman"/>
                      <w:color w:val="auto"/>
                      <w:spacing w:val="0"/>
                      <w:kern w:val="0"/>
                      <w:position w:val="0"/>
                      <w:sz w:val="21"/>
                      <w:szCs w:val="21"/>
                      <w:highlight w:val="none"/>
                      <w:lang w:val="en-US" w:eastAsia="zh-CN" w:bidi="ar"/>
                    </w:rPr>
                    <w:t>一般固废间及</w:t>
                  </w:r>
                  <w:r>
                    <w:rPr>
                      <w:rFonts w:hint="eastAsia" w:ascii="Times New Roman" w:hAnsi="Times New Roman" w:eastAsia="宋体" w:cs="Times New Roman"/>
                      <w:color w:val="auto"/>
                      <w:spacing w:val="0"/>
                      <w:kern w:val="0"/>
                      <w:position w:val="0"/>
                      <w:sz w:val="21"/>
                      <w:szCs w:val="21"/>
                      <w:highlight w:val="none"/>
                      <w:lang w:val="en-US" w:eastAsia="zh-CN" w:bidi="ar"/>
                    </w:rPr>
                    <w:t>危废</w:t>
                  </w:r>
                  <w:r>
                    <w:rPr>
                      <w:rFonts w:hint="eastAsia" w:cs="Times New Roman"/>
                      <w:color w:val="auto"/>
                      <w:spacing w:val="0"/>
                      <w:kern w:val="0"/>
                      <w:position w:val="0"/>
                      <w:sz w:val="21"/>
                      <w:szCs w:val="21"/>
                      <w:highlight w:val="none"/>
                      <w:lang w:val="en-US" w:eastAsia="zh-CN" w:bidi="ar"/>
                    </w:rPr>
                    <w:t>暂存间</w:t>
                  </w:r>
                  <w:r>
                    <w:rPr>
                      <w:rFonts w:hint="eastAsia" w:ascii="Times New Roman" w:hAnsi="Times New Roman" w:eastAsia="宋体" w:cs="Times New Roman"/>
                      <w:color w:val="auto"/>
                      <w:spacing w:val="0"/>
                      <w:kern w:val="0"/>
                      <w:position w:val="0"/>
                      <w:sz w:val="21"/>
                      <w:szCs w:val="21"/>
                      <w:highlight w:val="none"/>
                      <w:lang w:bidi="ar"/>
                    </w:rPr>
                    <w:t>等</w:t>
                  </w:r>
                  <w:r>
                    <w:rPr>
                      <w:rFonts w:ascii="Times New Roman" w:hAnsi="Times New Roman" w:eastAsia="宋体" w:cs="Times New Roman"/>
                      <w:color w:val="auto"/>
                      <w:spacing w:val="0"/>
                      <w:kern w:val="0"/>
                      <w:position w:val="0"/>
                      <w:sz w:val="21"/>
                      <w:szCs w:val="21"/>
                      <w:highlight w:val="none"/>
                      <w:lang w:bidi="ar"/>
                    </w:rPr>
                    <w:t>遇明火发生火灾时，火灾产生的伴生/次生物</w:t>
                  </w:r>
                  <w:r>
                    <w:rPr>
                      <w:rFonts w:hint="eastAsia" w:ascii="Times New Roman" w:hAnsi="Times New Roman" w:eastAsia="宋体" w:cs="Times New Roman"/>
                      <w:color w:val="auto"/>
                      <w:spacing w:val="0"/>
                      <w:kern w:val="0"/>
                      <w:position w:val="0"/>
                      <w:sz w:val="21"/>
                      <w:szCs w:val="21"/>
                      <w:highlight w:val="none"/>
                      <w:lang w:bidi="ar"/>
                    </w:rPr>
                    <w:t>。</w:t>
                  </w:r>
                </w:p>
              </w:tc>
              <w:tc>
                <w:tcPr>
                  <w:tcW w:w="3053" w:type="dxa"/>
                  <w:tcBorders>
                    <w:tl2br w:val="nil"/>
                    <w:tr2bl w:val="nil"/>
                  </w:tcBorders>
                  <w:noWrap w:val="0"/>
                  <w:vAlign w:val="center"/>
                </w:tcPr>
                <w:p w14:paraId="78D546CE">
                  <w:pPr>
                    <w:widowControl/>
                    <w:spacing w:line="300" w:lineRule="exact"/>
                    <w:jc w:val="both"/>
                    <w:rPr>
                      <w:rFonts w:ascii="Times New Roman" w:hAnsi="Times New Roman" w:eastAsia="宋体" w:cs="Times New Roman"/>
                      <w:color w:val="auto"/>
                      <w:spacing w:val="0"/>
                      <w:kern w:val="0"/>
                      <w:position w:val="0"/>
                      <w:sz w:val="21"/>
                      <w:szCs w:val="21"/>
                      <w:highlight w:val="none"/>
                      <w:lang w:bidi="ar"/>
                    </w:rPr>
                  </w:pPr>
                  <w:r>
                    <w:rPr>
                      <w:rFonts w:ascii="Times New Roman" w:hAnsi="Times New Roman" w:eastAsia="宋体" w:cs="Times New Roman"/>
                      <w:color w:val="auto"/>
                      <w:spacing w:val="0"/>
                      <w:kern w:val="0"/>
                      <w:position w:val="0"/>
                      <w:sz w:val="21"/>
                      <w:szCs w:val="21"/>
                      <w:highlight w:val="none"/>
                      <w:lang w:bidi="ar"/>
                    </w:rPr>
                    <w:t>扩散至大气中，会对周边大气环境产生影响</w:t>
                  </w:r>
                  <w:r>
                    <w:rPr>
                      <w:rFonts w:hint="eastAsia" w:ascii="Times New Roman" w:hAnsi="Times New Roman" w:eastAsia="宋体" w:cs="Times New Roman"/>
                      <w:color w:val="auto"/>
                      <w:spacing w:val="0"/>
                      <w:kern w:val="0"/>
                      <w:position w:val="0"/>
                      <w:sz w:val="21"/>
                      <w:szCs w:val="21"/>
                      <w:highlight w:val="none"/>
                      <w:lang w:bidi="ar"/>
                    </w:rPr>
                    <w:t>。</w:t>
                  </w:r>
                </w:p>
              </w:tc>
            </w:tr>
          </w:tbl>
          <w:p w14:paraId="1924B71C">
            <w:pPr>
              <w:pStyle w:val="63"/>
              <w:keepNext w:val="0"/>
              <w:keepLines w:val="0"/>
              <w:pageBreakBefore w:val="0"/>
              <w:widowControl/>
              <w:kinsoku/>
              <w:wordWrap/>
              <w:overflowPunct/>
              <w:topLinePunct w:val="0"/>
              <w:autoSpaceDE/>
              <w:autoSpaceDN/>
              <w:bidi w:val="0"/>
              <w:adjustRightInd/>
              <w:snapToGrid w:val="0"/>
              <w:spacing w:before="157" w:beforeLines="50" w:line="360" w:lineRule="auto"/>
              <w:ind w:firstLine="0" w:firstLineChars="0"/>
              <w:textAlignment w:val="auto"/>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b/>
                <w:bCs/>
                <w:color w:val="auto"/>
                <w:spacing w:val="0"/>
                <w:position w:val="0"/>
                <w:szCs w:val="24"/>
                <w:highlight w:val="none"/>
              </w:rPr>
              <w:t>4</w:t>
            </w:r>
            <w:r>
              <w:rPr>
                <w:rFonts w:ascii="Times New Roman" w:hAnsi="Times New Roman" w:eastAsia="宋体" w:cs="Times New Roman"/>
                <w:b/>
                <w:bCs/>
                <w:color w:val="auto"/>
                <w:spacing w:val="0"/>
                <w:position w:val="0"/>
                <w:szCs w:val="24"/>
                <w:highlight w:val="none"/>
              </w:rPr>
              <w:t>.6.2</w:t>
            </w:r>
            <w:r>
              <w:rPr>
                <w:rFonts w:ascii="Times New Roman" w:hAnsi="Times New Roman" w:eastAsia="宋体" w:cs="Times New Roman"/>
                <w:b/>
                <w:bCs/>
                <w:color w:val="auto"/>
                <w:spacing w:val="0"/>
                <w:position w:val="0"/>
                <w:sz w:val="24"/>
                <w:szCs w:val="24"/>
                <w:highlight w:val="none"/>
              </w:rPr>
              <w:t>环境风险分析</w:t>
            </w:r>
          </w:p>
          <w:p w14:paraId="2A330891">
            <w:pPr>
              <w:pStyle w:val="11"/>
              <w:keepNext w:val="0"/>
              <w:keepLines w:val="0"/>
              <w:pageBreakBefore w:val="0"/>
              <w:kinsoku/>
              <w:wordWrap/>
              <w:overflowPunct/>
              <w:topLinePunct w:val="0"/>
              <w:autoSpaceDE/>
              <w:autoSpaceDN/>
              <w:bidi w:val="0"/>
              <w:adjustRightInd/>
              <w:spacing w:line="360" w:lineRule="auto"/>
              <w:ind w:firstLine="482" w:firstLineChars="200"/>
              <w:textAlignment w:val="auto"/>
              <w:rPr>
                <w:rFonts w:ascii="Times New Roman" w:hAnsi="Times New Roman" w:eastAsia="宋体" w:cs="Times New Roman"/>
                <w:b/>
                <w:bCs/>
                <w:color w:val="auto"/>
                <w:spacing w:val="0"/>
                <w:position w:val="0"/>
                <w:sz w:val="24"/>
                <w:szCs w:val="24"/>
                <w:highlight w:val="none"/>
              </w:rPr>
            </w:pPr>
            <w:r>
              <w:rPr>
                <w:rFonts w:hint="eastAsia" w:cs="Times New Roman"/>
                <w:b/>
                <w:bCs/>
                <w:color w:val="auto"/>
                <w:spacing w:val="0"/>
                <w:position w:val="0"/>
                <w:sz w:val="24"/>
                <w:szCs w:val="24"/>
                <w:highlight w:val="none"/>
                <w:lang w:eastAsia="zh-CN"/>
              </w:rPr>
              <w:t>（</w:t>
            </w:r>
            <w:r>
              <w:rPr>
                <w:rFonts w:hint="eastAsia" w:cs="Times New Roman"/>
                <w:b/>
                <w:bCs/>
                <w:color w:val="auto"/>
                <w:spacing w:val="0"/>
                <w:position w:val="0"/>
                <w:sz w:val="24"/>
                <w:szCs w:val="24"/>
                <w:highlight w:val="none"/>
                <w:lang w:val="en-US" w:eastAsia="zh-CN"/>
              </w:rPr>
              <w:t>1</w:t>
            </w:r>
            <w:r>
              <w:rPr>
                <w:rFonts w:hint="eastAsia" w:cs="Times New Roman"/>
                <w:b/>
                <w:bCs/>
                <w:color w:val="auto"/>
                <w:spacing w:val="0"/>
                <w:position w:val="0"/>
                <w:sz w:val="24"/>
                <w:szCs w:val="24"/>
                <w:highlight w:val="none"/>
                <w:lang w:eastAsia="zh-CN"/>
              </w:rPr>
              <w:t>）</w:t>
            </w:r>
            <w:r>
              <w:rPr>
                <w:rFonts w:hint="eastAsia" w:ascii="Times New Roman" w:hAnsi="Times New Roman" w:eastAsia="宋体" w:cs="Times New Roman"/>
                <w:b/>
                <w:bCs/>
                <w:color w:val="auto"/>
                <w:spacing w:val="0"/>
                <w:position w:val="0"/>
                <w:sz w:val="24"/>
                <w:szCs w:val="24"/>
                <w:highlight w:val="none"/>
                <w:lang w:val="en-US" w:eastAsia="zh-CN"/>
              </w:rPr>
              <w:t>化学品仓库</w:t>
            </w:r>
            <w:r>
              <w:rPr>
                <w:rFonts w:hint="eastAsia" w:cs="Times New Roman"/>
                <w:b/>
                <w:bCs/>
                <w:color w:val="auto"/>
                <w:spacing w:val="0"/>
                <w:position w:val="0"/>
                <w:sz w:val="24"/>
                <w:szCs w:val="24"/>
                <w:highlight w:val="none"/>
                <w:lang w:val="en-US" w:eastAsia="zh-CN"/>
              </w:rPr>
              <w:t>、</w:t>
            </w:r>
            <w:r>
              <w:rPr>
                <w:rFonts w:hint="eastAsia" w:ascii="Times New Roman" w:hAnsi="Times New Roman" w:eastAsia="宋体" w:cs="Times New Roman"/>
                <w:b/>
                <w:bCs/>
                <w:color w:val="auto"/>
                <w:spacing w:val="0"/>
                <w:kern w:val="0"/>
                <w:position w:val="0"/>
                <w:sz w:val="24"/>
                <w:szCs w:val="24"/>
                <w:highlight w:val="none"/>
                <w:lang w:bidi="ar"/>
              </w:rPr>
              <w:t>危废包装袋破损</w:t>
            </w:r>
            <w:r>
              <w:rPr>
                <w:rFonts w:ascii="Times New Roman" w:hAnsi="Times New Roman" w:eastAsia="宋体" w:cs="Times New Roman"/>
                <w:b/>
                <w:bCs/>
                <w:color w:val="auto"/>
                <w:spacing w:val="0"/>
                <w:kern w:val="0"/>
                <w:position w:val="0"/>
                <w:sz w:val="24"/>
                <w:szCs w:val="24"/>
                <w:highlight w:val="none"/>
                <w:lang w:bidi="ar"/>
              </w:rPr>
              <w:t xml:space="preserve">泄漏环境影响分析 </w:t>
            </w:r>
          </w:p>
          <w:p w14:paraId="665FF546">
            <w:pPr>
              <w:keepNext w:val="0"/>
              <w:keepLines w:val="0"/>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eastAsia="宋体" w:cs="Times New Roman"/>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当生产使用的</w:t>
            </w:r>
            <w:r>
              <w:rPr>
                <w:rFonts w:hint="eastAsia" w:cs="Times New Roman"/>
                <w:color w:val="auto"/>
                <w:spacing w:val="0"/>
                <w:position w:val="0"/>
                <w:sz w:val="24"/>
                <w:szCs w:val="24"/>
                <w:highlight w:val="none"/>
                <w:lang w:val="en-US" w:eastAsia="zh-CN"/>
              </w:rPr>
              <w:t>油性漆</w:t>
            </w:r>
            <w:r>
              <w:rPr>
                <w:rFonts w:hint="eastAsia" w:ascii="Times New Roman" w:hAnsi="Times New Roman" w:eastAsia="宋体"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val="en-US" w:eastAsia="zh-CN"/>
              </w:rPr>
              <w:t>水性漆、</w:t>
            </w:r>
            <w:r>
              <w:rPr>
                <w:rFonts w:hint="eastAsia" w:cs="Times New Roman"/>
                <w:color w:val="auto"/>
                <w:spacing w:val="0"/>
                <w:position w:val="0"/>
                <w:sz w:val="24"/>
                <w:szCs w:val="24"/>
                <w:highlight w:val="none"/>
                <w:lang w:eastAsia="zh-CN"/>
              </w:rPr>
              <w:t>固化剂</w:t>
            </w:r>
            <w:r>
              <w:rPr>
                <w:rFonts w:hint="eastAsia" w:ascii="Times New Roman" w:hAnsi="Times New Roman" w:eastAsia="宋体"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eastAsia="zh-CN"/>
              </w:rPr>
              <w:t>稀释剂、</w:t>
            </w:r>
            <w:r>
              <w:rPr>
                <w:rFonts w:hint="eastAsia" w:cs="Times New Roman"/>
                <w:color w:val="auto"/>
                <w:spacing w:val="0"/>
                <w:position w:val="0"/>
                <w:sz w:val="24"/>
                <w:szCs w:val="24"/>
                <w:highlight w:val="none"/>
                <w:lang w:val="en-US" w:eastAsia="zh-CN"/>
              </w:rPr>
              <w:t>润滑油</w:t>
            </w:r>
            <w:r>
              <w:rPr>
                <w:rFonts w:hint="eastAsia" w:ascii="Times New Roman" w:hAnsi="Times New Roman" w:eastAsia="宋体" w:cs="Times New Roman"/>
                <w:color w:val="auto"/>
                <w:spacing w:val="0"/>
                <w:position w:val="0"/>
                <w:sz w:val="24"/>
                <w:szCs w:val="24"/>
                <w:highlight w:val="none"/>
              </w:rPr>
              <w:t>放置于</w:t>
            </w:r>
            <w:r>
              <w:rPr>
                <w:rFonts w:hint="eastAsia" w:ascii="Times New Roman" w:hAnsi="Times New Roman" w:eastAsia="宋体" w:cs="Times New Roman"/>
                <w:color w:val="auto"/>
                <w:spacing w:val="0"/>
                <w:position w:val="0"/>
                <w:sz w:val="24"/>
                <w:szCs w:val="24"/>
                <w:highlight w:val="none"/>
                <w:lang w:val="en-US" w:eastAsia="zh-CN"/>
              </w:rPr>
              <w:t>化学品仓库</w:t>
            </w:r>
            <w:r>
              <w:rPr>
                <w:rFonts w:hint="eastAsia" w:ascii="Times New Roman" w:hAnsi="Times New Roman" w:eastAsia="宋体" w:cs="Times New Roman"/>
                <w:color w:val="auto"/>
                <w:spacing w:val="0"/>
                <w:position w:val="0"/>
                <w:sz w:val="24"/>
                <w:szCs w:val="24"/>
                <w:highlight w:val="none"/>
              </w:rPr>
              <w:t>，其</w:t>
            </w:r>
            <w:r>
              <w:rPr>
                <w:rFonts w:ascii="Times New Roman" w:hAnsi="Times New Roman" w:eastAsia="宋体" w:cs="Times New Roman"/>
                <w:color w:val="auto"/>
                <w:spacing w:val="0"/>
                <w:position w:val="0"/>
                <w:sz w:val="24"/>
                <w:szCs w:val="24"/>
                <w:highlight w:val="none"/>
              </w:rPr>
              <w:t>在</w:t>
            </w:r>
            <w:r>
              <w:rPr>
                <w:rFonts w:hint="eastAsia" w:ascii="Times New Roman" w:hAnsi="Times New Roman" w:eastAsia="宋体" w:cs="Times New Roman"/>
                <w:color w:val="auto"/>
                <w:spacing w:val="0"/>
                <w:position w:val="0"/>
                <w:sz w:val="24"/>
                <w:szCs w:val="24"/>
                <w:highlight w:val="none"/>
              </w:rPr>
              <w:t>使用、贮存</w:t>
            </w:r>
            <w:r>
              <w:rPr>
                <w:rFonts w:ascii="Times New Roman" w:hAnsi="Times New Roman" w:eastAsia="宋体" w:cs="Times New Roman"/>
                <w:color w:val="auto"/>
                <w:spacing w:val="0"/>
                <w:position w:val="0"/>
                <w:sz w:val="24"/>
                <w:szCs w:val="24"/>
                <w:highlight w:val="none"/>
              </w:rPr>
              <w:t>过程中可能因</w:t>
            </w:r>
            <w:r>
              <w:rPr>
                <w:rFonts w:hint="eastAsia" w:ascii="Times New Roman" w:hAnsi="Times New Roman" w:eastAsia="宋体" w:cs="Times New Roman"/>
                <w:color w:val="auto"/>
                <w:spacing w:val="0"/>
                <w:position w:val="0"/>
                <w:sz w:val="24"/>
                <w:szCs w:val="24"/>
                <w:highlight w:val="none"/>
                <w:lang w:val="en-US" w:eastAsia="zh-CN"/>
              </w:rPr>
              <w:t>原料桶</w:t>
            </w:r>
            <w:r>
              <w:rPr>
                <w:rFonts w:ascii="Times New Roman" w:hAnsi="Times New Roman" w:eastAsia="宋体" w:cs="Times New Roman"/>
                <w:color w:val="auto"/>
                <w:spacing w:val="0"/>
                <w:position w:val="0"/>
                <w:sz w:val="24"/>
                <w:szCs w:val="24"/>
                <w:highlight w:val="none"/>
              </w:rPr>
              <w:t>发生侧翻、</w:t>
            </w:r>
            <w:r>
              <w:rPr>
                <w:rFonts w:hint="eastAsia" w:ascii="Times New Roman" w:hAnsi="Times New Roman" w:eastAsia="宋体" w:cs="Times New Roman"/>
                <w:color w:val="auto"/>
                <w:spacing w:val="0"/>
                <w:position w:val="0"/>
                <w:sz w:val="24"/>
                <w:szCs w:val="24"/>
                <w:highlight w:val="none"/>
              </w:rPr>
              <w:t>破裂</w:t>
            </w:r>
            <w:r>
              <w:rPr>
                <w:rFonts w:ascii="Times New Roman" w:hAnsi="Times New Roman" w:eastAsia="宋体" w:cs="Times New Roman"/>
                <w:color w:val="auto"/>
                <w:spacing w:val="0"/>
                <w:position w:val="0"/>
                <w:sz w:val="24"/>
                <w:szCs w:val="24"/>
                <w:highlight w:val="none"/>
              </w:rPr>
              <w:t>，造成</w:t>
            </w:r>
            <w:r>
              <w:rPr>
                <w:rFonts w:hint="eastAsia" w:ascii="Times New Roman" w:hAnsi="Times New Roman" w:eastAsia="宋体" w:cs="Times New Roman"/>
                <w:color w:val="auto"/>
                <w:spacing w:val="0"/>
                <w:position w:val="0"/>
                <w:sz w:val="24"/>
                <w:szCs w:val="24"/>
                <w:highlight w:val="none"/>
              </w:rPr>
              <w:t>有害成分</w:t>
            </w:r>
            <w:r>
              <w:rPr>
                <w:rFonts w:ascii="Times New Roman" w:hAnsi="Times New Roman" w:eastAsia="宋体" w:cs="Times New Roman"/>
                <w:color w:val="auto"/>
                <w:spacing w:val="0"/>
                <w:position w:val="0"/>
                <w:sz w:val="24"/>
                <w:szCs w:val="24"/>
                <w:highlight w:val="none"/>
              </w:rPr>
              <w:t>泄漏。发生这类事故时，可将泄漏物料控制在车间范围内并将其重新收集至</w:t>
            </w:r>
            <w:r>
              <w:rPr>
                <w:rFonts w:hint="eastAsia" w:ascii="Times New Roman" w:hAnsi="Times New Roman" w:eastAsia="宋体" w:cs="Times New Roman"/>
                <w:color w:val="auto"/>
                <w:spacing w:val="0"/>
                <w:position w:val="0"/>
                <w:sz w:val="24"/>
                <w:szCs w:val="24"/>
                <w:highlight w:val="none"/>
                <w:lang w:val="en-US" w:eastAsia="zh-CN"/>
              </w:rPr>
              <w:t>空桶内密封</w:t>
            </w:r>
            <w:r>
              <w:rPr>
                <w:rFonts w:ascii="Times New Roman" w:hAnsi="Times New Roman" w:eastAsia="宋体" w:cs="Times New Roman"/>
                <w:color w:val="auto"/>
                <w:spacing w:val="0"/>
                <w:position w:val="0"/>
                <w:sz w:val="24"/>
                <w:szCs w:val="24"/>
                <w:highlight w:val="none"/>
              </w:rPr>
              <w:t>，项目所在厂房地面均采用水泥硬化，泄漏物料不会直接向地下渗漏，发生该类事故，只要措施控制得当，不会造成泄漏物进入地下水及土壤环境。</w:t>
            </w:r>
          </w:p>
          <w:p w14:paraId="4E73E5EF">
            <w:pPr>
              <w:keepNext w:val="0"/>
              <w:keepLines w:val="0"/>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eastAsia="宋体" w:cs="Times New Roman"/>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项目</w:t>
            </w:r>
            <w:r>
              <w:rPr>
                <w:rFonts w:hint="eastAsia" w:ascii="Times New Roman" w:hAnsi="Times New Roman" w:eastAsia="宋体" w:cs="Times New Roman"/>
                <w:color w:val="auto"/>
                <w:spacing w:val="0"/>
                <w:kern w:val="0"/>
                <w:position w:val="0"/>
                <w:sz w:val="24"/>
                <w:szCs w:val="24"/>
                <w:highlight w:val="none"/>
                <w:lang w:bidi="ar"/>
              </w:rPr>
              <w:t>危废</w:t>
            </w:r>
            <w:r>
              <w:rPr>
                <w:rFonts w:ascii="Times New Roman" w:hAnsi="Times New Roman" w:eastAsia="宋体" w:cs="Times New Roman"/>
                <w:color w:val="auto"/>
                <w:spacing w:val="0"/>
                <w:position w:val="0"/>
                <w:sz w:val="24"/>
                <w:szCs w:val="24"/>
                <w:highlight w:val="none"/>
              </w:rPr>
              <w:t>在暂存过程中可能因容器发生侧翻、损坏容器，造成</w:t>
            </w:r>
            <w:r>
              <w:rPr>
                <w:rFonts w:hint="eastAsia" w:ascii="Times New Roman" w:hAnsi="Times New Roman" w:eastAsia="宋体" w:cs="Times New Roman"/>
                <w:color w:val="auto"/>
                <w:spacing w:val="0"/>
                <w:position w:val="0"/>
                <w:sz w:val="24"/>
                <w:szCs w:val="24"/>
                <w:highlight w:val="none"/>
              </w:rPr>
              <w:t>危险废物</w:t>
            </w:r>
            <w:r>
              <w:rPr>
                <w:rFonts w:ascii="Times New Roman" w:hAnsi="Times New Roman" w:eastAsia="宋体" w:cs="Times New Roman"/>
                <w:color w:val="auto"/>
                <w:spacing w:val="0"/>
                <w:position w:val="0"/>
                <w:sz w:val="24"/>
                <w:szCs w:val="24"/>
                <w:highlight w:val="none"/>
              </w:rPr>
              <w:t>泄漏。发生这类事故时，可将泄漏物料控制在车间范围内并将其重新收集至</w:t>
            </w:r>
            <w:r>
              <w:rPr>
                <w:rFonts w:hint="eastAsia" w:ascii="Times New Roman" w:hAnsi="Times New Roman" w:eastAsia="宋体" w:cs="Times New Roman"/>
                <w:color w:val="auto"/>
                <w:spacing w:val="0"/>
                <w:position w:val="0"/>
                <w:sz w:val="24"/>
                <w:szCs w:val="24"/>
                <w:highlight w:val="none"/>
                <w:lang w:val="en-US" w:eastAsia="zh-CN"/>
              </w:rPr>
              <w:t>空桶内密封</w:t>
            </w:r>
            <w:r>
              <w:rPr>
                <w:rFonts w:ascii="Times New Roman" w:hAnsi="Times New Roman" w:eastAsia="宋体" w:cs="Times New Roman"/>
                <w:color w:val="auto"/>
                <w:spacing w:val="0"/>
                <w:position w:val="0"/>
                <w:sz w:val="24"/>
                <w:szCs w:val="24"/>
                <w:highlight w:val="none"/>
              </w:rPr>
              <w:t xml:space="preserve">，项目所在厂房地面均采用水泥硬化，泄漏物料不会直接向地下渗漏，发生该类事故，只要措施控制得当，不会造成泄漏物进入地下水及土壤环境。 </w:t>
            </w:r>
          </w:p>
          <w:p w14:paraId="246C88AE">
            <w:pPr>
              <w:spacing w:line="360" w:lineRule="auto"/>
              <w:ind w:firstLine="482" w:firstLineChars="200"/>
              <w:rPr>
                <w:rFonts w:ascii="Times New Roman" w:hAnsi="Times New Roman" w:eastAsia="宋体" w:cs="Times New Roman"/>
                <w:b/>
                <w:bCs/>
                <w:color w:val="auto"/>
                <w:spacing w:val="0"/>
                <w:position w:val="0"/>
                <w:sz w:val="24"/>
                <w:szCs w:val="24"/>
                <w:highlight w:val="none"/>
              </w:rPr>
            </w:pPr>
            <w:r>
              <w:rPr>
                <w:rFonts w:hint="eastAsia" w:cs="Times New Roman"/>
                <w:b/>
                <w:bCs/>
                <w:color w:val="auto"/>
                <w:spacing w:val="0"/>
                <w:position w:val="0"/>
                <w:sz w:val="24"/>
                <w:szCs w:val="24"/>
                <w:highlight w:val="none"/>
                <w:lang w:eastAsia="zh-CN"/>
              </w:rPr>
              <w:t>（</w:t>
            </w:r>
            <w:r>
              <w:rPr>
                <w:rFonts w:hint="eastAsia" w:cs="Times New Roman"/>
                <w:b/>
                <w:bCs/>
                <w:color w:val="auto"/>
                <w:spacing w:val="0"/>
                <w:position w:val="0"/>
                <w:sz w:val="24"/>
                <w:szCs w:val="24"/>
                <w:highlight w:val="none"/>
                <w:lang w:val="en-US" w:eastAsia="zh-CN"/>
              </w:rPr>
              <w:t>2</w:t>
            </w:r>
            <w:r>
              <w:rPr>
                <w:rFonts w:hint="eastAsia" w:cs="Times New Roman"/>
                <w:b/>
                <w:bCs/>
                <w:color w:val="auto"/>
                <w:spacing w:val="0"/>
                <w:position w:val="0"/>
                <w:sz w:val="24"/>
                <w:szCs w:val="24"/>
                <w:highlight w:val="none"/>
                <w:lang w:eastAsia="zh-CN"/>
              </w:rPr>
              <w:t>）</w:t>
            </w:r>
            <w:r>
              <w:rPr>
                <w:rFonts w:hint="eastAsia" w:ascii="Times New Roman" w:hAnsi="Times New Roman" w:eastAsia="宋体" w:cs="Times New Roman"/>
                <w:b/>
                <w:bCs/>
                <w:color w:val="auto"/>
                <w:spacing w:val="0"/>
                <w:position w:val="0"/>
                <w:sz w:val="24"/>
                <w:szCs w:val="24"/>
                <w:highlight w:val="none"/>
                <w:lang w:val="en-US" w:eastAsia="zh-CN"/>
              </w:rPr>
              <w:t>生产</w:t>
            </w:r>
            <w:r>
              <w:rPr>
                <w:rFonts w:ascii="Times New Roman" w:hAnsi="Times New Roman" w:eastAsia="宋体" w:cs="Times New Roman"/>
                <w:b/>
                <w:bCs/>
                <w:color w:val="auto"/>
                <w:spacing w:val="0"/>
                <w:position w:val="0"/>
                <w:sz w:val="24"/>
                <w:szCs w:val="24"/>
                <w:highlight w:val="none"/>
              </w:rPr>
              <w:t>废</w:t>
            </w:r>
            <w:r>
              <w:rPr>
                <w:rFonts w:hint="eastAsia" w:ascii="Times New Roman" w:hAnsi="Times New Roman" w:eastAsia="宋体" w:cs="Times New Roman"/>
                <w:b/>
                <w:bCs/>
                <w:color w:val="auto"/>
                <w:spacing w:val="0"/>
                <w:position w:val="0"/>
                <w:sz w:val="24"/>
                <w:szCs w:val="24"/>
                <w:highlight w:val="none"/>
                <w:lang w:val="en-US" w:eastAsia="zh-CN"/>
              </w:rPr>
              <w:t>水</w:t>
            </w:r>
            <w:r>
              <w:rPr>
                <w:rFonts w:ascii="Times New Roman" w:hAnsi="Times New Roman" w:eastAsia="宋体" w:cs="Times New Roman"/>
                <w:b/>
                <w:bCs/>
                <w:color w:val="auto"/>
                <w:spacing w:val="0"/>
                <w:position w:val="0"/>
                <w:sz w:val="24"/>
                <w:szCs w:val="24"/>
                <w:highlight w:val="none"/>
              </w:rPr>
              <w:t>事故排放影响分析</w:t>
            </w:r>
          </w:p>
          <w:p w14:paraId="517393E6">
            <w:pPr>
              <w:spacing w:line="360" w:lineRule="auto"/>
              <w:ind w:firstLine="480" w:firstLineChars="200"/>
              <w:rPr>
                <w:rFonts w:ascii="Times New Roman" w:hAnsi="Times New Roman" w:eastAsia="宋体" w:cs="Times New Roman"/>
                <w:color w:val="auto"/>
                <w:spacing w:val="0"/>
                <w:position w:val="0"/>
                <w:sz w:val="24"/>
                <w:szCs w:val="24"/>
                <w:highlight w:val="none"/>
              </w:rPr>
            </w:pPr>
            <w:r>
              <w:rPr>
                <w:rFonts w:hint="eastAsia"/>
                <w:color w:val="auto"/>
                <w:sz w:val="24"/>
                <w:szCs w:val="24"/>
                <w:highlight w:val="none"/>
              </w:rPr>
              <w:t>项目</w:t>
            </w:r>
            <w:r>
              <w:rPr>
                <w:rFonts w:hint="eastAsia"/>
                <w:color w:val="auto"/>
                <w:sz w:val="24"/>
                <w:szCs w:val="24"/>
                <w:highlight w:val="none"/>
                <w:lang w:val="en-US" w:eastAsia="zh-CN"/>
              </w:rPr>
              <w:t>水帘气旋一体机、</w:t>
            </w:r>
            <w:r>
              <w:rPr>
                <w:rFonts w:hint="eastAsia"/>
                <w:color w:val="auto"/>
                <w:sz w:val="24"/>
                <w:szCs w:val="24"/>
                <w:highlight w:val="none"/>
                <w:lang w:eastAsia="zh-CN"/>
              </w:rPr>
              <w:t>废</w:t>
            </w:r>
            <w:r>
              <w:rPr>
                <w:rFonts w:hint="eastAsia"/>
                <w:color w:val="auto"/>
                <w:sz w:val="24"/>
                <w:szCs w:val="24"/>
                <w:highlight w:val="none"/>
                <w:lang w:val="en-US" w:eastAsia="zh-CN"/>
              </w:rPr>
              <w:t>水</w:t>
            </w:r>
            <w:r>
              <w:rPr>
                <w:rFonts w:hint="eastAsia"/>
                <w:color w:val="auto"/>
                <w:sz w:val="24"/>
                <w:szCs w:val="24"/>
                <w:highlight w:val="none"/>
              </w:rPr>
              <w:t>处理设施区域均已采取地面硬化，同时拟采取防腐防渗措施；对于</w:t>
            </w:r>
            <w:r>
              <w:rPr>
                <w:rFonts w:hint="eastAsia"/>
                <w:color w:val="auto"/>
                <w:sz w:val="24"/>
                <w:szCs w:val="24"/>
                <w:highlight w:val="none"/>
                <w:lang w:val="en-US" w:eastAsia="zh-CN"/>
              </w:rPr>
              <w:t>水帘气旋一体机、</w:t>
            </w:r>
            <w:r>
              <w:rPr>
                <w:rFonts w:hint="eastAsia"/>
                <w:color w:val="auto"/>
                <w:sz w:val="24"/>
                <w:szCs w:val="24"/>
                <w:highlight w:val="none"/>
              </w:rPr>
              <w:t>废水处理设施的部件发生故障，主要是由于机械设备和管道老化、并未及时进行维修、更换或人为疏忽操作等因素导致，日常企业加强</w:t>
            </w:r>
            <w:r>
              <w:rPr>
                <w:rFonts w:hint="eastAsia"/>
                <w:color w:val="auto"/>
                <w:sz w:val="24"/>
                <w:szCs w:val="24"/>
                <w:highlight w:val="none"/>
                <w:lang w:eastAsia="zh-CN"/>
              </w:rPr>
              <w:t>水帘气旋废液</w:t>
            </w:r>
            <w:r>
              <w:rPr>
                <w:rFonts w:hint="eastAsia"/>
                <w:color w:val="auto"/>
                <w:sz w:val="24"/>
                <w:szCs w:val="24"/>
                <w:highlight w:val="none"/>
              </w:rPr>
              <w:t>设施的管理，定期进行检查维护，可将废水泄漏事故发生概率降到最低；同时发生事故及时将泄漏废水导流至应急桶内暂存，可将事故影响降至最低</w:t>
            </w:r>
            <w:r>
              <w:rPr>
                <w:rFonts w:hint="eastAsia" w:ascii="Times New Roman" w:hAnsi="Times New Roman" w:eastAsia="宋体" w:cs="Times New Roman"/>
                <w:color w:val="auto"/>
                <w:spacing w:val="0"/>
                <w:position w:val="0"/>
                <w:sz w:val="24"/>
                <w:szCs w:val="24"/>
                <w:highlight w:val="none"/>
              </w:rPr>
              <w:t>。</w:t>
            </w:r>
          </w:p>
          <w:p w14:paraId="1D6A038B">
            <w:pPr>
              <w:spacing w:line="360" w:lineRule="auto"/>
              <w:ind w:firstLine="482" w:firstLineChars="200"/>
              <w:rPr>
                <w:rFonts w:ascii="Times New Roman" w:hAnsi="Times New Roman" w:eastAsia="宋体" w:cs="Times New Roman"/>
                <w:b/>
                <w:bCs/>
                <w:color w:val="auto"/>
                <w:spacing w:val="0"/>
                <w:position w:val="0"/>
                <w:sz w:val="24"/>
                <w:highlight w:val="none"/>
              </w:rPr>
            </w:pPr>
            <w:r>
              <w:rPr>
                <w:rFonts w:hint="eastAsia" w:cs="Times New Roman"/>
                <w:b/>
                <w:bCs/>
                <w:color w:val="auto"/>
                <w:spacing w:val="0"/>
                <w:position w:val="0"/>
                <w:sz w:val="24"/>
                <w:highlight w:val="none"/>
                <w:lang w:eastAsia="zh-CN"/>
              </w:rPr>
              <w:t>（</w:t>
            </w:r>
            <w:r>
              <w:rPr>
                <w:rFonts w:hint="eastAsia" w:cs="Times New Roman"/>
                <w:b/>
                <w:bCs/>
                <w:color w:val="auto"/>
                <w:spacing w:val="0"/>
                <w:position w:val="0"/>
                <w:sz w:val="24"/>
                <w:highlight w:val="none"/>
                <w:lang w:val="en-US" w:eastAsia="zh-CN"/>
              </w:rPr>
              <w:t>3</w:t>
            </w:r>
            <w:r>
              <w:rPr>
                <w:rFonts w:hint="eastAsia" w:cs="Times New Roman"/>
                <w:b/>
                <w:bCs/>
                <w:color w:val="auto"/>
                <w:spacing w:val="0"/>
                <w:position w:val="0"/>
                <w:sz w:val="24"/>
                <w:highlight w:val="none"/>
                <w:lang w:eastAsia="zh-CN"/>
              </w:rPr>
              <w:t>）</w:t>
            </w:r>
            <w:r>
              <w:rPr>
                <w:rFonts w:ascii="Times New Roman" w:hAnsi="Times New Roman" w:eastAsia="宋体" w:cs="Times New Roman"/>
                <w:b/>
                <w:bCs/>
                <w:color w:val="auto"/>
                <w:spacing w:val="0"/>
                <w:position w:val="0"/>
                <w:sz w:val="24"/>
                <w:highlight w:val="none"/>
              </w:rPr>
              <w:t>废气事故排放影响分析</w:t>
            </w:r>
          </w:p>
          <w:p w14:paraId="2D9336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rPr>
            </w:pPr>
            <w:r>
              <w:rPr>
                <w:rFonts w:ascii="Times New Roman" w:hAnsi="Times New Roman" w:eastAsia="宋体" w:cs="Times New Roman"/>
                <w:color w:val="auto"/>
                <w:spacing w:val="0"/>
                <w:position w:val="0"/>
                <w:sz w:val="24"/>
                <w:highlight w:val="none"/>
              </w:rPr>
              <w:t>项目废气在事故排放的情况下污染物排放量增加，但项目废气产生量不大，对周边环境敏感目标及大气环境影响不大，废气处理设施故障时，需及时排除故障，必要时暂停生产，减少废气排放</w:t>
            </w:r>
            <w:r>
              <w:rPr>
                <w:rFonts w:hint="eastAsia" w:ascii="Times New Roman" w:hAnsi="Times New Roman" w:eastAsia="宋体" w:cs="Times New Roman"/>
                <w:color w:val="auto"/>
                <w:spacing w:val="0"/>
                <w:position w:val="0"/>
                <w:sz w:val="24"/>
                <w:szCs w:val="24"/>
                <w:highlight w:val="none"/>
              </w:rPr>
              <w:t>。</w:t>
            </w:r>
          </w:p>
          <w:p w14:paraId="4581CA28">
            <w:pPr>
              <w:spacing w:line="360" w:lineRule="auto"/>
              <w:ind w:firstLine="482" w:firstLineChars="200"/>
              <w:rPr>
                <w:rFonts w:ascii="Times New Roman" w:hAnsi="Times New Roman" w:eastAsia="宋体" w:cs="Times New Roman"/>
                <w:color w:val="auto"/>
                <w:spacing w:val="0"/>
                <w:position w:val="0"/>
                <w:sz w:val="24"/>
                <w:szCs w:val="24"/>
                <w:highlight w:val="none"/>
              </w:rPr>
            </w:pPr>
            <w:r>
              <w:rPr>
                <w:rFonts w:hint="eastAsia" w:cs="Times New Roman"/>
                <w:b/>
                <w:bCs/>
                <w:color w:val="auto"/>
                <w:spacing w:val="0"/>
                <w:position w:val="0"/>
                <w:sz w:val="24"/>
                <w:highlight w:val="none"/>
                <w:lang w:val="en-US" w:eastAsia="zh-CN"/>
              </w:rPr>
              <w:t>（4）</w:t>
            </w:r>
            <w:r>
              <w:rPr>
                <w:rFonts w:ascii="Times New Roman" w:hAnsi="Times New Roman" w:eastAsia="宋体" w:cs="Times New Roman"/>
                <w:b/>
                <w:bCs/>
                <w:color w:val="auto"/>
                <w:spacing w:val="0"/>
                <w:position w:val="0"/>
                <w:sz w:val="24"/>
                <w:szCs w:val="24"/>
                <w:highlight w:val="none"/>
              </w:rPr>
              <w:t>火灾及其衍生事故环境影响分析</w:t>
            </w:r>
            <w:r>
              <w:rPr>
                <w:rFonts w:ascii="Times New Roman" w:hAnsi="Times New Roman" w:eastAsia="宋体" w:cs="Times New Roman"/>
                <w:color w:val="auto"/>
                <w:spacing w:val="0"/>
                <w:position w:val="0"/>
                <w:sz w:val="24"/>
                <w:szCs w:val="24"/>
                <w:highlight w:val="none"/>
              </w:rPr>
              <w:t xml:space="preserve"> </w:t>
            </w:r>
          </w:p>
          <w:p w14:paraId="1073E0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原料</w:t>
            </w:r>
            <w:r>
              <w:rPr>
                <w:rFonts w:hint="eastAsia" w:cs="Times New Roman"/>
                <w:color w:val="auto"/>
                <w:spacing w:val="0"/>
                <w:position w:val="0"/>
                <w:sz w:val="24"/>
                <w:szCs w:val="24"/>
                <w:highlight w:val="none"/>
                <w:lang w:val="en-US" w:eastAsia="zh-CN"/>
              </w:rPr>
              <w:t>区</w:t>
            </w:r>
            <w:r>
              <w:rPr>
                <w:rFonts w:hint="eastAsia"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eastAsia="宋体" w:cs="Times New Roman"/>
                <w:color w:val="auto"/>
                <w:spacing w:val="0"/>
                <w:position w:val="0"/>
                <w:sz w:val="24"/>
                <w:szCs w:val="24"/>
                <w:highlight w:val="none"/>
              </w:rPr>
              <w:t>成品</w:t>
            </w:r>
            <w:r>
              <w:rPr>
                <w:rFonts w:hint="eastAsia" w:cs="Times New Roman"/>
                <w:color w:val="auto"/>
                <w:spacing w:val="0"/>
                <w:position w:val="0"/>
                <w:sz w:val="24"/>
                <w:szCs w:val="24"/>
                <w:highlight w:val="none"/>
                <w:lang w:val="en-US" w:eastAsia="zh-CN"/>
              </w:rPr>
              <w:t>区</w:t>
            </w:r>
            <w:r>
              <w:rPr>
                <w:rFonts w:hint="eastAsia" w:ascii="Times New Roman" w:hAnsi="Times New Roman" w:eastAsia="宋体" w:cs="Times New Roman"/>
                <w:color w:val="auto"/>
                <w:spacing w:val="0"/>
                <w:position w:val="0"/>
                <w:sz w:val="24"/>
                <w:szCs w:val="24"/>
                <w:highlight w:val="none"/>
                <w:lang w:val="en-US" w:eastAsia="zh-CN"/>
              </w:rPr>
              <w:t>、</w:t>
            </w:r>
            <w:r>
              <w:rPr>
                <w:rFonts w:hint="eastAsia" w:cs="Times New Roman"/>
                <w:color w:val="auto"/>
                <w:spacing w:val="0"/>
                <w:position w:val="0"/>
                <w:sz w:val="24"/>
                <w:szCs w:val="24"/>
                <w:highlight w:val="none"/>
                <w:lang w:val="en-US" w:eastAsia="zh-CN"/>
              </w:rPr>
              <w:t>喷漆晾干房</w:t>
            </w:r>
            <w:r>
              <w:rPr>
                <w:rFonts w:hint="eastAsia"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eastAsia="宋体" w:cs="Times New Roman"/>
                <w:color w:val="auto"/>
                <w:spacing w:val="0"/>
                <w:position w:val="0"/>
                <w:sz w:val="24"/>
                <w:szCs w:val="24"/>
                <w:highlight w:val="none"/>
              </w:rPr>
              <w:t>化学品</w:t>
            </w:r>
            <w:r>
              <w:rPr>
                <w:rFonts w:hint="eastAsia" w:cs="Times New Roman"/>
                <w:color w:val="auto"/>
                <w:spacing w:val="0"/>
                <w:position w:val="0"/>
                <w:sz w:val="24"/>
                <w:szCs w:val="24"/>
                <w:highlight w:val="none"/>
                <w:lang w:val="en-US" w:eastAsia="zh-CN"/>
              </w:rPr>
              <w:t>仓库</w:t>
            </w:r>
            <w:r>
              <w:rPr>
                <w:rFonts w:hint="eastAsia" w:ascii="Times New Roman" w:hAnsi="Times New Roman" w:eastAsia="宋体" w:cs="Times New Roman"/>
                <w:color w:val="auto"/>
                <w:spacing w:val="0"/>
                <w:position w:val="0"/>
                <w:sz w:val="24"/>
                <w:szCs w:val="24"/>
                <w:highlight w:val="none"/>
              </w:rPr>
              <w:t>、</w:t>
            </w:r>
            <w:r>
              <w:rPr>
                <w:rFonts w:hint="eastAsia" w:cs="Times New Roman"/>
                <w:color w:val="auto"/>
                <w:spacing w:val="0"/>
                <w:position w:val="0"/>
                <w:sz w:val="24"/>
                <w:szCs w:val="24"/>
                <w:highlight w:val="none"/>
                <w:lang w:val="en-US" w:eastAsia="zh-CN"/>
              </w:rPr>
              <w:t>一般固废间及危废暂存间</w:t>
            </w:r>
            <w:r>
              <w:rPr>
                <w:rFonts w:ascii="Times New Roman" w:hAnsi="Times New Roman" w:eastAsia="宋体" w:cs="Times New Roman"/>
                <w:color w:val="auto"/>
                <w:spacing w:val="0"/>
                <w:position w:val="0"/>
                <w:sz w:val="24"/>
                <w:szCs w:val="24"/>
                <w:highlight w:val="none"/>
              </w:rPr>
              <w:t>遇到引火源就会被点燃而发火燃烧，被点燃后的燃烧方式有池火、喷射火、火球和突发火等。项目物料泄漏后主要以突发火的形式燃烧，项目用地为工业用地，发生火灾主要可能对组合流水线职工造成影响，对周边环</w:t>
            </w:r>
            <w:r>
              <w:rPr>
                <w:rFonts w:ascii="Times New Roman" w:hAnsi="Times New Roman" w:eastAsia="宋体" w:cs="Times New Roman"/>
                <w:color w:val="auto"/>
                <w:spacing w:val="0"/>
                <w:position w:val="0"/>
                <w:sz w:val="24"/>
                <w:highlight w:val="none"/>
              </w:rPr>
              <w:t>境影响较小；根据原材料特点，企业发生火灾时，</w:t>
            </w:r>
            <w:r>
              <w:rPr>
                <w:rFonts w:hint="eastAsia" w:cs="Times New Roman"/>
                <w:color w:val="auto"/>
                <w:spacing w:val="0"/>
                <w:position w:val="0"/>
                <w:sz w:val="24"/>
                <w:szCs w:val="24"/>
                <w:highlight w:val="none"/>
                <w:lang w:val="en-US" w:eastAsia="zh-CN"/>
              </w:rPr>
              <w:t>喷漆晾干房</w:t>
            </w:r>
            <w:r>
              <w:rPr>
                <w:rFonts w:hint="eastAsia"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eastAsia="宋体" w:cs="Times New Roman"/>
                <w:color w:val="auto"/>
                <w:spacing w:val="0"/>
                <w:position w:val="0"/>
                <w:sz w:val="24"/>
                <w:szCs w:val="24"/>
                <w:highlight w:val="none"/>
              </w:rPr>
              <w:t>化学品</w:t>
            </w:r>
            <w:r>
              <w:rPr>
                <w:rFonts w:hint="eastAsia" w:cs="Times New Roman"/>
                <w:color w:val="auto"/>
                <w:spacing w:val="0"/>
                <w:position w:val="0"/>
                <w:sz w:val="24"/>
                <w:szCs w:val="24"/>
                <w:highlight w:val="none"/>
                <w:lang w:val="en-US" w:eastAsia="zh-CN"/>
              </w:rPr>
              <w:t>仓库</w:t>
            </w:r>
            <w:r>
              <w:rPr>
                <w:rFonts w:hint="eastAsia" w:ascii="Times New Roman" w:hAnsi="Times New Roman" w:eastAsia="宋体" w:cs="Times New Roman"/>
                <w:color w:val="auto"/>
                <w:spacing w:val="0"/>
                <w:position w:val="0"/>
                <w:sz w:val="24"/>
                <w:szCs w:val="24"/>
                <w:highlight w:val="none"/>
              </w:rPr>
              <w:t>、</w:t>
            </w:r>
            <w:r>
              <w:rPr>
                <w:rFonts w:hint="eastAsia" w:ascii="Times New Roman" w:hAnsi="Times New Roman" w:eastAsia="宋体" w:cs="Times New Roman"/>
                <w:b w:val="0"/>
                <w:bCs w:val="0"/>
                <w:color w:val="auto"/>
                <w:spacing w:val="0"/>
                <w:position w:val="0"/>
                <w:sz w:val="24"/>
                <w:highlight w:val="none"/>
                <w:lang w:val="en-US" w:eastAsia="zh-CN"/>
              </w:rPr>
              <w:t>危废</w:t>
            </w:r>
            <w:r>
              <w:rPr>
                <w:rFonts w:hint="eastAsia" w:cs="Times New Roman"/>
                <w:b w:val="0"/>
                <w:bCs w:val="0"/>
                <w:color w:val="auto"/>
                <w:spacing w:val="0"/>
                <w:position w:val="0"/>
                <w:sz w:val="24"/>
                <w:highlight w:val="none"/>
                <w:lang w:val="en-US" w:eastAsia="zh-CN"/>
              </w:rPr>
              <w:t>暂存间</w:t>
            </w:r>
            <w:r>
              <w:rPr>
                <w:rFonts w:ascii="Times New Roman" w:hAnsi="Times New Roman" w:eastAsia="宋体" w:cs="Times New Roman"/>
                <w:color w:val="auto"/>
                <w:spacing w:val="0"/>
                <w:position w:val="0"/>
                <w:sz w:val="24"/>
                <w:highlight w:val="none"/>
              </w:rPr>
              <w:t>主要采用泡沫灭火器</w:t>
            </w:r>
            <w:r>
              <w:rPr>
                <w:rFonts w:hint="eastAsia" w:ascii="Times New Roman" w:hAnsi="Times New Roman" w:eastAsia="宋体" w:cs="Times New Roman"/>
                <w:color w:val="auto"/>
                <w:spacing w:val="0"/>
                <w:position w:val="0"/>
                <w:sz w:val="24"/>
                <w:highlight w:val="none"/>
                <w:lang w:val="en-US" w:eastAsia="zh-CN"/>
              </w:rPr>
              <w:t>及</w:t>
            </w:r>
            <w:r>
              <w:rPr>
                <w:rFonts w:ascii="Times New Roman" w:hAnsi="Times New Roman" w:eastAsia="宋体" w:cs="Times New Roman"/>
                <w:color w:val="auto"/>
                <w:spacing w:val="0"/>
                <w:position w:val="0"/>
                <w:sz w:val="24"/>
                <w:highlight w:val="none"/>
              </w:rPr>
              <w:t>控制，</w:t>
            </w:r>
            <w:r>
              <w:rPr>
                <w:rFonts w:hint="eastAsia" w:ascii="Times New Roman" w:hAnsi="Times New Roman" w:eastAsia="宋体" w:cs="Times New Roman"/>
                <w:color w:val="auto"/>
                <w:spacing w:val="0"/>
                <w:position w:val="0"/>
                <w:sz w:val="24"/>
                <w:szCs w:val="24"/>
                <w:highlight w:val="none"/>
              </w:rPr>
              <w:t>原料</w:t>
            </w:r>
            <w:r>
              <w:rPr>
                <w:rFonts w:hint="eastAsia" w:cs="Times New Roman"/>
                <w:color w:val="auto"/>
                <w:spacing w:val="0"/>
                <w:position w:val="0"/>
                <w:sz w:val="24"/>
                <w:szCs w:val="24"/>
                <w:highlight w:val="none"/>
                <w:lang w:val="en-US" w:eastAsia="zh-CN"/>
              </w:rPr>
              <w:t>区</w:t>
            </w:r>
            <w:r>
              <w:rPr>
                <w:rFonts w:hint="eastAsia" w:ascii="Times New Roman" w:hAnsi="Times New Roman" w:eastAsia="宋体" w:cs="Times New Roman"/>
                <w:color w:val="auto"/>
                <w:spacing w:val="0"/>
                <w:position w:val="0"/>
                <w:sz w:val="24"/>
                <w:szCs w:val="24"/>
                <w:highlight w:val="none"/>
              </w:rPr>
              <w:t>、成品</w:t>
            </w:r>
            <w:r>
              <w:rPr>
                <w:rFonts w:hint="eastAsia" w:cs="Times New Roman"/>
                <w:color w:val="auto"/>
                <w:spacing w:val="0"/>
                <w:position w:val="0"/>
                <w:sz w:val="24"/>
                <w:szCs w:val="24"/>
                <w:highlight w:val="none"/>
                <w:lang w:val="en-US" w:eastAsia="zh-CN"/>
              </w:rPr>
              <w:t>区</w:t>
            </w:r>
            <w:r>
              <w:rPr>
                <w:rFonts w:hint="eastAsia"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val="en-US" w:eastAsia="zh-CN"/>
              </w:rPr>
              <w:t>一般固废间</w:t>
            </w:r>
            <w:r>
              <w:rPr>
                <w:rFonts w:hint="eastAsia" w:ascii="Times New Roman" w:hAnsi="Times New Roman" w:eastAsia="宋体" w:cs="Times New Roman"/>
                <w:color w:val="auto"/>
                <w:spacing w:val="0"/>
                <w:position w:val="0"/>
                <w:sz w:val="24"/>
                <w:szCs w:val="24"/>
                <w:highlight w:val="none"/>
                <w:lang w:val="en-US" w:eastAsia="zh-CN"/>
              </w:rPr>
              <w:t>主要采用二氧化碳灭火器</w:t>
            </w:r>
            <w:r>
              <w:rPr>
                <w:rFonts w:hint="eastAsia" w:ascii="Times New Roman" w:hAnsi="Times New Roman" w:eastAsia="宋体"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泡沫灭火器</w:t>
            </w:r>
            <w:r>
              <w:rPr>
                <w:rFonts w:hint="eastAsia" w:ascii="Times New Roman" w:hAnsi="Times New Roman" w:eastAsia="宋体" w:cs="Times New Roman"/>
                <w:color w:val="auto"/>
                <w:spacing w:val="0"/>
                <w:position w:val="0"/>
                <w:sz w:val="24"/>
                <w:highlight w:val="none"/>
              </w:rPr>
              <w:t>、沙子</w:t>
            </w:r>
            <w:r>
              <w:rPr>
                <w:rFonts w:ascii="Times New Roman" w:hAnsi="Times New Roman" w:eastAsia="宋体" w:cs="Times New Roman"/>
                <w:color w:val="auto"/>
                <w:spacing w:val="0"/>
                <w:position w:val="0"/>
                <w:sz w:val="24"/>
                <w:highlight w:val="none"/>
              </w:rPr>
              <w:t>控制</w:t>
            </w:r>
            <w:r>
              <w:rPr>
                <w:rFonts w:hint="eastAsia" w:ascii="Times New Roman" w:hAnsi="Times New Roman" w:eastAsia="宋体" w:cs="Times New Roman"/>
                <w:color w:val="auto"/>
                <w:spacing w:val="0"/>
                <w:position w:val="0"/>
                <w:sz w:val="24"/>
                <w:szCs w:val="24"/>
                <w:highlight w:val="none"/>
                <w:lang w:val="en-US" w:eastAsia="zh-CN"/>
              </w:rPr>
              <w:t>，</w:t>
            </w:r>
            <w:r>
              <w:rPr>
                <w:rFonts w:ascii="Times New Roman" w:hAnsi="Times New Roman" w:eastAsia="宋体" w:cs="Times New Roman"/>
                <w:color w:val="auto"/>
                <w:spacing w:val="0"/>
                <w:position w:val="0"/>
                <w:sz w:val="24"/>
                <w:highlight w:val="none"/>
              </w:rPr>
              <w:t>因此一般不会造成含有危险化学品的消防废水大量排放，故不会对周边地表水环境造成二次污染影响。</w:t>
            </w:r>
          </w:p>
          <w:p w14:paraId="4C7DE2A1">
            <w:pPr>
              <w:pStyle w:val="63"/>
              <w:ind w:firstLine="0" w:firstLineChars="0"/>
              <w:rPr>
                <w:rFonts w:ascii="Times New Roman" w:hAnsi="Times New Roman" w:eastAsia="宋体" w:cs="Times New Roman"/>
                <w:b/>
                <w:bCs/>
                <w:color w:val="auto"/>
                <w:spacing w:val="0"/>
                <w:position w:val="0"/>
                <w:szCs w:val="24"/>
                <w:highlight w:val="none"/>
              </w:rPr>
            </w:pPr>
            <w:r>
              <w:rPr>
                <w:rFonts w:ascii="Times New Roman" w:hAnsi="Times New Roman" w:eastAsia="宋体" w:cs="Times New Roman"/>
                <w:b/>
                <w:bCs/>
                <w:color w:val="auto"/>
                <w:spacing w:val="0"/>
                <w:position w:val="0"/>
                <w:szCs w:val="24"/>
                <w:highlight w:val="none"/>
              </w:rPr>
              <w:t>4.6.3环境风险防范措施</w:t>
            </w:r>
          </w:p>
          <w:p w14:paraId="2B9EC2C1">
            <w:pPr>
              <w:spacing w:line="360" w:lineRule="auto"/>
              <w:ind w:firstLine="482" w:firstLineChars="200"/>
              <w:rPr>
                <w:rFonts w:hint="eastAsia" w:ascii="Times New Roman" w:hAnsi="Times New Roman" w:eastAsia="宋体" w:cs="Times New Roman"/>
                <w:b/>
                <w:bCs/>
                <w:color w:val="auto"/>
                <w:spacing w:val="0"/>
                <w:position w:val="0"/>
                <w:sz w:val="24"/>
                <w:highlight w:val="none"/>
              </w:rPr>
            </w:pPr>
            <w:r>
              <w:rPr>
                <w:rFonts w:hint="eastAsia" w:cs="Times New Roman"/>
                <w:b/>
                <w:bCs/>
                <w:color w:val="auto"/>
                <w:spacing w:val="0"/>
                <w:position w:val="0"/>
                <w:sz w:val="24"/>
                <w:highlight w:val="none"/>
                <w:lang w:eastAsia="zh-CN"/>
              </w:rPr>
              <w:t>（</w:t>
            </w:r>
            <w:r>
              <w:rPr>
                <w:rFonts w:hint="eastAsia" w:cs="Times New Roman"/>
                <w:b/>
                <w:bCs/>
                <w:color w:val="auto"/>
                <w:spacing w:val="0"/>
                <w:position w:val="0"/>
                <w:sz w:val="24"/>
                <w:highlight w:val="none"/>
                <w:lang w:val="en-US" w:eastAsia="zh-CN"/>
              </w:rPr>
              <w:t>1</w:t>
            </w:r>
            <w:r>
              <w:rPr>
                <w:rFonts w:hint="eastAsia" w:cs="Times New Roman"/>
                <w:b/>
                <w:bCs/>
                <w:color w:val="auto"/>
                <w:spacing w:val="0"/>
                <w:position w:val="0"/>
                <w:sz w:val="24"/>
                <w:highlight w:val="none"/>
                <w:lang w:eastAsia="zh-CN"/>
              </w:rPr>
              <w:t>）</w:t>
            </w:r>
            <w:r>
              <w:rPr>
                <w:rFonts w:hint="eastAsia" w:ascii="Times New Roman" w:hAnsi="Times New Roman" w:eastAsia="宋体" w:cs="Times New Roman"/>
                <w:b/>
                <w:bCs/>
                <w:color w:val="auto"/>
                <w:spacing w:val="0"/>
                <w:position w:val="0"/>
                <w:sz w:val="24"/>
                <w:szCs w:val="24"/>
                <w:highlight w:val="none"/>
                <w:lang w:val="en-US" w:eastAsia="zh-CN"/>
              </w:rPr>
              <w:t>化学品仓库</w:t>
            </w:r>
            <w:r>
              <w:rPr>
                <w:rFonts w:hint="eastAsia" w:cs="Times New Roman"/>
                <w:b/>
                <w:bCs/>
                <w:color w:val="auto"/>
                <w:spacing w:val="0"/>
                <w:position w:val="0"/>
                <w:sz w:val="24"/>
                <w:szCs w:val="24"/>
                <w:highlight w:val="none"/>
                <w:lang w:val="en-US" w:eastAsia="zh-CN"/>
              </w:rPr>
              <w:t>、</w:t>
            </w:r>
            <w:r>
              <w:rPr>
                <w:rFonts w:hint="eastAsia" w:ascii="Times New Roman" w:hAnsi="Times New Roman" w:eastAsia="宋体" w:cs="Times New Roman"/>
                <w:b/>
                <w:bCs/>
                <w:color w:val="auto"/>
                <w:spacing w:val="0"/>
                <w:position w:val="0"/>
                <w:sz w:val="24"/>
                <w:szCs w:val="24"/>
                <w:highlight w:val="none"/>
                <w:lang w:val="en-US" w:eastAsia="zh-CN"/>
              </w:rPr>
              <w:t>危废包装破损</w:t>
            </w:r>
            <w:r>
              <w:rPr>
                <w:rFonts w:ascii="Times New Roman" w:hAnsi="Times New Roman" w:eastAsia="宋体" w:cs="Times New Roman"/>
                <w:b/>
                <w:bCs/>
                <w:color w:val="auto"/>
                <w:spacing w:val="0"/>
                <w:kern w:val="0"/>
                <w:position w:val="0"/>
                <w:sz w:val="24"/>
                <w:szCs w:val="24"/>
                <w:highlight w:val="none"/>
                <w:lang w:bidi="ar"/>
              </w:rPr>
              <w:t>泄漏</w:t>
            </w:r>
            <w:r>
              <w:rPr>
                <w:rFonts w:hint="eastAsia" w:ascii="Times New Roman" w:hAnsi="Times New Roman" w:eastAsia="宋体" w:cs="Times New Roman"/>
                <w:b/>
                <w:bCs/>
                <w:color w:val="auto"/>
                <w:spacing w:val="0"/>
                <w:position w:val="0"/>
                <w:sz w:val="24"/>
                <w:highlight w:val="none"/>
              </w:rPr>
              <w:t>防范措施</w:t>
            </w:r>
          </w:p>
          <w:p w14:paraId="24C99006">
            <w:pPr>
              <w:spacing w:line="360" w:lineRule="auto"/>
              <w:ind w:firstLine="480" w:firstLineChars="200"/>
              <w:rPr>
                <w:rFonts w:ascii="Times New Roman" w:hAnsi="Times New Roman" w:eastAsia="宋体" w:cs="Times New Roman"/>
                <w:color w:val="auto"/>
                <w:spacing w:val="0"/>
                <w:position w:val="0"/>
                <w:sz w:val="24"/>
                <w:highlight w:val="none"/>
              </w:rPr>
            </w:pPr>
            <w:r>
              <w:rPr>
                <w:rFonts w:hint="eastAsia" w:ascii="Times New Roman" w:hAnsi="Times New Roman" w:eastAsia="宋体" w:cs="Times New Roman"/>
                <w:color w:val="auto"/>
                <w:spacing w:val="0"/>
                <w:position w:val="0"/>
                <w:sz w:val="24"/>
                <w:szCs w:val="24"/>
                <w:highlight w:val="none"/>
                <w:lang w:val="en-US" w:eastAsia="zh-CN"/>
              </w:rPr>
              <w:t>①</w:t>
            </w:r>
            <w:r>
              <w:rPr>
                <w:rFonts w:hint="eastAsia" w:cs="Times New Roman"/>
                <w:color w:val="auto"/>
                <w:spacing w:val="0"/>
                <w:position w:val="0"/>
                <w:sz w:val="24"/>
                <w:szCs w:val="24"/>
                <w:highlight w:val="none"/>
                <w:lang w:val="en-US" w:eastAsia="zh-CN"/>
              </w:rPr>
              <w:t>油性漆、水性漆</w:t>
            </w:r>
            <w:r>
              <w:rPr>
                <w:rFonts w:hint="eastAsia" w:ascii="Times New Roman" w:hAnsi="Times New Roman" w:eastAsia="宋体" w:cs="Times New Roman"/>
                <w:color w:val="auto"/>
                <w:spacing w:val="0"/>
                <w:position w:val="0"/>
                <w:sz w:val="24"/>
                <w:szCs w:val="24"/>
                <w:highlight w:val="none"/>
                <w:lang w:val="en-US" w:eastAsia="zh-CN"/>
              </w:rPr>
              <w:t>、固化剂、稀释剂</w:t>
            </w:r>
            <w:r>
              <w:rPr>
                <w:rFonts w:hint="eastAsia" w:cs="Times New Roman"/>
                <w:color w:val="auto"/>
                <w:spacing w:val="0"/>
                <w:position w:val="0"/>
                <w:sz w:val="24"/>
                <w:szCs w:val="24"/>
                <w:highlight w:val="none"/>
                <w:lang w:val="en-US" w:eastAsia="zh-CN"/>
              </w:rPr>
              <w:t>等</w:t>
            </w:r>
            <w:r>
              <w:rPr>
                <w:rFonts w:hint="eastAsia" w:ascii="Times New Roman" w:hAnsi="Times New Roman" w:eastAsia="宋体" w:cs="Times New Roman"/>
                <w:color w:val="auto"/>
                <w:spacing w:val="0"/>
                <w:position w:val="0"/>
                <w:sz w:val="24"/>
                <w:szCs w:val="24"/>
                <w:highlight w:val="none"/>
                <w:lang w:val="en-US" w:eastAsia="zh-CN"/>
              </w:rPr>
              <w:t>在</w:t>
            </w:r>
            <w:r>
              <w:rPr>
                <w:rFonts w:hint="eastAsia" w:cs="Times New Roman"/>
                <w:color w:val="auto"/>
                <w:spacing w:val="0"/>
                <w:position w:val="0"/>
                <w:sz w:val="24"/>
                <w:szCs w:val="24"/>
                <w:highlight w:val="none"/>
                <w:lang w:val="en-US" w:eastAsia="zh-CN"/>
              </w:rPr>
              <w:t>使用</w:t>
            </w:r>
            <w:r>
              <w:rPr>
                <w:rFonts w:hint="eastAsia" w:ascii="Times New Roman" w:hAnsi="Times New Roman" w:eastAsia="宋体" w:cs="Times New Roman"/>
                <w:color w:val="auto"/>
                <w:spacing w:val="0"/>
                <w:position w:val="0"/>
                <w:sz w:val="24"/>
                <w:szCs w:val="24"/>
                <w:highlight w:val="none"/>
                <w:lang w:val="en-US" w:eastAsia="zh-CN"/>
              </w:rPr>
              <w:t>过程中可能发生</w:t>
            </w:r>
            <w:r>
              <w:rPr>
                <w:rFonts w:hint="eastAsia" w:cs="Times New Roman"/>
                <w:color w:val="auto"/>
                <w:spacing w:val="0"/>
                <w:position w:val="0"/>
                <w:sz w:val="24"/>
                <w:szCs w:val="24"/>
                <w:highlight w:val="none"/>
                <w:lang w:val="en-US" w:eastAsia="zh-CN"/>
              </w:rPr>
              <w:t>泄漏</w:t>
            </w:r>
            <w:r>
              <w:rPr>
                <w:rFonts w:hint="eastAsia" w:ascii="Times New Roman" w:hAnsi="Times New Roman" w:eastAsia="宋体" w:cs="Times New Roman"/>
                <w:color w:val="auto"/>
                <w:spacing w:val="0"/>
                <w:position w:val="0"/>
                <w:sz w:val="24"/>
                <w:szCs w:val="24"/>
                <w:highlight w:val="none"/>
                <w:lang w:val="en-US" w:eastAsia="zh-CN"/>
              </w:rPr>
              <w:t>，在生产设备下方放置洁净的接收容器，</w:t>
            </w:r>
            <w:r>
              <w:rPr>
                <w:rFonts w:hint="eastAsia" w:cs="Times New Roman"/>
                <w:color w:val="auto"/>
                <w:spacing w:val="0"/>
                <w:position w:val="0"/>
                <w:sz w:val="24"/>
                <w:szCs w:val="24"/>
                <w:highlight w:val="none"/>
                <w:lang w:val="en-US" w:eastAsia="zh-CN"/>
              </w:rPr>
              <w:t>油性漆、水性漆、</w:t>
            </w:r>
            <w:r>
              <w:rPr>
                <w:rFonts w:hint="eastAsia" w:ascii="Times New Roman" w:hAnsi="Times New Roman" w:eastAsia="宋体" w:cs="Times New Roman"/>
                <w:color w:val="auto"/>
                <w:spacing w:val="0"/>
                <w:position w:val="0"/>
                <w:sz w:val="24"/>
                <w:szCs w:val="24"/>
                <w:highlight w:val="none"/>
                <w:lang w:val="en-US" w:eastAsia="zh-CN"/>
              </w:rPr>
              <w:t>固化剂、稀释剂</w:t>
            </w:r>
            <w:r>
              <w:rPr>
                <w:rFonts w:hint="eastAsia" w:cs="Times New Roman"/>
                <w:color w:val="auto"/>
                <w:spacing w:val="0"/>
                <w:position w:val="0"/>
                <w:sz w:val="24"/>
                <w:szCs w:val="24"/>
                <w:highlight w:val="none"/>
                <w:lang w:val="en-US" w:eastAsia="zh-CN"/>
              </w:rPr>
              <w:t>在调配时</w:t>
            </w:r>
            <w:r>
              <w:rPr>
                <w:rFonts w:hint="eastAsia" w:ascii="Times New Roman" w:hAnsi="Times New Roman" w:eastAsia="宋体" w:cs="Times New Roman"/>
                <w:color w:val="auto"/>
                <w:spacing w:val="0"/>
                <w:position w:val="0"/>
                <w:sz w:val="24"/>
                <w:szCs w:val="24"/>
                <w:highlight w:val="none"/>
                <w:lang w:val="en-US" w:eastAsia="zh-CN"/>
              </w:rPr>
              <w:t>泄</w:t>
            </w:r>
            <w:r>
              <w:rPr>
                <w:rFonts w:hint="eastAsia" w:cs="Times New Roman"/>
                <w:color w:val="auto"/>
                <w:spacing w:val="0"/>
                <w:position w:val="0"/>
                <w:sz w:val="24"/>
                <w:szCs w:val="24"/>
                <w:highlight w:val="none"/>
                <w:lang w:val="en-US" w:eastAsia="zh-CN"/>
              </w:rPr>
              <w:t>漏</w:t>
            </w:r>
            <w:r>
              <w:rPr>
                <w:rFonts w:hint="eastAsia" w:ascii="Times New Roman" w:hAnsi="Times New Roman" w:eastAsia="宋体" w:cs="Times New Roman"/>
                <w:color w:val="auto"/>
                <w:spacing w:val="0"/>
                <w:position w:val="0"/>
                <w:sz w:val="24"/>
                <w:szCs w:val="24"/>
                <w:highlight w:val="none"/>
                <w:lang w:val="en-US" w:eastAsia="zh-CN"/>
              </w:rPr>
              <w:t>在接收容器后，可回用于生产，</w:t>
            </w:r>
            <w:r>
              <w:rPr>
                <w:rFonts w:hint="eastAsia" w:cs="Times New Roman"/>
                <w:color w:val="auto"/>
                <w:spacing w:val="0"/>
                <w:position w:val="0"/>
                <w:sz w:val="24"/>
                <w:szCs w:val="24"/>
                <w:highlight w:val="none"/>
                <w:lang w:val="en-US" w:eastAsia="zh-CN"/>
              </w:rPr>
              <w:t>同时确保喷漆时废气处理系统正常运行</w:t>
            </w:r>
            <w:r>
              <w:rPr>
                <w:rFonts w:hint="eastAsia" w:ascii="Times New Roman" w:hAnsi="Times New Roman" w:eastAsia="宋体" w:cs="Times New Roman"/>
                <w:color w:val="auto"/>
                <w:spacing w:val="0"/>
                <w:position w:val="0"/>
                <w:sz w:val="24"/>
                <w:szCs w:val="24"/>
                <w:highlight w:val="none"/>
                <w:lang w:val="en-US" w:eastAsia="zh-CN"/>
              </w:rPr>
              <w:t>。</w:t>
            </w:r>
          </w:p>
          <w:p w14:paraId="1162F6EE">
            <w:pPr>
              <w:spacing w:line="360" w:lineRule="auto"/>
              <w:ind w:firstLine="480" w:firstLineChars="200"/>
              <w:rPr>
                <w:rFonts w:ascii="Times New Roman" w:hAnsi="Times New Roman" w:eastAsia="宋体" w:cs="Times New Roman"/>
                <w:color w:val="auto"/>
                <w:spacing w:val="0"/>
                <w:position w:val="0"/>
                <w:sz w:val="24"/>
                <w:highlight w:val="none"/>
              </w:rPr>
            </w:pPr>
            <w:r>
              <w:rPr>
                <w:rFonts w:hint="eastAsia" w:ascii="Times New Roman" w:hAnsi="Times New Roman" w:eastAsia="宋体" w:cs="Times New Roman"/>
                <w:color w:val="auto"/>
                <w:spacing w:val="0"/>
                <w:kern w:val="2"/>
                <w:position w:val="0"/>
                <w:sz w:val="24"/>
                <w:szCs w:val="24"/>
                <w:highlight w:val="none"/>
                <w:lang w:val="en-US" w:eastAsia="zh-CN" w:bidi="ar-SA"/>
              </w:rPr>
              <w:t>②</w:t>
            </w:r>
            <w:r>
              <w:rPr>
                <w:rFonts w:ascii="Times New Roman" w:hAnsi="Times New Roman" w:eastAsia="宋体" w:cs="Times New Roman"/>
                <w:color w:val="auto"/>
                <w:spacing w:val="0"/>
                <w:position w:val="0"/>
                <w:sz w:val="24"/>
                <w:highlight w:val="none"/>
              </w:rPr>
              <w:t>项目在生产过程中产生的</w:t>
            </w:r>
            <w:r>
              <w:rPr>
                <w:rFonts w:hint="eastAsia" w:cs="Times New Roman"/>
                <w:color w:val="auto"/>
                <w:spacing w:val="0"/>
                <w:position w:val="0"/>
                <w:sz w:val="24"/>
                <w:highlight w:val="none"/>
                <w:lang w:val="en-US" w:eastAsia="zh-CN"/>
              </w:rPr>
              <w:t>危险废物</w:t>
            </w:r>
            <w:r>
              <w:rPr>
                <w:rFonts w:ascii="Times New Roman" w:hAnsi="Times New Roman" w:eastAsia="宋体" w:cs="Times New Roman"/>
                <w:color w:val="auto"/>
                <w:spacing w:val="0"/>
                <w:position w:val="0"/>
                <w:sz w:val="24"/>
                <w:highlight w:val="none"/>
              </w:rPr>
              <w:t>具有毒性，项目应做好相关的风险防范措施及应急措施，以</w:t>
            </w:r>
            <w:r>
              <w:rPr>
                <w:rFonts w:hint="eastAsia" w:ascii="Times New Roman" w:hAnsi="Times New Roman" w:eastAsia="宋体" w:cs="Times New Roman"/>
                <w:color w:val="auto"/>
                <w:spacing w:val="0"/>
                <w:position w:val="0"/>
                <w:sz w:val="24"/>
                <w:highlight w:val="none"/>
              </w:rPr>
              <w:t>防止</w:t>
            </w:r>
            <w:r>
              <w:rPr>
                <w:rFonts w:ascii="Times New Roman" w:hAnsi="Times New Roman" w:eastAsia="宋体" w:cs="Times New Roman"/>
                <w:color w:val="auto"/>
                <w:spacing w:val="0"/>
                <w:position w:val="0"/>
                <w:sz w:val="24"/>
                <w:highlight w:val="none"/>
              </w:rPr>
              <w:t>风险发生对车间工作人员及周边环境造成影响，具体措施如下：</w:t>
            </w:r>
          </w:p>
          <w:p w14:paraId="58EE8DD5">
            <w:pPr>
              <w:numPr>
                <w:ilvl w:val="0"/>
                <w:numId w:val="0"/>
              </w:numPr>
              <w:spacing w:line="360" w:lineRule="auto"/>
              <w:ind w:left="0" w:leftChars="0" w:firstLine="480" w:firstLineChars="200"/>
              <w:rPr>
                <w:rFonts w:ascii="Times New Roman" w:hAnsi="Times New Roman" w:eastAsia="宋体" w:cs="Times New Roman"/>
                <w:color w:val="auto"/>
                <w:spacing w:val="0"/>
                <w:position w:val="0"/>
                <w:sz w:val="24"/>
                <w:highlight w:val="none"/>
              </w:rPr>
            </w:pPr>
            <w:r>
              <w:rPr>
                <w:rFonts w:hint="eastAsia" w:cs="Times New Roman"/>
                <w:color w:val="auto"/>
                <w:spacing w:val="0"/>
                <w:kern w:val="2"/>
                <w:position w:val="0"/>
                <w:sz w:val="24"/>
                <w:szCs w:val="24"/>
                <w:highlight w:val="none"/>
                <w:lang w:val="en-US" w:eastAsia="zh-CN" w:bidi="ar-SA"/>
              </w:rPr>
              <w:t>A.</w:t>
            </w:r>
            <w:r>
              <w:rPr>
                <w:rFonts w:ascii="Times New Roman" w:hAnsi="Times New Roman" w:eastAsia="宋体" w:cs="Times New Roman"/>
                <w:color w:val="auto"/>
                <w:spacing w:val="0"/>
                <w:position w:val="0"/>
                <w:sz w:val="24"/>
                <w:highlight w:val="none"/>
              </w:rPr>
              <w:t>项目在生产过程中产生的危废应及时收集，妥善保管；放置于</w:t>
            </w:r>
            <w:r>
              <w:rPr>
                <w:rFonts w:hint="eastAsia" w:cs="Times New Roman"/>
                <w:color w:val="auto"/>
                <w:spacing w:val="0"/>
                <w:position w:val="0"/>
                <w:sz w:val="24"/>
                <w:highlight w:val="none"/>
                <w:lang w:eastAsia="zh-CN"/>
              </w:rPr>
              <w:t>危废暂存间</w:t>
            </w:r>
            <w:r>
              <w:rPr>
                <w:rFonts w:ascii="Times New Roman" w:hAnsi="Times New Roman" w:eastAsia="宋体" w:cs="Times New Roman"/>
                <w:color w:val="auto"/>
                <w:spacing w:val="0"/>
                <w:position w:val="0"/>
                <w:sz w:val="24"/>
                <w:highlight w:val="none"/>
              </w:rPr>
              <w:t>，并保持通风阴凉；</w:t>
            </w:r>
          </w:p>
          <w:p w14:paraId="3B25C47F">
            <w:pPr>
              <w:numPr>
                <w:ilvl w:val="0"/>
                <w:numId w:val="0"/>
              </w:numPr>
              <w:spacing w:line="360" w:lineRule="auto"/>
              <w:ind w:left="0" w:leftChars="0" w:firstLine="480" w:firstLineChars="200"/>
              <w:rPr>
                <w:rFonts w:ascii="Times New Roman" w:hAnsi="Times New Roman" w:eastAsia="宋体" w:cs="Times New Roman"/>
                <w:color w:val="auto"/>
                <w:spacing w:val="0"/>
                <w:position w:val="0"/>
                <w:sz w:val="24"/>
                <w:highlight w:val="none"/>
              </w:rPr>
            </w:pPr>
            <w:r>
              <w:rPr>
                <w:rFonts w:hint="eastAsia" w:cs="Times New Roman"/>
                <w:color w:val="auto"/>
                <w:spacing w:val="0"/>
                <w:position w:val="0"/>
                <w:sz w:val="24"/>
                <w:highlight w:val="none"/>
                <w:lang w:val="en-US" w:eastAsia="zh-CN"/>
              </w:rPr>
              <w:t>B.</w:t>
            </w:r>
            <w:r>
              <w:rPr>
                <w:rFonts w:ascii="Times New Roman" w:hAnsi="Times New Roman" w:eastAsia="宋体" w:cs="Times New Roman"/>
                <w:color w:val="auto"/>
                <w:spacing w:val="0"/>
                <w:position w:val="0"/>
                <w:sz w:val="24"/>
                <w:highlight w:val="none"/>
              </w:rPr>
              <w:t>远离火种、热源</w:t>
            </w:r>
            <w:r>
              <w:rPr>
                <w:rFonts w:hint="eastAsia" w:ascii="Times New Roman" w:hAnsi="Times New Roman" w:eastAsia="宋体" w:cs="Times New Roman"/>
                <w:color w:val="auto"/>
                <w:spacing w:val="0"/>
                <w:position w:val="0"/>
                <w:sz w:val="24"/>
                <w:highlight w:val="none"/>
              </w:rPr>
              <w:t>、</w:t>
            </w:r>
            <w:r>
              <w:rPr>
                <w:rFonts w:ascii="Times New Roman" w:hAnsi="Times New Roman" w:eastAsia="宋体" w:cs="Times New Roman"/>
                <w:color w:val="auto"/>
                <w:spacing w:val="0"/>
                <w:position w:val="0"/>
                <w:sz w:val="24"/>
                <w:highlight w:val="none"/>
              </w:rPr>
              <w:t>工作场所禁止吸烟等；</w:t>
            </w:r>
          </w:p>
          <w:p w14:paraId="01BED967">
            <w:pPr>
              <w:numPr>
                <w:ilvl w:val="0"/>
                <w:numId w:val="0"/>
              </w:numPr>
              <w:spacing w:line="360" w:lineRule="auto"/>
              <w:ind w:left="0" w:leftChars="0" w:firstLine="480" w:firstLineChars="200"/>
              <w:rPr>
                <w:rFonts w:ascii="Times New Roman" w:hAnsi="Times New Roman" w:eastAsia="宋体" w:cs="Times New Roman"/>
                <w:color w:val="auto"/>
                <w:spacing w:val="0"/>
                <w:position w:val="0"/>
                <w:sz w:val="24"/>
                <w:highlight w:val="none"/>
              </w:rPr>
            </w:pPr>
            <w:r>
              <w:rPr>
                <w:rFonts w:hint="eastAsia" w:cs="Times New Roman"/>
                <w:color w:val="auto"/>
                <w:spacing w:val="0"/>
                <w:position w:val="0"/>
                <w:sz w:val="24"/>
                <w:highlight w:val="none"/>
                <w:lang w:val="en-US" w:eastAsia="zh-CN"/>
              </w:rPr>
              <w:t>C.</w:t>
            </w:r>
            <w:r>
              <w:rPr>
                <w:rFonts w:ascii="Times New Roman" w:hAnsi="Times New Roman" w:eastAsia="宋体" w:cs="Times New Roman"/>
                <w:color w:val="auto"/>
                <w:spacing w:val="0"/>
                <w:position w:val="0"/>
                <w:sz w:val="24"/>
                <w:highlight w:val="none"/>
              </w:rPr>
              <w:t>配备相应品种的消防器材，进行各种日常的、定期的、专业的防火安全检查；</w:t>
            </w:r>
          </w:p>
          <w:p w14:paraId="1763BD6E">
            <w:pPr>
              <w:numPr>
                <w:ilvl w:val="0"/>
                <w:numId w:val="0"/>
              </w:numPr>
              <w:spacing w:line="360" w:lineRule="auto"/>
              <w:ind w:left="0" w:leftChars="0" w:firstLine="480" w:firstLineChars="200"/>
              <w:rPr>
                <w:rFonts w:ascii="Times New Roman" w:hAnsi="Times New Roman" w:eastAsia="宋体" w:cs="Times New Roman"/>
                <w:color w:val="auto"/>
                <w:spacing w:val="0"/>
                <w:position w:val="0"/>
                <w:sz w:val="24"/>
                <w:highlight w:val="none"/>
              </w:rPr>
            </w:pPr>
            <w:r>
              <w:rPr>
                <w:rFonts w:hint="eastAsia" w:cs="Times New Roman"/>
                <w:color w:val="auto"/>
                <w:spacing w:val="0"/>
                <w:position w:val="0"/>
                <w:sz w:val="24"/>
                <w:highlight w:val="none"/>
                <w:lang w:val="en-US" w:eastAsia="zh-CN"/>
              </w:rPr>
              <w:t>D.</w:t>
            </w:r>
            <w:r>
              <w:rPr>
                <w:rFonts w:ascii="Times New Roman" w:hAnsi="Times New Roman" w:eastAsia="宋体" w:cs="Times New Roman"/>
                <w:color w:val="auto"/>
                <w:spacing w:val="0"/>
                <w:position w:val="0"/>
                <w:sz w:val="24"/>
                <w:highlight w:val="none"/>
              </w:rPr>
              <w:t>委托有资质的单位处置，并做到专车专用，并标有相关标志</w:t>
            </w:r>
            <w:r>
              <w:rPr>
                <w:rFonts w:hint="eastAsia" w:ascii="Times New Roman" w:hAnsi="Times New Roman" w:eastAsia="宋体" w:cs="Times New Roman"/>
                <w:color w:val="auto"/>
                <w:spacing w:val="0"/>
                <w:position w:val="0"/>
                <w:sz w:val="24"/>
                <w:highlight w:val="none"/>
              </w:rPr>
              <w:t>；</w:t>
            </w:r>
          </w:p>
          <w:p w14:paraId="6A1CE309">
            <w:pPr>
              <w:pStyle w:val="63"/>
              <w:numPr>
                <w:ilvl w:val="0"/>
                <w:numId w:val="0"/>
              </w:numPr>
              <w:ind w:left="0" w:leftChars="0" w:firstLine="480" w:firstLineChars="200"/>
              <w:rPr>
                <w:rFonts w:ascii="Times New Roman" w:hAnsi="Times New Roman" w:eastAsia="宋体" w:cs="Times New Roman"/>
                <w:color w:val="auto"/>
                <w:spacing w:val="0"/>
                <w:position w:val="0"/>
                <w:szCs w:val="24"/>
                <w:highlight w:val="none"/>
              </w:rPr>
            </w:pPr>
            <w:r>
              <w:rPr>
                <w:rFonts w:hint="eastAsia" w:cs="Times New Roman"/>
                <w:color w:val="auto"/>
                <w:spacing w:val="0"/>
                <w:position w:val="0"/>
                <w:szCs w:val="24"/>
                <w:highlight w:val="none"/>
                <w:lang w:val="en-US" w:eastAsia="zh-CN"/>
              </w:rPr>
              <w:t>E.</w:t>
            </w:r>
            <w:r>
              <w:rPr>
                <w:rFonts w:hint="eastAsia" w:cs="Times New Roman"/>
                <w:color w:val="auto"/>
                <w:spacing w:val="0"/>
                <w:position w:val="0"/>
                <w:szCs w:val="24"/>
                <w:highlight w:val="none"/>
                <w:lang w:eastAsia="zh-CN"/>
              </w:rPr>
              <w:t>危废暂存间</w:t>
            </w:r>
            <w:r>
              <w:rPr>
                <w:rFonts w:ascii="Times New Roman" w:hAnsi="Times New Roman" w:eastAsia="宋体" w:cs="Times New Roman"/>
                <w:color w:val="auto"/>
                <w:spacing w:val="0"/>
                <w:position w:val="0"/>
                <w:szCs w:val="24"/>
                <w:highlight w:val="none"/>
              </w:rPr>
              <w:t>按《危险废物贮存污染控制标准》（GB</w:t>
            </w:r>
            <w:r>
              <w:rPr>
                <w:rFonts w:hint="eastAsia" w:ascii="Times New Roman" w:hAnsi="Times New Roman" w:eastAsia="宋体" w:cs="Times New Roman"/>
                <w:color w:val="auto"/>
                <w:spacing w:val="0"/>
                <w:position w:val="0"/>
                <w:szCs w:val="24"/>
                <w:highlight w:val="none"/>
              </w:rPr>
              <w:t xml:space="preserve"> </w:t>
            </w:r>
            <w:r>
              <w:rPr>
                <w:rFonts w:ascii="Times New Roman" w:hAnsi="Times New Roman" w:eastAsia="宋体" w:cs="Times New Roman"/>
                <w:color w:val="auto"/>
                <w:spacing w:val="0"/>
                <w:position w:val="0"/>
                <w:szCs w:val="24"/>
                <w:highlight w:val="none"/>
              </w:rPr>
              <w:t>18597-20</w:t>
            </w:r>
            <w:r>
              <w:rPr>
                <w:rFonts w:hint="eastAsia" w:ascii="Times New Roman" w:hAnsi="Times New Roman" w:eastAsia="宋体" w:cs="Times New Roman"/>
                <w:color w:val="auto"/>
                <w:spacing w:val="0"/>
                <w:position w:val="0"/>
                <w:szCs w:val="24"/>
                <w:highlight w:val="none"/>
              </w:rPr>
              <w:t>23</w:t>
            </w:r>
            <w:r>
              <w:rPr>
                <w:rFonts w:ascii="Times New Roman" w:hAnsi="Times New Roman" w:eastAsia="宋体" w:cs="Times New Roman"/>
                <w:color w:val="auto"/>
                <w:spacing w:val="0"/>
                <w:position w:val="0"/>
                <w:szCs w:val="24"/>
                <w:highlight w:val="none"/>
              </w:rPr>
              <w:t>）要求进行防渗防漏处理。</w:t>
            </w:r>
            <w:r>
              <w:rPr>
                <w:rFonts w:hint="eastAsia" w:cs="Times New Roman"/>
                <w:color w:val="auto"/>
                <w:spacing w:val="0"/>
                <w:position w:val="0"/>
                <w:szCs w:val="24"/>
                <w:highlight w:val="none"/>
                <w:lang w:eastAsia="zh-CN"/>
              </w:rPr>
              <w:t>危废暂存间</w:t>
            </w:r>
            <w:r>
              <w:rPr>
                <w:rFonts w:hint="eastAsia" w:ascii="Times New Roman" w:hAnsi="Times New Roman" w:eastAsia="宋体" w:cs="Times New Roman"/>
                <w:color w:val="auto"/>
                <w:spacing w:val="0"/>
                <w:position w:val="0"/>
                <w:szCs w:val="24"/>
                <w:highlight w:val="none"/>
              </w:rPr>
              <w:t>内设有托盘、</w:t>
            </w:r>
            <w:r>
              <w:rPr>
                <w:rFonts w:ascii="Times New Roman" w:hAnsi="Times New Roman" w:eastAsia="宋体" w:cs="Times New Roman"/>
                <w:color w:val="auto"/>
                <w:spacing w:val="0"/>
                <w:position w:val="0"/>
                <w:szCs w:val="24"/>
                <w:highlight w:val="none"/>
              </w:rPr>
              <w:t>门口设</w:t>
            </w:r>
            <w:r>
              <w:rPr>
                <w:rFonts w:hint="eastAsia" w:ascii="Times New Roman" w:hAnsi="Times New Roman" w:eastAsia="宋体" w:cs="Times New Roman"/>
                <w:color w:val="auto"/>
                <w:spacing w:val="0"/>
                <w:position w:val="0"/>
                <w:szCs w:val="24"/>
                <w:highlight w:val="none"/>
              </w:rPr>
              <w:t>有</w:t>
            </w:r>
            <w:r>
              <w:rPr>
                <w:rFonts w:ascii="Times New Roman" w:hAnsi="Times New Roman" w:eastAsia="宋体" w:cs="Times New Roman"/>
                <w:color w:val="auto"/>
                <w:spacing w:val="0"/>
                <w:position w:val="0"/>
                <w:szCs w:val="24"/>
                <w:highlight w:val="none"/>
              </w:rPr>
              <w:t>围堰，确保</w:t>
            </w:r>
            <w:r>
              <w:rPr>
                <w:rFonts w:hint="eastAsia" w:ascii="Times New Roman" w:hAnsi="Times New Roman" w:eastAsia="宋体" w:cs="Times New Roman"/>
                <w:color w:val="auto"/>
                <w:spacing w:val="0"/>
                <w:position w:val="0"/>
                <w:szCs w:val="24"/>
                <w:highlight w:val="none"/>
              </w:rPr>
              <w:t>危险废物</w:t>
            </w:r>
            <w:r>
              <w:rPr>
                <w:rFonts w:ascii="Times New Roman" w:hAnsi="Times New Roman" w:eastAsia="宋体" w:cs="Times New Roman"/>
                <w:color w:val="auto"/>
                <w:spacing w:val="0"/>
                <w:position w:val="0"/>
                <w:szCs w:val="24"/>
                <w:highlight w:val="none"/>
              </w:rPr>
              <w:t>发生泄漏时，可成功截留在危废仓内。</w:t>
            </w:r>
          </w:p>
          <w:p w14:paraId="33F2DF39">
            <w:pPr>
              <w:spacing w:line="360" w:lineRule="auto"/>
              <w:ind w:firstLine="482" w:firstLineChars="200"/>
              <w:rPr>
                <w:rFonts w:ascii="Times New Roman" w:hAnsi="Times New Roman" w:eastAsia="宋体" w:cs="Times New Roman"/>
                <w:b/>
                <w:bCs/>
                <w:color w:val="auto"/>
                <w:spacing w:val="0"/>
                <w:position w:val="0"/>
                <w:sz w:val="24"/>
                <w:highlight w:val="none"/>
              </w:rPr>
            </w:pPr>
            <w:r>
              <w:rPr>
                <w:rFonts w:hint="eastAsia" w:cs="Times New Roman"/>
                <w:b/>
                <w:bCs/>
                <w:color w:val="auto"/>
                <w:spacing w:val="0"/>
                <w:position w:val="0"/>
                <w:sz w:val="24"/>
                <w:highlight w:val="none"/>
                <w:lang w:eastAsia="zh-CN"/>
              </w:rPr>
              <w:t>（</w:t>
            </w:r>
            <w:r>
              <w:rPr>
                <w:rFonts w:hint="eastAsia" w:cs="Times New Roman"/>
                <w:b/>
                <w:bCs/>
                <w:color w:val="auto"/>
                <w:spacing w:val="0"/>
                <w:position w:val="0"/>
                <w:sz w:val="24"/>
                <w:highlight w:val="none"/>
                <w:lang w:val="en-US" w:eastAsia="zh-CN"/>
              </w:rPr>
              <w:t>2</w:t>
            </w:r>
            <w:r>
              <w:rPr>
                <w:rFonts w:hint="eastAsia" w:cs="Times New Roman"/>
                <w:b/>
                <w:bCs/>
                <w:color w:val="auto"/>
                <w:spacing w:val="0"/>
                <w:position w:val="0"/>
                <w:sz w:val="24"/>
                <w:highlight w:val="none"/>
                <w:lang w:eastAsia="zh-CN"/>
              </w:rPr>
              <w:t>）</w:t>
            </w:r>
            <w:r>
              <w:rPr>
                <w:rFonts w:ascii="Times New Roman" w:hAnsi="Times New Roman" w:eastAsia="宋体" w:cs="Times New Roman"/>
                <w:b/>
                <w:bCs/>
                <w:color w:val="auto"/>
                <w:spacing w:val="0"/>
                <w:position w:val="0"/>
                <w:sz w:val="24"/>
                <w:highlight w:val="none"/>
              </w:rPr>
              <w:t>废</w:t>
            </w:r>
            <w:r>
              <w:rPr>
                <w:rFonts w:hint="eastAsia" w:ascii="Times New Roman" w:hAnsi="Times New Roman" w:eastAsia="宋体" w:cs="Times New Roman"/>
                <w:b/>
                <w:bCs/>
                <w:color w:val="auto"/>
                <w:spacing w:val="0"/>
                <w:position w:val="0"/>
                <w:sz w:val="24"/>
                <w:highlight w:val="none"/>
                <w:lang w:val="en-US" w:eastAsia="zh-CN"/>
              </w:rPr>
              <w:t>水</w:t>
            </w:r>
            <w:r>
              <w:rPr>
                <w:rFonts w:ascii="Times New Roman" w:hAnsi="Times New Roman" w:eastAsia="宋体" w:cs="Times New Roman"/>
                <w:b/>
                <w:bCs/>
                <w:color w:val="auto"/>
                <w:spacing w:val="0"/>
                <w:position w:val="0"/>
                <w:sz w:val="24"/>
                <w:highlight w:val="none"/>
              </w:rPr>
              <w:t>事故</w:t>
            </w:r>
            <w:r>
              <w:rPr>
                <w:rFonts w:hint="eastAsia" w:ascii="Times New Roman" w:hAnsi="Times New Roman" w:eastAsia="宋体" w:cs="Times New Roman"/>
                <w:b/>
                <w:bCs/>
                <w:color w:val="auto"/>
                <w:spacing w:val="0"/>
                <w:position w:val="0"/>
                <w:sz w:val="24"/>
                <w:highlight w:val="none"/>
              </w:rPr>
              <w:t>防范措施</w:t>
            </w:r>
          </w:p>
          <w:p w14:paraId="5C0B1AD7">
            <w:pPr>
              <w:spacing w:line="360" w:lineRule="auto"/>
              <w:ind w:firstLine="480" w:firstLineChars="200"/>
              <w:rPr>
                <w:rFonts w:ascii="Times New Roman" w:hAnsi="Times New Roman" w:eastAsia="宋体" w:cs="Times New Roman"/>
                <w:color w:val="auto"/>
                <w:spacing w:val="0"/>
                <w:position w:val="0"/>
                <w:sz w:val="24"/>
                <w:highlight w:val="none"/>
              </w:rPr>
            </w:pPr>
            <w:r>
              <w:rPr>
                <w:rFonts w:hint="eastAsia" w:ascii="Times New Roman" w:hAnsi="Times New Roman" w:eastAsia="宋体" w:cs="Times New Roman"/>
                <w:color w:val="auto"/>
                <w:spacing w:val="0"/>
                <w:position w:val="0"/>
                <w:sz w:val="24"/>
                <w:szCs w:val="24"/>
                <w:highlight w:val="none"/>
              </w:rPr>
              <w:t>定期对污水处理设施</w:t>
            </w:r>
            <w:r>
              <w:rPr>
                <w:rFonts w:hint="eastAsia"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val="en-US" w:eastAsia="zh-CN"/>
              </w:rPr>
              <w:t>水帘气旋设备</w:t>
            </w:r>
            <w:r>
              <w:rPr>
                <w:rFonts w:hint="eastAsia" w:ascii="Times New Roman" w:hAnsi="Times New Roman" w:eastAsia="宋体" w:cs="Times New Roman"/>
                <w:color w:val="auto"/>
                <w:spacing w:val="0"/>
                <w:position w:val="0"/>
                <w:sz w:val="24"/>
                <w:szCs w:val="24"/>
                <w:highlight w:val="none"/>
              </w:rPr>
              <w:t>进行设备设施的检查和维护，及时发现并排除存在的安全隐患，保持设备设施的良好工作状态</w:t>
            </w:r>
            <w:r>
              <w:rPr>
                <w:rFonts w:hint="eastAsia" w:ascii="Times New Roman" w:hAnsi="Times New Roman" w:eastAsia="宋体" w:cs="Times New Roman"/>
                <w:color w:val="auto"/>
                <w:spacing w:val="0"/>
                <w:position w:val="0"/>
                <w:sz w:val="24"/>
                <w:szCs w:val="24"/>
                <w:highlight w:val="none"/>
                <w:lang w:eastAsia="zh-CN"/>
              </w:rPr>
              <w:t>。制定并严格执行操作规程，包括设备运行、检修和维护等各个环节的标准化操作程序。同时，加强对操作人员的监督和管理，确保操作按照规程进行，</w:t>
            </w:r>
            <w:r>
              <w:rPr>
                <w:rFonts w:hint="eastAsia" w:ascii="Times New Roman" w:hAnsi="Times New Roman" w:eastAsia="宋体" w:cs="Times New Roman"/>
                <w:color w:val="auto"/>
                <w:spacing w:val="0"/>
                <w:position w:val="0"/>
                <w:sz w:val="24"/>
                <w:szCs w:val="24"/>
                <w:highlight w:val="none"/>
                <w:lang w:val="en-US" w:eastAsia="zh-CN"/>
              </w:rPr>
              <w:t>降低事故发生的可能性</w:t>
            </w:r>
            <w:r>
              <w:rPr>
                <w:rFonts w:hint="eastAsia" w:ascii="Times New Roman" w:hAnsi="Times New Roman" w:eastAsia="宋体" w:cs="Times New Roman"/>
                <w:color w:val="auto"/>
                <w:spacing w:val="0"/>
                <w:position w:val="0"/>
                <w:sz w:val="24"/>
                <w:szCs w:val="24"/>
                <w:highlight w:val="none"/>
                <w:lang w:eastAsia="zh-CN"/>
              </w:rPr>
              <w:t>‌。</w:t>
            </w:r>
            <w:r>
              <w:rPr>
                <w:rFonts w:hint="eastAsia" w:ascii="Times New Roman" w:hAnsi="Times New Roman" w:eastAsia="宋体" w:cs="Times New Roman"/>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应设有备用电源和备用处理设备和零件，一旦设备出现故障不能及时处理的，应立即上报主管，并通知相应车间停产。</w:t>
            </w:r>
          </w:p>
          <w:p w14:paraId="5EFAC4C7">
            <w:pPr>
              <w:spacing w:line="360" w:lineRule="auto"/>
              <w:ind w:firstLine="482" w:firstLineChars="200"/>
              <w:rPr>
                <w:rFonts w:ascii="Times New Roman" w:hAnsi="Times New Roman" w:eastAsia="宋体" w:cs="Times New Roman"/>
                <w:b/>
                <w:bCs/>
                <w:color w:val="auto"/>
                <w:spacing w:val="0"/>
                <w:position w:val="0"/>
                <w:sz w:val="24"/>
                <w:highlight w:val="none"/>
              </w:rPr>
            </w:pPr>
            <w:r>
              <w:rPr>
                <w:rFonts w:hint="eastAsia" w:cs="Times New Roman"/>
                <w:b/>
                <w:bCs/>
                <w:color w:val="auto"/>
                <w:spacing w:val="0"/>
                <w:position w:val="0"/>
                <w:sz w:val="24"/>
                <w:highlight w:val="none"/>
                <w:lang w:val="en-US" w:eastAsia="zh-CN"/>
              </w:rPr>
              <w:t>（3）</w:t>
            </w:r>
            <w:r>
              <w:rPr>
                <w:rFonts w:ascii="Times New Roman" w:hAnsi="Times New Roman" w:eastAsia="宋体" w:cs="Times New Roman"/>
                <w:b/>
                <w:bCs/>
                <w:color w:val="auto"/>
                <w:spacing w:val="0"/>
                <w:position w:val="0"/>
                <w:sz w:val="24"/>
                <w:highlight w:val="none"/>
              </w:rPr>
              <w:t>废气事故</w:t>
            </w:r>
            <w:r>
              <w:rPr>
                <w:rFonts w:hint="eastAsia" w:ascii="Times New Roman" w:hAnsi="Times New Roman" w:eastAsia="宋体" w:cs="Times New Roman"/>
                <w:b/>
                <w:bCs/>
                <w:color w:val="auto"/>
                <w:spacing w:val="0"/>
                <w:position w:val="0"/>
                <w:sz w:val="24"/>
                <w:highlight w:val="none"/>
              </w:rPr>
              <w:t>防范措施</w:t>
            </w:r>
          </w:p>
          <w:p w14:paraId="238747DE">
            <w:pPr>
              <w:pStyle w:val="63"/>
              <w:ind w:firstLine="480"/>
              <w:rPr>
                <w:rFonts w:ascii="Times New Roman" w:hAnsi="Times New Roman" w:eastAsia="宋体" w:cs="Times New Roman"/>
                <w:color w:val="auto"/>
                <w:spacing w:val="0"/>
                <w:position w:val="0"/>
                <w:szCs w:val="24"/>
                <w:highlight w:val="none"/>
              </w:rPr>
            </w:pPr>
            <w:r>
              <w:rPr>
                <w:rFonts w:ascii="Times New Roman" w:hAnsi="Times New Roman" w:eastAsia="宋体" w:cs="Times New Roman"/>
                <w:color w:val="auto"/>
                <w:spacing w:val="0"/>
                <w:position w:val="0"/>
                <w:szCs w:val="24"/>
                <w:highlight w:val="none"/>
              </w:rPr>
              <w:t>加强废气处理设施的维护，及时发现处理设备的隐患，确保废气处理</w:t>
            </w:r>
            <w:r>
              <w:rPr>
                <w:rFonts w:hint="eastAsia" w:ascii="Times New Roman" w:hAnsi="Times New Roman" w:eastAsia="宋体" w:cs="Times New Roman"/>
                <w:color w:val="auto"/>
                <w:spacing w:val="0"/>
                <w:position w:val="0"/>
                <w:szCs w:val="24"/>
                <w:highlight w:val="none"/>
              </w:rPr>
              <w:t>系统</w:t>
            </w:r>
            <w:r>
              <w:rPr>
                <w:rFonts w:ascii="Times New Roman" w:hAnsi="Times New Roman" w:eastAsia="宋体" w:cs="Times New Roman"/>
                <w:color w:val="auto"/>
                <w:spacing w:val="0"/>
                <w:position w:val="0"/>
                <w:szCs w:val="24"/>
                <w:highlight w:val="none"/>
              </w:rPr>
              <w:t>正常运行；开、停、检修要有预案，有严密周全的计划，确保不发生事故排放，或使影响最小。应设有备用电源和备用处理设备和零件，以备停电或设备出现故障时及时更换使废气全部做到达标排放。一旦设备出现故障不能及时处理的，应立即上报主管，并通知相应车间停产。</w:t>
            </w:r>
          </w:p>
          <w:p w14:paraId="5A0D933B">
            <w:pPr>
              <w:pStyle w:val="63"/>
              <w:spacing w:line="348" w:lineRule="auto"/>
              <w:ind w:firstLine="480"/>
              <w:rPr>
                <w:rFonts w:ascii="Times New Roman" w:hAnsi="Times New Roman" w:eastAsia="宋体" w:cs="Times New Roman"/>
                <w:b/>
                <w:bCs/>
                <w:color w:val="auto"/>
                <w:spacing w:val="0"/>
                <w:position w:val="0"/>
                <w:szCs w:val="24"/>
                <w:highlight w:val="none"/>
              </w:rPr>
            </w:pPr>
            <w:r>
              <w:rPr>
                <w:rFonts w:hint="eastAsia" w:cs="Times New Roman"/>
                <w:b/>
                <w:bCs/>
                <w:color w:val="auto"/>
                <w:spacing w:val="0"/>
                <w:position w:val="0"/>
                <w:szCs w:val="24"/>
                <w:highlight w:val="none"/>
                <w:lang w:val="en-US" w:eastAsia="zh-CN"/>
              </w:rPr>
              <w:t>（4）</w:t>
            </w:r>
            <w:r>
              <w:rPr>
                <w:rFonts w:ascii="Times New Roman" w:hAnsi="Times New Roman" w:eastAsia="宋体" w:cs="Times New Roman"/>
                <w:b/>
                <w:bCs/>
                <w:color w:val="auto"/>
                <w:spacing w:val="0"/>
                <w:position w:val="0"/>
                <w:szCs w:val="24"/>
                <w:highlight w:val="none"/>
              </w:rPr>
              <w:t>火灾事故应急处理措施</w:t>
            </w:r>
          </w:p>
          <w:p w14:paraId="379D1F2D">
            <w:pPr>
              <w:spacing w:line="360" w:lineRule="auto"/>
              <w:ind w:firstLine="480" w:firstLineChars="200"/>
              <w:rPr>
                <w:rFonts w:ascii="Times New Roman" w:hAnsi="Times New Roman" w:eastAsia="宋体" w:cs="Times New Roman"/>
                <w:color w:val="auto"/>
                <w:spacing w:val="0"/>
                <w:position w:val="0"/>
                <w:sz w:val="24"/>
                <w:highlight w:val="none"/>
              </w:rPr>
            </w:pPr>
            <w:r>
              <w:rPr>
                <w:rFonts w:ascii="Times New Roman" w:hAnsi="Times New Roman" w:eastAsia="宋体" w:cs="Times New Roman"/>
                <w:color w:val="auto"/>
                <w:spacing w:val="0"/>
                <w:position w:val="0"/>
                <w:sz w:val="24"/>
                <w:highlight w:val="none"/>
              </w:rPr>
              <w:t>当火灾事故发生时，</w:t>
            </w:r>
            <w:r>
              <w:rPr>
                <w:rFonts w:hint="eastAsia" w:cs="Times New Roman"/>
                <w:color w:val="auto"/>
                <w:spacing w:val="0"/>
                <w:position w:val="0"/>
                <w:sz w:val="24"/>
                <w:highlight w:val="none"/>
                <w:lang w:val="en-US" w:eastAsia="zh-CN"/>
              </w:rPr>
              <w:t>根据</w:t>
            </w:r>
            <w:r>
              <w:rPr>
                <w:rFonts w:hint="eastAsia" w:ascii="Times New Roman" w:hAnsi="Times New Roman" w:eastAsia="宋体" w:cs="Times New Roman"/>
                <w:color w:val="auto"/>
                <w:spacing w:val="0"/>
                <w:position w:val="0"/>
                <w:sz w:val="24"/>
                <w:highlight w:val="none"/>
                <w:lang w:val="en-US" w:eastAsia="zh-CN"/>
              </w:rPr>
              <w:t>原料、</w:t>
            </w:r>
            <w:r>
              <w:rPr>
                <w:rFonts w:hint="eastAsia" w:ascii="Times New Roman" w:hAnsi="Times New Roman" w:eastAsia="宋体" w:cs="Times New Roman"/>
                <w:color w:val="auto"/>
                <w:spacing w:val="0"/>
                <w:position w:val="0"/>
                <w:sz w:val="24"/>
                <w:highlight w:val="none"/>
              </w:rPr>
              <w:t>成品</w:t>
            </w:r>
            <w:r>
              <w:rPr>
                <w:rFonts w:hint="eastAsia" w:ascii="Times New Roman" w:hAnsi="Times New Roman" w:eastAsia="宋体" w:cs="Times New Roman"/>
                <w:color w:val="auto"/>
                <w:spacing w:val="0"/>
                <w:position w:val="0"/>
                <w:sz w:val="24"/>
                <w:highlight w:val="none"/>
                <w:lang w:val="en-US" w:eastAsia="zh-CN"/>
              </w:rPr>
              <w:t>、</w:t>
            </w:r>
            <w:r>
              <w:rPr>
                <w:rFonts w:hint="eastAsia" w:cs="Times New Roman"/>
                <w:color w:val="auto"/>
                <w:spacing w:val="0"/>
                <w:position w:val="0"/>
                <w:sz w:val="24"/>
                <w:highlight w:val="none"/>
                <w:lang w:val="en-US" w:eastAsia="zh-CN"/>
              </w:rPr>
              <w:t>喷漆晾干房</w:t>
            </w:r>
            <w:r>
              <w:rPr>
                <w:rFonts w:hint="eastAsia" w:ascii="Times New Roman" w:hAnsi="Times New Roman" w:eastAsia="宋体" w:cs="Times New Roman"/>
                <w:color w:val="auto"/>
                <w:spacing w:val="0"/>
                <w:position w:val="0"/>
                <w:sz w:val="24"/>
                <w:highlight w:val="none"/>
                <w:lang w:val="en-US" w:eastAsia="zh-CN"/>
              </w:rPr>
              <w:t>、</w:t>
            </w:r>
            <w:r>
              <w:rPr>
                <w:rFonts w:hint="eastAsia" w:ascii="Times New Roman" w:hAnsi="Times New Roman" w:eastAsia="宋体" w:cs="Times New Roman"/>
                <w:color w:val="auto"/>
                <w:spacing w:val="0"/>
                <w:position w:val="0"/>
                <w:sz w:val="24"/>
                <w:highlight w:val="none"/>
              </w:rPr>
              <w:t>化学品</w:t>
            </w:r>
            <w:r>
              <w:rPr>
                <w:rFonts w:hint="eastAsia" w:cs="Times New Roman"/>
                <w:color w:val="auto"/>
                <w:spacing w:val="0"/>
                <w:position w:val="0"/>
                <w:sz w:val="24"/>
                <w:highlight w:val="none"/>
                <w:lang w:val="en-US" w:eastAsia="zh-CN"/>
              </w:rPr>
              <w:t>仓</w:t>
            </w:r>
            <w:r>
              <w:rPr>
                <w:rFonts w:hint="eastAsia" w:ascii="Times New Roman" w:hAnsi="Times New Roman" w:eastAsia="宋体" w:cs="Times New Roman"/>
                <w:color w:val="auto"/>
                <w:spacing w:val="0"/>
                <w:position w:val="0"/>
                <w:sz w:val="24"/>
                <w:highlight w:val="none"/>
                <w:lang w:val="en-US" w:eastAsia="zh-CN"/>
              </w:rPr>
              <w:t>库</w:t>
            </w:r>
            <w:r>
              <w:rPr>
                <w:rFonts w:hint="eastAsia" w:ascii="Times New Roman" w:hAnsi="Times New Roman" w:eastAsia="宋体" w:cs="Times New Roman"/>
                <w:color w:val="auto"/>
                <w:spacing w:val="0"/>
                <w:position w:val="0"/>
                <w:sz w:val="24"/>
                <w:highlight w:val="none"/>
              </w:rPr>
              <w:t>、</w:t>
            </w:r>
            <w:r>
              <w:rPr>
                <w:rFonts w:hint="eastAsia" w:cs="Times New Roman"/>
                <w:color w:val="auto"/>
                <w:spacing w:val="0"/>
                <w:position w:val="0"/>
                <w:sz w:val="24"/>
                <w:highlight w:val="none"/>
                <w:lang w:val="en-US" w:eastAsia="zh-CN"/>
              </w:rPr>
              <w:t>一般固废间</w:t>
            </w:r>
            <w:r>
              <w:rPr>
                <w:rFonts w:hint="eastAsia" w:ascii="Times New Roman" w:hAnsi="Times New Roman" w:eastAsia="宋体" w:cs="Times New Roman"/>
                <w:color w:val="auto"/>
                <w:spacing w:val="0"/>
                <w:position w:val="0"/>
                <w:sz w:val="24"/>
                <w:highlight w:val="none"/>
                <w:lang w:val="en-US" w:eastAsia="zh-CN"/>
              </w:rPr>
              <w:t>及危废</w:t>
            </w:r>
            <w:r>
              <w:rPr>
                <w:rFonts w:hint="eastAsia" w:cs="Times New Roman"/>
                <w:color w:val="auto"/>
                <w:spacing w:val="0"/>
                <w:position w:val="0"/>
                <w:sz w:val="24"/>
                <w:highlight w:val="none"/>
                <w:lang w:val="en-US" w:eastAsia="zh-CN"/>
              </w:rPr>
              <w:t>暂存间</w:t>
            </w:r>
            <w:r>
              <w:rPr>
                <w:rFonts w:hint="eastAsia" w:ascii="Times New Roman" w:hAnsi="Times New Roman" w:eastAsia="宋体" w:cs="Times New Roman"/>
                <w:color w:val="auto"/>
                <w:spacing w:val="0"/>
                <w:position w:val="0"/>
                <w:sz w:val="24"/>
                <w:highlight w:val="none"/>
              </w:rPr>
              <w:t>等物料的火灾事故</w:t>
            </w:r>
            <w:r>
              <w:rPr>
                <w:rFonts w:ascii="Times New Roman" w:hAnsi="Times New Roman" w:eastAsia="宋体" w:cs="Times New Roman"/>
                <w:color w:val="auto"/>
                <w:spacing w:val="0"/>
                <w:position w:val="0"/>
                <w:sz w:val="24"/>
                <w:highlight w:val="none"/>
              </w:rPr>
              <w:t>特点，企业</w:t>
            </w:r>
            <w:r>
              <w:rPr>
                <w:rFonts w:hint="eastAsia" w:ascii="Times New Roman" w:hAnsi="Times New Roman" w:eastAsia="宋体" w:cs="Times New Roman"/>
                <w:color w:val="auto"/>
                <w:spacing w:val="0"/>
                <w:position w:val="0"/>
                <w:sz w:val="24"/>
                <w:highlight w:val="none"/>
              </w:rPr>
              <w:t>在发生</w:t>
            </w:r>
            <w:r>
              <w:rPr>
                <w:rFonts w:ascii="Times New Roman" w:hAnsi="Times New Roman" w:eastAsia="宋体" w:cs="Times New Roman"/>
                <w:color w:val="auto"/>
                <w:spacing w:val="0"/>
                <w:position w:val="0"/>
                <w:sz w:val="24"/>
                <w:highlight w:val="none"/>
              </w:rPr>
              <w:t>火灾</w:t>
            </w:r>
            <w:r>
              <w:rPr>
                <w:rFonts w:hint="eastAsia" w:ascii="Times New Roman" w:hAnsi="Times New Roman" w:eastAsia="宋体" w:cs="Times New Roman"/>
                <w:color w:val="auto"/>
                <w:spacing w:val="0"/>
                <w:position w:val="0"/>
                <w:sz w:val="24"/>
                <w:highlight w:val="none"/>
              </w:rPr>
              <w:t>区域内</w:t>
            </w:r>
            <w:r>
              <w:rPr>
                <w:rFonts w:ascii="Times New Roman" w:hAnsi="Times New Roman" w:eastAsia="宋体" w:cs="Times New Roman"/>
                <w:color w:val="auto"/>
                <w:spacing w:val="0"/>
                <w:position w:val="0"/>
                <w:sz w:val="24"/>
                <w:highlight w:val="none"/>
              </w:rPr>
              <w:t>主要采用</w:t>
            </w:r>
            <w:r>
              <w:rPr>
                <w:rFonts w:hint="eastAsia" w:ascii="Times New Roman" w:hAnsi="Times New Roman" w:eastAsia="宋体" w:cs="Times New Roman"/>
                <w:color w:val="auto"/>
                <w:spacing w:val="0"/>
                <w:position w:val="0"/>
                <w:sz w:val="24"/>
                <w:highlight w:val="none"/>
                <w:lang w:val="en-US" w:eastAsia="zh-CN"/>
              </w:rPr>
              <w:t>二氧化碳灭火器</w:t>
            </w:r>
            <w:r>
              <w:rPr>
                <w:rFonts w:hint="eastAsia" w:ascii="Times New Roman" w:hAnsi="Times New Roman" w:eastAsia="宋体" w:cs="Times New Roman"/>
                <w:color w:val="auto"/>
                <w:spacing w:val="0"/>
                <w:position w:val="0"/>
                <w:sz w:val="24"/>
                <w:highlight w:val="none"/>
                <w:lang w:eastAsia="zh-CN"/>
              </w:rPr>
              <w:t>、</w:t>
            </w:r>
            <w:r>
              <w:rPr>
                <w:rFonts w:ascii="Times New Roman" w:hAnsi="Times New Roman" w:eastAsia="宋体" w:cs="Times New Roman"/>
                <w:color w:val="auto"/>
                <w:spacing w:val="0"/>
                <w:position w:val="0"/>
                <w:sz w:val="24"/>
                <w:highlight w:val="none"/>
              </w:rPr>
              <w:t>泡沫灭火器</w:t>
            </w:r>
            <w:r>
              <w:rPr>
                <w:rFonts w:hint="eastAsia" w:ascii="Times New Roman" w:hAnsi="Times New Roman" w:eastAsia="宋体" w:cs="Times New Roman"/>
                <w:color w:val="auto"/>
                <w:spacing w:val="0"/>
                <w:position w:val="0"/>
                <w:sz w:val="24"/>
                <w:highlight w:val="none"/>
              </w:rPr>
              <w:t>、沙子</w:t>
            </w:r>
            <w:r>
              <w:rPr>
                <w:rFonts w:ascii="Times New Roman" w:hAnsi="Times New Roman" w:eastAsia="宋体" w:cs="Times New Roman"/>
                <w:color w:val="auto"/>
                <w:spacing w:val="0"/>
                <w:position w:val="0"/>
                <w:sz w:val="24"/>
                <w:highlight w:val="none"/>
              </w:rPr>
              <w:t>控制，因此一般不会造成含有危险化学品的消防废水大量排放，故不会对周边地表水环境造成二次污染影响。</w:t>
            </w:r>
          </w:p>
          <w:p w14:paraId="08389AF2">
            <w:pPr>
              <w:numPr>
                <w:ilvl w:val="0"/>
                <w:numId w:val="0"/>
              </w:numPr>
              <w:spacing w:line="360" w:lineRule="auto"/>
              <w:ind w:left="0" w:leftChars="0" w:firstLine="480" w:firstLineChars="200"/>
              <w:rPr>
                <w:rFonts w:ascii="Times New Roman" w:hAnsi="Times New Roman" w:eastAsia="宋体" w:cs="Times New Roman"/>
                <w:color w:val="auto"/>
                <w:spacing w:val="0"/>
                <w:position w:val="0"/>
                <w:sz w:val="24"/>
                <w:highlight w:val="none"/>
              </w:rPr>
            </w:pPr>
            <w:r>
              <w:rPr>
                <w:rFonts w:hint="eastAsia" w:ascii="Times New Roman" w:hAnsi="Times New Roman" w:eastAsia="宋体" w:cs="Times New Roman"/>
                <w:color w:val="auto"/>
                <w:spacing w:val="0"/>
                <w:kern w:val="2"/>
                <w:position w:val="0"/>
                <w:sz w:val="24"/>
                <w:szCs w:val="24"/>
                <w:highlight w:val="none"/>
                <w:lang w:val="en-US" w:eastAsia="zh-CN" w:bidi="ar-SA"/>
              </w:rPr>
              <w:t>①</w:t>
            </w:r>
            <w:r>
              <w:rPr>
                <w:rFonts w:ascii="Times New Roman" w:hAnsi="Times New Roman" w:eastAsia="宋体" w:cs="Times New Roman"/>
                <w:color w:val="auto"/>
                <w:spacing w:val="0"/>
                <w:position w:val="0"/>
                <w:sz w:val="24"/>
                <w:highlight w:val="none"/>
              </w:rPr>
              <w:t>有毒有害物质由抢修抢险组配备相应的防护、收集用具收集后，贮存于密封的桶内，转移到安全的区域，最终统一处置，优先进行回收利用，如不可回用则委托有资质的单位处理</w:t>
            </w:r>
            <w:r>
              <w:rPr>
                <w:rFonts w:hint="eastAsia" w:ascii="Times New Roman" w:hAnsi="Times New Roman" w:eastAsia="宋体" w:cs="Times New Roman"/>
                <w:color w:val="auto"/>
                <w:spacing w:val="0"/>
                <w:position w:val="0"/>
                <w:sz w:val="24"/>
                <w:highlight w:val="none"/>
              </w:rPr>
              <w:t>。</w:t>
            </w:r>
          </w:p>
          <w:p w14:paraId="5001F262">
            <w:pPr>
              <w:pStyle w:val="63"/>
              <w:numPr>
                <w:ilvl w:val="0"/>
                <w:numId w:val="0"/>
              </w:numPr>
              <w:ind w:left="0" w:leftChars="0" w:firstLine="480" w:firstLineChars="200"/>
              <w:rPr>
                <w:rFonts w:ascii="Times New Roman" w:hAnsi="Times New Roman" w:eastAsia="宋体" w:cs="Times New Roman"/>
                <w:color w:val="auto"/>
                <w:spacing w:val="0"/>
                <w:position w:val="0"/>
                <w:szCs w:val="24"/>
                <w:highlight w:val="none"/>
              </w:rPr>
            </w:pPr>
            <w:r>
              <w:rPr>
                <w:rFonts w:hint="eastAsia" w:ascii="Times New Roman" w:hAnsi="Times New Roman" w:eastAsia="宋体" w:cs="Times New Roman"/>
                <w:color w:val="auto"/>
                <w:spacing w:val="0"/>
                <w:kern w:val="2"/>
                <w:position w:val="0"/>
                <w:sz w:val="24"/>
                <w:szCs w:val="24"/>
                <w:highlight w:val="none"/>
                <w:lang w:val="en-US" w:eastAsia="zh-CN" w:bidi="ar-SA"/>
              </w:rPr>
              <w:t>②</w:t>
            </w:r>
            <w:r>
              <w:rPr>
                <w:rFonts w:ascii="Times New Roman" w:hAnsi="Times New Roman" w:eastAsia="宋体" w:cs="Times New Roman"/>
                <w:color w:val="auto"/>
                <w:spacing w:val="0"/>
                <w:position w:val="0"/>
                <w:szCs w:val="24"/>
                <w:highlight w:val="none"/>
              </w:rPr>
              <w:t>报告厂区或上级消防控制部门，启动消防和环境风险应急预案。</w:t>
            </w:r>
          </w:p>
          <w:p w14:paraId="36C693AB">
            <w:pPr>
              <w:spacing w:line="360" w:lineRule="auto"/>
              <w:ind w:firstLine="482" w:firstLineChars="200"/>
              <w:rPr>
                <w:rFonts w:ascii="Times New Roman" w:hAnsi="Times New Roman" w:eastAsia="宋体" w:cs="Times New Roman"/>
                <w:color w:val="auto"/>
                <w:spacing w:val="0"/>
                <w:position w:val="0"/>
                <w:sz w:val="24"/>
                <w:highlight w:val="none"/>
              </w:rPr>
            </w:pPr>
            <w:r>
              <w:rPr>
                <w:rFonts w:hint="eastAsia" w:cs="Times New Roman"/>
                <w:b/>
                <w:bCs/>
                <w:color w:val="auto"/>
                <w:spacing w:val="0"/>
                <w:kern w:val="0"/>
                <w:position w:val="0"/>
                <w:sz w:val="24"/>
                <w:highlight w:val="none"/>
                <w:lang w:val="en-US" w:eastAsia="zh-CN" w:bidi="ar"/>
              </w:rPr>
              <w:t>（5）</w:t>
            </w:r>
            <w:r>
              <w:rPr>
                <w:rFonts w:ascii="Times New Roman" w:hAnsi="Times New Roman" w:eastAsia="宋体" w:cs="Times New Roman"/>
                <w:b/>
                <w:bCs/>
                <w:color w:val="auto"/>
                <w:spacing w:val="0"/>
                <w:position w:val="0"/>
                <w:sz w:val="24"/>
                <w:highlight w:val="none"/>
              </w:rPr>
              <w:t>其他风险防范及管理措施</w:t>
            </w:r>
          </w:p>
          <w:p w14:paraId="3541C0DE">
            <w:pPr>
              <w:numPr>
                <w:ilvl w:val="0"/>
                <w:numId w:val="0"/>
              </w:numPr>
              <w:spacing w:line="360" w:lineRule="auto"/>
              <w:ind w:left="0" w:leftChars="0" w:firstLine="480" w:firstLineChars="200"/>
              <w:rPr>
                <w:rFonts w:ascii="Times New Roman" w:hAnsi="Times New Roman" w:eastAsia="宋体" w:cs="Times New Roman"/>
                <w:color w:val="auto"/>
                <w:spacing w:val="0"/>
                <w:position w:val="0"/>
                <w:sz w:val="24"/>
                <w:highlight w:val="none"/>
              </w:rPr>
            </w:pPr>
            <w:r>
              <w:rPr>
                <w:rFonts w:hint="eastAsia" w:ascii="Times New Roman" w:hAnsi="Times New Roman" w:eastAsia="宋体" w:cs="Times New Roman"/>
                <w:color w:val="auto"/>
                <w:spacing w:val="0"/>
                <w:kern w:val="2"/>
                <w:position w:val="0"/>
                <w:sz w:val="24"/>
                <w:szCs w:val="24"/>
                <w:highlight w:val="none"/>
                <w:lang w:val="en-US" w:eastAsia="zh-CN" w:bidi="ar-SA"/>
              </w:rPr>
              <w:t>①</w:t>
            </w:r>
            <w:r>
              <w:rPr>
                <w:rFonts w:ascii="Times New Roman" w:hAnsi="Times New Roman" w:eastAsia="宋体" w:cs="Times New Roman"/>
                <w:color w:val="auto"/>
                <w:spacing w:val="0"/>
                <w:position w:val="0"/>
                <w:sz w:val="24"/>
                <w:highlight w:val="none"/>
              </w:rPr>
              <w:t>各生产环节严格执行生产管理的有关规定，加强设备的检修及保养，提高管理人员素质，并设置机器事故应急措施及管理制度，确保设备长期处于良好状态，使设备达到预期的处理效果。</w:t>
            </w:r>
          </w:p>
          <w:p w14:paraId="7210EB58">
            <w:pPr>
              <w:numPr>
                <w:ilvl w:val="0"/>
                <w:numId w:val="0"/>
              </w:numPr>
              <w:spacing w:line="360" w:lineRule="auto"/>
              <w:ind w:left="0" w:leftChars="0" w:firstLine="480" w:firstLineChars="200"/>
              <w:rPr>
                <w:rFonts w:ascii="Times New Roman" w:hAnsi="Times New Roman" w:eastAsia="宋体" w:cs="Times New Roman"/>
                <w:color w:val="auto"/>
                <w:spacing w:val="0"/>
                <w:position w:val="0"/>
                <w:sz w:val="24"/>
                <w:highlight w:val="none"/>
              </w:rPr>
            </w:pPr>
            <w:r>
              <w:rPr>
                <w:rFonts w:hint="eastAsia" w:ascii="Times New Roman" w:hAnsi="Times New Roman" w:eastAsia="宋体" w:cs="Times New Roman"/>
                <w:color w:val="auto"/>
                <w:spacing w:val="0"/>
                <w:kern w:val="2"/>
                <w:position w:val="0"/>
                <w:sz w:val="24"/>
                <w:szCs w:val="24"/>
                <w:highlight w:val="none"/>
                <w:lang w:val="en-US" w:eastAsia="zh-CN" w:bidi="ar-SA"/>
              </w:rPr>
              <w:t>②</w:t>
            </w:r>
            <w:r>
              <w:rPr>
                <w:rFonts w:ascii="Times New Roman" w:hAnsi="Times New Roman" w:eastAsia="宋体" w:cs="Times New Roman"/>
                <w:color w:val="auto"/>
                <w:spacing w:val="0"/>
                <w:position w:val="0"/>
                <w:sz w:val="24"/>
                <w:highlight w:val="none"/>
              </w:rPr>
              <w:t>现场作业人员定时记录废气设施处理状况，并派专人巡视，遇不良工作状况应立即停止车间相关作业，维修正常后再开始作业，杜绝事故性废气排放，并及时呈报单位主管，待检修完毕再通知生产车间相关工序。</w:t>
            </w:r>
          </w:p>
          <w:p w14:paraId="28A4C217">
            <w:pPr>
              <w:numPr>
                <w:ilvl w:val="0"/>
                <w:numId w:val="0"/>
              </w:numPr>
              <w:spacing w:line="360" w:lineRule="auto"/>
              <w:ind w:left="0" w:leftChars="0" w:firstLine="480" w:firstLineChars="200"/>
              <w:rPr>
                <w:rFonts w:ascii="Times New Roman" w:hAnsi="Times New Roman" w:eastAsia="宋体" w:cs="Times New Roman"/>
                <w:color w:val="auto"/>
                <w:spacing w:val="0"/>
                <w:position w:val="0"/>
                <w:sz w:val="24"/>
                <w:highlight w:val="none"/>
              </w:rPr>
            </w:pPr>
            <w:r>
              <w:rPr>
                <w:rFonts w:hint="eastAsia" w:ascii="Times New Roman" w:hAnsi="Times New Roman" w:eastAsia="宋体" w:cs="Times New Roman"/>
                <w:color w:val="auto"/>
                <w:spacing w:val="0"/>
                <w:kern w:val="2"/>
                <w:position w:val="0"/>
                <w:sz w:val="24"/>
                <w:szCs w:val="24"/>
                <w:highlight w:val="none"/>
                <w:lang w:val="en-US" w:eastAsia="zh-CN" w:bidi="ar-SA"/>
              </w:rPr>
              <w:t>③</w:t>
            </w:r>
            <w:r>
              <w:rPr>
                <w:rFonts w:ascii="Times New Roman" w:hAnsi="Times New Roman" w:eastAsia="宋体" w:cs="Times New Roman"/>
                <w:color w:val="auto"/>
                <w:spacing w:val="0"/>
                <w:position w:val="0"/>
                <w:sz w:val="24"/>
                <w:highlight w:val="none"/>
              </w:rPr>
              <w:t>建立应急救援组织或者配备应急救援人员，配备必要的应急救援器材、设备，对消防措施定期检查，保证消防措施的有效性，并定期组织演练。灭火器材配置有安全帽、安全带、切割机、气焊设备、小型电动工具、一般五金工具、雨衣、雨靴、手电筒等，统一存在仓库。消防器材主要有</w:t>
            </w:r>
            <w:r>
              <w:rPr>
                <w:rFonts w:hint="eastAsia" w:ascii="Times New Roman" w:hAnsi="Times New Roman" w:eastAsia="宋体" w:cs="Times New Roman"/>
                <w:color w:val="auto"/>
                <w:spacing w:val="0"/>
                <w:position w:val="0"/>
                <w:sz w:val="24"/>
                <w:highlight w:val="none"/>
                <w:lang w:val="en-US" w:eastAsia="zh-CN"/>
              </w:rPr>
              <w:t>二氧化碳</w:t>
            </w:r>
            <w:r>
              <w:rPr>
                <w:rFonts w:ascii="Times New Roman" w:hAnsi="Times New Roman" w:eastAsia="宋体" w:cs="Times New Roman"/>
                <w:color w:val="auto"/>
                <w:spacing w:val="0"/>
                <w:position w:val="0"/>
                <w:sz w:val="24"/>
                <w:highlight w:val="none"/>
              </w:rPr>
              <w:t>灭火器和</w:t>
            </w:r>
            <w:r>
              <w:rPr>
                <w:rFonts w:hint="eastAsia" w:ascii="Times New Roman" w:hAnsi="Times New Roman" w:eastAsia="宋体" w:cs="Times New Roman"/>
                <w:color w:val="auto"/>
                <w:spacing w:val="0"/>
                <w:position w:val="0"/>
                <w:sz w:val="24"/>
                <w:highlight w:val="none"/>
                <w:lang w:val="en-US" w:eastAsia="zh-CN"/>
              </w:rPr>
              <w:t>泡沫</w:t>
            </w:r>
            <w:r>
              <w:rPr>
                <w:rFonts w:ascii="Times New Roman" w:hAnsi="Times New Roman" w:eastAsia="宋体" w:cs="Times New Roman"/>
                <w:color w:val="auto"/>
                <w:spacing w:val="0"/>
                <w:position w:val="0"/>
                <w:sz w:val="24"/>
                <w:highlight w:val="none"/>
              </w:rPr>
              <w:t>灭火器、国际消防栓。设置现场疏散指示标志和应急照明灯。</w:t>
            </w:r>
          </w:p>
          <w:p w14:paraId="76255F06">
            <w:pPr>
              <w:pStyle w:val="63"/>
              <w:numPr>
                <w:ilvl w:val="0"/>
                <w:numId w:val="0"/>
              </w:numPr>
              <w:ind w:left="0" w:leftChars="0" w:firstLine="480" w:firstLineChars="200"/>
              <w:rPr>
                <w:rFonts w:ascii="Times New Roman" w:hAnsi="Times New Roman" w:eastAsia="宋体" w:cs="Times New Roman"/>
                <w:color w:val="auto"/>
                <w:spacing w:val="0"/>
                <w:position w:val="0"/>
                <w:szCs w:val="24"/>
                <w:highlight w:val="none"/>
              </w:rPr>
            </w:pPr>
            <w:r>
              <w:rPr>
                <w:rFonts w:hint="eastAsia" w:ascii="Times New Roman" w:hAnsi="Times New Roman" w:eastAsia="宋体" w:cs="Times New Roman"/>
                <w:color w:val="auto"/>
                <w:spacing w:val="0"/>
                <w:kern w:val="2"/>
                <w:position w:val="0"/>
                <w:sz w:val="24"/>
                <w:szCs w:val="24"/>
                <w:highlight w:val="none"/>
                <w:lang w:val="en-US" w:eastAsia="zh-CN" w:bidi="ar-SA"/>
              </w:rPr>
              <w:t>④</w:t>
            </w:r>
            <w:r>
              <w:rPr>
                <w:rFonts w:ascii="Times New Roman" w:hAnsi="Times New Roman" w:eastAsia="宋体" w:cs="Times New Roman"/>
                <w:color w:val="auto"/>
                <w:spacing w:val="0"/>
                <w:position w:val="0"/>
                <w:szCs w:val="24"/>
                <w:highlight w:val="none"/>
              </w:rPr>
              <w:t>加强职工的安全教育和培训，推行持证上岗。一是对消防理论知识的培训，二是加强消防技能的训练。掌握必要的消防设备使用、</w:t>
            </w:r>
            <w:r>
              <w:rPr>
                <w:rFonts w:hint="eastAsia" w:cs="Times New Roman"/>
                <w:color w:val="auto"/>
                <w:spacing w:val="0"/>
                <w:position w:val="0"/>
                <w:szCs w:val="24"/>
                <w:highlight w:val="none"/>
                <w:lang w:eastAsia="zh-CN"/>
              </w:rPr>
              <w:t>检修</w:t>
            </w:r>
            <w:r>
              <w:rPr>
                <w:rFonts w:ascii="Times New Roman" w:hAnsi="Times New Roman" w:eastAsia="宋体" w:cs="Times New Roman"/>
                <w:color w:val="auto"/>
                <w:spacing w:val="0"/>
                <w:position w:val="0"/>
                <w:szCs w:val="24"/>
                <w:highlight w:val="none"/>
              </w:rPr>
              <w:t>保养方面的知识，在必要的时候能够发挥所配备的消防设施的作用，发挥出处理初期火灾事故的能力</w:t>
            </w:r>
            <w:r>
              <w:rPr>
                <w:rFonts w:hint="eastAsia" w:ascii="Times New Roman" w:hAnsi="Times New Roman" w:eastAsia="宋体" w:cs="Times New Roman"/>
                <w:color w:val="auto"/>
                <w:spacing w:val="0"/>
                <w:position w:val="0"/>
                <w:szCs w:val="24"/>
                <w:highlight w:val="none"/>
              </w:rPr>
              <w:t>。</w:t>
            </w:r>
          </w:p>
          <w:p w14:paraId="00574060">
            <w:pPr>
              <w:pStyle w:val="27"/>
              <w:keepNext w:val="0"/>
              <w:keepLines w:val="0"/>
              <w:pageBreakBefore w:val="0"/>
              <w:kinsoku/>
              <w:wordWrap/>
              <w:overflowPunct/>
              <w:topLinePunct w:val="0"/>
              <w:autoSpaceDE/>
              <w:autoSpaceDN/>
              <w:bidi w:val="0"/>
              <w:adjustRightInd/>
              <w:spacing w:before="0" w:after="0" w:line="360" w:lineRule="auto"/>
              <w:ind w:right="0" w:firstLine="482" w:firstLineChars="200"/>
              <w:textAlignment w:val="auto"/>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rPr>
              <w:t>消防废水的收集及处置措施</w:t>
            </w:r>
          </w:p>
          <w:p w14:paraId="2E26BA1C">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pacing w:val="0"/>
                <w:kern w:val="2"/>
                <w:position w:val="0"/>
                <w:sz w:val="24"/>
                <w:szCs w:val="24"/>
                <w:highlight w:val="none"/>
                <w:lang w:val="en-US" w:eastAsia="zh-CN" w:bidi="ar-SA"/>
              </w:rPr>
              <w:t>①</w:t>
            </w:r>
            <w:r>
              <w:rPr>
                <w:rFonts w:hint="eastAsia" w:ascii="Times New Roman" w:hAnsi="Times New Roman" w:eastAsia="宋体" w:cs="Times New Roman"/>
                <w:color w:val="auto"/>
                <w:sz w:val="24"/>
                <w:szCs w:val="24"/>
                <w:highlight w:val="none"/>
              </w:rPr>
              <w:t>车间内部防渗截留，做好应急物资储备</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本项目生产车间、危废暂存间、化学品仓库地面均已做防渗硬化处理，防渗性能良好</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设置围堰</w:t>
            </w:r>
            <w:r>
              <w:rPr>
                <w:rFonts w:hint="eastAsia" w:ascii="Times New Roman" w:hAnsi="Times New Roman" w:eastAsia="宋体" w:cs="Times New Roman"/>
                <w:color w:val="auto"/>
                <w:sz w:val="24"/>
                <w:szCs w:val="24"/>
                <w:highlight w:val="none"/>
              </w:rPr>
              <w:t>。厂区配套储备足量应急堵漏物资，包括应急砂袋、吸油毡、收集桶、移动式抽水泵、防渗软管等。发生火灾或物料泄漏事故时，立即停止生产，切断车间电源，第一时间对泄漏物料、消防废水进行围挡拦截，控制污染废水在封闭厂房内部，防止废水无序漫流。</w:t>
            </w:r>
          </w:p>
          <w:p w14:paraId="6FD7EEB5">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pacing w:val="0"/>
                <w:kern w:val="2"/>
                <w:position w:val="0"/>
                <w:sz w:val="24"/>
                <w:szCs w:val="24"/>
                <w:highlight w:val="none"/>
                <w:lang w:val="en-US" w:eastAsia="zh-CN" w:bidi="ar-SA"/>
              </w:rPr>
              <w:t>②</w:t>
            </w:r>
            <w:r>
              <w:rPr>
                <w:rFonts w:hint="eastAsia" w:ascii="Times New Roman" w:hAnsi="Times New Roman" w:eastAsia="宋体" w:cs="Times New Roman"/>
                <w:color w:val="auto"/>
                <w:sz w:val="24"/>
                <w:szCs w:val="24"/>
                <w:highlight w:val="none"/>
              </w:rPr>
              <w:t>雨水排口封堵，阻断外排通道</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正常情况下雨水排放口保持通畅；事故状态下，立即采用应急沙包封堵厂区雨水排放口，彻底切断雨水外排通道，严防被污染的消防废水、事故废水通过雨水管网直排外环境，确保所有污染水体截留在厂区内部。</w:t>
            </w:r>
          </w:p>
          <w:p w14:paraId="6CC470CF">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pacing w:val="0"/>
                <w:kern w:val="2"/>
                <w:position w:val="0"/>
                <w:sz w:val="24"/>
                <w:szCs w:val="24"/>
                <w:highlight w:val="none"/>
                <w:lang w:val="en-US" w:eastAsia="zh-CN" w:bidi="ar-SA"/>
              </w:rPr>
              <w:t>③</w:t>
            </w:r>
            <w:r>
              <w:rPr>
                <w:rFonts w:hint="eastAsia" w:ascii="Times New Roman" w:hAnsi="Times New Roman" w:eastAsia="宋体" w:cs="Times New Roman"/>
                <w:color w:val="auto"/>
                <w:sz w:val="24"/>
                <w:szCs w:val="24"/>
                <w:highlight w:val="none"/>
              </w:rPr>
              <w:t>厂区边界封堵，防止废水外流</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事故发生后，利用应急沙包对厂房门口、围墙缝隙、低洼处进行堆砌封堵，形成临时挡水围堰，避免消防废水从围墙缝隙、门口向外渗漏，最大限度限制事故废水、消防废水在厂房内部及厂区硬化区域内。</w:t>
            </w:r>
          </w:p>
          <w:p w14:paraId="520C3D28">
            <w:pPr>
              <w:pStyle w:val="27"/>
              <w:keepNext w:val="0"/>
              <w:keepLines w:val="0"/>
              <w:pageBreakBefore w:val="0"/>
              <w:kinsoku/>
              <w:wordWrap/>
              <w:overflowPunct/>
              <w:topLinePunct w:val="0"/>
              <w:autoSpaceDE/>
              <w:autoSpaceDN/>
              <w:bidi w:val="0"/>
              <w:adjustRightInd/>
              <w:spacing w:before="0" w:after="0" w:line="360" w:lineRule="auto"/>
              <w:ind w:left="0" w:leftChars="0" w:right="0" w:firstLine="482" w:firstLineChars="200"/>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eastAsia="zh-CN"/>
              </w:rPr>
              <w:t>）外排雨水口拦截措施</w:t>
            </w:r>
          </w:p>
          <w:p w14:paraId="7229B95C">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所在建筑物厂区已设雨水排口。设立正常排放和事故排放切换闸门，当突发环境事件发生时，除了利用应急沙包堵住厂界，防止厂区消防废水外流之外，事故时需开启雨水口截断阀，可将未收集的部分消防废水、事故废水截留在厂区范围内，避免事故废水通过雨水排放口泄漏污染周边水体。</w:t>
            </w:r>
          </w:p>
          <w:p w14:paraId="501F1FE3">
            <w:pPr>
              <w:pStyle w:val="27"/>
              <w:keepNext w:val="0"/>
              <w:keepLines w:val="0"/>
              <w:pageBreakBefore w:val="0"/>
              <w:numPr>
                <w:ilvl w:val="0"/>
                <w:numId w:val="0"/>
              </w:numPr>
              <w:kinsoku/>
              <w:wordWrap/>
              <w:overflowPunct/>
              <w:topLinePunct w:val="0"/>
              <w:autoSpaceDE/>
              <w:autoSpaceDN/>
              <w:bidi w:val="0"/>
              <w:adjustRightInd/>
              <w:spacing w:before="0" w:after="0" w:line="360" w:lineRule="auto"/>
              <w:ind w:right="0" w:rightChars="0" w:firstLine="482" w:firstLineChars="200"/>
              <w:textAlignment w:val="auto"/>
              <w:rPr>
                <w:rFonts w:hint="eastAsia" w:ascii="Times New Roman" w:hAnsi="Times New Roman" w:eastAsia="宋体" w:cs="Times New Roman"/>
                <w:b/>
                <w:bCs/>
                <w:color w:val="auto"/>
                <w:kern w:val="2"/>
                <w:sz w:val="24"/>
                <w:szCs w:val="24"/>
                <w:highlight w:val="none"/>
                <w:u w:val="none"/>
                <w:lang w:bidi="ar"/>
              </w:rPr>
            </w:pPr>
            <w:r>
              <w:rPr>
                <w:rFonts w:hint="eastAsia" w:ascii="Times New Roman" w:hAnsi="Times New Roman" w:eastAsia="宋体" w:cs="Times New Roman"/>
                <w:b/>
                <w:bCs/>
                <w:color w:val="auto"/>
                <w:kern w:val="2"/>
                <w:sz w:val="24"/>
                <w:szCs w:val="24"/>
                <w:highlight w:val="none"/>
                <w:lang w:val="en-US" w:eastAsia="zh-CN" w:bidi="ar"/>
              </w:rPr>
              <w:t>（8）</w:t>
            </w:r>
            <w:r>
              <w:rPr>
                <w:rFonts w:hint="eastAsia" w:ascii="Times New Roman" w:hAnsi="Times New Roman" w:eastAsia="宋体" w:cs="Times New Roman"/>
                <w:b/>
                <w:bCs/>
                <w:color w:val="auto"/>
                <w:kern w:val="2"/>
                <w:sz w:val="24"/>
                <w:szCs w:val="24"/>
                <w:highlight w:val="none"/>
                <w:u w:val="none"/>
                <w:lang w:bidi="ar"/>
              </w:rPr>
              <w:t>环境风险评价总结</w:t>
            </w:r>
          </w:p>
          <w:p w14:paraId="79235E6A">
            <w:pPr>
              <w:pStyle w:val="2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b/>
                <w:bCs/>
                <w:color w:val="auto"/>
                <w:sz w:val="24"/>
                <w:highlight w:val="none"/>
              </w:rPr>
            </w:pPr>
            <w:r>
              <w:rPr>
                <w:rFonts w:hint="eastAsia"/>
                <w:b/>
                <w:bCs/>
                <w:color w:val="auto"/>
                <w:sz w:val="24"/>
                <w:highlight w:val="none"/>
              </w:rPr>
              <w:t>表4.6-</w:t>
            </w:r>
            <w:r>
              <w:rPr>
                <w:rFonts w:hint="eastAsia"/>
                <w:b/>
                <w:bCs/>
                <w:color w:val="auto"/>
                <w:sz w:val="24"/>
                <w:highlight w:val="none"/>
                <w:lang w:val="en-US" w:eastAsia="zh-CN"/>
              </w:rPr>
              <w:t>4</w:t>
            </w:r>
            <w:r>
              <w:rPr>
                <w:rFonts w:hint="eastAsia"/>
                <w:b/>
                <w:bCs/>
                <w:color w:val="auto"/>
                <w:sz w:val="24"/>
                <w:highlight w:val="none"/>
              </w:rPr>
              <w:t xml:space="preserve"> </w:t>
            </w:r>
            <w:r>
              <w:rPr>
                <w:rFonts w:hint="eastAsia"/>
                <w:b/>
                <w:bCs/>
                <w:color w:val="auto"/>
                <w:sz w:val="24"/>
                <w:highlight w:val="none"/>
                <w:lang w:val="en-US" w:eastAsia="zh-CN"/>
              </w:rPr>
              <w:t>项目</w:t>
            </w:r>
            <w:r>
              <w:rPr>
                <w:b/>
                <w:bCs/>
                <w:color w:val="auto"/>
                <w:sz w:val="24"/>
                <w:highlight w:val="none"/>
              </w:rPr>
              <w:t>环境风险简单分析内容表</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1378"/>
              <w:gridCol w:w="1804"/>
              <w:gridCol w:w="1113"/>
              <w:gridCol w:w="2204"/>
            </w:tblGrid>
            <w:tr w14:paraId="0B19A0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tcBorders>
                    <w:tl2br w:val="nil"/>
                    <w:tr2bl w:val="nil"/>
                  </w:tcBorders>
                  <w:noWrap w:val="0"/>
                  <w:vAlign w:val="center"/>
                </w:tcPr>
                <w:p w14:paraId="7257039E">
                  <w:pPr>
                    <w:adjustRightInd w:val="0"/>
                    <w:snapToGrid w:val="0"/>
                    <w:jc w:val="center"/>
                    <w:rPr>
                      <w:b/>
                      <w:bCs w:val="0"/>
                      <w:color w:val="auto"/>
                      <w:highlight w:val="none"/>
                      <w:vertAlign w:val="baseline"/>
                    </w:rPr>
                  </w:pPr>
                  <w:r>
                    <w:rPr>
                      <w:rFonts w:hAnsi="宋体" w:eastAsia="宋体"/>
                      <w:b/>
                      <w:bCs w:val="0"/>
                      <w:color w:val="auto"/>
                      <w:szCs w:val="21"/>
                      <w:highlight w:val="none"/>
                    </w:rPr>
                    <w:t>建设项目名称</w:t>
                  </w:r>
                </w:p>
              </w:tc>
              <w:tc>
                <w:tcPr>
                  <w:tcW w:w="6645" w:type="dxa"/>
                  <w:gridSpan w:val="4"/>
                  <w:tcBorders>
                    <w:tl2br w:val="nil"/>
                    <w:tr2bl w:val="nil"/>
                  </w:tcBorders>
                  <w:noWrap w:val="0"/>
                  <w:vAlign w:val="center"/>
                </w:tcPr>
                <w:p w14:paraId="4A958DDA">
                  <w:pPr>
                    <w:adjustRightInd w:val="0"/>
                    <w:snapToGrid w:val="0"/>
                    <w:jc w:val="center"/>
                    <w:rPr>
                      <w:color w:val="auto"/>
                      <w:highlight w:val="none"/>
                      <w:vertAlign w:val="baseline"/>
                    </w:rPr>
                  </w:pPr>
                  <w:r>
                    <w:rPr>
                      <w:rFonts w:hint="eastAsia" w:ascii="Times New Roman" w:hAnsi="Times New Roman" w:eastAsia="宋体" w:cs="Times New Roman"/>
                      <w:color w:val="auto"/>
                      <w:spacing w:val="0"/>
                      <w:sz w:val="21"/>
                      <w:szCs w:val="21"/>
                      <w:highlight w:val="none"/>
                      <w:lang w:val="en-US" w:eastAsia="zh-CN"/>
                    </w:rPr>
                    <w:t>福州市搜一家具有限公司年产木质屏风4800个迁建项目</w:t>
                  </w:r>
                </w:p>
              </w:tc>
            </w:tr>
            <w:tr w14:paraId="6F00E6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tcBorders>
                    <w:tl2br w:val="nil"/>
                    <w:tr2bl w:val="nil"/>
                  </w:tcBorders>
                  <w:noWrap w:val="0"/>
                  <w:vAlign w:val="center"/>
                </w:tcPr>
                <w:p w14:paraId="538467AC">
                  <w:pPr>
                    <w:adjustRightInd w:val="0"/>
                    <w:snapToGrid w:val="0"/>
                    <w:jc w:val="center"/>
                    <w:rPr>
                      <w:b/>
                      <w:bCs w:val="0"/>
                      <w:color w:val="auto"/>
                      <w:highlight w:val="none"/>
                      <w:vertAlign w:val="baseline"/>
                    </w:rPr>
                  </w:pPr>
                  <w:r>
                    <w:rPr>
                      <w:rFonts w:hAnsi="宋体" w:eastAsia="宋体"/>
                      <w:b/>
                      <w:bCs w:val="0"/>
                      <w:color w:val="auto"/>
                      <w:szCs w:val="21"/>
                      <w:highlight w:val="none"/>
                    </w:rPr>
                    <w:t>建设地点</w:t>
                  </w:r>
                </w:p>
              </w:tc>
              <w:tc>
                <w:tcPr>
                  <w:tcW w:w="6645" w:type="dxa"/>
                  <w:gridSpan w:val="4"/>
                  <w:tcBorders>
                    <w:tl2br w:val="nil"/>
                    <w:tr2bl w:val="nil"/>
                  </w:tcBorders>
                  <w:noWrap w:val="0"/>
                  <w:vAlign w:val="center"/>
                </w:tcPr>
                <w:p w14:paraId="62E9E73C">
                  <w:pPr>
                    <w:adjustRightInd w:val="0"/>
                    <w:snapToGrid w:val="0"/>
                    <w:jc w:val="center"/>
                    <w:rPr>
                      <w:rFonts w:hint="eastAsia"/>
                      <w:color w:val="auto"/>
                      <w:highlight w:val="none"/>
                      <w:vertAlign w:val="baseline"/>
                      <w:lang w:eastAsia="zh-CN"/>
                    </w:rPr>
                  </w:pPr>
                  <w:r>
                    <w:rPr>
                      <w:rFonts w:hint="eastAsia"/>
                      <w:color w:val="auto"/>
                      <w:highlight w:val="none"/>
                      <w:vertAlign w:val="baseline"/>
                      <w:lang w:eastAsia="zh-CN"/>
                    </w:rPr>
                    <w:t>福建省福州市闽侯县荆溪镇长龙三路23、25号</w:t>
                  </w:r>
                </w:p>
                <w:p w14:paraId="156EE9E4">
                  <w:pPr>
                    <w:adjustRightInd w:val="0"/>
                    <w:snapToGrid w:val="0"/>
                    <w:jc w:val="center"/>
                    <w:rPr>
                      <w:rFonts w:hint="eastAsia" w:eastAsia="宋体"/>
                      <w:color w:val="auto"/>
                      <w:highlight w:val="none"/>
                      <w:vertAlign w:val="baseline"/>
                      <w:lang w:eastAsia="zh-CN"/>
                    </w:rPr>
                  </w:pPr>
                  <w:r>
                    <w:rPr>
                      <w:rFonts w:hint="eastAsia"/>
                      <w:color w:val="auto"/>
                      <w:highlight w:val="none"/>
                      <w:vertAlign w:val="baseline"/>
                      <w:lang w:eastAsia="zh-CN"/>
                    </w:rPr>
                    <w:t>（福建省奥德瑞电子科技有限公司）5#厂房二层</w:t>
                  </w:r>
                </w:p>
              </w:tc>
            </w:tr>
            <w:tr w14:paraId="1D71DD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tcBorders>
                    <w:tl2br w:val="nil"/>
                    <w:tr2bl w:val="nil"/>
                  </w:tcBorders>
                  <w:noWrap w:val="0"/>
                  <w:vAlign w:val="center"/>
                </w:tcPr>
                <w:p w14:paraId="59C226A8">
                  <w:pPr>
                    <w:adjustRightInd w:val="0"/>
                    <w:snapToGrid w:val="0"/>
                    <w:jc w:val="center"/>
                    <w:rPr>
                      <w:b/>
                      <w:bCs w:val="0"/>
                      <w:color w:val="auto"/>
                      <w:highlight w:val="none"/>
                      <w:vertAlign w:val="baseline"/>
                    </w:rPr>
                  </w:pPr>
                  <w:r>
                    <w:rPr>
                      <w:rFonts w:hAnsi="宋体" w:eastAsia="宋体"/>
                      <w:b/>
                      <w:bCs w:val="0"/>
                      <w:color w:val="auto"/>
                      <w:szCs w:val="21"/>
                      <w:highlight w:val="none"/>
                    </w:rPr>
                    <w:t>地理坐标</w:t>
                  </w:r>
                </w:p>
              </w:tc>
              <w:tc>
                <w:tcPr>
                  <w:tcW w:w="1408" w:type="dxa"/>
                  <w:tcBorders>
                    <w:tl2br w:val="nil"/>
                    <w:tr2bl w:val="nil"/>
                  </w:tcBorders>
                  <w:noWrap w:val="0"/>
                  <w:vAlign w:val="center"/>
                </w:tcPr>
                <w:p w14:paraId="35862830">
                  <w:pPr>
                    <w:adjustRightInd w:val="0"/>
                    <w:snapToGrid w:val="0"/>
                    <w:jc w:val="center"/>
                    <w:rPr>
                      <w:color w:val="auto"/>
                      <w:highlight w:val="none"/>
                      <w:vertAlign w:val="baseline"/>
                    </w:rPr>
                  </w:pPr>
                  <w:r>
                    <w:rPr>
                      <w:rFonts w:hint="eastAsia" w:hAnsi="宋体"/>
                      <w:color w:val="auto"/>
                      <w:szCs w:val="21"/>
                      <w:highlight w:val="none"/>
                      <w:lang w:val="en-US" w:eastAsia="zh-CN"/>
                    </w:rPr>
                    <w:t>东</w:t>
                  </w:r>
                  <w:r>
                    <w:rPr>
                      <w:rFonts w:hAnsi="宋体" w:eastAsia="宋体"/>
                      <w:color w:val="auto"/>
                      <w:szCs w:val="21"/>
                      <w:highlight w:val="none"/>
                    </w:rPr>
                    <w:t>经</w:t>
                  </w:r>
                </w:p>
              </w:tc>
              <w:tc>
                <w:tcPr>
                  <w:tcW w:w="1845" w:type="dxa"/>
                  <w:tcBorders>
                    <w:tl2br w:val="nil"/>
                    <w:tr2bl w:val="nil"/>
                  </w:tcBorders>
                  <w:noWrap w:val="0"/>
                  <w:vAlign w:val="center"/>
                </w:tcPr>
                <w:p w14:paraId="251AD747">
                  <w:pPr>
                    <w:adjustRightInd w:val="0"/>
                    <w:snapToGrid w:val="0"/>
                    <w:jc w:val="center"/>
                    <w:rPr>
                      <w:color w:val="auto"/>
                      <w:highlight w:val="none"/>
                      <w:vertAlign w:val="baseline"/>
                    </w:rPr>
                  </w:pPr>
                  <w:r>
                    <w:rPr>
                      <w:rFonts w:eastAsia="宋体"/>
                      <w:color w:val="auto"/>
                      <w:szCs w:val="21"/>
                      <w:highlight w:val="none"/>
                    </w:rPr>
                    <w:t>11</w:t>
                  </w:r>
                  <w:r>
                    <w:rPr>
                      <w:rFonts w:hint="eastAsia"/>
                      <w:color w:val="auto"/>
                      <w:szCs w:val="21"/>
                      <w:highlight w:val="none"/>
                      <w:lang w:val="en-US" w:eastAsia="zh-CN"/>
                    </w:rPr>
                    <w:t>9</w:t>
                  </w:r>
                  <w:r>
                    <w:rPr>
                      <w:rFonts w:eastAsia="宋体"/>
                      <w:color w:val="auto"/>
                      <w:szCs w:val="21"/>
                      <w:highlight w:val="none"/>
                    </w:rPr>
                    <w:t>°</w:t>
                  </w:r>
                  <w:r>
                    <w:rPr>
                      <w:rFonts w:hint="eastAsia"/>
                      <w:color w:val="auto"/>
                      <w:szCs w:val="21"/>
                      <w:highlight w:val="none"/>
                      <w:lang w:val="en-US" w:eastAsia="zh-CN"/>
                    </w:rPr>
                    <w:t>10</w:t>
                  </w:r>
                  <w:r>
                    <w:rPr>
                      <w:rFonts w:eastAsia="宋体"/>
                      <w:color w:val="auto"/>
                      <w:szCs w:val="21"/>
                      <w:highlight w:val="none"/>
                    </w:rPr>
                    <w:t>′</w:t>
                  </w:r>
                  <w:r>
                    <w:rPr>
                      <w:rFonts w:hint="eastAsia"/>
                      <w:color w:val="auto"/>
                      <w:szCs w:val="21"/>
                      <w:highlight w:val="none"/>
                      <w:lang w:val="en-US" w:eastAsia="zh-CN"/>
                    </w:rPr>
                    <w:t>57.887</w:t>
                  </w:r>
                  <w:r>
                    <w:rPr>
                      <w:rFonts w:eastAsia="宋体"/>
                      <w:color w:val="auto"/>
                      <w:szCs w:val="21"/>
                      <w:highlight w:val="none"/>
                    </w:rPr>
                    <w:t>″</w:t>
                  </w:r>
                </w:p>
              </w:tc>
              <w:tc>
                <w:tcPr>
                  <w:tcW w:w="1136" w:type="dxa"/>
                  <w:tcBorders>
                    <w:tl2br w:val="nil"/>
                    <w:tr2bl w:val="nil"/>
                  </w:tcBorders>
                  <w:noWrap w:val="0"/>
                  <w:vAlign w:val="center"/>
                </w:tcPr>
                <w:p w14:paraId="3DAEB81B">
                  <w:pPr>
                    <w:adjustRightInd w:val="0"/>
                    <w:snapToGrid w:val="0"/>
                    <w:jc w:val="center"/>
                    <w:rPr>
                      <w:color w:val="auto"/>
                      <w:highlight w:val="none"/>
                      <w:vertAlign w:val="baseline"/>
                    </w:rPr>
                  </w:pPr>
                  <w:r>
                    <w:rPr>
                      <w:rFonts w:hint="eastAsia" w:hAnsi="宋体"/>
                      <w:color w:val="auto"/>
                      <w:szCs w:val="21"/>
                      <w:highlight w:val="none"/>
                      <w:lang w:val="en-US" w:eastAsia="zh-CN"/>
                    </w:rPr>
                    <w:t>北</w:t>
                  </w:r>
                  <w:r>
                    <w:rPr>
                      <w:rFonts w:hAnsi="宋体" w:eastAsia="宋体"/>
                      <w:color w:val="auto"/>
                      <w:szCs w:val="21"/>
                      <w:highlight w:val="none"/>
                    </w:rPr>
                    <w:t>纬</w:t>
                  </w:r>
                </w:p>
              </w:tc>
              <w:tc>
                <w:tcPr>
                  <w:tcW w:w="2256" w:type="dxa"/>
                  <w:tcBorders>
                    <w:tl2br w:val="nil"/>
                    <w:tr2bl w:val="nil"/>
                  </w:tcBorders>
                  <w:noWrap w:val="0"/>
                  <w:vAlign w:val="center"/>
                </w:tcPr>
                <w:p w14:paraId="3B5D37BE">
                  <w:pPr>
                    <w:adjustRightInd w:val="0"/>
                    <w:snapToGrid w:val="0"/>
                    <w:jc w:val="center"/>
                    <w:rPr>
                      <w:color w:val="auto"/>
                      <w:highlight w:val="none"/>
                      <w:vertAlign w:val="baseline"/>
                    </w:rPr>
                  </w:pPr>
                  <w:r>
                    <w:rPr>
                      <w:rFonts w:eastAsia="宋体"/>
                      <w:color w:val="auto"/>
                      <w:szCs w:val="21"/>
                      <w:highlight w:val="none"/>
                    </w:rPr>
                    <w:t>2</w:t>
                  </w:r>
                  <w:r>
                    <w:rPr>
                      <w:rFonts w:hint="eastAsia"/>
                      <w:color w:val="auto"/>
                      <w:szCs w:val="21"/>
                      <w:highlight w:val="none"/>
                      <w:lang w:val="en-US" w:eastAsia="zh-CN"/>
                    </w:rPr>
                    <w:t>6</w:t>
                  </w:r>
                  <w:r>
                    <w:rPr>
                      <w:rFonts w:eastAsia="宋体"/>
                      <w:color w:val="auto"/>
                      <w:szCs w:val="21"/>
                      <w:highlight w:val="none"/>
                    </w:rPr>
                    <w:t>°</w:t>
                  </w:r>
                  <w:r>
                    <w:rPr>
                      <w:rFonts w:hint="eastAsia"/>
                      <w:color w:val="auto"/>
                      <w:szCs w:val="21"/>
                      <w:highlight w:val="none"/>
                      <w:lang w:val="en-US" w:eastAsia="zh-CN"/>
                    </w:rPr>
                    <w:t>9</w:t>
                  </w:r>
                  <w:r>
                    <w:rPr>
                      <w:rFonts w:eastAsia="宋体"/>
                      <w:color w:val="auto"/>
                      <w:szCs w:val="21"/>
                      <w:highlight w:val="none"/>
                    </w:rPr>
                    <w:t>′</w:t>
                  </w:r>
                  <w:r>
                    <w:rPr>
                      <w:rFonts w:hint="eastAsia"/>
                      <w:color w:val="auto"/>
                      <w:szCs w:val="21"/>
                      <w:highlight w:val="none"/>
                      <w:lang w:val="en-US" w:eastAsia="zh-CN"/>
                    </w:rPr>
                    <w:t>35.716</w:t>
                  </w:r>
                  <w:r>
                    <w:rPr>
                      <w:rFonts w:eastAsia="宋体"/>
                      <w:color w:val="auto"/>
                      <w:szCs w:val="21"/>
                      <w:highlight w:val="none"/>
                    </w:rPr>
                    <w:t>″</w:t>
                  </w:r>
                </w:p>
              </w:tc>
            </w:tr>
            <w:tr w14:paraId="31D1DE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tcBorders>
                    <w:tl2br w:val="nil"/>
                    <w:tr2bl w:val="nil"/>
                  </w:tcBorders>
                  <w:noWrap w:val="0"/>
                  <w:vAlign w:val="center"/>
                </w:tcPr>
                <w:p w14:paraId="47B03818">
                  <w:pPr>
                    <w:adjustRightInd w:val="0"/>
                    <w:snapToGrid w:val="0"/>
                    <w:jc w:val="center"/>
                    <w:rPr>
                      <w:b/>
                      <w:bCs w:val="0"/>
                      <w:color w:val="auto"/>
                      <w:highlight w:val="none"/>
                      <w:vertAlign w:val="baseline"/>
                    </w:rPr>
                  </w:pPr>
                  <w:r>
                    <w:rPr>
                      <w:rFonts w:hAnsi="宋体" w:eastAsia="宋体"/>
                      <w:b/>
                      <w:bCs w:val="0"/>
                      <w:color w:val="auto"/>
                      <w:szCs w:val="21"/>
                      <w:highlight w:val="none"/>
                    </w:rPr>
                    <w:t>主要危险物质及分布</w:t>
                  </w:r>
                </w:p>
              </w:tc>
              <w:tc>
                <w:tcPr>
                  <w:tcW w:w="6645" w:type="dxa"/>
                  <w:gridSpan w:val="4"/>
                  <w:tcBorders>
                    <w:tl2br w:val="nil"/>
                    <w:tr2bl w:val="nil"/>
                  </w:tcBorders>
                  <w:noWrap w:val="0"/>
                  <w:vAlign w:val="center"/>
                </w:tcPr>
                <w:p w14:paraId="7CA5DEA1">
                  <w:pPr>
                    <w:adjustRightInd w:val="0"/>
                    <w:snapToGrid w:val="0"/>
                    <w:jc w:val="center"/>
                    <w:rPr>
                      <w:rFonts w:hint="eastAsia" w:ascii="Times New Roman" w:hAnsi="Times New Roman" w:eastAsia="宋体" w:cs="Times New Roman"/>
                      <w:color w:val="auto"/>
                      <w:spacing w:val="0"/>
                      <w:kern w:val="0"/>
                      <w:sz w:val="21"/>
                      <w:szCs w:val="21"/>
                      <w:highlight w:val="none"/>
                      <w:lang w:val="en-US" w:eastAsia="zh-CN" w:bidi="ar-SA"/>
                    </w:rPr>
                  </w:pPr>
                  <w:r>
                    <w:rPr>
                      <w:rFonts w:hint="eastAsia" w:ascii="Times New Roman" w:hAnsi="Times New Roman" w:eastAsia="宋体" w:cs="Times New Roman"/>
                      <w:color w:val="auto"/>
                      <w:spacing w:val="0"/>
                      <w:kern w:val="0"/>
                      <w:sz w:val="21"/>
                      <w:szCs w:val="21"/>
                      <w:highlight w:val="none"/>
                      <w:lang w:val="en-US" w:eastAsia="zh-CN" w:bidi="ar-SA"/>
                    </w:rPr>
                    <w:t>化学品仓库：</w:t>
                  </w:r>
                  <w:r>
                    <w:rPr>
                      <w:rFonts w:hint="eastAsia" w:cs="Times New Roman"/>
                      <w:color w:val="auto"/>
                      <w:spacing w:val="0"/>
                      <w:kern w:val="0"/>
                      <w:sz w:val="21"/>
                      <w:szCs w:val="21"/>
                      <w:highlight w:val="none"/>
                      <w:lang w:val="en-US" w:eastAsia="zh-CN" w:bidi="ar-SA"/>
                    </w:rPr>
                    <w:t>油性漆、水性漆、固化剂、稀释剂、润滑油</w:t>
                  </w:r>
                  <w:r>
                    <w:rPr>
                      <w:rFonts w:hint="eastAsia" w:ascii="Times New Roman" w:hAnsi="Times New Roman" w:eastAsia="宋体" w:cs="Times New Roman"/>
                      <w:color w:val="auto"/>
                      <w:spacing w:val="0"/>
                      <w:kern w:val="0"/>
                      <w:sz w:val="21"/>
                      <w:szCs w:val="21"/>
                      <w:highlight w:val="none"/>
                      <w:lang w:val="en-US" w:eastAsia="zh-CN" w:bidi="ar-SA"/>
                    </w:rPr>
                    <w:t>；</w:t>
                  </w:r>
                </w:p>
                <w:p w14:paraId="61652922">
                  <w:pPr>
                    <w:adjustRightInd w:val="0"/>
                    <w:snapToGrid w:val="0"/>
                    <w:jc w:val="center"/>
                    <w:rPr>
                      <w:rFonts w:hint="default"/>
                      <w:color w:val="auto"/>
                      <w:highlight w:val="none"/>
                      <w:vertAlign w:val="baseline"/>
                      <w:lang w:val="en-US"/>
                    </w:rPr>
                  </w:pPr>
                  <w:r>
                    <w:rPr>
                      <w:rFonts w:hint="eastAsia" w:ascii="Times New Roman" w:hAnsi="Times New Roman" w:eastAsia="宋体" w:cs="Times New Roman"/>
                      <w:color w:val="auto"/>
                      <w:spacing w:val="0"/>
                      <w:kern w:val="0"/>
                      <w:sz w:val="21"/>
                      <w:szCs w:val="21"/>
                      <w:highlight w:val="none"/>
                      <w:lang w:val="en-US" w:eastAsia="zh-CN" w:bidi="ar-SA"/>
                    </w:rPr>
                    <w:t>危废暂存间：漆渣、废活性炭、</w:t>
                  </w:r>
                  <w:r>
                    <w:rPr>
                      <w:rFonts w:hint="eastAsia" w:cs="Times New Roman"/>
                      <w:color w:val="auto"/>
                      <w:spacing w:val="0"/>
                      <w:kern w:val="0"/>
                      <w:sz w:val="21"/>
                      <w:szCs w:val="21"/>
                      <w:highlight w:val="none"/>
                      <w:lang w:val="en-US" w:eastAsia="zh-CN" w:bidi="ar-SA"/>
                    </w:rPr>
                    <w:t>废过滤棉、</w:t>
                  </w:r>
                  <w:r>
                    <w:rPr>
                      <w:rFonts w:hint="eastAsia" w:ascii="Times New Roman" w:hAnsi="Times New Roman" w:eastAsia="宋体" w:cs="Times New Roman"/>
                      <w:color w:val="auto"/>
                      <w:spacing w:val="0"/>
                      <w:kern w:val="0"/>
                      <w:sz w:val="21"/>
                      <w:szCs w:val="21"/>
                      <w:highlight w:val="none"/>
                      <w:lang w:val="en-US" w:eastAsia="zh-CN" w:bidi="ar-SA"/>
                    </w:rPr>
                    <w:t>沉淀污泥、</w:t>
                  </w:r>
                  <w:r>
                    <w:rPr>
                      <w:rFonts w:hint="eastAsia" w:cs="Times New Roman"/>
                      <w:color w:val="auto"/>
                      <w:spacing w:val="0"/>
                      <w:kern w:val="0"/>
                      <w:sz w:val="21"/>
                      <w:szCs w:val="21"/>
                      <w:highlight w:val="none"/>
                      <w:lang w:val="en-US" w:eastAsia="zh-CN" w:bidi="ar-SA"/>
                    </w:rPr>
                    <w:t>水帘气旋废液</w:t>
                  </w:r>
                  <w:r>
                    <w:rPr>
                      <w:rFonts w:hint="eastAsia" w:ascii="Times New Roman" w:hAnsi="Times New Roman" w:eastAsia="宋体" w:cs="Times New Roman"/>
                      <w:color w:val="auto"/>
                      <w:spacing w:val="0"/>
                      <w:kern w:val="0"/>
                      <w:sz w:val="21"/>
                      <w:szCs w:val="21"/>
                      <w:highlight w:val="none"/>
                      <w:lang w:val="en-US" w:eastAsia="zh-CN" w:bidi="ar-SA"/>
                    </w:rPr>
                    <w:t>、</w:t>
                  </w:r>
                  <w:r>
                    <w:rPr>
                      <w:rFonts w:hint="eastAsia" w:cs="Times New Roman"/>
                      <w:color w:val="auto"/>
                      <w:spacing w:val="0"/>
                      <w:kern w:val="0"/>
                      <w:sz w:val="21"/>
                      <w:szCs w:val="21"/>
                      <w:highlight w:val="none"/>
                      <w:lang w:val="en-US" w:eastAsia="zh-CN" w:bidi="ar-SA"/>
                    </w:rPr>
                    <w:t>喷枪清洗废液、废化学品包装物、废润滑油、润滑油空桶、废含油抹布及手套</w:t>
                  </w:r>
                </w:p>
              </w:tc>
            </w:tr>
            <w:tr w14:paraId="52C637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tcBorders>
                    <w:tl2br w:val="nil"/>
                    <w:tr2bl w:val="nil"/>
                  </w:tcBorders>
                  <w:noWrap w:val="0"/>
                  <w:vAlign w:val="center"/>
                </w:tcPr>
                <w:p w14:paraId="6BB6C7E3">
                  <w:pPr>
                    <w:jc w:val="center"/>
                    <w:rPr>
                      <w:b/>
                      <w:bCs w:val="0"/>
                      <w:color w:val="auto"/>
                      <w:highlight w:val="none"/>
                      <w:vertAlign w:val="baseline"/>
                    </w:rPr>
                  </w:pPr>
                  <w:r>
                    <w:rPr>
                      <w:rFonts w:hAnsi="宋体" w:eastAsia="宋体"/>
                      <w:b/>
                      <w:bCs w:val="0"/>
                      <w:color w:val="auto"/>
                      <w:highlight w:val="none"/>
                    </w:rPr>
                    <w:t>环境影响途径及危害后果（大气、地表水、地下水等）</w:t>
                  </w:r>
                </w:p>
              </w:tc>
              <w:tc>
                <w:tcPr>
                  <w:tcW w:w="6645" w:type="dxa"/>
                  <w:gridSpan w:val="4"/>
                  <w:tcBorders>
                    <w:tl2br w:val="nil"/>
                    <w:tr2bl w:val="nil"/>
                  </w:tcBorders>
                  <w:noWrap w:val="0"/>
                  <w:vAlign w:val="center"/>
                </w:tcPr>
                <w:p w14:paraId="46EF3DDD">
                  <w:pPr>
                    <w:jc w:val="left"/>
                    <w:rPr>
                      <w:color w:val="auto"/>
                      <w:highlight w:val="none"/>
                      <w:vertAlign w:val="baseline"/>
                    </w:rPr>
                  </w:pPr>
                  <w:r>
                    <w:rPr>
                      <w:rFonts w:hint="eastAsia" w:hAnsi="宋体" w:eastAsia="宋体"/>
                      <w:color w:val="auto"/>
                      <w:highlight w:val="none"/>
                    </w:rPr>
                    <w:t>危险废物泄漏</w:t>
                  </w:r>
                  <w:r>
                    <w:rPr>
                      <w:rFonts w:hint="eastAsia" w:hAnsi="宋体" w:eastAsia="宋体"/>
                      <w:color w:val="auto"/>
                      <w:highlight w:val="none"/>
                      <w:lang w:eastAsia="zh-CN"/>
                    </w:rPr>
                    <w:t>、</w:t>
                  </w:r>
                  <w:r>
                    <w:rPr>
                      <w:rFonts w:hint="eastAsia" w:hAnsi="宋体" w:eastAsia="宋体"/>
                      <w:color w:val="auto"/>
                      <w:highlight w:val="none"/>
                    </w:rPr>
                    <w:t>废</w:t>
                  </w:r>
                  <w:r>
                    <w:rPr>
                      <w:rFonts w:hint="eastAsia" w:hAnsi="宋体" w:eastAsia="宋体"/>
                      <w:color w:val="auto"/>
                      <w:highlight w:val="none"/>
                      <w:lang w:val="en-US" w:eastAsia="zh-CN"/>
                    </w:rPr>
                    <w:t>水</w:t>
                  </w:r>
                  <w:r>
                    <w:rPr>
                      <w:rFonts w:hint="eastAsia" w:hAnsi="宋体" w:eastAsia="宋体"/>
                      <w:color w:val="auto"/>
                      <w:highlight w:val="none"/>
                    </w:rPr>
                    <w:t>事故性排放</w:t>
                  </w:r>
                  <w:r>
                    <w:rPr>
                      <w:rFonts w:hint="eastAsia" w:hAnsi="宋体" w:eastAsia="宋体"/>
                      <w:color w:val="auto"/>
                      <w:highlight w:val="none"/>
                      <w:lang w:eastAsia="zh-CN"/>
                    </w:rPr>
                    <w:t>、</w:t>
                  </w:r>
                  <w:r>
                    <w:rPr>
                      <w:rFonts w:hint="eastAsia" w:hAnsi="宋体" w:eastAsia="宋体"/>
                      <w:color w:val="auto"/>
                      <w:highlight w:val="none"/>
                    </w:rPr>
                    <w:t>废气事故性排放</w:t>
                  </w:r>
                  <w:r>
                    <w:rPr>
                      <w:rFonts w:hint="eastAsia" w:hAnsi="宋体" w:eastAsia="宋体"/>
                      <w:color w:val="auto"/>
                      <w:highlight w:val="none"/>
                      <w:lang w:eastAsia="zh-CN"/>
                    </w:rPr>
                    <w:t>、</w:t>
                  </w:r>
                  <w:r>
                    <w:rPr>
                      <w:rFonts w:hint="eastAsia" w:hAnsi="宋体" w:eastAsia="宋体"/>
                      <w:color w:val="auto"/>
                      <w:highlight w:val="none"/>
                    </w:rPr>
                    <w:t>火灾及其衍生事故</w:t>
                  </w:r>
                  <w:r>
                    <w:rPr>
                      <w:rFonts w:hAnsi="宋体" w:eastAsia="宋体"/>
                      <w:color w:val="auto"/>
                      <w:highlight w:val="none"/>
                    </w:rPr>
                    <w:t>等，产生伴生</w:t>
                  </w:r>
                  <w:r>
                    <w:rPr>
                      <w:rFonts w:eastAsia="宋体"/>
                      <w:color w:val="auto"/>
                      <w:highlight w:val="none"/>
                    </w:rPr>
                    <w:t>/</w:t>
                  </w:r>
                  <w:r>
                    <w:rPr>
                      <w:rFonts w:hAnsi="宋体" w:eastAsia="宋体"/>
                      <w:color w:val="auto"/>
                      <w:highlight w:val="none"/>
                    </w:rPr>
                    <w:t>次生的消防废水等，扩散途径主要有泄漏物料、消防废水等收集处置不当，污染地表水环境，甚至地下水、土壤等环境，以及相关危险物质未燃烧完全产生的废气污染大气环境、废气事故性排放影响周边大气环境。</w:t>
                  </w:r>
                </w:p>
              </w:tc>
            </w:tr>
            <w:tr w14:paraId="58E798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tcBorders>
                    <w:tl2br w:val="nil"/>
                    <w:tr2bl w:val="nil"/>
                  </w:tcBorders>
                  <w:noWrap w:val="0"/>
                  <w:vAlign w:val="center"/>
                </w:tcPr>
                <w:p w14:paraId="49FEEAC0">
                  <w:pPr>
                    <w:jc w:val="center"/>
                    <w:rPr>
                      <w:b/>
                      <w:bCs w:val="0"/>
                      <w:color w:val="auto"/>
                      <w:highlight w:val="none"/>
                      <w:vertAlign w:val="baseline"/>
                    </w:rPr>
                  </w:pPr>
                  <w:r>
                    <w:rPr>
                      <w:rFonts w:hAnsi="宋体" w:eastAsia="宋体"/>
                      <w:b/>
                      <w:bCs w:val="0"/>
                      <w:color w:val="auto"/>
                      <w:highlight w:val="none"/>
                    </w:rPr>
                    <w:t>风险防范措施要求</w:t>
                  </w:r>
                </w:p>
              </w:tc>
              <w:tc>
                <w:tcPr>
                  <w:tcW w:w="6645" w:type="dxa"/>
                  <w:gridSpan w:val="4"/>
                  <w:tcBorders>
                    <w:tl2br w:val="nil"/>
                    <w:tr2bl w:val="nil"/>
                  </w:tcBorders>
                  <w:noWrap w:val="0"/>
                  <w:vAlign w:val="center"/>
                </w:tcPr>
                <w:p w14:paraId="11B27D9D">
                  <w:pPr>
                    <w:jc w:val="left"/>
                    <w:rPr>
                      <w:rFonts w:eastAsia="宋体"/>
                      <w:color w:val="auto"/>
                      <w:szCs w:val="21"/>
                      <w:highlight w:val="none"/>
                    </w:rPr>
                  </w:pPr>
                  <w:r>
                    <w:rPr>
                      <w:rFonts w:hAnsi="宋体" w:eastAsia="宋体"/>
                      <w:color w:val="auto"/>
                      <w:highlight w:val="none"/>
                    </w:rPr>
                    <w:t>①规范建设</w:t>
                  </w:r>
                  <w:r>
                    <w:rPr>
                      <w:rFonts w:hint="eastAsia" w:hAnsi="宋体" w:eastAsia="宋体"/>
                      <w:color w:val="auto"/>
                      <w:highlight w:val="none"/>
                      <w:lang w:val="en-US" w:eastAsia="zh-CN"/>
                    </w:rPr>
                    <w:t>危废暂存间</w:t>
                  </w:r>
                  <w:r>
                    <w:rPr>
                      <w:rFonts w:hint="eastAsia" w:hAnsi="宋体"/>
                      <w:color w:val="auto"/>
                      <w:highlight w:val="none"/>
                      <w:lang w:val="en-US" w:eastAsia="zh-CN"/>
                    </w:rPr>
                    <w:t>、化学品仓库</w:t>
                  </w:r>
                  <w:r>
                    <w:rPr>
                      <w:rFonts w:hAnsi="宋体" w:eastAsia="宋体"/>
                      <w:color w:val="auto"/>
                      <w:highlight w:val="none"/>
                    </w:rPr>
                    <w:t>，设置泄漏液体收集装置</w:t>
                  </w:r>
                  <w:r>
                    <w:rPr>
                      <w:rFonts w:hint="eastAsia" w:hAnsi="宋体" w:eastAsia="宋体"/>
                      <w:color w:val="auto"/>
                      <w:highlight w:val="none"/>
                      <w:lang w:eastAsia="zh-CN"/>
                    </w:rPr>
                    <w:t>、</w:t>
                  </w:r>
                  <w:r>
                    <w:rPr>
                      <w:rFonts w:hint="eastAsia" w:hAnsi="宋体" w:eastAsia="宋体"/>
                      <w:color w:val="auto"/>
                      <w:highlight w:val="none"/>
                      <w:lang w:val="en-US" w:eastAsia="zh-CN"/>
                    </w:rPr>
                    <w:t>托盘、围堰</w:t>
                  </w:r>
                  <w:r>
                    <w:rPr>
                      <w:rFonts w:hAnsi="宋体" w:eastAsia="宋体"/>
                      <w:color w:val="auto"/>
                      <w:highlight w:val="none"/>
                    </w:rPr>
                    <w:t>，配备应急空桶、吸油棉等应急物资，一旦发生事故时，及时对泄漏物进行收集、吸附处理。制定废气处理设施操作规程、定期巡检设施、定期维护管道等预防措施，防止废气事故性排放。定期对仓库进行巡查包装桶是否破损。</w:t>
                  </w:r>
                </w:p>
                <w:p w14:paraId="36ACCA55">
                  <w:pPr>
                    <w:jc w:val="left"/>
                    <w:rPr>
                      <w:rFonts w:eastAsia="宋体"/>
                      <w:color w:val="auto"/>
                      <w:highlight w:val="none"/>
                    </w:rPr>
                  </w:pPr>
                  <w:r>
                    <w:rPr>
                      <w:rFonts w:hAnsi="宋体" w:eastAsia="宋体"/>
                      <w:color w:val="auto"/>
                      <w:highlight w:val="none"/>
                    </w:rPr>
                    <w:t>②</w:t>
                  </w:r>
                  <w:r>
                    <w:rPr>
                      <w:rFonts w:hint="eastAsia" w:hAnsi="宋体" w:eastAsia="宋体"/>
                      <w:color w:val="auto"/>
                      <w:highlight w:val="none"/>
                    </w:rPr>
                    <w:t>定期对涉及生产用水设施进行检查、维护及设置围堰，及时发现并排除存在的安全隐患，保持设备设施的良好工作状态</w:t>
                  </w:r>
                  <w:r>
                    <w:rPr>
                      <w:rFonts w:hint="eastAsia" w:hAnsi="宋体"/>
                      <w:color w:val="auto"/>
                      <w:highlight w:val="none"/>
                      <w:lang w:eastAsia="zh-CN"/>
                    </w:rPr>
                    <w:t>；</w:t>
                  </w:r>
                  <w:r>
                    <w:rPr>
                      <w:rFonts w:hAnsi="宋体" w:eastAsia="宋体"/>
                      <w:color w:val="auto"/>
                      <w:highlight w:val="none"/>
                    </w:rPr>
                    <w:t>车间、库房合理设置灭火器材。</w:t>
                  </w:r>
                </w:p>
                <w:p w14:paraId="39681AE7">
                  <w:pPr>
                    <w:jc w:val="left"/>
                    <w:rPr>
                      <w:rFonts w:eastAsia="宋体"/>
                      <w:color w:val="auto"/>
                      <w:highlight w:val="none"/>
                    </w:rPr>
                  </w:pPr>
                  <w:r>
                    <w:rPr>
                      <w:rFonts w:hAnsi="宋体" w:eastAsia="宋体"/>
                      <w:color w:val="auto"/>
                      <w:highlight w:val="none"/>
                    </w:rPr>
                    <w:t>③加强化学品仓库、生产过程风险防范管理，制定相应的管理制度和责任人制度，加强安全教育和培训；对厂区内环境风险源定期巡检，排查隐患。</w:t>
                  </w:r>
                </w:p>
                <w:p w14:paraId="29327CA2">
                  <w:pPr>
                    <w:jc w:val="left"/>
                    <w:rPr>
                      <w:color w:val="auto"/>
                      <w:highlight w:val="none"/>
                      <w:vertAlign w:val="baseline"/>
                    </w:rPr>
                  </w:pPr>
                  <w:r>
                    <w:rPr>
                      <w:rFonts w:hAnsi="宋体" w:eastAsia="宋体"/>
                      <w:color w:val="auto"/>
                      <w:highlight w:val="none"/>
                    </w:rPr>
                    <w:t>④危险废物在运输时要严格按照《危险货物运输规则》中的危险货物配装表进行配装，起运时包装要完整，装载应稳妥。</w:t>
                  </w:r>
                </w:p>
              </w:tc>
            </w:tr>
            <w:tr w14:paraId="375FBA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07" w:type="dxa"/>
                  <w:gridSpan w:val="5"/>
                  <w:tcBorders>
                    <w:tl2br w:val="nil"/>
                    <w:tr2bl w:val="nil"/>
                  </w:tcBorders>
                  <w:noWrap w:val="0"/>
                  <w:vAlign w:val="center"/>
                </w:tcPr>
                <w:p w14:paraId="214C39DD">
                  <w:pPr>
                    <w:jc w:val="left"/>
                    <w:rPr>
                      <w:color w:val="auto"/>
                      <w:highlight w:val="none"/>
                      <w:vertAlign w:val="baseline"/>
                    </w:rPr>
                  </w:pPr>
                  <w:r>
                    <w:rPr>
                      <w:rFonts w:hAnsi="宋体" w:eastAsia="宋体"/>
                      <w:color w:val="auto"/>
                      <w:sz w:val="18"/>
                      <w:szCs w:val="18"/>
                      <w:highlight w:val="none"/>
                    </w:rPr>
                    <w:t>填表说明（列出项目相关信息及评价说明）：本项目危险物质为</w:t>
                  </w:r>
                  <w:r>
                    <w:rPr>
                      <w:rFonts w:hint="eastAsia" w:cs="Times New Roman"/>
                      <w:color w:val="auto"/>
                      <w:spacing w:val="0"/>
                      <w:kern w:val="0"/>
                      <w:sz w:val="18"/>
                      <w:szCs w:val="18"/>
                      <w:highlight w:val="none"/>
                      <w:lang w:val="en-US" w:eastAsia="zh-CN" w:bidi="ar-SA"/>
                    </w:rPr>
                    <w:t>油性漆、水性漆、</w:t>
                  </w:r>
                  <w:r>
                    <w:rPr>
                      <w:rFonts w:hint="eastAsia" w:ascii="Times New Roman" w:hAnsi="Times New Roman" w:eastAsia="宋体" w:cs="Times New Roman"/>
                      <w:color w:val="auto"/>
                      <w:spacing w:val="0"/>
                      <w:kern w:val="0"/>
                      <w:sz w:val="18"/>
                      <w:szCs w:val="18"/>
                      <w:highlight w:val="none"/>
                      <w:lang w:val="en-US" w:eastAsia="zh-CN" w:bidi="ar-SA"/>
                    </w:rPr>
                    <w:t>固化剂、稀释剂、</w:t>
                  </w:r>
                  <w:r>
                    <w:rPr>
                      <w:rFonts w:hint="eastAsia" w:cs="Times New Roman"/>
                      <w:color w:val="auto"/>
                      <w:spacing w:val="0"/>
                      <w:kern w:val="0"/>
                      <w:sz w:val="18"/>
                      <w:szCs w:val="18"/>
                      <w:highlight w:val="none"/>
                      <w:lang w:val="en-US" w:eastAsia="zh-CN" w:bidi="ar-SA"/>
                    </w:rPr>
                    <w:t>润滑油、</w:t>
                  </w:r>
                  <w:r>
                    <w:rPr>
                      <w:rFonts w:hint="eastAsia" w:ascii="Times New Roman" w:hAnsi="Times New Roman" w:eastAsia="宋体" w:cs="Times New Roman"/>
                      <w:color w:val="auto"/>
                      <w:spacing w:val="0"/>
                      <w:kern w:val="0"/>
                      <w:sz w:val="18"/>
                      <w:szCs w:val="18"/>
                      <w:highlight w:val="none"/>
                      <w:lang w:val="en-US" w:eastAsia="zh-CN" w:bidi="ar-SA"/>
                    </w:rPr>
                    <w:t>漆渣、废活性炭、</w:t>
                  </w:r>
                  <w:r>
                    <w:rPr>
                      <w:rFonts w:hint="eastAsia" w:cs="Times New Roman"/>
                      <w:color w:val="auto"/>
                      <w:spacing w:val="0"/>
                      <w:kern w:val="0"/>
                      <w:sz w:val="18"/>
                      <w:szCs w:val="18"/>
                      <w:highlight w:val="none"/>
                      <w:lang w:val="en-US" w:eastAsia="zh-CN" w:bidi="ar-SA"/>
                    </w:rPr>
                    <w:t>废过滤棉、</w:t>
                  </w:r>
                  <w:r>
                    <w:rPr>
                      <w:rFonts w:hint="eastAsia" w:ascii="Times New Roman" w:hAnsi="Times New Roman" w:eastAsia="宋体" w:cs="Times New Roman"/>
                      <w:color w:val="auto"/>
                      <w:spacing w:val="0"/>
                      <w:kern w:val="0"/>
                      <w:sz w:val="18"/>
                      <w:szCs w:val="18"/>
                      <w:highlight w:val="none"/>
                      <w:lang w:val="en-US" w:eastAsia="zh-CN" w:bidi="ar-SA"/>
                    </w:rPr>
                    <w:t>沉淀污泥、</w:t>
                  </w:r>
                  <w:r>
                    <w:rPr>
                      <w:rFonts w:hint="eastAsia" w:cs="Times New Roman"/>
                      <w:color w:val="auto"/>
                      <w:spacing w:val="0"/>
                      <w:kern w:val="0"/>
                      <w:sz w:val="18"/>
                      <w:szCs w:val="18"/>
                      <w:highlight w:val="none"/>
                      <w:lang w:val="en-US" w:eastAsia="zh-CN" w:bidi="ar-SA"/>
                    </w:rPr>
                    <w:t>水帘气旋废液</w:t>
                  </w:r>
                  <w:r>
                    <w:rPr>
                      <w:rFonts w:hint="eastAsia" w:ascii="Times New Roman" w:hAnsi="Times New Roman" w:eastAsia="宋体" w:cs="Times New Roman"/>
                      <w:color w:val="auto"/>
                      <w:spacing w:val="0"/>
                      <w:kern w:val="0"/>
                      <w:sz w:val="18"/>
                      <w:szCs w:val="18"/>
                      <w:highlight w:val="none"/>
                      <w:lang w:val="en-US" w:eastAsia="zh-CN" w:bidi="ar-SA"/>
                    </w:rPr>
                    <w:t>、</w:t>
                  </w:r>
                  <w:r>
                    <w:rPr>
                      <w:rFonts w:hint="eastAsia" w:cs="Times New Roman"/>
                      <w:color w:val="auto"/>
                      <w:spacing w:val="0"/>
                      <w:kern w:val="0"/>
                      <w:sz w:val="18"/>
                      <w:szCs w:val="18"/>
                      <w:highlight w:val="none"/>
                      <w:lang w:val="en-US" w:eastAsia="zh-CN" w:bidi="ar-SA"/>
                    </w:rPr>
                    <w:t>喷枪清洗废液、废化学品包装物、废润滑油、润滑油空桶、废含油抹布及手套</w:t>
                  </w:r>
                  <w:r>
                    <w:rPr>
                      <w:rFonts w:hAnsi="宋体" w:eastAsia="宋体"/>
                      <w:color w:val="auto"/>
                      <w:sz w:val="18"/>
                      <w:szCs w:val="18"/>
                      <w:highlight w:val="none"/>
                    </w:rPr>
                    <w:t>，</w:t>
                  </w:r>
                  <w:r>
                    <w:rPr>
                      <w:rFonts w:hint="eastAsia" w:hAnsi="宋体" w:eastAsia="宋体"/>
                      <w:color w:val="auto"/>
                      <w:sz w:val="18"/>
                      <w:szCs w:val="18"/>
                      <w:highlight w:val="none"/>
                      <w:lang w:val="en-US" w:eastAsia="zh-CN"/>
                    </w:rPr>
                    <w:t>根据表4.6-2，可知，</w:t>
                  </w:r>
                  <w:r>
                    <w:rPr>
                      <w:rFonts w:hAnsi="宋体" w:eastAsia="宋体"/>
                      <w:color w:val="auto"/>
                      <w:sz w:val="18"/>
                      <w:szCs w:val="18"/>
                      <w:highlight w:val="none"/>
                    </w:rPr>
                    <w:t>全厂</w:t>
                  </w:r>
                  <w:r>
                    <w:rPr>
                      <w:rFonts w:eastAsia="宋体"/>
                      <w:color w:val="auto"/>
                      <w:sz w:val="18"/>
                      <w:szCs w:val="18"/>
                      <w:highlight w:val="none"/>
                    </w:rPr>
                    <w:t>Q</w:t>
                  </w:r>
                  <w:r>
                    <w:rPr>
                      <w:rFonts w:hAnsi="宋体" w:eastAsia="宋体"/>
                      <w:color w:val="auto"/>
                      <w:sz w:val="18"/>
                      <w:szCs w:val="18"/>
                      <w:highlight w:val="none"/>
                    </w:rPr>
                    <w:t>＜</w:t>
                  </w:r>
                  <w:r>
                    <w:rPr>
                      <w:rFonts w:eastAsia="宋体"/>
                      <w:color w:val="auto"/>
                      <w:sz w:val="18"/>
                      <w:szCs w:val="18"/>
                      <w:highlight w:val="none"/>
                    </w:rPr>
                    <w:t>1</w:t>
                  </w:r>
                  <w:r>
                    <w:rPr>
                      <w:rFonts w:hAnsi="宋体" w:eastAsia="宋体"/>
                      <w:color w:val="auto"/>
                      <w:sz w:val="18"/>
                      <w:szCs w:val="18"/>
                      <w:highlight w:val="none"/>
                    </w:rPr>
                    <w:t>，环境风险潜势为</w:t>
                  </w:r>
                  <w:r>
                    <w:rPr>
                      <w:rFonts w:eastAsia="宋体"/>
                      <w:color w:val="auto"/>
                      <w:sz w:val="18"/>
                      <w:szCs w:val="18"/>
                      <w:highlight w:val="none"/>
                    </w:rPr>
                    <w:t>Ⅰ</w:t>
                  </w:r>
                  <w:r>
                    <w:rPr>
                      <w:rFonts w:hAnsi="宋体" w:eastAsia="宋体"/>
                      <w:color w:val="auto"/>
                      <w:sz w:val="18"/>
                      <w:szCs w:val="18"/>
                      <w:highlight w:val="none"/>
                    </w:rPr>
                    <w:t>。主要环境风险为泄漏、火灾事故。在严格落实各项风险防范措施后，环境风险可得到有效防控。</w:t>
                  </w:r>
                </w:p>
              </w:tc>
            </w:tr>
          </w:tbl>
          <w:p w14:paraId="1D36686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eastAsia="宋体" w:cs="Times New Roman"/>
                <w:color w:val="auto"/>
                <w:spacing w:val="0"/>
                <w:position w:val="0"/>
                <w:sz w:val="24"/>
                <w:highlight w:val="none"/>
              </w:rPr>
            </w:pPr>
            <w:r>
              <w:rPr>
                <w:rFonts w:hint="eastAsia" w:ascii="Times New Roman" w:hAnsi="Times New Roman" w:eastAsia="宋体" w:cs="Times New Roman"/>
                <w:b w:val="0"/>
                <w:bCs w:val="0"/>
                <w:color w:val="auto"/>
                <w:kern w:val="2"/>
                <w:sz w:val="24"/>
                <w:szCs w:val="24"/>
                <w:highlight w:val="none"/>
                <w:u w:val="none"/>
                <w:lang w:bidi="ar"/>
              </w:rPr>
              <w:t>项目环境风险潜势为</w:t>
            </w:r>
            <w:r>
              <w:rPr>
                <w:rFonts w:hint="default" w:ascii="Times New Roman" w:hAnsi="Times New Roman" w:eastAsia="宋体" w:cs="Times New Roman"/>
                <w:b w:val="0"/>
                <w:bCs w:val="0"/>
                <w:color w:val="auto"/>
                <w:kern w:val="2"/>
                <w:sz w:val="24"/>
                <w:szCs w:val="24"/>
                <w:highlight w:val="none"/>
                <w:u w:val="none"/>
                <w:lang w:bidi="ar"/>
              </w:rPr>
              <w:t>Ⅰ</w:t>
            </w:r>
            <w:r>
              <w:rPr>
                <w:rFonts w:hint="eastAsia" w:ascii="Times New Roman" w:hAnsi="Times New Roman" w:eastAsia="宋体" w:cs="Times New Roman"/>
                <w:b w:val="0"/>
                <w:bCs w:val="0"/>
                <w:color w:val="auto"/>
                <w:kern w:val="2"/>
                <w:sz w:val="24"/>
                <w:szCs w:val="24"/>
                <w:highlight w:val="none"/>
                <w:u w:val="none"/>
                <w:lang w:bidi="ar"/>
              </w:rPr>
              <w:t>，属简单分析。建设单位在严格采取各项风险防范应急措施、制定应急预案以及与周边企业、敏感点建立联动的情况下，可最大限度地降低环境风险，一旦以上突发事件发生，环境风险可达到控制，能最大限度地减少环境污染危害，环境风险防范措施有效，风险影响程度可接受。</w:t>
            </w:r>
          </w:p>
          <w:p w14:paraId="1BF5A313">
            <w:pPr>
              <w:keepNext w:val="0"/>
              <w:keepLines w:val="0"/>
              <w:pageBreakBefore w:val="0"/>
              <w:widowControl/>
              <w:kinsoku/>
              <w:wordWrap/>
              <w:overflowPunct/>
              <w:topLinePunct w:val="0"/>
              <w:autoSpaceDE/>
              <w:autoSpaceDN/>
              <w:bidi w:val="0"/>
              <w:adjustRightInd/>
              <w:snapToGrid/>
              <w:spacing w:line="360" w:lineRule="auto"/>
              <w:jc w:val="left"/>
              <w:textAlignment w:val="auto"/>
              <w:rPr>
                <w:color w:val="auto"/>
                <w:sz w:val="24"/>
                <w:szCs w:val="24"/>
              </w:rPr>
            </w:pPr>
            <w:r>
              <w:rPr>
                <w:rFonts w:ascii="Times New Roman" w:hAnsi="Times New Roman" w:eastAsia="宋体" w:cs="Times New Roman"/>
                <w:b/>
                <w:bCs/>
                <w:color w:val="auto"/>
                <w:spacing w:val="0"/>
                <w:position w:val="0"/>
                <w:sz w:val="24"/>
                <w:szCs w:val="24"/>
                <w:highlight w:val="none"/>
              </w:rPr>
              <w:t>4.6</w:t>
            </w:r>
            <w:r>
              <w:rPr>
                <w:rFonts w:hint="eastAsia" w:ascii="Times New Roman" w:hAnsi="Times New Roman" w:eastAsia="宋体" w:cs="Times New Roman"/>
                <w:b/>
                <w:bCs/>
                <w:color w:val="auto"/>
                <w:spacing w:val="0"/>
                <w:position w:val="0"/>
                <w:sz w:val="24"/>
                <w:szCs w:val="24"/>
                <w:highlight w:val="none"/>
                <w:lang w:val="en-US" w:eastAsia="zh-CN"/>
              </w:rPr>
              <w:t>.4</w:t>
            </w:r>
            <w:r>
              <w:rPr>
                <w:rFonts w:hint="eastAsia" w:ascii="宋体" w:hAnsi="宋体" w:cs="宋体"/>
                <w:b/>
                <w:bCs/>
                <w:color w:val="auto"/>
                <w:kern w:val="0"/>
                <w:sz w:val="24"/>
                <w:szCs w:val="24"/>
                <w:lang w:bidi="ar"/>
              </w:rPr>
              <w:t xml:space="preserve">“三本账”分析 </w:t>
            </w:r>
          </w:p>
          <w:p w14:paraId="215CE85E">
            <w:pPr>
              <w:pStyle w:val="63"/>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bCs/>
                <w:color w:val="auto"/>
                <w:kern w:val="0"/>
                <w:sz w:val="24"/>
              </w:rPr>
            </w:pPr>
            <w:r>
              <w:rPr>
                <w:rFonts w:hint="eastAsia"/>
                <w:bCs/>
                <w:color w:val="auto"/>
                <w:kern w:val="0"/>
                <w:sz w:val="24"/>
              </w:rPr>
              <w:t>项目扩建前后“三本账”的统计情况详见表</w:t>
            </w:r>
            <w:r>
              <w:rPr>
                <w:bCs/>
                <w:color w:val="auto"/>
                <w:kern w:val="0"/>
                <w:sz w:val="24"/>
              </w:rPr>
              <w:t>4</w:t>
            </w:r>
            <w:r>
              <w:rPr>
                <w:rFonts w:hint="eastAsia"/>
                <w:bCs/>
                <w:color w:val="auto"/>
                <w:kern w:val="0"/>
                <w:sz w:val="24"/>
                <w:lang w:val="en-US" w:eastAsia="zh-CN"/>
              </w:rPr>
              <w:t>.6-5</w:t>
            </w:r>
            <w:r>
              <w:rPr>
                <w:rFonts w:hint="eastAsia"/>
                <w:bCs/>
                <w:color w:val="auto"/>
                <w:kern w:val="0"/>
                <w:sz w:val="24"/>
              </w:rPr>
              <w:t>，改扩建前污染源强根据</w:t>
            </w:r>
            <w:r>
              <w:rPr>
                <w:rFonts w:hint="eastAsia"/>
                <w:color w:val="auto"/>
                <w:kern w:val="0"/>
                <w:sz w:val="24"/>
                <w:szCs w:val="24"/>
              </w:rPr>
              <w:t>2021年6月福州市搜一家具有限公司委托福建海涵环保咨询有限公司编制</w:t>
            </w:r>
            <w:r>
              <w:rPr>
                <w:color w:val="auto"/>
                <w:kern w:val="0"/>
                <w:sz w:val="24"/>
                <w:szCs w:val="24"/>
              </w:rPr>
              <w:t>《</w:t>
            </w:r>
            <w:r>
              <w:rPr>
                <w:rFonts w:hint="eastAsia"/>
                <w:color w:val="auto"/>
                <w:sz w:val="24"/>
                <w:szCs w:val="24"/>
              </w:rPr>
              <w:t>福州市搜一家具有限公司木质屏风生产项目环境影响报告表</w:t>
            </w:r>
            <w:r>
              <w:rPr>
                <w:color w:val="auto"/>
                <w:kern w:val="0"/>
                <w:sz w:val="24"/>
                <w:szCs w:val="24"/>
              </w:rPr>
              <w:t>》，</w:t>
            </w:r>
            <w:r>
              <w:rPr>
                <w:rFonts w:hint="eastAsia" w:ascii="Times New Roman" w:hAnsi="Times New Roman" w:eastAsia="宋体" w:cs="Times New Roman"/>
                <w:color w:val="auto"/>
                <w:sz w:val="24"/>
                <w:highlight w:val="none"/>
                <w:lang w:eastAsia="zh-CN"/>
              </w:rPr>
              <w:t>于</w:t>
            </w:r>
            <w:r>
              <w:rPr>
                <w:rFonts w:ascii="Times New Roman" w:hAnsi="Times New Roman" w:eastAsia="宋体" w:cs="Times New Roman"/>
                <w:color w:val="auto"/>
                <w:sz w:val="24"/>
                <w:highlight w:val="none"/>
              </w:rPr>
              <w:t>20</w:t>
            </w:r>
            <w:r>
              <w:rPr>
                <w:rFonts w:hint="eastAsia" w:cs="Times New Roman"/>
                <w:color w:val="auto"/>
                <w:sz w:val="24"/>
                <w:highlight w:val="none"/>
                <w:lang w:val="en-US" w:eastAsia="zh-CN"/>
              </w:rPr>
              <w:t>21</w:t>
            </w:r>
            <w:r>
              <w:rPr>
                <w:rFonts w:ascii="Times New Roman" w:hAnsi="Times New Roman" w:eastAsia="宋体" w:cs="Times New Roman"/>
                <w:color w:val="auto"/>
                <w:sz w:val="24"/>
                <w:highlight w:val="none"/>
              </w:rPr>
              <w:t>年</w:t>
            </w:r>
            <w:r>
              <w:rPr>
                <w:rFonts w:hint="eastAsia" w:cs="Times New Roman"/>
                <w:color w:val="auto"/>
                <w:sz w:val="24"/>
                <w:highlight w:val="none"/>
                <w:lang w:val="en-US" w:eastAsia="zh-CN"/>
              </w:rPr>
              <w:t>8</w:t>
            </w:r>
            <w:r>
              <w:rPr>
                <w:rFonts w:ascii="Times New Roman" w:hAnsi="Times New Roman" w:eastAsia="宋体" w:cs="Times New Roman"/>
                <w:color w:val="auto"/>
                <w:sz w:val="24"/>
                <w:highlight w:val="none"/>
              </w:rPr>
              <w:t>月</w:t>
            </w:r>
            <w:r>
              <w:rPr>
                <w:rFonts w:hint="eastAsia" w:cs="Times New Roman"/>
                <w:color w:val="auto"/>
                <w:sz w:val="24"/>
                <w:highlight w:val="none"/>
                <w:lang w:val="en-US" w:eastAsia="zh-CN"/>
              </w:rPr>
              <w:t>5</w:t>
            </w:r>
            <w:r>
              <w:rPr>
                <w:rFonts w:ascii="Times New Roman" w:hAnsi="Times New Roman" w:eastAsia="宋体" w:cs="Times New Roman"/>
                <w:color w:val="auto"/>
                <w:sz w:val="24"/>
                <w:highlight w:val="none"/>
              </w:rPr>
              <w:t>日通过</w:t>
            </w:r>
            <w:r>
              <w:rPr>
                <w:rFonts w:hint="eastAsia" w:cs="Times New Roman"/>
                <w:b w:val="0"/>
                <w:bCs/>
                <w:color w:val="auto"/>
                <w:spacing w:val="0"/>
                <w:w w:val="100"/>
                <w:position w:val="0"/>
                <w:sz w:val="24"/>
                <w:szCs w:val="24"/>
                <w:highlight w:val="none"/>
                <w:lang w:val="en-US" w:eastAsia="zh-CN"/>
              </w:rPr>
              <w:t>福州市生态</w:t>
            </w:r>
            <w:r>
              <w:rPr>
                <w:rFonts w:hint="default" w:ascii="Times New Roman" w:hAnsi="Times New Roman" w:eastAsia="宋体" w:cs="Times New Roman"/>
                <w:b w:val="0"/>
                <w:bCs/>
                <w:color w:val="auto"/>
                <w:spacing w:val="0"/>
                <w:w w:val="100"/>
                <w:position w:val="0"/>
                <w:sz w:val="24"/>
                <w:szCs w:val="24"/>
                <w:highlight w:val="none"/>
              </w:rPr>
              <w:t>环境局</w:t>
            </w:r>
            <w:r>
              <w:rPr>
                <w:rFonts w:ascii="Times New Roman" w:hAnsi="Times New Roman" w:eastAsia="宋体" w:cs="Times New Roman"/>
                <w:color w:val="auto"/>
                <w:sz w:val="24"/>
                <w:highlight w:val="none"/>
              </w:rPr>
              <w:t>审批</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审批号为</w:t>
            </w:r>
            <w:r>
              <w:rPr>
                <w:rFonts w:hint="eastAsia" w:cs="Times New Roman"/>
                <w:color w:val="auto"/>
                <w:sz w:val="24"/>
                <w:highlight w:val="none"/>
                <w:lang w:val="en-US" w:eastAsia="zh-CN"/>
              </w:rPr>
              <w:t>侯环评</w:t>
            </w:r>
            <w:r>
              <w:rPr>
                <w:rFonts w:hint="eastAsia" w:ascii="Times New Roman" w:hAnsi="Times New Roman" w:eastAsia="宋体" w:cs="Times New Roman"/>
                <w:color w:val="auto"/>
                <w:sz w:val="24"/>
                <w:highlight w:val="none"/>
              </w:rPr>
              <w:t>[2</w:t>
            </w:r>
            <w:r>
              <w:rPr>
                <w:rFonts w:hint="eastAsia" w:ascii="Times New Roman" w:hAnsi="Times New Roman" w:eastAsia="宋体" w:cs="Times New Roman"/>
                <w:color w:val="auto"/>
                <w:sz w:val="24"/>
                <w:highlight w:val="none"/>
                <w:lang w:val="en-US" w:eastAsia="zh-CN"/>
              </w:rPr>
              <w:t>0</w:t>
            </w:r>
            <w:r>
              <w:rPr>
                <w:rFonts w:hint="eastAsia" w:cs="Times New Roman"/>
                <w:color w:val="auto"/>
                <w:sz w:val="24"/>
                <w:highlight w:val="none"/>
                <w:lang w:val="en-US" w:eastAsia="zh-CN"/>
              </w:rPr>
              <w:t>21</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108</w:t>
            </w:r>
            <w:r>
              <w:rPr>
                <w:rFonts w:ascii="Times New Roman" w:hAnsi="Times New Roman" w:eastAsia="宋体" w:cs="Times New Roman"/>
                <w:color w:val="auto"/>
                <w:sz w:val="24"/>
                <w:highlight w:val="none"/>
              </w:rPr>
              <w:t>号</w:t>
            </w:r>
            <w:r>
              <w:rPr>
                <w:rFonts w:hint="eastAsia" w:ascii="Times New Roman" w:hAnsi="Times New Roman" w:eastAsia="宋体" w:cs="Times New Roman"/>
                <w:color w:val="auto"/>
                <w:sz w:val="24"/>
                <w:highlight w:val="none"/>
                <w:lang w:eastAsia="zh-CN"/>
              </w:rPr>
              <w:t>），</w:t>
            </w:r>
            <w:r>
              <w:rPr>
                <w:rFonts w:hint="eastAsia"/>
                <w:bCs/>
                <w:color w:val="auto"/>
                <w:kern w:val="0"/>
                <w:sz w:val="24"/>
              </w:rPr>
              <w:t>进行确定。</w:t>
            </w:r>
          </w:p>
          <w:p w14:paraId="4502C1D0">
            <w:pPr>
              <w:widowControl/>
              <w:jc w:val="center"/>
              <w:rPr>
                <w:color w:val="auto"/>
              </w:rPr>
            </w:pPr>
            <w:r>
              <w:rPr>
                <w:rFonts w:hint="eastAsia" w:ascii="宋体" w:hAnsi="宋体" w:cs="宋体"/>
                <w:b/>
                <w:bCs/>
                <w:color w:val="auto"/>
                <w:kern w:val="0"/>
                <w:sz w:val="24"/>
                <w:szCs w:val="24"/>
                <w:lang w:bidi="ar"/>
              </w:rPr>
              <w:t xml:space="preserve">表 </w:t>
            </w:r>
            <w:r>
              <w:rPr>
                <w:b/>
                <w:bCs/>
                <w:color w:val="auto"/>
                <w:kern w:val="0"/>
                <w:sz w:val="24"/>
                <w:szCs w:val="24"/>
                <w:lang w:bidi="ar"/>
              </w:rPr>
              <w:t>4</w:t>
            </w:r>
            <w:r>
              <w:rPr>
                <w:rFonts w:hint="eastAsia"/>
                <w:b/>
                <w:bCs/>
                <w:color w:val="auto"/>
                <w:kern w:val="0"/>
                <w:sz w:val="24"/>
                <w:szCs w:val="24"/>
                <w:lang w:val="en-US" w:eastAsia="zh-CN" w:bidi="ar"/>
              </w:rPr>
              <w:t xml:space="preserve">.6-5 </w:t>
            </w:r>
            <w:r>
              <w:rPr>
                <w:rFonts w:hint="eastAsia" w:ascii="宋体" w:hAnsi="宋体" w:cs="宋体"/>
                <w:b/>
                <w:bCs/>
                <w:color w:val="auto"/>
                <w:kern w:val="0"/>
                <w:sz w:val="24"/>
                <w:szCs w:val="24"/>
                <w:lang w:bidi="ar"/>
              </w:rPr>
              <w:t>项目工程三本账分析一览表</w:t>
            </w:r>
          </w:p>
          <w:tbl>
            <w:tblPr>
              <w:tblStyle w:val="29"/>
              <w:tblW w:w="820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6"/>
              <w:gridCol w:w="394"/>
              <w:gridCol w:w="1173"/>
              <w:gridCol w:w="1283"/>
              <w:gridCol w:w="1410"/>
              <w:gridCol w:w="1034"/>
              <w:gridCol w:w="1621"/>
              <w:gridCol w:w="894"/>
            </w:tblGrid>
            <w:tr w14:paraId="24D142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tcBorders>
                    <w:tl2br w:val="nil"/>
                    <w:tr2bl w:val="nil"/>
                  </w:tcBorders>
                  <w:noWrap w:val="0"/>
                  <w:vAlign w:val="center"/>
                </w:tcPr>
                <w:p w14:paraId="7B5DA2CA">
                  <w:pPr>
                    <w:widowControl/>
                    <w:adjustRightInd w:val="0"/>
                    <w:jc w:val="center"/>
                    <w:textAlignment w:val="baseline"/>
                    <w:rPr>
                      <w:b/>
                      <w:bCs/>
                      <w:color w:val="auto"/>
                      <w:kern w:val="0"/>
                    </w:rPr>
                  </w:pPr>
                  <w:r>
                    <w:rPr>
                      <w:rFonts w:hint="eastAsia"/>
                      <w:b/>
                      <w:bCs/>
                      <w:color w:val="auto"/>
                      <w:kern w:val="0"/>
                    </w:rPr>
                    <w:t>污染源</w:t>
                  </w:r>
                </w:p>
              </w:tc>
              <w:tc>
                <w:tcPr>
                  <w:tcW w:w="1567" w:type="dxa"/>
                  <w:gridSpan w:val="2"/>
                  <w:tcBorders>
                    <w:tl2br w:val="nil"/>
                    <w:tr2bl w:val="nil"/>
                  </w:tcBorders>
                  <w:noWrap w:val="0"/>
                  <w:vAlign w:val="center"/>
                </w:tcPr>
                <w:p w14:paraId="3E88A084">
                  <w:pPr>
                    <w:widowControl/>
                    <w:adjustRightInd w:val="0"/>
                    <w:jc w:val="center"/>
                    <w:textAlignment w:val="baseline"/>
                    <w:rPr>
                      <w:b/>
                      <w:bCs/>
                      <w:color w:val="auto"/>
                      <w:kern w:val="0"/>
                    </w:rPr>
                  </w:pPr>
                  <w:r>
                    <w:rPr>
                      <w:rFonts w:hint="eastAsia"/>
                      <w:b/>
                      <w:bCs/>
                      <w:color w:val="auto"/>
                      <w:kern w:val="0"/>
                    </w:rPr>
                    <w:t>污染物名称</w:t>
                  </w:r>
                </w:p>
              </w:tc>
              <w:tc>
                <w:tcPr>
                  <w:tcW w:w="1283" w:type="dxa"/>
                  <w:tcBorders>
                    <w:tl2br w:val="nil"/>
                    <w:tr2bl w:val="nil"/>
                  </w:tcBorders>
                  <w:noWrap w:val="0"/>
                  <w:vAlign w:val="center"/>
                </w:tcPr>
                <w:p w14:paraId="38E8E68B">
                  <w:pPr>
                    <w:widowControl/>
                    <w:adjustRightInd w:val="0"/>
                    <w:jc w:val="center"/>
                    <w:textAlignment w:val="baseline"/>
                    <w:rPr>
                      <w:rFonts w:hint="eastAsia"/>
                      <w:b/>
                      <w:bCs/>
                      <w:color w:val="auto"/>
                      <w:kern w:val="0"/>
                    </w:rPr>
                  </w:pPr>
                  <w:r>
                    <w:rPr>
                      <w:rFonts w:hint="eastAsia"/>
                      <w:b/>
                      <w:bCs/>
                      <w:color w:val="auto"/>
                      <w:kern w:val="0"/>
                    </w:rPr>
                    <w:t>改扩建前排放量</w:t>
                  </w:r>
                  <w:r>
                    <w:rPr>
                      <w:b/>
                      <w:bCs/>
                      <w:color w:val="auto"/>
                      <w:kern w:val="21"/>
                    </w:rPr>
                    <w:t>（固体废物产生量）</w:t>
                  </w:r>
                  <w:r>
                    <w:rPr>
                      <w:rFonts w:hint="eastAsia"/>
                      <w:b/>
                      <w:bCs/>
                      <w:color w:val="auto"/>
                      <w:kern w:val="0"/>
                    </w:rPr>
                    <w:t>（</w:t>
                  </w:r>
                  <w:r>
                    <w:rPr>
                      <w:b/>
                      <w:bCs/>
                      <w:color w:val="auto"/>
                      <w:kern w:val="0"/>
                    </w:rPr>
                    <w:t>t/a</w:t>
                  </w:r>
                  <w:r>
                    <w:rPr>
                      <w:rFonts w:hint="eastAsia"/>
                      <w:b/>
                      <w:bCs/>
                      <w:color w:val="auto"/>
                      <w:kern w:val="0"/>
                    </w:rPr>
                    <w:t>）</w:t>
                  </w:r>
                </w:p>
              </w:tc>
              <w:tc>
                <w:tcPr>
                  <w:tcW w:w="1410" w:type="dxa"/>
                  <w:tcBorders>
                    <w:tl2br w:val="nil"/>
                    <w:tr2bl w:val="nil"/>
                  </w:tcBorders>
                  <w:noWrap w:val="0"/>
                  <w:vAlign w:val="center"/>
                </w:tcPr>
                <w:p w14:paraId="1C1501CD">
                  <w:pPr>
                    <w:widowControl/>
                    <w:adjustRightInd w:val="0"/>
                    <w:jc w:val="center"/>
                    <w:textAlignment w:val="baseline"/>
                    <w:rPr>
                      <w:rFonts w:hint="eastAsia"/>
                      <w:b/>
                      <w:bCs/>
                      <w:color w:val="auto"/>
                      <w:kern w:val="0"/>
                    </w:rPr>
                  </w:pPr>
                  <w:r>
                    <w:rPr>
                      <w:rFonts w:hint="eastAsia"/>
                      <w:b/>
                      <w:bCs/>
                      <w:color w:val="auto"/>
                      <w:kern w:val="0"/>
                    </w:rPr>
                    <w:t>改扩建工程排放量</w:t>
                  </w:r>
                  <w:r>
                    <w:rPr>
                      <w:b/>
                      <w:bCs/>
                      <w:color w:val="auto"/>
                      <w:kern w:val="21"/>
                    </w:rPr>
                    <w:t>（固体废物产生量）</w:t>
                  </w:r>
                  <w:r>
                    <w:rPr>
                      <w:rFonts w:hint="eastAsia"/>
                      <w:b/>
                      <w:bCs/>
                      <w:color w:val="auto"/>
                      <w:kern w:val="0"/>
                    </w:rPr>
                    <w:t>（</w:t>
                  </w:r>
                  <w:r>
                    <w:rPr>
                      <w:b/>
                      <w:bCs/>
                      <w:color w:val="auto"/>
                      <w:kern w:val="0"/>
                    </w:rPr>
                    <w:t>t/a</w:t>
                  </w:r>
                  <w:r>
                    <w:rPr>
                      <w:rFonts w:hint="eastAsia"/>
                      <w:b/>
                      <w:bCs/>
                      <w:color w:val="auto"/>
                      <w:kern w:val="0"/>
                    </w:rPr>
                    <w:t>）</w:t>
                  </w:r>
                </w:p>
              </w:tc>
              <w:tc>
                <w:tcPr>
                  <w:tcW w:w="1034" w:type="dxa"/>
                  <w:tcBorders>
                    <w:tl2br w:val="nil"/>
                    <w:tr2bl w:val="nil"/>
                  </w:tcBorders>
                  <w:noWrap w:val="0"/>
                  <w:vAlign w:val="center"/>
                </w:tcPr>
                <w:p w14:paraId="58F5B2A2">
                  <w:pPr>
                    <w:widowControl/>
                    <w:adjustRightInd w:val="0"/>
                    <w:jc w:val="center"/>
                    <w:textAlignment w:val="baseline"/>
                    <w:rPr>
                      <w:rFonts w:hint="eastAsia"/>
                      <w:b/>
                      <w:bCs/>
                      <w:color w:val="auto"/>
                      <w:kern w:val="0"/>
                    </w:rPr>
                  </w:pPr>
                  <w:r>
                    <w:rPr>
                      <w:b/>
                      <w:bCs/>
                      <w:color w:val="auto"/>
                      <w:kern w:val="0"/>
                    </w:rPr>
                    <w:t>“</w:t>
                  </w:r>
                  <w:r>
                    <w:rPr>
                      <w:rFonts w:hint="eastAsia"/>
                      <w:b/>
                      <w:bCs/>
                      <w:color w:val="auto"/>
                      <w:kern w:val="0"/>
                    </w:rPr>
                    <w:t>以新带老</w:t>
                  </w:r>
                  <w:r>
                    <w:rPr>
                      <w:b/>
                      <w:bCs/>
                      <w:color w:val="auto"/>
                      <w:kern w:val="0"/>
                    </w:rPr>
                    <w:t>”</w:t>
                  </w:r>
                  <w:r>
                    <w:rPr>
                      <w:rFonts w:hint="eastAsia"/>
                      <w:b/>
                      <w:bCs/>
                      <w:color w:val="auto"/>
                      <w:kern w:val="0"/>
                    </w:rPr>
                    <w:t>削减量（</w:t>
                  </w:r>
                  <w:r>
                    <w:rPr>
                      <w:b/>
                      <w:bCs/>
                      <w:color w:val="auto"/>
                      <w:kern w:val="0"/>
                    </w:rPr>
                    <w:t>t/a</w:t>
                  </w:r>
                  <w:r>
                    <w:rPr>
                      <w:rFonts w:hint="eastAsia"/>
                      <w:b/>
                      <w:bCs/>
                      <w:color w:val="auto"/>
                      <w:kern w:val="0"/>
                    </w:rPr>
                    <w:t>）</w:t>
                  </w:r>
                </w:p>
              </w:tc>
              <w:tc>
                <w:tcPr>
                  <w:tcW w:w="1621" w:type="dxa"/>
                  <w:tcBorders>
                    <w:tl2br w:val="nil"/>
                    <w:tr2bl w:val="nil"/>
                  </w:tcBorders>
                  <w:noWrap w:val="0"/>
                  <w:vAlign w:val="center"/>
                </w:tcPr>
                <w:p w14:paraId="28B9FF9C">
                  <w:pPr>
                    <w:widowControl/>
                    <w:adjustRightInd w:val="0"/>
                    <w:jc w:val="center"/>
                    <w:textAlignment w:val="baseline"/>
                    <w:rPr>
                      <w:b/>
                      <w:bCs/>
                      <w:color w:val="auto"/>
                      <w:kern w:val="0"/>
                    </w:rPr>
                  </w:pPr>
                  <w:r>
                    <w:rPr>
                      <w:rFonts w:hint="eastAsia"/>
                      <w:b/>
                      <w:bCs/>
                      <w:color w:val="auto"/>
                      <w:kern w:val="0"/>
                    </w:rPr>
                    <w:t>改扩建后污染物最终排放量</w:t>
                  </w:r>
                  <w:r>
                    <w:rPr>
                      <w:b/>
                      <w:bCs/>
                      <w:color w:val="auto"/>
                      <w:kern w:val="21"/>
                    </w:rPr>
                    <w:t>（固体废物产生量）</w:t>
                  </w:r>
                  <w:r>
                    <w:rPr>
                      <w:rFonts w:hint="eastAsia"/>
                      <w:b/>
                      <w:bCs/>
                      <w:color w:val="auto"/>
                      <w:kern w:val="0"/>
                    </w:rPr>
                    <w:t>（</w:t>
                  </w:r>
                  <w:r>
                    <w:rPr>
                      <w:b/>
                      <w:bCs/>
                      <w:color w:val="auto"/>
                      <w:kern w:val="0"/>
                    </w:rPr>
                    <w:t>t/a</w:t>
                  </w:r>
                  <w:r>
                    <w:rPr>
                      <w:rFonts w:hint="eastAsia"/>
                      <w:b/>
                      <w:bCs/>
                      <w:color w:val="auto"/>
                      <w:kern w:val="0"/>
                    </w:rPr>
                    <w:t>）</w:t>
                  </w:r>
                </w:p>
              </w:tc>
              <w:tc>
                <w:tcPr>
                  <w:tcW w:w="894" w:type="dxa"/>
                  <w:tcBorders>
                    <w:tl2br w:val="nil"/>
                    <w:tr2bl w:val="nil"/>
                  </w:tcBorders>
                  <w:noWrap w:val="0"/>
                  <w:vAlign w:val="center"/>
                </w:tcPr>
                <w:p w14:paraId="10C00D17">
                  <w:pPr>
                    <w:widowControl/>
                    <w:adjustRightInd w:val="0"/>
                    <w:jc w:val="center"/>
                    <w:textAlignment w:val="baseline"/>
                    <w:rPr>
                      <w:rFonts w:hint="eastAsia"/>
                      <w:b/>
                      <w:bCs/>
                      <w:color w:val="auto"/>
                      <w:kern w:val="0"/>
                    </w:rPr>
                  </w:pPr>
                  <w:r>
                    <w:rPr>
                      <w:rFonts w:hint="eastAsia"/>
                      <w:b/>
                      <w:bCs/>
                      <w:color w:val="auto"/>
                      <w:kern w:val="0"/>
                    </w:rPr>
                    <w:t>排放增减量（</w:t>
                  </w:r>
                  <w:r>
                    <w:rPr>
                      <w:b/>
                      <w:bCs/>
                      <w:color w:val="auto"/>
                      <w:kern w:val="0"/>
                    </w:rPr>
                    <w:t>t/a</w:t>
                  </w:r>
                  <w:r>
                    <w:rPr>
                      <w:rFonts w:hint="eastAsia"/>
                      <w:b/>
                      <w:bCs/>
                      <w:color w:val="auto"/>
                      <w:kern w:val="0"/>
                    </w:rPr>
                    <w:t>）</w:t>
                  </w:r>
                </w:p>
              </w:tc>
            </w:tr>
            <w:tr w14:paraId="58A834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restart"/>
                  <w:tcBorders>
                    <w:tl2br w:val="nil"/>
                    <w:tr2bl w:val="nil"/>
                  </w:tcBorders>
                  <w:noWrap w:val="0"/>
                  <w:vAlign w:val="center"/>
                </w:tcPr>
                <w:p w14:paraId="4F70A518">
                  <w:pPr>
                    <w:widowControl/>
                    <w:adjustRightInd w:val="0"/>
                    <w:jc w:val="center"/>
                    <w:textAlignment w:val="baseline"/>
                    <w:rPr>
                      <w:rFonts w:hint="eastAsia"/>
                      <w:color w:val="auto"/>
                      <w:kern w:val="0"/>
                    </w:rPr>
                  </w:pPr>
                  <w:r>
                    <w:rPr>
                      <w:rFonts w:hint="eastAsia"/>
                      <w:color w:val="auto"/>
                      <w:kern w:val="0"/>
                    </w:rPr>
                    <w:t>废水</w:t>
                  </w:r>
                </w:p>
              </w:tc>
              <w:tc>
                <w:tcPr>
                  <w:tcW w:w="394" w:type="dxa"/>
                  <w:vMerge w:val="restart"/>
                  <w:tcBorders>
                    <w:tl2br w:val="nil"/>
                    <w:tr2bl w:val="nil"/>
                  </w:tcBorders>
                  <w:noWrap w:val="0"/>
                  <w:vAlign w:val="center"/>
                </w:tcPr>
                <w:p w14:paraId="15737105">
                  <w:pPr>
                    <w:widowControl/>
                    <w:adjustRightInd w:val="0"/>
                    <w:jc w:val="center"/>
                    <w:textAlignment w:val="baseline"/>
                    <w:rPr>
                      <w:rFonts w:hint="eastAsia"/>
                      <w:color w:val="auto"/>
                      <w:kern w:val="0"/>
                    </w:rPr>
                  </w:pPr>
                  <w:r>
                    <w:rPr>
                      <w:rFonts w:hint="eastAsia"/>
                      <w:color w:val="auto"/>
                      <w:kern w:val="0"/>
                    </w:rPr>
                    <w:t>生活</w:t>
                  </w:r>
                </w:p>
                <w:p w14:paraId="732A2323">
                  <w:pPr>
                    <w:widowControl/>
                    <w:adjustRightInd w:val="0"/>
                    <w:jc w:val="center"/>
                    <w:textAlignment w:val="baseline"/>
                    <w:rPr>
                      <w:color w:val="auto"/>
                      <w:kern w:val="0"/>
                    </w:rPr>
                  </w:pPr>
                  <w:r>
                    <w:rPr>
                      <w:rFonts w:hint="eastAsia"/>
                      <w:color w:val="auto"/>
                      <w:kern w:val="0"/>
                    </w:rPr>
                    <w:t>污水</w:t>
                  </w:r>
                </w:p>
              </w:tc>
              <w:tc>
                <w:tcPr>
                  <w:tcW w:w="1173" w:type="dxa"/>
                  <w:tcBorders>
                    <w:tl2br w:val="nil"/>
                    <w:tr2bl w:val="nil"/>
                  </w:tcBorders>
                  <w:noWrap w:val="0"/>
                  <w:vAlign w:val="center"/>
                </w:tcPr>
                <w:p w14:paraId="789FF4AF">
                  <w:pPr>
                    <w:widowControl/>
                    <w:adjustRightInd w:val="0"/>
                    <w:jc w:val="center"/>
                    <w:textAlignment w:val="baseline"/>
                    <w:rPr>
                      <w:rFonts w:hint="eastAsia"/>
                      <w:color w:val="auto"/>
                      <w:kern w:val="0"/>
                    </w:rPr>
                  </w:pPr>
                  <w:r>
                    <w:rPr>
                      <w:rFonts w:hint="eastAsia"/>
                      <w:color w:val="auto"/>
                      <w:kern w:val="0"/>
                    </w:rPr>
                    <w:t>水量</w:t>
                  </w:r>
                </w:p>
              </w:tc>
              <w:tc>
                <w:tcPr>
                  <w:tcW w:w="1283" w:type="dxa"/>
                  <w:tcBorders>
                    <w:tl2br w:val="nil"/>
                    <w:tr2bl w:val="nil"/>
                  </w:tcBorders>
                  <w:noWrap w:val="0"/>
                  <w:vAlign w:val="center"/>
                </w:tcPr>
                <w:p w14:paraId="06C248EC">
                  <w:pPr>
                    <w:widowControl/>
                    <w:adjustRightInd w:val="0"/>
                    <w:jc w:val="center"/>
                    <w:textAlignment w:val="baseline"/>
                    <w:rPr>
                      <w:rFonts w:hint="eastAsia"/>
                      <w:color w:val="auto"/>
                      <w:kern w:val="0"/>
                    </w:rPr>
                  </w:pPr>
                  <w:r>
                    <w:rPr>
                      <w:rFonts w:hint="eastAsia"/>
                      <w:color w:val="auto"/>
                      <w:kern w:val="0"/>
                    </w:rPr>
                    <w:t>0</w:t>
                  </w:r>
                </w:p>
              </w:tc>
              <w:tc>
                <w:tcPr>
                  <w:tcW w:w="1410" w:type="dxa"/>
                  <w:tcBorders>
                    <w:tl2br w:val="nil"/>
                    <w:tr2bl w:val="nil"/>
                  </w:tcBorders>
                  <w:noWrap w:val="0"/>
                  <w:vAlign w:val="center"/>
                </w:tcPr>
                <w:p w14:paraId="7D4C2409">
                  <w:pPr>
                    <w:widowControl/>
                    <w:adjustRightInd w:val="0"/>
                    <w:jc w:val="center"/>
                    <w:textAlignment w:val="baseline"/>
                    <w:rPr>
                      <w:rFonts w:hint="default" w:eastAsia="宋体"/>
                      <w:color w:val="auto"/>
                      <w:kern w:val="0"/>
                      <w:lang w:val="en-US" w:eastAsia="zh-CN"/>
                    </w:rPr>
                  </w:pPr>
                  <w:r>
                    <w:rPr>
                      <w:rFonts w:hint="eastAsia"/>
                      <w:color w:val="auto"/>
                      <w:kern w:val="0"/>
                      <w:lang w:val="en-US" w:eastAsia="zh-CN"/>
                    </w:rPr>
                    <w:t>240</w:t>
                  </w:r>
                </w:p>
              </w:tc>
              <w:tc>
                <w:tcPr>
                  <w:tcW w:w="1034" w:type="dxa"/>
                  <w:tcBorders>
                    <w:tl2br w:val="nil"/>
                    <w:tr2bl w:val="nil"/>
                  </w:tcBorders>
                  <w:noWrap w:val="0"/>
                  <w:vAlign w:val="center"/>
                </w:tcPr>
                <w:p w14:paraId="126B9893">
                  <w:pPr>
                    <w:widowControl/>
                    <w:adjustRightInd w:val="0"/>
                    <w:jc w:val="center"/>
                    <w:textAlignment w:val="baseline"/>
                    <w:rPr>
                      <w:color w:val="auto"/>
                      <w:kern w:val="0"/>
                    </w:rPr>
                  </w:pPr>
                  <w:r>
                    <w:rPr>
                      <w:rFonts w:hint="eastAsia"/>
                      <w:color w:val="auto"/>
                      <w:kern w:val="0"/>
                    </w:rPr>
                    <w:t>-</w:t>
                  </w:r>
                </w:p>
              </w:tc>
              <w:tc>
                <w:tcPr>
                  <w:tcW w:w="1621" w:type="dxa"/>
                  <w:tcBorders>
                    <w:tl2br w:val="nil"/>
                    <w:tr2bl w:val="nil"/>
                  </w:tcBorders>
                  <w:noWrap w:val="0"/>
                  <w:vAlign w:val="center"/>
                </w:tcPr>
                <w:p w14:paraId="6629B3E0">
                  <w:pPr>
                    <w:widowControl/>
                    <w:adjustRightInd w:val="0"/>
                    <w:jc w:val="center"/>
                    <w:textAlignment w:val="baseline"/>
                    <w:rPr>
                      <w:rFonts w:hint="eastAsia" w:eastAsia="宋体"/>
                      <w:color w:val="auto"/>
                      <w:kern w:val="0"/>
                      <w:lang w:eastAsia="zh-CN"/>
                    </w:rPr>
                  </w:pPr>
                  <w:r>
                    <w:rPr>
                      <w:rFonts w:hint="eastAsia"/>
                      <w:color w:val="auto"/>
                      <w:kern w:val="0"/>
                      <w:lang w:val="en-US" w:eastAsia="zh-CN"/>
                    </w:rPr>
                    <w:t>240</w:t>
                  </w:r>
                </w:p>
              </w:tc>
              <w:tc>
                <w:tcPr>
                  <w:tcW w:w="894" w:type="dxa"/>
                  <w:tcBorders>
                    <w:tl2br w:val="nil"/>
                    <w:tr2bl w:val="nil"/>
                  </w:tcBorders>
                  <w:noWrap w:val="0"/>
                  <w:vAlign w:val="center"/>
                </w:tcPr>
                <w:p w14:paraId="3E49D301">
                  <w:pPr>
                    <w:widowControl/>
                    <w:adjustRightInd w:val="0"/>
                    <w:jc w:val="center"/>
                    <w:textAlignment w:val="baseline"/>
                    <w:rPr>
                      <w:rFonts w:hint="eastAsia"/>
                      <w:color w:val="auto"/>
                      <w:kern w:val="0"/>
                    </w:rPr>
                  </w:pPr>
                  <w:r>
                    <w:rPr>
                      <w:rFonts w:hint="eastAsia"/>
                      <w:color w:val="auto"/>
                      <w:kern w:val="0"/>
                      <w:lang w:val="en-US" w:eastAsia="zh-CN"/>
                    </w:rPr>
                    <w:t>+240</w:t>
                  </w:r>
                </w:p>
              </w:tc>
            </w:tr>
            <w:tr w14:paraId="7F96F4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5B60FB98">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125506E5">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21F50278">
                  <w:pPr>
                    <w:widowControl/>
                    <w:adjustRightInd w:val="0"/>
                    <w:jc w:val="center"/>
                    <w:textAlignment w:val="baseline"/>
                    <w:rPr>
                      <w:color w:val="auto"/>
                      <w:kern w:val="0"/>
                    </w:rPr>
                  </w:pPr>
                  <w:r>
                    <w:rPr>
                      <w:rFonts w:hint="eastAsia"/>
                      <w:color w:val="auto"/>
                      <w:kern w:val="0"/>
                    </w:rPr>
                    <w:t>COD</w:t>
                  </w:r>
                </w:p>
              </w:tc>
              <w:tc>
                <w:tcPr>
                  <w:tcW w:w="1283" w:type="dxa"/>
                  <w:tcBorders>
                    <w:tl2br w:val="nil"/>
                    <w:tr2bl w:val="nil"/>
                  </w:tcBorders>
                  <w:noWrap w:val="0"/>
                  <w:vAlign w:val="center"/>
                </w:tcPr>
                <w:p w14:paraId="029B138B">
                  <w:pPr>
                    <w:widowControl/>
                    <w:adjustRightInd w:val="0"/>
                    <w:jc w:val="center"/>
                    <w:textAlignment w:val="baseline"/>
                    <w:rPr>
                      <w:color w:val="auto"/>
                      <w:kern w:val="0"/>
                    </w:rPr>
                  </w:pPr>
                  <w:r>
                    <w:rPr>
                      <w:rFonts w:hint="eastAsia"/>
                      <w:color w:val="auto"/>
                      <w:kern w:val="0"/>
                    </w:rPr>
                    <w:t>0</w:t>
                  </w:r>
                </w:p>
              </w:tc>
              <w:tc>
                <w:tcPr>
                  <w:tcW w:w="1410" w:type="dxa"/>
                  <w:tcBorders>
                    <w:tl2br w:val="nil"/>
                    <w:tr2bl w:val="nil"/>
                  </w:tcBorders>
                  <w:noWrap w:val="0"/>
                  <w:vAlign w:val="center"/>
                </w:tcPr>
                <w:p w14:paraId="242EAB7C">
                  <w:pPr>
                    <w:jc w:val="center"/>
                    <w:rPr>
                      <w:rFonts w:hint="eastAsia"/>
                      <w:color w:val="auto"/>
                      <w:kern w:val="0"/>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12</w:t>
                  </w:r>
                </w:p>
              </w:tc>
              <w:tc>
                <w:tcPr>
                  <w:tcW w:w="1034" w:type="dxa"/>
                  <w:tcBorders>
                    <w:tl2br w:val="nil"/>
                    <w:tr2bl w:val="nil"/>
                  </w:tcBorders>
                  <w:noWrap w:val="0"/>
                  <w:vAlign w:val="center"/>
                </w:tcPr>
                <w:p w14:paraId="14B4FBC5">
                  <w:pPr>
                    <w:widowControl/>
                    <w:adjustRightInd w:val="0"/>
                    <w:jc w:val="center"/>
                    <w:textAlignment w:val="baseline"/>
                    <w:rPr>
                      <w:rFonts w:hint="eastAsia"/>
                      <w:color w:val="auto"/>
                      <w:kern w:val="0"/>
                    </w:rPr>
                  </w:pPr>
                  <w:r>
                    <w:rPr>
                      <w:rFonts w:hint="eastAsia"/>
                      <w:color w:val="auto"/>
                      <w:kern w:val="0"/>
                    </w:rPr>
                    <w:t>-</w:t>
                  </w:r>
                </w:p>
              </w:tc>
              <w:tc>
                <w:tcPr>
                  <w:tcW w:w="1621" w:type="dxa"/>
                  <w:tcBorders>
                    <w:tl2br w:val="nil"/>
                    <w:tr2bl w:val="nil"/>
                  </w:tcBorders>
                  <w:noWrap w:val="0"/>
                  <w:vAlign w:val="center"/>
                </w:tcPr>
                <w:p w14:paraId="2A84D19F">
                  <w:pPr>
                    <w:jc w:val="center"/>
                    <w:rPr>
                      <w:rFonts w:hint="eastAsia"/>
                      <w:color w:val="auto"/>
                      <w:kern w:val="0"/>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12</w:t>
                  </w:r>
                </w:p>
              </w:tc>
              <w:tc>
                <w:tcPr>
                  <w:tcW w:w="894" w:type="dxa"/>
                  <w:tcBorders>
                    <w:tl2br w:val="nil"/>
                    <w:tr2bl w:val="nil"/>
                  </w:tcBorders>
                  <w:noWrap w:val="0"/>
                  <w:vAlign w:val="center"/>
                </w:tcPr>
                <w:p w14:paraId="4DD668F4">
                  <w:pPr>
                    <w:jc w:val="center"/>
                    <w:rPr>
                      <w:rFonts w:hint="eastAsia"/>
                      <w:color w:val="auto"/>
                      <w:kern w:val="0"/>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12</w:t>
                  </w:r>
                </w:p>
              </w:tc>
            </w:tr>
            <w:tr w14:paraId="415766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08441E76">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7024D965">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73CE707B">
                  <w:pPr>
                    <w:widowControl/>
                    <w:adjustRightInd w:val="0"/>
                    <w:jc w:val="center"/>
                    <w:textAlignment w:val="baseline"/>
                    <w:rPr>
                      <w:color w:val="auto"/>
                      <w:kern w:val="0"/>
                    </w:rPr>
                  </w:pPr>
                  <w:r>
                    <w:rPr>
                      <w:rFonts w:hint="eastAsia"/>
                      <w:color w:val="auto"/>
                      <w:kern w:val="0"/>
                    </w:rPr>
                    <w:t>NH</w:t>
                  </w:r>
                  <w:r>
                    <w:rPr>
                      <w:rFonts w:hint="eastAsia"/>
                      <w:color w:val="auto"/>
                      <w:kern w:val="0"/>
                      <w:vertAlign w:val="subscript"/>
                    </w:rPr>
                    <w:t>3</w:t>
                  </w:r>
                  <w:r>
                    <w:rPr>
                      <w:rFonts w:hint="eastAsia"/>
                      <w:color w:val="auto"/>
                      <w:kern w:val="0"/>
                    </w:rPr>
                    <w:t>-N</w:t>
                  </w:r>
                </w:p>
              </w:tc>
              <w:tc>
                <w:tcPr>
                  <w:tcW w:w="1283" w:type="dxa"/>
                  <w:tcBorders>
                    <w:tl2br w:val="nil"/>
                    <w:tr2bl w:val="nil"/>
                  </w:tcBorders>
                  <w:noWrap w:val="0"/>
                  <w:vAlign w:val="center"/>
                </w:tcPr>
                <w:p w14:paraId="7C674615">
                  <w:pPr>
                    <w:widowControl/>
                    <w:adjustRightInd w:val="0"/>
                    <w:jc w:val="center"/>
                    <w:textAlignment w:val="baseline"/>
                    <w:rPr>
                      <w:color w:val="auto"/>
                      <w:kern w:val="0"/>
                    </w:rPr>
                  </w:pPr>
                  <w:r>
                    <w:rPr>
                      <w:rFonts w:hint="eastAsia"/>
                      <w:color w:val="auto"/>
                      <w:kern w:val="0"/>
                    </w:rPr>
                    <w:t>0</w:t>
                  </w:r>
                </w:p>
              </w:tc>
              <w:tc>
                <w:tcPr>
                  <w:tcW w:w="1410" w:type="dxa"/>
                  <w:tcBorders>
                    <w:tl2br w:val="nil"/>
                    <w:tr2bl w:val="nil"/>
                  </w:tcBorders>
                  <w:noWrap w:val="0"/>
                  <w:vAlign w:val="center"/>
                </w:tcPr>
                <w:p w14:paraId="113CA371">
                  <w:pPr>
                    <w:jc w:val="center"/>
                    <w:rPr>
                      <w:rFonts w:hint="eastAsia"/>
                      <w:color w:val="auto"/>
                      <w:kern w:val="0"/>
                    </w:rPr>
                  </w:pPr>
                  <w:r>
                    <w:rPr>
                      <w:rFonts w:hint="eastAsia" w:ascii="Times New Roman" w:hAnsi="Times New Roman"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12</w:t>
                  </w:r>
                </w:p>
              </w:tc>
              <w:tc>
                <w:tcPr>
                  <w:tcW w:w="1034" w:type="dxa"/>
                  <w:tcBorders>
                    <w:tl2br w:val="nil"/>
                    <w:tr2bl w:val="nil"/>
                  </w:tcBorders>
                  <w:noWrap w:val="0"/>
                  <w:vAlign w:val="center"/>
                </w:tcPr>
                <w:p w14:paraId="04761A6F">
                  <w:pPr>
                    <w:widowControl/>
                    <w:adjustRightInd w:val="0"/>
                    <w:jc w:val="center"/>
                    <w:textAlignment w:val="baseline"/>
                    <w:rPr>
                      <w:rFonts w:hint="eastAsia"/>
                      <w:color w:val="auto"/>
                      <w:kern w:val="0"/>
                    </w:rPr>
                  </w:pPr>
                  <w:r>
                    <w:rPr>
                      <w:rFonts w:hint="eastAsia"/>
                      <w:color w:val="auto"/>
                      <w:kern w:val="0"/>
                    </w:rPr>
                    <w:t>-</w:t>
                  </w:r>
                </w:p>
              </w:tc>
              <w:tc>
                <w:tcPr>
                  <w:tcW w:w="1621" w:type="dxa"/>
                  <w:tcBorders>
                    <w:tl2br w:val="nil"/>
                    <w:tr2bl w:val="nil"/>
                  </w:tcBorders>
                  <w:noWrap w:val="0"/>
                  <w:vAlign w:val="center"/>
                </w:tcPr>
                <w:p w14:paraId="5B66EBDE">
                  <w:pPr>
                    <w:jc w:val="center"/>
                    <w:rPr>
                      <w:rFonts w:hint="default"/>
                      <w:color w:val="auto"/>
                      <w:kern w:val="0"/>
                      <w:lang w:val="en-US"/>
                    </w:rPr>
                  </w:pPr>
                  <w:r>
                    <w:rPr>
                      <w:rFonts w:hint="eastAsia" w:ascii="Times New Roman" w:hAnsi="Times New Roman"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12</w:t>
                  </w:r>
                </w:p>
              </w:tc>
              <w:tc>
                <w:tcPr>
                  <w:tcW w:w="894" w:type="dxa"/>
                  <w:tcBorders>
                    <w:tl2br w:val="nil"/>
                    <w:tr2bl w:val="nil"/>
                  </w:tcBorders>
                  <w:noWrap w:val="0"/>
                  <w:vAlign w:val="center"/>
                </w:tcPr>
                <w:p w14:paraId="1A541BA8">
                  <w:pPr>
                    <w:jc w:val="center"/>
                    <w:rPr>
                      <w:rFonts w:hint="eastAsia"/>
                      <w:color w:val="auto"/>
                      <w:kern w:val="0"/>
                    </w:rPr>
                  </w:pPr>
                  <w:r>
                    <w:rPr>
                      <w:rFonts w:hint="eastAsia" w:ascii="Times New Roman" w:hAnsi="Times New Roman"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12</w:t>
                  </w:r>
                </w:p>
              </w:tc>
            </w:tr>
            <w:tr w14:paraId="162CF3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restart"/>
                  <w:tcBorders>
                    <w:tl2br w:val="nil"/>
                    <w:tr2bl w:val="nil"/>
                  </w:tcBorders>
                  <w:noWrap w:val="0"/>
                  <w:vAlign w:val="center"/>
                </w:tcPr>
                <w:p w14:paraId="69468613">
                  <w:pPr>
                    <w:widowControl/>
                    <w:adjustRightInd w:val="0"/>
                    <w:jc w:val="center"/>
                    <w:textAlignment w:val="baseline"/>
                    <w:rPr>
                      <w:rFonts w:hint="eastAsia"/>
                      <w:color w:val="auto"/>
                      <w:kern w:val="0"/>
                    </w:rPr>
                  </w:pPr>
                  <w:r>
                    <w:rPr>
                      <w:rFonts w:hint="eastAsia"/>
                      <w:color w:val="auto"/>
                      <w:kern w:val="0"/>
                    </w:rPr>
                    <w:t>废气</w:t>
                  </w:r>
                </w:p>
              </w:tc>
              <w:tc>
                <w:tcPr>
                  <w:tcW w:w="1567" w:type="dxa"/>
                  <w:gridSpan w:val="2"/>
                  <w:tcBorders>
                    <w:tl2br w:val="nil"/>
                    <w:tr2bl w:val="nil"/>
                  </w:tcBorders>
                  <w:shd w:val="clear" w:color="auto" w:fill="auto"/>
                  <w:noWrap w:val="0"/>
                  <w:vAlign w:val="center"/>
                </w:tcPr>
                <w:p w14:paraId="26BE70CB">
                  <w:pPr>
                    <w:widowControl/>
                    <w:adjustRightInd w:val="0"/>
                    <w:jc w:val="center"/>
                    <w:textAlignment w:val="baseline"/>
                    <w:rPr>
                      <w:rFonts w:hint="eastAsia" w:ascii="Times New Roman" w:hAnsi="Times New Roman" w:eastAsia="宋体" w:cs="Times New Roman"/>
                      <w:color w:val="auto"/>
                      <w:kern w:val="0"/>
                      <w:sz w:val="21"/>
                      <w:szCs w:val="24"/>
                      <w:lang w:val="en-US" w:eastAsia="zh-CN" w:bidi="ar-SA"/>
                    </w:rPr>
                  </w:pPr>
                  <w:r>
                    <w:rPr>
                      <w:rFonts w:hint="eastAsia"/>
                      <w:color w:val="auto"/>
                      <w:kern w:val="0"/>
                      <w:lang w:val="en-US" w:eastAsia="zh-CN"/>
                    </w:rPr>
                    <w:t>甲苯</w:t>
                  </w:r>
                </w:p>
              </w:tc>
              <w:tc>
                <w:tcPr>
                  <w:tcW w:w="1283" w:type="dxa"/>
                  <w:tcBorders>
                    <w:tl2br w:val="nil"/>
                    <w:tr2bl w:val="nil"/>
                  </w:tcBorders>
                  <w:shd w:val="clear" w:color="auto" w:fill="auto"/>
                  <w:noWrap w:val="0"/>
                  <w:vAlign w:val="center"/>
                </w:tcPr>
                <w:p w14:paraId="0D44C2BE">
                  <w:pPr>
                    <w:pStyle w:val="54"/>
                    <w:keepNext w:val="0"/>
                    <w:keepLines w:val="0"/>
                    <w:pageBreakBefore w:val="0"/>
                    <w:kinsoku/>
                    <w:wordWrap/>
                    <w:overflowPunct/>
                    <w:topLinePunct w:val="0"/>
                    <w:bidi w:val="0"/>
                    <w:spacing w:beforeLines="0" w:afterLines="0" w:line="240" w:lineRule="auto"/>
                    <w:jc w:val="center"/>
                    <w:rPr>
                      <w:rFonts w:ascii="宋体" w:hAnsi="Times New Roman" w:eastAsia="宋体" w:cs="Times New Roman"/>
                      <w:color w:val="auto"/>
                      <w:kern w:val="0"/>
                      <w:sz w:val="21"/>
                      <w:szCs w:val="20"/>
                      <w:lang w:val="en-US" w:eastAsia="zh-CN" w:bidi="ar-SA"/>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0.018</w:t>
                  </w:r>
                </w:p>
              </w:tc>
              <w:tc>
                <w:tcPr>
                  <w:tcW w:w="1410" w:type="dxa"/>
                  <w:tcBorders>
                    <w:tl2br w:val="nil"/>
                    <w:tr2bl w:val="nil"/>
                  </w:tcBorders>
                  <w:shd w:val="clear" w:color="auto" w:fill="auto"/>
                  <w:noWrap w:val="0"/>
                  <w:vAlign w:val="center"/>
                </w:tcPr>
                <w:p w14:paraId="12E6A579">
                  <w:pPr>
                    <w:widowControl/>
                    <w:adjustRightInd w:val="0"/>
                    <w:jc w:val="center"/>
                    <w:textAlignment w:val="baseline"/>
                    <w:rPr>
                      <w:rFonts w:hint="eastAsia" w:ascii="Times New Roman" w:hAnsi="Times New Roman" w:eastAsia="宋体" w:cs="Times New Roman"/>
                      <w:color w:val="auto"/>
                      <w:kern w:val="0"/>
                      <w:sz w:val="21"/>
                      <w:szCs w:val="24"/>
                      <w:lang w:val="en-US" w:eastAsia="zh-CN" w:bidi="ar-SA"/>
                    </w:rPr>
                  </w:pPr>
                  <w:r>
                    <w:rPr>
                      <w:rFonts w:hint="eastAsia"/>
                      <w:color w:val="auto"/>
                      <w:kern w:val="0"/>
                      <w:lang w:val="en-US" w:eastAsia="zh-CN"/>
                    </w:rPr>
                    <w:t>0</w:t>
                  </w:r>
                </w:p>
              </w:tc>
              <w:tc>
                <w:tcPr>
                  <w:tcW w:w="1034" w:type="dxa"/>
                  <w:tcBorders>
                    <w:tl2br w:val="nil"/>
                    <w:tr2bl w:val="nil"/>
                  </w:tcBorders>
                  <w:shd w:val="clear" w:color="auto" w:fill="auto"/>
                  <w:noWrap w:val="0"/>
                  <w:vAlign w:val="center"/>
                </w:tcPr>
                <w:p w14:paraId="7DBFC975">
                  <w:pPr>
                    <w:widowControl/>
                    <w:adjustRightInd w:val="0"/>
                    <w:jc w:val="center"/>
                    <w:textAlignment w:val="baseline"/>
                    <w:rPr>
                      <w:rFonts w:ascii="Times New Roman" w:hAnsi="Times New Roman" w:eastAsia="宋体" w:cs="Times New Roman"/>
                      <w:color w:val="auto"/>
                      <w:kern w:val="0"/>
                      <w:sz w:val="21"/>
                      <w:szCs w:val="24"/>
                      <w:lang w:val="en-US" w:eastAsia="zh-CN" w:bidi="ar-SA"/>
                    </w:rPr>
                  </w:pPr>
                  <w:r>
                    <w:rPr>
                      <w:rFonts w:hint="eastAsia"/>
                      <w:color w:val="auto"/>
                      <w:kern w:val="0"/>
                    </w:rPr>
                    <w:t>-</w:t>
                  </w:r>
                </w:p>
              </w:tc>
              <w:tc>
                <w:tcPr>
                  <w:tcW w:w="1621" w:type="dxa"/>
                  <w:tcBorders>
                    <w:tl2br w:val="nil"/>
                    <w:tr2bl w:val="nil"/>
                  </w:tcBorders>
                  <w:shd w:val="clear" w:color="auto" w:fill="auto"/>
                  <w:noWrap w:val="0"/>
                  <w:vAlign w:val="center"/>
                </w:tcPr>
                <w:p w14:paraId="49464953">
                  <w:pPr>
                    <w:pStyle w:val="54"/>
                    <w:keepNext w:val="0"/>
                    <w:keepLines w:val="0"/>
                    <w:pageBreakBefore w:val="0"/>
                    <w:kinsoku/>
                    <w:wordWrap/>
                    <w:overflowPunct/>
                    <w:topLinePunct w:val="0"/>
                    <w:bidi w:val="0"/>
                    <w:spacing w:beforeLines="0" w:afterLines="0" w:line="240" w:lineRule="auto"/>
                    <w:jc w:val="center"/>
                    <w:rPr>
                      <w:rFonts w:hint="default" w:ascii="宋体" w:hAnsi="Times New Roman" w:eastAsia="宋体" w:cs="Times New Roman"/>
                      <w:color w:val="auto"/>
                      <w:kern w:val="0"/>
                      <w:sz w:val="21"/>
                      <w:szCs w:val="20"/>
                      <w:lang w:val="en-US" w:eastAsia="zh-CN" w:bidi="ar-SA"/>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894" w:type="dxa"/>
                  <w:tcBorders>
                    <w:tl2br w:val="nil"/>
                    <w:tr2bl w:val="nil"/>
                  </w:tcBorders>
                  <w:noWrap w:val="0"/>
                  <w:vAlign w:val="center"/>
                </w:tcPr>
                <w:p w14:paraId="043F4925">
                  <w:pPr>
                    <w:pStyle w:val="54"/>
                    <w:keepNext w:val="0"/>
                    <w:keepLines w:val="0"/>
                    <w:pageBreakBefore w:val="0"/>
                    <w:kinsoku/>
                    <w:wordWrap/>
                    <w:overflowPunct/>
                    <w:topLinePunct w:val="0"/>
                    <w:bidi w:val="0"/>
                    <w:spacing w:beforeLines="0" w:afterLines="0" w:line="240" w:lineRule="auto"/>
                    <w:jc w:val="center"/>
                    <w:rPr>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-0.018</w:t>
                  </w:r>
                </w:p>
              </w:tc>
            </w:tr>
            <w:tr w14:paraId="7C5914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23F2CFB8">
                  <w:pPr>
                    <w:widowControl/>
                    <w:adjustRightInd w:val="0"/>
                    <w:jc w:val="center"/>
                    <w:textAlignment w:val="baseline"/>
                    <w:rPr>
                      <w:rFonts w:hint="eastAsia"/>
                      <w:color w:val="auto"/>
                      <w:kern w:val="0"/>
                    </w:rPr>
                  </w:pPr>
                </w:p>
              </w:tc>
              <w:tc>
                <w:tcPr>
                  <w:tcW w:w="1567" w:type="dxa"/>
                  <w:gridSpan w:val="2"/>
                  <w:tcBorders>
                    <w:tl2br w:val="nil"/>
                    <w:tr2bl w:val="nil"/>
                  </w:tcBorders>
                  <w:shd w:val="clear" w:color="auto" w:fill="auto"/>
                  <w:noWrap w:val="0"/>
                  <w:vAlign w:val="center"/>
                </w:tcPr>
                <w:p w14:paraId="513E8860">
                  <w:pPr>
                    <w:widowControl/>
                    <w:adjustRightInd w:val="0"/>
                    <w:jc w:val="center"/>
                    <w:textAlignment w:val="baseline"/>
                    <w:rPr>
                      <w:rFonts w:hint="eastAsia" w:ascii="Times New Roman" w:hAnsi="Times New Roman" w:eastAsia="宋体" w:cs="Times New Roman"/>
                      <w:color w:val="auto"/>
                      <w:kern w:val="0"/>
                      <w:sz w:val="21"/>
                      <w:szCs w:val="24"/>
                      <w:lang w:val="en-US" w:eastAsia="zh-CN" w:bidi="ar-SA"/>
                    </w:rPr>
                  </w:pPr>
                  <w:r>
                    <w:rPr>
                      <w:rFonts w:hint="eastAsia"/>
                      <w:color w:val="auto"/>
                      <w:kern w:val="0"/>
                    </w:rPr>
                    <w:t>二甲苯</w:t>
                  </w:r>
                </w:p>
              </w:tc>
              <w:tc>
                <w:tcPr>
                  <w:tcW w:w="1283" w:type="dxa"/>
                  <w:tcBorders>
                    <w:tl2br w:val="nil"/>
                    <w:tr2bl w:val="nil"/>
                  </w:tcBorders>
                  <w:shd w:val="clear" w:color="auto" w:fill="auto"/>
                  <w:noWrap w:val="0"/>
                  <w:vAlign w:val="center"/>
                </w:tcPr>
                <w:p w14:paraId="61017CBD">
                  <w:pPr>
                    <w:pStyle w:val="54"/>
                    <w:keepNext w:val="0"/>
                    <w:keepLines w:val="0"/>
                    <w:pageBreakBefore w:val="0"/>
                    <w:kinsoku/>
                    <w:wordWrap/>
                    <w:overflowPunct/>
                    <w:topLinePunct w:val="0"/>
                    <w:bidi w:val="0"/>
                    <w:spacing w:beforeLines="0" w:afterLines="0" w:line="240" w:lineRule="auto"/>
                    <w:jc w:val="center"/>
                    <w:rPr>
                      <w:rFonts w:ascii="宋体" w:hAnsi="Times New Roman" w:eastAsia="宋体" w:cs="Times New Roman"/>
                      <w:color w:val="auto"/>
                      <w:kern w:val="0"/>
                      <w:sz w:val="21"/>
                      <w:szCs w:val="20"/>
                      <w:lang w:val="en-US" w:eastAsia="zh-CN" w:bidi="ar-SA"/>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0.038</w:t>
                  </w:r>
                </w:p>
              </w:tc>
              <w:tc>
                <w:tcPr>
                  <w:tcW w:w="1410" w:type="dxa"/>
                  <w:tcBorders>
                    <w:tl2br w:val="nil"/>
                    <w:tr2bl w:val="nil"/>
                  </w:tcBorders>
                  <w:shd w:val="clear" w:color="auto" w:fill="auto"/>
                  <w:noWrap w:val="0"/>
                  <w:vAlign w:val="center"/>
                </w:tcPr>
                <w:p w14:paraId="074140A6">
                  <w:pPr>
                    <w:widowControl/>
                    <w:adjustRightInd w:val="0"/>
                    <w:jc w:val="center"/>
                    <w:textAlignment w:val="baseline"/>
                    <w:rPr>
                      <w:rFonts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0.0074</w:t>
                  </w:r>
                </w:p>
              </w:tc>
              <w:tc>
                <w:tcPr>
                  <w:tcW w:w="1034" w:type="dxa"/>
                  <w:tcBorders>
                    <w:tl2br w:val="nil"/>
                    <w:tr2bl w:val="nil"/>
                  </w:tcBorders>
                  <w:shd w:val="clear" w:color="auto" w:fill="auto"/>
                  <w:noWrap w:val="0"/>
                  <w:vAlign w:val="center"/>
                </w:tcPr>
                <w:p w14:paraId="742BC6E2">
                  <w:pPr>
                    <w:widowControl/>
                    <w:adjustRightInd w:val="0"/>
                    <w:jc w:val="center"/>
                    <w:textAlignment w:val="baseline"/>
                    <w:rPr>
                      <w:rFonts w:ascii="Times New Roman" w:hAnsi="Times New Roman" w:eastAsia="宋体" w:cs="Times New Roman"/>
                      <w:color w:val="auto"/>
                      <w:kern w:val="0"/>
                      <w:sz w:val="21"/>
                      <w:szCs w:val="24"/>
                      <w:lang w:val="en-US" w:eastAsia="zh-CN" w:bidi="ar-SA"/>
                    </w:rPr>
                  </w:pPr>
                  <w:r>
                    <w:rPr>
                      <w:rFonts w:hint="eastAsia"/>
                      <w:color w:val="auto"/>
                      <w:kern w:val="0"/>
                    </w:rPr>
                    <w:t>-</w:t>
                  </w:r>
                </w:p>
              </w:tc>
              <w:tc>
                <w:tcPr>
                  <w:tcW w:w="1621" w:type="dxa"/>
                  <w:tcBorders>
                    <w:tl2br w:val="nil"/>
                    <w:tr2bl w:val="nil"/>
                  </w:tcBorders>
                  <w:shd w:val="clear" w:color="auto" w:fill="auto"/>
                  <w:noWrap w:val="0"/>
                  <w:vAlign w:val="center"/>
                </w:tcPr>
                <w:p w14:paraId="45800732">
                  <w:pPr>
                    <w:pStyle w:val="54"/>
                    <w:keepNext w:val="0"/>
                    <w:keepLines w:val="0"/>
                    <w:pageBreakBefore w:val="0"/>
                    <w:kinsoku/>
                    <w:wordWrap/>
                    <w:overflowPunct/>
                    <w:topLinePunct w:val="0"/>
                    <w:bidi w:val="0"/>
                    <w:spacing w:beforeLines="0" w:afterLines="0" w:line="240" w:lineRule="auto"/>
                    <w:jc w:val="center"/>
                    <w:rPr>
                      <w:rFonts w:hint="default" w:ascii="宋体" w:hAnsi="Times New Roman" w:eastAsia="宋体" w:cs="Times New Roman"/>
                      <w:color w:val="auto"/>
                      <w:kern w:val="0"/>
                      <w:sz w:val="21"/>
                      <w:szCs w:val="20"/>
                      <w:lang w:val="en-US" w:eastAsia="zh-CN" w:bidi="ar-SA"/>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0.0454</w:t>
                  </w:r>
                </w:p>
              </w:tc>
              <w:tc>
                <w:tcPr>
                  <w:tcW w:w="894" w:type="dxa"/>
                  <w:tcBorders>
                    <w:tl2br w:val="nil"/>
                    <w:tr2bl w:val="nil"/>
                  </w:tcBorders>
                  <w:noWrap w:val="0"/>
                  <w:vAlign w:val="center"/>
                </w:tcPr>
                <w:p w14:paraId="33A625C9">
                  <w:pPr>
                    <w:pStyle w:val="54"/>
                    <w:keepNext w:val="0"/>
                    <w:keepLines w:val="0"/>
                    <w:pageBreakBefore w:val="0"/>
                    <w:kinsoku/>
                    <w:wordWrap/>
                    <w:overflowPunct/>
                    <w:topLinePunct w:val="0"/>
                    <w:bidi w:val="0"/>
                    <w:spacing w:beforeLines="0" w:afterLines="0" w:line="240" w:lineRule="auto"/>
                    <w:jc w:val="center"/>
                    <w:rPr>
                      <w:rFonts w:hint="eastAsia"/>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+0.0074</w:t>
                  </w:r>
                </w:p>
              </w:tc>
            </w:tr>
            <w:tr w14:paraId="587F48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122810F6">
                  <w:pPr>
                    <w:widowControl/>
                    <w:adjustRightInd w:val="0"/>
                    <w:jc w:val="center"/>
                    <w:textAlignment w:val="baseline"/>
                    <w:rPr>
                      <w:rFonts w:hint="eastAsia"/>
                      <w:color w:val="auto"/>
                      <w:kern w:val="0"/>
                    </w:rPr>
                  </w:pPr>
                </w:p>
              </w:tc>
              <w:tc>
                <w:tcPr>
                  <w:tcW w:w="1567" w:type="dxa"/>
                  <w:gridSpan w:val="2"/>
                  <w:tcBorders>
                    <w:tl2br w:val="nil"/>
                    <w:tr2bl w:val="nil"/>
                  </w:tcBorders>
                  <w:shd w:val="clear" w:color="auto" w:fill="auto"/>
                  <w:noWrap w:val="0"/>
                  <w:vAlign w:val="center"/>
                </w:tcPr>
                <w:p w14:paraId="30949253">
                  <w:pPr>
                    <w:widowControl/>
                    <w:adjustRightInd w:val="0"/>
                    <w:jc w:val="center"/>
                    <w:textAlignment w:val="baseline"/>
                    <w:rPr>
                      <w:rFonts w:hint="eastAsia" w:ascii="Times New Roman" w:hAnsi="Times New Roman" w:eastAsia="宋体" w:cs="Times New Roman"/>
                      <w:color w:val="auto"/>
                      <w:kern w:val="0"/>
                      <w:sz w:val="21"/>
                      <w:szCs w:val="24"/>
                      <w:lang w:val="en-US" w:eastAsia="zh-CN" w:bidi="ar-SA"/>
                    </w:rPr>
                  </w:pPr>
                  <w:r>
                    <w:rPr>
                      <w:rFonts w:hint="eastAsia"/>
                      <w:color w:val="auto"/>
                      <w:kern w:val="0"/>
                      <w:lang w:val="en-US" w:eastAsia="zh-CN"/>
                    </w:rPr>
                    <w:t>苯系物</w:t>
                  </w:r>
                </w:p>
              </w:tc>
              <w:tc>
                <w:tcPr>
                  <w:tcW w:w="1283" w:type="dxa"/>
                  <w:tcBorders>
                    <w:tl2br w:val="nil"/>
                    <w:tr2bl w:val="nil"/>
                  </w:tcBorders>
                  <w:shd w:val="clear" w:color="auto" w:fill="auto"/>
                  <w:noWrap w:val="0"/>
                  <w:vAlign w:val="center"/>
                </w:tcPr>
                <w:p w14:paraId="21FD3C16">
                  <w:pPr>
                    <w:widowControl/>
                    <w:adjustRightInd w:val="0"/>
                    <w:jc w:val="center"/>
                    <w:textAlignment w:val="baseline"/>
                    <w:rPr>
                      <w:rFonts w:hint="eastAsia" w:ascii="Times New Roman" w:hAnsi="Times New Roman" w:eastAsia="宋体" w:cs="Times New Roman"/>
                      <w:color w:val="auto"/>
                      <w:kern w:val="0"/>
                      <w:sz w:val="21"/>
                      <w:szCs w:val="24"/>
                      <w:lang w:val="en-US" w:eastAsia="zh-CN" w:bidi="ar-SA"/>
                    </w:rPr>
                  </w:pPr>
                  <w:r>
                    <w:rPr>
                      <w:rFonts w:hint="eastAsia" w:eastAsia="宋体"/>
                      <w:color w:val="auto"/>
                      <w:kern w:val="0"/>
                      <w:lang w:val="en-US" w:eastAsia="zh-CN"/>
                    </w:rPr>
                    <w:t>-</w:t>
                  </w:r>
                </w:p>
              </w:tc>
              <w:tc>
                <w:tcPr>
                  <w:tcW w:w="1410" w:type="dxa"/>
                  <w:tcBorders>
                    <w:tl2br w:val="nil"/>
                    <w:tr2bl w:val="nil"/>
                  </w:tcBorders>
                  <w:shd w:val="clear" w:color="auto" w:fill="auto"/>
                  <w:noWrap w:val="0"/>
                  <w:vAlign w:val="center"/>
                </w:tcPr>
                <w:p w14:paraId="778C5079">
                  <w:pPr>
                    <w:widowControl/>
                    <w:adjustRightInd w:val="0"/>
                    <w:jc w:val="center"/>
                    <w:textAlignment w:val="baseline"/>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0.121</w:t>
                  </w:r>
                </w:p>
              </w:tc>
              <w:tc>
                <w:tcPr>
                  <w:tcW w:w="1034" w:type="dxa"/>
                  <w:tcBorders>
                    <w:tl2br w:val="nil"/>
                    <w:tr2bl w:val="nil"/>
                  </w:tcBorders>
                  <w:shd w:val="clear" w:color="auto" w:fill="auto"/>
                  <w:noWrap w:val="0"/>
                  <w:vAlign w:val="center"/>
                </w:tcPr>
                <w:p w14:paraId="5228A35D">
                  <w:pPr>
                    <w:widowControl/>
                    <w:adjustRightInd w:val="0"/>
                    <w:jc w:val="center"/>
                    <w:textAlignment w:val="baseline"/>
                    <w:rPr>
                      <w:rFonts w:ascii="Times New Roman" w:hAnsi="Times New Roman" w:eastAsia="宋体" w:cs="Times New Roman"/>
                      <w:color w:val="auto"/>
                      <w:kern w:val="0"/>
                      <w:sz w:val="21"/>
                      <w:szCs w:val="24"/>
                      <w:lang w:val="en-US" w:eastAsia="zh-CN" w:bidi="ar-SA"/>
                    </w:rPr>
                  </w:pPr>
                  <w:r>
                    <w:rPr>
                      <w:rFonts w:hint="eastAsia"/>
                      <w:color w:val="auto"/>
                      <w:kern w:val="0"/>
                    </w:rPr>
                    <w:t>-</w:t>
                  </w:r>
                </w:p>
              </w:tc>
              <w:tc>
                <w:tcPr>
                  <w:tcW w:w="1621" w:type="dxa"/>
                  <w:tcBorders>
                    <w:tl2br w:val="nil"/>
                    <w:tr2bl w:val="nil"/>
                  </w:tcBorders>
                  <w:shd w:val="clear" w:color="auto" w:fill="auto"/>
                  <w:noWrap w:val="0"/>
                  <w:vAlign w:val="center"/>
                </w:tcPr>
                <w:p w14:paraId="50AC7E26">
                  <w:pPr>
                    <w:widowControl/>
                    <w:adjustRightInd w:val="0"/>
                    <w:jc w:val="center"/>
                    <w:textAlignment w:val="baseline"/>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0.121</w:t>
                  </w:r>
                </w:p>
              </w:tc>
              <w:tc>
                <w:tcPr>
                  <w:tcW w:w="894" w:type="dxa"/>
                  <w:tcBorders>
                    <w:tl2br w:val="nil"/>
                    <w:tr2bl w:val="nil"/>
                  </w:tcBorders>
                  <w:noWrap w:val="0"/>
                  <w:vAlign w:val="center"/>
                </w:tcPr>
                <w:p w14:paraId="3CBCBD7D">
                  <w:pPr>
                    <w:pStyle w:val="54"/>
                    <w:keepNext w:val="0"/>
                    <w:keepLines w:val="0"/>
                    <w:pageBreakBefore w:val="0"/>
                    <w:kinsoku/>
                    <w:wordWrap/>
                    <w:overflowPunct/>
                    <w:topLinePunct w:val="0"/>
                    <w:bidi w:val="0"/>
                    <w:spacing w:beforeLines="0" w:afterLines="0" w:line="240" w:lineRule="auto"/>
                    <w:jc w:val="center"/>
                    <w:rPr>
                      <w:rFonts w:hint="eastAsia"/>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+0.121</w:t>
                  </w:r>
                </w:p>
              </w:tc>
            </w:tr>
            <w:tr w14:paraId="1CA2E5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6F755B18">
                  <w:pPr>
                    <w:widowControl/>
                    <w:adjustRightInd w:val="0"/>
                    <w:jc w:val="center"/>
                    <w:textAlignment w:val="baseline"/>
                    <w:rPr>
                      <w:rFonts w:hint="eastAsia"/>
                      <w:color w:val="auto"/>
                      <w:kern w:val="0"/>
                    </w:rPr>
                  </w:pPr>
                </w:p>
              </w:tc>
              <w:tc>
                <w:tcPr>
                  <w:tcW w:w="1567" w:type="dxa"/>
                  <w:gridSpan w:val="2"/>
                  <w:tcBorders>
                    <w:tl2br w:val="nil"/>
                    <w:tr2bl w:val="nil"/>
                  </w:tcBorders>
                  <w:shd w:val="clear" w:color="auto" w:fill="auto"/>
                  <w:noWrap w:val="0"/>
                  <w:vAlign w:val="center"/>
                </w:tcPr>
                <w:p w14:paraId="195041EA">
                  <w:pPr>
                    <w:widowControl/>
                    <w:adjustRightInd w:val="0"/>
                    <w:jc w:val="center"/>
                    <w:textAlignment w:val="baseline"/>
                    <w:rPr>
                      <w:rFonts w:hint="eastAsia" w:ascii="Times New Roman" w:hAnsi="Times New Roman" w:eastAsia="宋体" w:cs="Times New Roman"/>
                      <w:color w:val="auto"/>
                      <w:kern w:val="0"/>
                      <w:sz w:val="21"/>
                      <w:szCs w:val="24"/>
                      <w:lang w:val="en-US" w:eastAsia="zh-CN" w:bidi="ar-SA"/>
                    </w:rPr>
                  </w:pPr>
                  <w:r>
                    <w:rPr>
                      <w:rFonts w:hint="eastAsia"/>
                      <w:color w:val="auto"/>
                      <w:kern w:val="0"/>
                      <w:lang w:val="zh-CN"/>
                    </w:rPr>
                    <w:t>乙酸乙酯与乙酸丁酯合计</w:t>
                  </w:r>
                </w:p>
              </w:tc>
              <w:tc>
                <w:tcPr>
                  <w:tcW w:w="1283" w:type="dxa"/>
                  <w:tcBorders>
                    <w:tl2br w:val="nil"/>
                    <w:tr2bl w:val="nil"/>
                  </w:tcBorders>
                  <w:shd w:val="clear" w:color="auto" w:fill="auto"/>
                  <w:noWrap w:val="0"/>
                  <w:vAlign w:val="center"/>
                </w:tcPr>
                <w:p w14:paraId="231D8C64">
                  <w:pPr>
                    <w:widowControl/>
                    <w:adjustRightInd w:val="0"/>
                    <w:jc w:val="center"/>
                    <w:textAlignment w:val="baseline"/>
                    <w:rPr>
                      <w:rFonts w:hint="default"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bidi="ar-SA"/>
                    </w:rPr>
                    <w:t>-</w:t>
                  </w:r>
                </w:p>
              </w:tc>
              <w:tc>
                <w:tcPr>
                  <w:tcW w:w="1410" w:type="dxa"/>
                  <w:tcBorders>
                    <w:tl2br w:val="nil"/>
                    <w:tr2bl w:val="nil"/>
                  </w:tcBorders>
                  <w:shd w:val="clear" w:color="auto" w:fill="auto"/>
                  <w:noWrap w:val="0"/>
                  <w:vAlign w:val="center"/>
                </w:tcPr>
                <w:p w14:paraId="35814423">
                  <w:pPr>
                    <w:widowControl/>
                    <w:adjustRightInd w:val="0"/>
                    <w:jc w:val="center"/>
                    <w:textAlignment w:val="baseline"/>
                    <w:rPr>
                      <w:rFonts w:ascii="Times New Roman" w:hAnsi="Times New Roman" w:eastAsia="宋体" w:cs="Times New Roman"/>
                      <w:color w:val="auto"/>
                      <w:kern w:val="0"/>
                      <w:sz w:val="21"/>
                      <w:szCs w:val="24"/>
                      <w:lang w:val="en-US" w:eastAsia="zh-CN" w:bidi="ar-SA"/>
                    </w:rPr>
                  </w:pPr>
                  <w:r>
                    <w:rPr>
                      <w:rFonts w:hint="eastAsia"/>
                      <w:color w:val="auto"/>
                      <w:kern w:val="0"/>
                      <w:lang w:val="en-US" w:eastAsia="zh-CN"/>
                    </w:rPr>
                    <w:t>0.2386</w:t>
                  </w:r>
                </w:p>
              </w:tc>
              <w:tc>
                <w:tcPr>
                  <w:tcW w:w="1034" w:type="dxa"/>
                  <w:tcBorders>
                    <w:tl2br w:val="nil"/>
                    <w:tr2bl w:val="nil"/>
                  </w:tcBorders>
                  <w:shd w:val="clear" w:color="auto" w:fill="auto"/>
                  <w:noWrap w:val="0"/>
                  <w:vAlign w:val="center"/>
                </w:tcPr>
                <w:p w14:paraId="5FF3BFE0">
                  <w:pPr>
                    <w:widowControl/>
                    <w:adjustRightInd w:val="0"/>
                    <w:jc w:val="center"/>
                    <w:textAlignment w:val="baseline"/>
                    <w:rPr>
                      <w:rFonts w:ascii="Times New Roman" w:hAnsi="Times New Roman" w:eastAsia="宋体" w:cs="Times New Roman"/>
                      <w:color w:val="auto"/>
                      <w:kern w:val="0"/>
                      <w:sz w:val="21"/>
                      <w:szCs w:val="24"/>
                      <w:lang w:val="en-US" w:eastAsia="zh-CN" w:bidi="ar-SA"/>
                    </w:rPr>
                  </w:pPr>
                  <w:r>
                    <w:rPr>
                      <w:rFonts w:hint="eastAsia"/>
                      <w:color w:val="auto"/>
                      <w:kern w:val="0"/>
                    </w:rPr>
                    <w:t>-</w:t>
                  </w:r>
                </w:p>
              </w:tc>
              <w:tc>
                <w:tcPr>
                  <w:tcW w:w="1621" w:type="dxa"/>
                  <w:tcBorders>
                    <w:tl2br w:val="nil"/>
                    <w:tr2bl w:val="nil"/>
                  </w:tcBorders>
                  <w:shd w:val="clear" w:color="auto" w:fill="auto"/>
                  <w:noWrap w:val="0"/>
                  <w:vAlign w:val="center"/>
                </w:tcPr>
                <w:p w14:paraId="1CC04B89">
                  <w:pPr>
                    <w:widowControl/>
                    <w:adjustRightInd w:val="0"/>
                    <w:jc w:val="center"/>
                    <w:textAlignment w:val="baseline"/>
                    <w:rPr>
                      <w:rFonts w:hint="eastAsia" w:ascii="Times New Roman" w:hAnsi="Times New Roman" w:eastAsia="宋体" w:cs="Times New Roman"/>
                      <w:color w:val="auto"/>
                      <w:kern w:val="0"/>
                      <w:sz w:val="21"/>
                      <w:szCs w:val="24"/>
                      <w:lang w:val="en-US" w:eastAsia="zh-CN" w:bidi="ar-SA"/>
                    </w:rPr>
                  </w:pPr>
                  <w:r>
                    <w:rPr>
                      <w:rFonts w:hint="eastAsia"/>
                      <w:color w:val="auto"/>
                      <w:kern w:val="0"/>
                      <w:lang w:val="en-US" w:eastAsia="zh-CN"/>
                    </w:rPr>
                    <w:t>0.2386</w:t>
                  </w:r>
                </w:p>
              </w:tc>
              <w:tc>
                <w:tcPr>
                  <w:tcW w:w="894" w:type="dxa"/>
                  <w:tcBorders>
                    <w:tl2br w:val="nil"/>
                    <w:tr2bl w:val="nil"/>
                  </w:tcBorders>
                  <w:noWrap w:val="0"/>
                  <w:vAlign w:val="center"/>
                </w:tcPr>
                <w:p w14:paraId="0EAA5664">
                  <w:pPr>
                    <w:pStyle w:val="54"/>
                    <w:keepNext w:val="0"/>
                    <w:keepLines w:val="0"/>
                    <w:pageBreakBefore w:val="0"/>
                    <w:kinsoku/>
                    <w:wordWrap/>
                    <w:overflowPunct/>
                    <w:topLinePunct w:val="0"/>
                    <w:bidi w:val="0"/>
                    <w:spacing w:beforeLines="0" w:afterLines="0" w:line="240" w:lineRule="auto"/>
                    <w:jc w:val="center"/>
                    <w:rPr>
                      <w:rFonts w:hint="eastAsia"/>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+0.2386</w:t>
                  </w:r>
                </w:p>
              </w:tc>
            </w:tr>
            <w:tr w14:paraId="448D9B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5CE5B9A2">
                  <w:pPr>
                    <w:widowControl/>
                    <w:adjustRightInd w:val="0"/>
                    <w:jc w:val="center"/>
                    <w:textAlignment w:val="baseline"/>
                    <w:rPr>
                      <w:rFonts w:hint="eastAsia"/>
                      <w:color w:val="auto"/>
                      <w:kern w:val="0"/>
                    </w:rPr>
                  </w:pPr>
                </w:p>
              </w:tc>
              <w:tc>
                <w:tcPr>
                  <w:tcW w:w="1567" w:type="dxa"/>
                  <w:gridSpan w:val="2"/>
                  <w:tcBorders>
                    <w:tl2br w:val="nil"/>
                    <w:tr2bl w:val="nil"/>
                  </w:tcBorders>
                  <w:shd w:val="clear" w:color="auto" w:fill="auto"/>
                  <w:noWrap w:val="0"/>
                  <w:vAlign w:val="center"/>
                </w:tcPr>
                <w:p w14:paraId="67F5D447">
                  <w:pPr>
                    <w:widowControl/>
                    <w:adjustRightInd w:val="0"/>
                    <w:jc w:val="center"/>
                    <w:textAlignment w:val="baseline"/>
                    <w:rPr>
                      <w:rFonts w:hint="default" w:ascii="Times New Roman" w:hAnsi="Times New Roman" w:eastAsia="宋体" w:cs="Times New Roman"/>
                      <w:color w:val="auto"/>
                      <w:kern w:val="0"/>
                      <w:sz w:val="21"/>
                      <w:szCs w:val="24"/>
                      <w:lang w:val="en-US" w:eastAsia="zh-CN" w:bidi="ar-SA"/>
                    </w:rPr>
                  </w:pPr>
                  <w:r>
                    <w:rPr>
                      <w:color w:val="auto"/>
                      <w:kern w:val="0"/>
                    </w:rPr>
                    <w:t>非甲烷总烃</w:t>
                  </w:r>
                </w:p>
              </w:tc>
              <w:tc>
                <w:tcPr>
                  <w:tcW w:w="1283" w:type="dxa"/>
                  <w:tcBorders>
                    <w:tl2br w:val="nil"/>
                    <w:tr2bl w:val="nil"/>
                  </w:tcBorders>
                  <w:shd w:val="clear" w:color="auto" w:fill="auto"/>
                  <w:noWrap w:val="0"/>
                  <w:vAlign w:val="center"/>
                </w:tcPr>
                <w:p w14:paraId="4B3FE701">
                  <w:pPr>
                    <w:widowControl/>
                    <w:adjustRightInd w:val="0"/>
                    <w:jc w:val="center"/>
                    <w:textAlignment w:val="baseline"/>
                    <w:rPr>
                      <w:rFonts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snapToGrid w:val="0"/>
                      <w:color w:val="auto"/>
                      <w:spacing w:val="0"/>
                      <w:kern w:val="21"/>
                      <w:position w:val="0"/>
                      <w:sz w:val="21"/>
                      <w:szCs w:val="21"/>
                      <w:highlight w:val="none"/>
                      <w:lang w:val="en-US" w:eastAsia="zh-CN"/>
                    </w:rPr>
                    <w:t>0.3876</w:t>
                  </w:r>
                </w:p>
              </w:tc>
              <w:tc>
                <w:tcPr>
                  <w:tcW w:w="1410" w:type="dxa"/>
                  <w:tcBorders>
                    <w:tl2br w:val="nil"/>
                    <w:tr2bl w:val="nil"/>
                  </w:tcBorders>
                  <w:shd w:val="clear" w:color="auto" w:fill="auto"/>
                  <w:noWrap w:val="0"/>
                  <w:vAlign w:val="center"/>
                </w:tcPr>
                <w:p w14:paraId="20528BE0">
                  <w:pPr>
                    <w:widowControl/>
                    <w:adjustRightInd w:val="0"/>
                    <w:jc w:val="center"/>
                    <w:textAlignment w:val="baseline"/>
                    <w:rPr>
                      <w:rFonts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0.0475</w:t>
                  </w:r>
                </w:p>
              </w:tc>
              <w:tc>
                <w:tcPr>
                  <w:tcW w:w="1034" w:type="dxa"/>
                  <w:tcBorders>
                    <w:tl2br w:val="nil"/>
                    <w:tr2bl w:val="nil"/>
                  </w:tcBorders>
                  <w:shd w:val="clear" w:color="auto" w:fill="auto"/>
                  <w:noWrap w:val="0"/>
                  <w:vAlign w:val="center"/>
                </w:tcPr>
                <w:p w14:paraId="4E5AF410">
                  <w:pPr>
                    <w:widowControl/>
                    <w:adjustRightInd w:val="0"/>
                    <w:jc w:val="center"/>
                    <w:textAlignment w:val="baseline"/>
                    <w:rPr>
                      <w:rFonts w:ascii="Times New Roman" w:hAnsi="Times New Roman" w:eastAsia="宋体" w:cs="Times New Roman"/>
                      <w:color w:val="auto"/>
                      <w:kern w:val="0"/>
                      <w:sz w:val="21"/>
                      <w:szCs w:val="24"/>
                      <w:lang w:val="en-US" w:eastAsia="zh-CN" w:bidi="ar-SA"/>
                    </w:rPr>
                  </w:pPr>
                  <w:r>
                    <w:rPr>
                      <w:rFonts w:hint="eastAsia"/>
                      <w:color w:val="auto"/>
                      <w:kern w:val="0"/>
                    </w:rPr>
                    <w:t>-</w:t>
                  </w:r>
                </w:p>
              </w:tc>
              <w:tc>
                <w:tcPr>
                  <w:tcW w:w="1621" w:type="dxa"/>
                  <w:tcBorders>
                    <w:tl2br w:val="nil"/>
                    <w:tr2bl w:val="nil"/>
                  </w:tcBorders>
                  <w:shd w:val="clear" w:color="auto" w:fill="auto"/>
                  <w:noWrap w:val="0"/>
                  <w:vAlign w:val="center"/>
                </w:tcPr>
                <w:p w14:paraId="3B988810">
                  <w:pPr>
                    <w:widowControl/>
                    <w:adjustRightInd w:val="0"/>
                    <w:jc w:val="center"/>
                    <w:textAlignment w:val="baseline"/>
                    <w:rPr>
                      <w:rFonts w:hint="default" w:ascii="Times New Roman" w:hAnsi="Times New Roman" w:eastAsia="宋体" w:cs="Times New Roman"/>
                      <w:color w:val="auto"/>
                      <w:kern w:val="0"/>
                      <w:sz w:val="21"/>
                      <w:szCs w:val="24"/>
                      <w:lang w:val="en-US" w:eastAsia="zh-CN" w:bidi="ar-SA"/>
                    </w:rPr>
                  </w:pPr>
                  <w:r>
                    <w:rPr>
                      <w:rFonts w:hint="eastAsia"/>
                      <w:color w:val="auto"/>
                      <w:kern w:val="0"/>
                      <w:lang w:val="en-US" w:eastAsia="zh-CN"/>
                    </w:rPr>
                    <w:t>0.4351</w:t>
                  </w:r>
                </w:p>
              </w:tc>
              <w:tc>
                <w:tcPr>
                  <w:tcW w:w="894" w:type="dxa"/>
                  <w:tcBorders>
                    <w:tl2br w:val="nil"/>
                    <w:tr2bl w:val="nil"/>
                  </w:tcBorders>
                  <w:noWrap w:val="0"/>
                  <w:vAlign w:val="center"/>
                </w:tcPr>
                <w:p w14:paraId="3706495E">
                  <w:pPr>
                    <w:pStyle w:val="54"/>
                    <w:keepNext w:val="0"/>
                    <w:keepLines w:val="0"/>
                    <w:pageBreakBefore w:val="0"/>
                    <w:kinsoku/>
                    <w:wordWrap/>
                    <w:overflowPunct/>
                    <w:topLinePunct w:val="0"/>
                    <w:bidi w:val="0"/>
                    <w:spacing w:beforeLines="0" w:afterLines="0" w:line="240" w:lineRule="auto"/>
                    <w:jc w:val="center"/>
                    <w:rPr>
                      <w:rFonts w:hint="eastAsia"/>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+0.0475</w:t>
                  </w:r>
                </w:p>
              </w:tc>
            </w:tr>
            <w:tr w14:paraId="0295D3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234D78F9">
                  <w:pPr>
                    <w:widowControl/>
                    <w:adjustRightInd w:val="0"/>
                    <w:jc w:val="center"/>
                    <w:textAlignment w:val="baseline"/>
                    <w:rPr>
                      <w:rFonts w:hint="eastAsia"/>
                      <w:color w:val="auto"/>
                      <w:kern w:val="0"/>
                    </w:rPr>
                  </w:pPr>
                </w:p>
              </w:tc>
              <w:tc>
                <w:tcPr>
                  <w:tcW w:w="1567" w:type="dxa"/>
                  <w:gridSpan w:val="2"/>
                  <w:tcBorders>
                    <w:tl2br w:val="nil"/>
                    <w:tr2bl w:val="nil"/>
                  </w:tcBorders>
                  <w:shd w:val="clear" w:color="auto" w:fill="auto"/>
                  <w:noWrap w:val="0"/>
                  <w:vAlign w:val="center"/>
                </w:tcPr>
                <w:p w14:paraId="278C93F8">
                  <w:pPr>
                    <w:widowControl/>
                    <w:adjustRightInd w:val="0"/>
                    <w:jc w:val="center"/>
                    <w:textAlignment w:val="baseline"/>
                    <w:rPr>
                      <w:rFonts w:hint="eastAsia" w:ascii="Times New Roman" w:hAnsi="Times New Roman" w:eastAsia="宋体" w:cs="Times New Roman"/>
                      <w:color w:val="auto"/>
                      <w:kern w:val="0"/>
                      <w:sz w:val="21"/>
                      <w:szCs w:val="24"/>
                      <w:lang w:val="en-US" w:eastAsia="zh-CN" w:bidi="ar-SA"/>
                    </w:rPr>
                  </w:pPr>
                  <w:r>
                    <w:rPr>
                      <w:rFonts w:hint="eastAsia"/>
                      <w:color w:val="auto"/>
                      <w:kern w:val="0"/>
                    </w:rPr>
                    <w:t>颗粒物</w:t>
                  </w:r>
                  <w:r>
                    <w:rPr>
                      <w:rFonts w:hint="eastAsia"/>
                      <w:color w:val="auto"/>
                      <w:kern w:val="0"/>
                      <w:lang w:eastAsia="zh-CN"/>
                    </w:rPr>
                    <w:t>（</w:t>
                  </w:r>
                  <w:r>
                    <w:rPr>
                      <w:rFonts w:hint="eastAsia"/>
                      <w:color w:val="auto"/>
                      <w:kern w:val="0"/>
                      <w:lang w:val="en-US" w:eastAsia="zh-CN"/>
                    </w:rPr>
                    <w:t>漆雾</w:t>
                  </w:r>
                  <w:r>
                    <w:rPr>
                      <w:rFonts w:hint="eastAsia"/>
                      <w:color w:val="auto"/>
                      <w:kern w:val="0"/>
                      <w:lang w:eastAsia="zh-CN"/>
                    </w:rPr>
                    <w:t>）</w:t>
                  </w:r>
                </w:p>
              </w:tc>
              <w:tc>
                <w:tcPr>
                  <w:tcW w:w="1283" w:type="dxa"/>
                  <w:tcBorders>
                    <w:tl2br w:val="nil"/>
                    <w:tr2bl w:val="nil"/>
                  </w:tcBorders>
                  <w:shd w:val="clear" w:color="auto" w:fill="auto"/>
                  <w:noWrap w:val="0"/>
                  <w:vAlign w:val="center"/>
                </w:tcPr>
                <w:p w14:paraId="722030DA">
                  <w:pPr>
                    <w:widowControl/>
                    <w:adjustRightInd w:val="0"/>
                    <w:jc w:val="center"/>
                    <w:textAlignment w:val="baseline"/>
                    <w:rPr>
                      <w:rFonts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0.06</w:t>
                  </w:r>
                </w:p>
              </w:tc>
              <w:tc>
                <w:tcPr>
                  <w:tcW w:w="1410" w:type="dxa"/>
                  <w:tcBorders>
                    <w:tl2br w:val="nil"/>
                    <w:tr2bl w:val="nil"/>
                  </w:tcBorders>
                  <w:shd w:val="clear" w:color="auto" w:fill="auto"/>
                  <w:noWrap w:val="0"/>
                  <w:vAlign w:val="center"/>
                </w:tcPr>
                <w:p w14:paraId="65332A75">
                  <w:pPr>
                    <w:widowControl/>
                    <w:adjustRightInd w:val="0"/>
                    <w:jc w:val="center"/>
                    <w:textAlignment w:val="baseline"/>
                    <w:rPr>
                      <w:rFonts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0.1702</w:t>
                  </w:r>
                </w:p>
              </w:tc>
              <w:tc>
                <w:tcPr>
                  <w:tcW w:w="1034" w:type="dxa"/>
                  <w:tcBorders>
                    <w:tl2br w:val="nil"/>
                    <w:tr2bl w:val="nil"/>
                  </w:tcBorders>
                  <w:shd w:val="clear" w:color="auto" w:fill="auto"/>
                  <w:noWrap w:val="0"/>
                  <w:vAlign w:val="center"/>
                </w:tcPr>
                <w:p w14:paraId="4A907918">
                  <w:pPr>
                    <w:widowControl/>
                    <w:adjustRightInd w:val="0"/>
                    <w:jc w:val="center"/>
                    <w:textAlignment w:val="baseline"/>
                    <w:rPr>
                      <w:rFonts w:ascii="Times New Roman" w:hAnsi="Times New Roman" w:eastAsia="宋体" w:cs="Times New Roman"/>
                      <w:color w:val="auto"/>
                      <w:kern w:val="0"/>
                      <w:sz w:val="21"/>
                      <w:szCs w:val="24"/>
                      <w:lang w:val="en-US" w:eastAsia="zh-CN" w:bidi="ar-SA"/>
                    </w:rPr>
                  </w:pPr>
                  <w:r>
                    <w:rPr>
                      <w:rFonts w:hint="eastAsia"/>
                      <w:color w:val="auto"/>
                      <w:kern w:val="0"/>
                    </w:rPr>
                    <w:t>-</w:t>
                  </w:r>
                </w:p>
              </w:tc>
              <w:tc>
                <w:tcPr>
                  <w:tcW w:w="1621" w:type="dxa"/>
                  <w:tcBorders>
                    <w:tl2br w:val="nil"/>
                    <w:tr2bl w:val="nil"/>
                  </w:tcBorders>
                  <w:shd w:val="clear" w:color="auto" w:fill="auto"/>
                  <w:noWrap w:val="0"/>
                  <w:vAlign w:val="center"/>
                </w:tcPr>
                <w:p w14:paraId="5A210314">
                  <w:pPr>
                    <w:widowControl/>
                    <w:adjustRightInd w:val="0"/>
                    <w:jc w:val="center"/>
                    <w:textAlignment w:val="baseline"/>
                    <w:rPr>
                      <w:rFonts w:hint="eastAsia" w:ascii="Times New Roman" w:hAnsi="Times New Roman" w:eastAsia="宋体" w:cs="Times New Roman"/>
                      <w:color w:val="auto"/>
                      <w:kern w:val="0"/>
                      <w:sz w:val="21"/>
                      <w:szCs w:val="24"/>
                      <w:lang w:val="en-US" w:eastAsia="zh-CN" w:bidi="ar-SA"/>
                    </w:rPr>
                  </w:pPr>
                  <w:r>
                    <w:rPr>
                      <w:rFonts w:hint="eastAsia"/>
                      <w:color w:val="auto"/>
                      <w:kern w:val="0"/>
                      <w:lang w:val="en-US" w:eastAsia="zh-CN"/>
                    </w:rPr>
                    <w:t>0.2302</w:t>
                  </w:r>
                </w:p>
              </w:tc>
              <w:tc>
                <w:tcPr>
                  <w:tcW w:w="894" w:type="dxa"/>
                  <w:tcBorders>
                    <w:tl2br w:val="nil"/>
                    <w:tr2bl w:val="nil"/>
                  </w:tcBorders>
                  <w:noWrap w:val="0"/>
                  <w:vAlign w:val="center"/>
                </w:tcPr>
                <w:p w14:paraId="2DA52A06">
                  <w:pPr>
                    <w:pStyle w:val="54"/>
                    <w:keepNext w:val="0"/>
                    <w:keepLines w:val="0"/>
                    <w:pageBreakBefore w:val="0"/>
                    <w:kinsoku/>
                    <w:wordWrap/>
                    <w:overflowPunct/>
                    <w:topLinePunct w:val="0"/>
                    <w:bidi w:val="0"/>
                    <w:spacing w:beforeLines="0" w:afterLines="0" w:line="240" w:lineRule="auto"/>
                    <w:jc w:val="center"/>
                    <w:rPr>
                      <w:rFonts w:hint="eastAsia"/>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+0.1702</w:t>
                  </w:r>
                </w:p>
              </w:tc>
            </w:tr>
            <w:tr w14:paraId="077A94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restart"/>
                  <w:tcBorders>
                    <w:tl2br w:val="nil"/>
                    <w:tr2bl w:val="nil"/>
                  </w:tcBorders>
                  <w:noWrap w:val="0"/>
                  <w:vAlign w:val="center"/>
                </w:tcPr>
                <w:p w14:paraId="0D4AD522">
                  <w:pPr>
                    <w:widowControl/>
                    <w:adjustRightInd w:val="0"/>
                    <w:jc w:val="center"/>
                    <w:textAlignment w:val="baseline"/>
                    <w:rPr>
                      <w:color w:val="auto"/>
                      <w:kern w:val="0"/>
                    </w:rPr>
                  </w:pPr>
                  <w:r>
                    <w:rPr>
                      <w:rFonts w:hint="eastAsia"/>
                      <w:color w:val="auto"/>
                      <w:kern w:val="0"/>
                    </w:rPr>
                    <w:t>固废</w:t>
                  </w:r>
                </w:p>
              </w:tc>
              <w:tc>
                <w:tcPr>
                  <w:tcW w:w="394" w:type="dxa"/>
                  <w:vMerge w:val="restart"/>
                  <w:tcBorders>
                    <w:tl2br w:val="nil"/>
                    <w:tr2bl w:val="nil"/>
                  </w:tcBorders>
                  <w:noWrap w:val="0"/>
                  <w:vAlign w:val="center"/>
                </w:tcPr>
                <w:p w14:paraId="69CC71C0">
                  <w:pPr>
                    <w:widowControl/>
                    <w:adjustRightInd w:val="0"/>
                    <w:jc w:val="center"/>
                    <w:textAlignment w:val="baseline"/>
                    <w:rPr>
                      <w:rFonts w:hint="eastAsia"/>
                      <w:color w:val="auto"/>
                      <w:kern w:val="0"/>
                    </w:rPr>
                  </w:pPr>
                  <w:r>
                    <w:rPr>
                      <w:rFonts w:hint="eastAsia"/>
                      <w:color w:val="auto"/>
                      <w:kern w:val="0"/>
                    </w:rPr>
                    <w:t>一般</w:t>
                  </w:r>
                </w:p>
                <w:p w14:paraId="01E0FE16">
                  <w:pPr>
                    <w:widowControl/>
                    <w:adjustRightInd w:val="0"/>
                    <w:jc w:val="center"/>
                    <w:textAlignment w:val="baseline"/>
                    <w:rPr>
                      <w:color w:val="auto"/>
                      <w:kern w:val="0"/>
                    </w:rPr>
                  </w:pPr>
                  <w:r>
                    <w:rPr>
                      <w:rFonts w:hint="eastAsia"/>
                      <w:color w:val="auto"/>
                      <w:kern w:val="0"/>
                    </w:rPr>
                    <w:t>固废</w:t>
                  </w:r>
                </w:p>
              </w:tc>
              <w:tc>
                <w:tcPr>
                  <w:tcW w:w="1173" w:type="dxa"/>
                  <w:tcBorders>
                    <w:tl2br w:val="nil"/>
                    <w:tr2bl w:val="nil"/>
                  </w:tcBorders>
                  <w:noWrap w:val="0"/>
                  <w:vAlign w:val="center"/>
                </w:tcPr>
                <w:p w14:paraId="40F488A5">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废包装材料 </w:t>
                  </w:r>
                </w:p>
              </w:tc>
              <w:tc>
                <w:tcPr>
                  <w:tcW w:w="1283" w:type="dxa"/>
                  <w:tcBorders>
                    <w:tl2br w:val="nil"/>
                    <w:tr2bl w:val="nil"/>
                  </w:tcBorders>
                  <w:noWrap w:val="0"/>
                  <w:vAlign w:val="center"/>
                </w:tcPr>
                <w:p w14:paraId="54B0FF05">
                  <w:pPr>
                    <w:pStyle w:val="54"/>
                    <w:keepNext w:val="0"/>
                    <w:keepLines w:val="0"/>
                    <w:pageBreakBefore w:val="0"/>
                    <w:kinsoku/>
                    <w:wordWrap/>
                    <w:overflowPunct/>
                    <w:topLinePunct w:val="0"/>
                    <w:bidi w:val="0"/>
                    <w:spacing w:beforeLines="0" w:afterLines="0" w:line="240" w:lineRule="auto"/>
                    <w:jc w:val="center"/>
                    <w:rPr>
                      <w:bCs/>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0.8</w:t>
                  </w:r>
                </w:p>
              </w:tc>
              <w:tc>
                <w:tcPr>
                  <w:tcW w:w="1410" w:type="dxa"/>
                  <w:tcBorders>
                    <w:tl2br w:val="nil"/>
                    <w:tr2bl w:val="nil"/>
                  </w:tcBorders>
                  <w:noWrap w:val="0"/>
                  <w:vAlign w:val="center"/>
                </w:tcPr>
                <w:p w14:paraId="439CA81D">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034" w:type="dxa"/>
                  <w:tcBorders>
                    <w:tl2br w:val="nil"/>
                    <w:tr2bl w:val="nil"/>
                  </w:tcBorders>
                  <w:noWrap w:val="0"/>
                  <w:vAlign w:val="center"/>
                </w:tcPr>
                <w:p w14:paraId="14AE14D5">
                  <w:pPr>
                    <w:adjustRightInd w:val="0"/>
                    <w:snapToGrid w:val="0"/>
                    <w:spacing w:line="256" w:lineRule="auto"/>
                    <w:jc w:val="center"/>
                    <w:rPr>
                      <w:rFonts w:hint="eastAsia"/>
                      <w:bCs/>
                      <w:color w:val="auto"/>
                      <w:kern w:val="21"/>
                    </w:rPr>
                  </w:pPr>
                  <w:r>
                    <w:rPr>
                      <w:rFonts w:hint="eastAsia"/>
                      <w:bCs/>
                      <w:color w:val="auto"/>
                    </w:rPr>
                    <w:t>-</w:t>
                  </w:r>
                </w:p>
              </w:tc>
              <w:tc>
                <w:tcPr>
                  <w:tcW w:w="1621" w:type="dxa"/>
                  <w:tcBorders>
                    <w:tl2br w:val="nil"/>
                    <w:tr2bl w:val="nil"/>
                  </w:tcBorders>
                  <w:noWrap w:val="0"/>
                  <w:vAlign w:val="center"/>
                </w:tcPr>
                <w:p w14:paraId="11F85452">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0.013</w:t>
                  </w:r>
                </w:p>
              </w:tc>
              <w:tc>
                <w:tcPr>
                  <w:tcW w:w="894" w:type="dxa"/>
                  <w:tcBorders>
                    <w:tl2br w:val="nil"/>
                    <w:tr2bl w:val="nil"/>
                  </w:tcBorders>
                  <w:noWrap w:val="0"/>
                  <w:vAlign w:val="center"/>
                </w:tcPr>
                <w:p w14:paraId="4312C523">
                  <w:pPr>
                    <w:pStyle w:val="54"/>
                    <w:keepNext w:val="0"/>
                    <w:keepLines w:val="0"/>
                    <w:pageBreakBefore w:val="0"/>
                    <w:kinsoku/>
                    <w:wordWrap/>
                    <w:overflowPunct/>
                    <w:topLinePunct w:val="0"/>
                    <w:bidi w:val="0"/>
                    <w:spacing w:beforeLines="0" w:afterLines="0" w:line="240" w:lineRule="auto"/>
                    <w:jc w:val="center"/>
                    <w:rPr>
                      <w:rFonts w:hint="eastAsia"/>
                      <w:bCs/>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-0.787</w:t>
                  </w:r>
                </w:p>
              </w:tc>
            </w:tr>
            <w:tr w14:paraId="4654B6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53779253">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41680887">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5B3C3147">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废钉子</w:t>
                  </w:r>
                </w:p>
              </w:tc>
              <w:tc>
                <w:tcPr>
                  <w:tcW w:w="1283" w:type="dxa"/>
                  <w:tcBorders>
                    <w:tl2br w:val="nil"/>
                    <w:tr2bl w:val="nil"/>
                  </w:tcBorders>
                  <w:noWrap w:val="0"/>
                  <w:vAlign w:val="center"/>
                </w:tcPr>
                <w:p w14:paraId="2370C1AE">
                  <w:pPr>
                    <w:pStyle w:val="54"/>
                    <w:keepNext w:val="0"/>
                    <w:keepLines w:val="0"/>
                    <w:pageBreakBefore w:val="0"/>
                    <w:kinsoku/>
                    <w:wordWrap/>
                    <w:overflowPunct/>
                    <w:topLinePunct w:val="0"/>
                    <w:bidi w:val="0"/>
                    <w:spacing w:beforeLines="0" w:afterLines="0" w:line="240" w:lineRule="auto"/>
                    <w:jc w:val="center"/>
                    <w:rPr>
                      <w:rFonts w:hint="eastAsia"/>
                      <w:bCs/>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0.0001</w:t>
                  </w:r>
                </w:p>
              </w:tc>
              <w:tc>
                <w:tcPr>
                  <w:tcW w:w="1410" w:type="dxa"/>
                  <w:tcBorders>
                    <w:tl2br w:val="nil"/>
                    <w:tr2bl w:val="nil"/>
                  </w:tcBorders>
                  <w:noWrap w:val="0"/>
                  <w:vAlign w:val="center"/>
                </w:tcPr>
                <w:p w14:paraId="2AC739CF">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0.0012</w:t>
                  </w:r>
                </w:p>
              </w:tc>
              <w:tc>
                <w:tcPr>
                  <w:tcW w:w="1034" w:type="dxa"/>
                  <w:tcBorders>
                    <w:tl2br w:val="nil"/>
                    <w:tr2bl w:val="nil"/>
                  </w:tcBorders>
                  <w:noWrap w:val="0"/>
                  <w:vAlign w:val="center"/>
                </w:tcPr>
                <w:p w14:paraId="1A21410D">
                  <w:pPr>
                    <w:adjustRightInd w:val="0"/>
                    <w:snapToGrid w:val="0"/>
                    <w:spacing w:line="256" w:lineRule="auto"/>
                    <w:jc w:val="center"/>
                    <w:rPr>
                      <w:rFonts w:hint="eastAsia"/>
                      <w:bCs/>
                      <w:color w:val="auto"/>
                      <w:kern w:val="21"/>
                    </w:rPr>
                  </w:pPr>
                  <w:r>
                    <w:rPr>
                      <w:rFonts w:hint="eastAsia"/>
                      <w:bCs/>
                      <w:color w:val="auto"/>
                    </w:rPr>
                    <w:t>-</w:t>
                  </w:r>
                </w:p>
              </w:tc>
              <w:tc>
                <w:tcPr>
                  <w:tcW w:w="1621" w:type="dxa"/>
                  <w:tcBorders>
                    <w:tl2br w:val="nil"/>
                    <w:tr2bl w:val="nil"/>
                  </w:tcBorders>
                  <w:noWrap w:val="0"/>
                  <w:vAlign w:val="center"/>
                </w:tcPr>
                <w:p w14:paraId="54FB82A3">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0.0013</w:t>
                  </w:r>
                </w:p>
              </w:tc>
              <w:tc>
                <w:tcPr>
                  <w:tcW w:w="894" w:type="dxa"/>
                  <w:tcBorders>
                    <w:tl2br w:val="nil"/>
                    <w:tr2bl w:val="nil"/>
                  </w:tcBorders>
                  <w:noWrap w:val="0"/>
                  <w:vAlign w:val="center"/>
                </w:tcPr>
                <w:p w14:paraId="0687856A">
                  <w:pPr>
                    <w:pStyle w:val="54"/>
                    <w:keepNext w:val="0"/>
                    <w:keepLines w:val="0"/>
                    <w:pageBreakBefore w:val="0"/>
                    <w:kinsoku/>
                    <w:wordWrap/>
                    <w:overflowPunct/>
                    <w:topLinePunct w:val="0"/>
                    <w:bidi w:val="0"/>
                    <w:spacing w:beforeLines="0" w:afterLines="0" w:line="240" w:lineRule="auto"/>
                    <w:jc w:val="center"/>
                    <w:rPr>
                      <w:rFonts w:hint="eastAsia"/>
                      <w:bCs/>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+0.0012</w:t>
                  </w:r>
                </w:p>
              </w:tc>
            </w:tr>
            <w:tr w14:paraId="475E8F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69A380B1">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513CF900">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161BF345">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废纱布</w:t>
                  </w:r>
                </w:p>
              </w:tc>
              <w:tc>
                <w:tcPr>
                  <w:tcW w:w="1283" w:type="dxa"/>
                  <w:tcBorders>
                    <w:tl2br w:val="nil"/>
                    <w:tr2bl w:val="nil"/>
                  </w:tcBorders>
                  <w:noWrap w:val="0"/>
                  <w:vAlign w:val="center"/>
                </w:tcPr>
                <w:p w14:paraId="3B0CD7A5">
                  <w:pPr>
                    <w:pStyle w:val="54"/>
                    <w:keepNext w:val="0"/>
                    <w:keepLines w:val="0"/>
                    <w:pageBreakBefore w:val="0"/>
                    <w:kinsoku/>
                    <w:wordWrap/>
                    <w:overflowPunct/>
                    <w:topLinePunct w:val="0"/>
                    <w:bidi w:val="0"/>
                    <w:spacing w:beforeLines="0" w:afterLines="0" w:line="240" w:lineRule="auto"/>
                    <w:jc w:val="center"/>
                    <w:rPr>
                      <w:rFonts w:hint="eastAsia"/>
                      <w:bCs/>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410" w:type="dxa"/>
                  <w:tcBorders>
                    <w:tl2br w:val="nil"/>
                    <w:tr2bl w:val="nil"/>
                  </w:tcBorders>
                  <w:noWrap w:val="0"/>
                  <w:vAlign w:val="center"/>
                </w:tcPr>
                <w:p w14:paraId="23F8EC26">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0.0001</w:t>
                  </w:r>
                </w:p>
              </w:tc>
              <w:tc>
                <w:tcPr>
                  <w:tcW w:w="1034" w:type="dxa"/>
                  <w:tcBorders>
                    <w:tl2br w:val="nil"/>
                    <w:tr2bl w:val="nil"/>
                  </w:tcBorders>
                  <w:noWrap w:val="0"/>
                  <w:vAlign w:val="center"/>
                </w:tcPr>
                <w:p w14:paraId="4EADF90D">
                  <w:pPr>
                    <w:adjustRightInd w:val="0"/>
                    <w:snapToGrid w:val="0"/>
                    <w:spacing w:line="256" w:lineRule="auto"/>
                    <w:jc w:val="center"/>
                    <w:rPr>
                      <w:rFonts w:hint="eastAsia"/>
                      <w:bCs/>
                      <w:color w:val="auto"/>
                    </w:rPr>
                  </w:pPr>
                  <w:r>
                    <w:rPr>
                      <w:rFonts w:hint="eastAsia"/>
                      <w:bCs/>
                      <w:color w:val="auto"/>
                    </w:rPr>
                    <w:t>-</w:t>
                  </w:r>
                </w:p>
              </w:tc>
              <w:tc>
                <w:tcPr>
                  <w:tcW w:w="1621" w:type="dxa"/>
                  <w:tcBorders>
                    <w:tl2br w:val="nil"/>
                    <w:tr2bl w:val="nil"/>
                  </w:tcBorders>
                  <w:noWrap w:val="0"/>
                  <w:vAlign w:val="center"/>
                </w:tcPr>
                <w:p w14:paraId="268A2D46">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0.0001</w:t>
                  </w:r>
                </w:p>
              </w:tc>
              <w:tc>
                <w:tcPr>
                  <w:tcW w:w="894" w:type="dxa"/>
                  <w:tcBorders>
                    <w:tl2br w:val="nil"/>
                    <w:tr2bl w:val="nil"/>
                  </w:tcBorders>
                  <w:noWrap w:val="0"/>
                  <w:vAlign w:val="center"/>
                </w:tcPr>
                <w:p w14:paraId="10874C87">
                  <w:pPr>
                    <w:pStyle w:val="54"/>
                    <w:keepNext w:val="0"/>
                    <w:keepLines w:val="0"/>
                    <w:pageBreakBefore w:val="0"/>
                    <w:kinsoku/>
                    <w:wordWrap/>
                    <w:overflowPunct/>
                    <w:topLinePunct w:val="0"/>
                    <w:bidi w:val="0"/>
                    <w:spacing w:beforeLines="0" w:afterLines="0" w:line="240" w:lineRule="auto"/>
                    <w:jc w:val="center"/>
                    <w:rPr>
                      <w:rFonts w:hint="eastAsia"/>
                      <w:color w:val="auto"/>
                      <w:kern w:val="0"/>
                      <w:lang w:bidi="ar"/>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+0.0001</w:t>
                  </w:r>
                </w:p>
              </w:tc>
            </w:tr>
            <w:tr w14:paraId="120467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75BFFD7D">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5B26CA49">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4793DE2B">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废化学品包装物（水性漆）</w:t>
                  </w:r>
                </w:p>
              </w:tc>
              <w:tc>
                <w:tcPr>
                  <w:tcW w:w="1283" w:type="dxa"/>
                  <w:tcBorders>
                    <w:tl2br w:val="nil"/>
                    <w:tr2bl w:val="nil"/>
                  </w:tcBorders>
                  <w:noWrap w:val="0"/>
                  <w:vAlign w:val="center"/>
                </w:tcPr>
                <w:p w14:paraId="33869633">
                  <w:pPr>
                    <w:pStyle w:val="54"/>
                    <w:keepNext w:val="0"/>
                    <w:keepLines w:val="0"/>
                    <w:pageBreakBefore w:val="0"/>
                    <w:kinsoku/>
                    <w:wordWrap/>
                    <w:overflowPunct/>
                    <w:topLinePunct w:val="0"/>
                    <w:bidi w:val="0"/>
                    <w:spacing w:beforeLines="0" w:afterLines="0" w:line="240" w:lineRule="auto"/>
                    <w:jc w:val="center"/>
                    <w:rPr>
                      <w:rFonts w:hint="eastAsia"/>
                      <w:bCs/>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0.5</w:t>
                  </w:r>
                </w:p>
              </w:tc>
              <w:tc>
                <w:tcPr>
                  <w:tcW w:w="1410" w:type="dxa"/>
                  <w:tcBorders>
                    <w:tl2br w:val="nil"/>
                    <w:tr2bl w:val="nil"/>
                  </w:tcBorders>
                  <w:noWrap w:val="0"/>
                  <w:vAlign w:val="center"/>
                </w:tcPr>
                <w:p w14:paraId="78AA945D">
                  <w:pPr>
                    <w:pStyle w:val="54"/>
                    <w:keepNext w:val="0"/>
                    <w:keepLines w:val="0"/>
                    <w:pageBreakBefore w:val="0"/>
                    <w:kinsoku/>
                    <w:wordWrap/>
                    <w:overflowPunct/>
                    <w:topLinePunct w:val="0"/>
                    <w:bidi w:val="0"/>
                    <w:spacing w:beforeLines="0" w:afterLines="0" w:line="240" w:lineRule="auto"/>
                    <w:jc w:val="center"/>
                    <w:rPr>
                      <w:rFonts w:hint="default" w:eastAsia="宋体"/>
                      <w:bCs/>
                      <w:color w:val="auto"/>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034" w:type="dxa"/>
                  <w:tcBorders>
                    <w:tl2br w:val="nil"/>
                    <w:tr2bl w:val="nil"/>
                  </w:tcBorders>
                  <w:noWrap w:val="0"/>
                  <w:vAlign w:val="center"/>
                </w:tcPr>
                <w:p w14:paraId="454542C4">
                  <w:pPr>
                    <w:adjustRightInd w:val="0"/>
                    <w:snapToGrid w:val="0"/>
                    <w:spacing w:line="256" w:lineRule="auto"/>
                    <w:jc w:val="center"/>
                    <w:rPr>
                      <w:rFonts w:hint="eastAsia" w:eastAsia="宋体"/>
                      <w:bCs/>
                      <w:color w:val="auto"/>
                      <w:lang w:val="en-US" w:eastAsia="zh-CN"/>
                    </w:rPr>
                  </w:pPr>
                  <w:r>
                    <w:rPr>
                      <w:rFonts w:hint="eastAsia"/>
                      <w:bCs/>
                      <w:color w:val="auto"/>
                      <w:lang w:val="en-US" w:eastAsia="zh-CN"/>
                    </w:rPr>
                    <w:t>-</w:t>
                  </w:r>
                </w:p>
              </w:tc>
              <w:tc>
                <w:tcPr>
                  <w:tcW w:w="1621" w:type="dxa"/>
                  <w:tcBorders>
                    <w:tl2br w:val="nil"/>
                    <w:tr2bl w:val="nil"/>
                  </w:tcBorders>
                  <w:noWrap w:val="0"/>
                  <w:vAlign w:val="center"/>
                </w:tcPr>
                <w:p w14:paraId="7CE2148D">
                  <w:pPr>
                    <w:pStyle w:val="54"/>
                    <w:keepNext w:val="0"/>
                    <w:keepLines w:val="0"/>
                    <w:pageBreakBefore w:val="0"/>
                    <w:kinsoku/>
                    <w:wordWrap/>
                    <w:overflowPunct/>
                    <w:topLinePunct w:val="0"/>
                    <w:bidi w:val="0"/>
                    <w:spacing w:beforeLines="0" w:afterLines="0" w:line="240" w:lineRule="auto"/>
                    <w:jc w:val="center"/>
                    <w:rPr>
                      <w:rFonts w:hint="default" w:eastAsia="宋体"/>
                      <w:bCs/>
                      <w:color w:val="auto"/>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894" w:type="dxa"/>
                  <w:tcBorders>
                    <w:tl2br w:val="nil"/>
                    <w:tr2bl w:val="nil"/>
                  </w:tcBorders>
                  <w:noWrap w:val="0"/>
                  <w:vAlign w:val="center"/>
                </w:tcPr>
                <w:p w14:paraId="34E79A6D">
                  <w:pPr>
                    <w:pStyle w:val="54"/>
                    <w:keepNext w:val="0"/>
                    <w:keepLines w:val="0"/>
                    <w:pageBreakBefore w:val="0"/>
                    <w:kinsoku/>
                    <w:wordWrap/>
                    <w:overflowPunct/>
                    <w:topLinePunct w:val="0"/>
                    <w:bidi w:val="0"/>
                    <w:spacing w:beforeLines="0" w:afterLines="0" w:line="240" w:lineRule="auto"/>
                    <w:jc w:val="center"/>
                    <w:rPr>
                      <w:rFonts w:hint="default" w:eastAsia="宋体"/>
                      <w:color w:val="auto"/>
                      <w:kern w:val="0"/>
                      <w:lang w:val="en-US" w:eastAsia="zh-CN" w:bidi="ar"/>
                    </w:rPr>
                  </w:pPr>
                  <w:r>
                    <w:rPr>
                      <w:rFonts w:hint="eastAsia" w:ascii="Times New Roman" w:hAnsi="Times New Roman" w:eastAsia="宋体" w:cs="Times New Roman"/>
                      <w:snapToGrid w:val="0"/>
                      <w:color w:val="auto"/>
                      <w:spacing w:val="0"/>
                      <w:kern w:val="21"/>
                      <w:position w:val="0"/>
                      <w:sz w:val="21"/>
                      <w:szCs w:val="21"/>
                      <w:highlight w:val="none"/>
                      <w:lang w:val="en-US" w:eastAsia="zh-CN"/>
                    </w:rPr>
                    <w:t>-0.5</w:t>
                  </w:r>
                </w:p>
              </w:tc>
            </w:tr>
            <w:tr w14:paraId="59A11E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6F023F17">
                  <w:pPr>
                    <w:widowControl/>
                    <w:adjustRightInd w:val="0"/>
                    <w:jc w:val="center"/>
                    <w:textAlignment w:val="baseline"/>
                    <w:rPr>
                      <w:rFonts w:hint="eastAsia"/>
                      <w:color w:val="auto"/>
                      <w:kern w:val="0"/>
                    </w:rPr>
                  </w:pPr>
                </w:p>
              </w:tc>
              <w:tc>
                <w:tcPr>
                  <w:tcW w:w="394" w:type="dxa"/>
                  <w:vMerge w:val="restart"/>
                  <w:tcBorders>
                    <w:tl2br w:val="nil"/>
                    <w:tr2bl w:val="nil"/>
                  </w:tcBorders>
                  <w:noWrap w:val="0"/>
                  <w:vAlign w:val="center"/>
                </w:tcPr>
                <w:p w14:paraId="70182EF7">
                  <w:pPr>
                    <w:widowControl/>
                    <w:adjustRightInd w:val="0"/>
                    <w:jc w:val="center"/>
                    <w:textAlignment w:val="baseline"/>
                    <w:rPr>
                      <w:rFonts w:hint="eastAsia"/>
                      <w:color w:val="auto"/>
                      <w:kern w:val="0"/>
                    </w:rPr>
                  </w:pPr>
                  <w:r>
                    <w:rPr>
                      <w:rFonts w:hint="eastAsia"/>
                      <w:color w:val="auto"/>
                      <w:kern w:val="0"/>
                    </w:rPr>
                    <w:t>危险</w:t>
                  </w:r>
                </w:p>
                <w:p w14:paraId="12C42476">
                  <w:pPr>
                    <w:widowControl/>
                    <w:adjustRightInd w:val="0"/>
                    <w:jc w:val="center"/>
                    <w:textAlignment w:val="baseline"/>
                    <w:rPr>
                      <w:rFonts w:hint="eastAsia"/>
                      <w:color w:val="auto"/>
                      <w:kern w:val="0"/>
                    </w:rPr>
                  </w:pPr>
                  <w:r>
                    <w:rPr>
                      <w:rFonts w:hint="eastAsia"/>
                      <w:color w:val="auto"/>
                      <w:kern w:val="0"/>
                    </w:rPr>
                    <w:t>废物</w:t>
                  </w:r>
                </w:p>
              </w:tc>
              <w:tc>
                <w:tcPr>
                  <w:tcW w:w="1173" w:type="dxa"/>
                  <w:tcBorders>
                    <w:tl2br w:val="nil"/>
                    <w:tr2bl w:val="nil"/>
                  </w:tcBorders>
                  <w:noWrap w:val="0"/>
                  <w:vAlign w:val="center"/>
                </w:tcPr>
                <w:p w14:paraId="60973E16">
                  <w:pPr>
                    <w:pStyle w:val="107"/>
                    <w:keepNext w:val="0"/>
                    <w:keepLines w:val="0"/>
                    <w:pageBreakBefore w:val="0"/>
                    <w:kinsoku/>
                    <w:wordWrap/>
                    <w:overflowPunct/>
                    <w:topLinePunct w:val="0"/>
                    <w:bidi w:val="0"/>
                    <w:spacing w:line="240" w:lineRule="auto"/>
                    <w:ind w:firstLine="0" w:firstLineChars="0"/>
                    <w:jc w:val="center"/>
                    <w:rPr>
                      <w:rFonts w:hint="eastAsia"/>
                      <w:color w:val="auto"/>
                    </w:rPr>
                  </w:pPr>
                  <w:r>
                    <w:rPr>
                      <w:rFonts w:hint="eastAsia" w:ascii="Times New Roman" w:hAnsi="Times New Roman" w:eastAsia="宋体" w:cs="Times New Roman"/>
                      <w:bCs/>
                      <w:color w:val="auto"/>
                      <w:spacing w:val="0"/>
                      <w:position w:val="0"/>
                      <w:sz w:val="21"/>
                      <w:szCs w:val="21"/>
                      <w:highlight w:val="none"/>
                      <w:lang w:val="en-US" w:eastAsia="zh-CN"/>
                    </w:rPr>
                    <w:t>漆渣</w:t>
                  </w:r>
                </w:p>
              </w:tc>
              <w:tc>
                <w:tcPr>
                  <w:tcW w:w="1283" w:type="dxa"/>
                  <w:tcBorders>
                    <w:tl2br w:val="nil"/>
                    <w:tr2bl w:val="nil"/>
                  </w:tcBorders>
                  <w:noWrap w:val="0"/>
                  <w:vAlign w:val="center"/>
                </w:tcPr>
                <w:p w14:paraId="04355A31">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1.26</w:t>
                  </w:r>
                </w:p>
              </w:tc>
              <w:tc>
                <w:tcPr>
                  <w:tcW w:w="1410" w:type="dxa"/>
                  <w:tcBorders>
                    <w:tl2br w:val="nil"/>
                    <w:tr2bl w:val="nil"/>
                  </w:tcBorders>
                  <w:noWrap w:val="0"/>
                  <w:vAlign w:val="center"/>
                </w:tcPr>
                <w:p w14:paraId="3A7338A6">
                  <w:pPr>
                    <w:pStyle w:val="54"/>
                    <w:keepNext w:val="0"/>
                    <w:keepLines w:val="0"/>
                    <w:pageBreakBefore w:val="0"/>
                    <w:kinsoku/>
                    <w:wordWrap/>
                    <w:overflowPunct/>
                    <w:topLinePunct w:val="0"/>
                    <w:bidi w:val="0"/>
                    <w:spacing w:beforeLines="0" w:afterLines="0" w:line="240" w:lineRule="auto"/>
                    <w:jc w:val="center"/>
                    <w:rPr>
                      <w:rFonts w:hint="eastAsia"/>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6.0724</w:t>
                  </w:r>
                </w:p>
              </w:tc>
              <w:tc>
                <w:tcPr>
                  <w:tcW w:w="1034" w:type="dxa"/>
                  <w:tcBorders>
                    <w:tl2br w:val="nil"/>
                    <w:tr2bl w:val="nil"/>
                  </w:tcBorders>
                  <w:noWrap w:val="0"/>
                  <w:vAlign w:val="center"/>
                </w:tcPr>
                <w:p w14:paraId="00759A01">
                  <w:pPr>
                    <w:adjustRightInd w:val="0"/>
                    <w:snapToGrid w:val="0"/>
                    <w:spacing w:line="256" w:lineRule="auto"/>
                    <w:jc w:val="center"/>
                    <w:rPr>
                      <w:rFonts w:hint="eastAsia"/>
                      <w:bCs/>
                      <w:color w:val="auto"/>
                      <w:kern w:val="21"/>
                    </w:rPr>
                  </w:pPr>
                  <w:r>
                    <w:rPr>
                      <w:rFonts w:hint="eastAsia"/>
                      <w:bCs/>
                      <w:color w:val="auto"/>
                    </w:rPr>
                    <w:t>-</w:t>
                  </w:r>
                </w:p>
              </w:tc>
              <w:tc>
                <w:tcPr>
                  <w:tcW w:w="1621" w:type="dxa"/>
                  <w:tcBorders>
                    <w:tl2br w:val="nil"/>
                    <w:tr2bl w:val="nil"/>
                  </w:tcBorders>
                  <w:noWrap w:val="0"/>
                  <w:vAlign w:val="center"/>
                </w:tcPr>
                <w:p w14:paraId="478C1DF1">
                  <w:pPr>
                    <w:pStyle w:val="54"/>
                    <w:keepNext w:val="0"/>
                    <w:keepLines w:val="0"/>
                    <w:pageBreakBefore w:val="0"/>
                    <w:kinsoku/>
                    <w:wordWrap/>
                    <w:overflowPunct/>
                    <w:topLinePunct w:val="0"/>
                    <w:bidi w:val="0"/>
                    <w:spacing w:beforeLines="0" w:afterLines="0" w:line="240" w:lineRule="auto"/>
                    <w:jc w:val="center"/>
                    <w:rPr>
                      <w:rFonts w:hint="eastAsia"/>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7.3324</w:t>
                  </w:r>
                </w:p>
              </w:tc>
              <w:tc>
                <w:tcPr>
                  <w:tcW w:w="894" w:type="dxa"/>
                  <w:tcBorders>
                    <w:tl2br w:val="nil"/>
                    <w:tr2bl w:val="nil"/>
                  </w:tcBorders>
                  <w:noWrap w:val="0"/>
                  <w:vAlign w:val="center"/>
                </w:tcPr>
                <w:p w14:paraId="0258D748">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+6.0724</w:t>
                  </w:r>
                </w:p>
              </w:tc>
            </w:tr>
            <w:tr w14:paraId="4C39CD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3383203F">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14A0DC1C">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1FEE05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auto"/>
                    </w:rPr>
                  </w:pPr>
                  <w:r>
                    <w:rPr>
                      <w:rFonts w:hint="eastAsia" w:ascii="Times New Roman" w:hAnsi="Times New Roman" w:eastAsia="宋体" w:cs="Times New Roman"/>
                      <w:bCs/>
                      <w:color w:val="auto"/>
                      <w:spacing w:val="0"/>
                      <w:kern w:val="2"/>
                      <w:position w:val="0"/>
                      <w:sz w:val="21"/>
                      <w:szCs w:val="21"/>
                      <w:highlight w:val="none"/>
                      <w:lang w:val="en-US" w:eastAsia="zh-CN" w:bidi="ar-SA"/>
                    </w:rPr>
                    <w:t>废活性炭</w:t>
                  </w:r>
                </w:p>
              </w:tc>
              <w:tc>
                <w:tcPr>
                  <w:tcW w:w="1283" w:type="dxa"/>
                  <w:tcBorders>
                    <w:tl2br w:val="nil"/>
                    <w:tr2bl w:val="nil"/>
                  </w:tcBorders>
                  <w:noWrap w:val="0"/>
                  <w:vAlign w:val="center"/>
                </w:tcPr>
                <w:p w14:paraId="143061E7">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2.43</w:t>
                  </w:r>
                </w:p>
              </w:tc>
              <w:tc>
                <w:tcPr>
                  <w:tcW w:w="1410" w:type="dxa"/>
                  <w:tcBorders>
                    <w:tl2br w:val="nil"/>
                    <w:tr2bl w:val="nil"/>
                  </w:tcBorders>
                  <w:noWrap w:val="0"/>
                  <w:vAlign w:val="center"/>
                </w:tcPr>
                <w:p w14:paraId="4F51ED3D">
                  <w:pPr>
                    <w:pStyle w:val="54"/>
                    <w:keepNext w:val="0"/>
                    <w:keepLines w:val="0"/>
                    <w:pageBreakBefore w:val="0"/>
                    <w:kinsoku/>
                    <w:wordWrap/>
                    <w:overflowPunct/>
                    <w:topLinePunct w:val="0"/>
                    <w:bidi w:val="0"/>
                    <w:spacing w:beforeLines="0" w:afterLines="0" w:line="240" w:lineRule="auto"/>
                    <w:jc w:val="center"/>
                    <w:rPr>
                      <w:rFonts w:hint="eastAsia" w:cs="宋体"/>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9.9289</w:t>
                  </w:r>
                </w:p>
              </w:tc>
              <w:tc>
                <w:tcPr>
                  <w:tcW w:w="1034" w:type="dxa"/>
                  <w:tcBorders>
                    <w:tl2br w:val="nil"/>
                    <w:tr2bl w:val="nil"/>
                  </w:tcBorders>
                  <w:noWrap w:val="0"/>
                  <w:vAlign w:val="center"/>
                </w:tcPr>
                <w:p w14:paraId="7DF014D9">
                  <w:pPr>
                    <w:adjustRightInd w:val="0"/>
                    <w:snapToGrid w:val="0"/>
                    <w:spacing w:line="256" w:lineRule="auto"/>
                    <w:jc w:val="center"/>
                    <w:rPr>
                      <w:rFonts w:hint="eastAsia"/>
                      <w:bCs/>
                      <w:color w:val="auto"/>
                      <w:kern w:val="21"/>
                    </w:rPr>
                  </w:pPr>
                  <w:r>
                    <w:rPr>
                      <w:rFonts w:hint="eastAsia"/>
                      <w:bCs/>
                      <w:color w:val="auto"/>
                    </w:rPr>
                    <w:t>-</w:t>
                  </w:r>
                </w:p>
              </w:tc>
              <w:tc>
                <w:tcPr>
                  <w:tcW w:w="1621" w:type="dxa"/>
                  <w:tcBorders>
                    <w:tl2br w:val="nil"/>
                    <w:tr2bl w:val="nil"/>
                  </w:tcBorders>
                  <w:noWrap w:val="0"/>
                  <w:vAlign w:val="center"/>
                </w:tcPr>
                <w:p w14:paraId="4C60DB5C">
                  <w:pPr>
                    <w:pStyle w:val="54"/>
                    <w:keepNext w:val="0"/>
                    <w:keepLines w:val="0"/>
                    <w:pageBreakBefore w:val="0"/>
                    <w:kinsoku/>
                    <w:wordWrap/>
                    <w:overflowPunct/>
                    <w:topLinePunct w:val="0"/>
                    <w:bidi w:val="0"/>
                    <w:spacing w:beforeLines="0" w:afterLines="0" w:line="240" w:lineRule="auto"/>
                    <w:jc w:val="center"/>
                    <w:rPr>
                      <w:rFonts w:hint="eastAsia" w:cs="宋体"/>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1</w:t>
                  </w:r>
                  <w:r>
                    <w:rPr>
                      <w:rFonts w:hint="eastAsia" w:ascii="Times New Roman" w:cs="Times New Roman"/>
                      <w:snapToGrid w:val="0"/>
                      <w:color w:val="auto"/>
                      <w:spacing w:val="0"/>
                      <w:kern w:val="21"/>
                      <w:position w:val="0"/>
                      <w:sz w:val="21"/>
                      <w:szCs w:val="21"/>
                      <w:highlight w:val="none"/>
                      <w:lang w:val="en-US" w:eastAsia="zh-CN"/>
                    </w:rPr>
                    <w:t>2.3589</w:t>
                  </w:r>
                </w:p>
              </w:tc>
              <w:tc>
                <w:tcPr>
                  <w:tcW w:w="894" w:type="dxa"/>
                  <w:tcBorders>
                    <w:tl2br w:val="nil"/>
                    <w:tr2bl w:val="nil"/>
                  </w:tcBorders>
                  <w:noWrap w:val="0"/>
                  <w:vAlign w:val="center"/>
                </w:tcPr>
                <w:p w14:paraId="2D1C49E4">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+9.9289</w:t>
                  </w:r>
                </w:p>
              </w:tc>
            </w:tr>
            <w:tr w14:paraId="440664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2D1C5C93">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0D8ADBD2">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338500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auto"/>
                    </w:rPr>
                  </w:pPr>
                  <w:r>
                    <w:rPr>
                      <w:rFonts w:hint="eastAsia" w:cs="Times New Roman"/>
                      <w:bCs/>
                      <w:color w:val="auto"/>
                      <w:spacing w:val="0"/>
                      <w:kern w:val="2"/>
                      <w:position w:val="0"/>
                      <w:sz w:val="21"/>
                      <w:szCs w:val="21"/>
                      <w:highlight w:val="none"/>
                      <w:lang w:val="en-US" w:eastAsia="zh-CN" w:bidi="ar-SA"/>
                    </w:rPr>
                    <w:t>废过滤棉</w:t>
                  </w:r>
                </w:p>
              </w:tc>
              <w:tc>
                <w:tcPr>
                  <w:tcW w:w="1283" w:type="dxa"/>
                  <w:tcBorders>
                    <w:tl2br w:val="nil"/>
                    <w:tr2bl w:val="nil"/>
                  </w:tcBorders>
                  <w:noWrap w:val="0"/>
                  <w:vAlign w:val="center"/>
                </w:tcPr>
                <w:p w14:paraId="75BF92EC">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410" w:type="dxa"/>
                  <w:tcBorders>
                    <w:tl2br w:val="nil"/>
                    <w:tr2bl w:val="nil"/>
                  </w:tcBorders>
                  <w:noWrap w:val="0"/>
                  <w:vAlign w:val="center"/>
                </w:tcPr>
                <w:p w14:paraId="38EA9FAE">
                  <w:pPr>
                    <w:pStyle w:val="54"/>
                    <w:keepNext w:val="0"/>
                    <w:keepLines w:val="0"/>
                    <w:pageBreakBefore w:val="0"/>
                    <w:kinsoku/>
                    <w:wordWrap/>
                    <w:overflowPunct/>
                    <w:topLinePunct w:val="0"/>
                    <w:bidi w:val="0"/>
                    <w:spacing w:beforeLines="0" w:afterLines="0" w:line="240" w:lineRule="auto"/>
                    <w:jc w:val="center"/>
                    <w:rPr>
                      <w:rFonts w:hint="eastAsia" w:cs="宋体"/>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0.268</w:t>
                  </w:r>
                </w:p>
              </w:tc>
              <w:tc>
                <w:tcPr>
                  <w:tcW w:w="1034" w:type="dxa"/>
                  <w:tcBorders>
                    <w:tl2br w:val="nil"/>
                    <w:tr2bl w:val="nil"/>
                  </w:tcBorders>
                  <w:noWrap w:val="0"/>
                  <w:vAlign w:val="center"/>
                </w:tcPr>
                <w:p w14:paraId="074E9AB3">
                  <w:pPr>
                    <w:adjustRightInd w:val="0"/>
                    <w:snapToGrid w:val="0"/>
                    <w:spacing w:line="256" w:lineRule="auto"/>
                    <w:jc w:val="center"/>
                    <w:rPr>
                      <w:rFonts w:hint="eastAsia"/>
                      <w:bCs/>
                      <w:color w:val="auto"/>
                      <w:kern w:val="21"/>
                    </w:rPr>
                  </w:pPr>
                  <w:r>
                    <w:rPr>
                      <w:rFonts w:hint="eastAsia"/>
                      <w:bCs/>
                      <w:color w:val="auto"/>
                    </w:rPr>
                    <w:t>-</w:t>
                  </w:r>
                </w:p>
              </w:tc>
              <w:tc>
                <w:tcPr>
                  <w:tcW w:w="1621" w:type="dxa"/>
                  <w:tcBorders>
                    <w:tl2br w:val="nil"/>
                    <w:tr2bl w:val="nil"/>
                  </w:tcBorders>
                  <w:noWrap w:val="0"/>
                  <w:vAlign w:val="center"/>
                </w:tcPr>
                <w:p w14:paraId="720FD976">
                  <w:pPr>
                    <w:pStyle w:val="54"/>
                    <w:keepNext w:val="0"/>
                    <w:keepLines w:val="0"/>
                    <w:pageBreakBefore w:val="0"/>
                    <w:kinsoku/>
                    <w:wordWrap/>
                    <w:overflowPunct/>
                    <w:topLinePunct w:val="0"/>
                    <w:bidi w:val="0"/>
                    <w:spacing w:beforeLines="0" w:afterLines="0" w:line="240" w:lineRule="auto"/>
                    <w:jc w:val="center"/>
                    <w:rPr>
                      <w:rFonts w:hint="eastAsia" w:cs="宋体"/>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0.268</w:t>
                  </w:r>
                </w:p>
              </w:tc>
              <w:tc>
                <w:tcPr>
                  <w:tcW w:w="894" w:type="dxa"/>
                  <w:tcBorders>
                    <w:tl2br w:val="nil"/>
                    <w:tr2bl w:val="nil"/>
                  </w:tcBorders>
                  <w:noWrap w:val="0"/>
                  <w:vAlign w:val="center"/>
                </w:tcPr>
                <w:p w14:paraId="232C09C6">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+0.268</w:t>
                  </w:r>
                </w:p>
              </w:tc>
            </w:tr>
            <w:tr w14:paraId="225305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71AA10F0">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68451911">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546B04FA">
                  <w:pPr>
                    <w:keepNext w:val="0"/>
                    <w:keepLines w:val="0"/>
                    <w:pageBreakBefore w:val="0"/>
                    <w:kinsoku/>
                    <w:wordWrap/>
                    <w:overflowPunct/>
                    <w:topLinePunct w:val="0"/>
                    <w:bidi w:val="0"/>
                    <w:spacing w:line="240" w:lineRule="auto"/>
                    <w:jc w:val="center"/>
                    <w:rPr>
                      <w:rFonts w:hint="eastAsia" w:cs="宋体"/>
                      <w:color w:val="auto"/>
                    </w:rPr>
                  </w:pPr>
                  <w:r>
                    <w:rPr>
                      <w:rFonts w:hint="eastAsia" w:ascii="Times New Roman" w:hAnsi="Times New Roman" w:eastAsia="宋体" w:cs="Times New Roman"/>
                      <w:color w:val="auto"/>
                      <w:spacing w:val="0"/>
                      <w:position w:val="0"/>
                      <w:sz w:val="21"/>
                      <w:szCs w:val="21"/>
                      <w:highlight w:val="none"/>
                      <w:vertAlign w:val="baseline"/>
                      <w:lang w:val="en-US" w:eastAsia="zh-CN"/>
                    </w:rPr>
                    <w:t>沉淀污泥</w:t>
                  </w:r>
                </w:p>
              </w:tc>
              <w:tc>
                <w:tcPr>
                  <w:tcW w:w="1283" w:type="dxa"/>
                  <w:tcBorders>
                    <w:tl2br w:val="nil"/>
                    <w:tr2bl w:val="nil"/>
                  </w:tcBorders>
                  <w:noWrap w:val="0"/>
                  <w:vAlign w:val="center"/>
                </w:tcPr>
                <w:p w14:paraId="038191A3">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w:t>
                  </w:r>
                </w:p>
              </w:tc>
              <w:tc>
                <w:tcPr>
                  <w:tcW w:w="1410" w:type="dxa"/>
                  <w:tcBorders>
                    <w:tl2br w:val="nil"/>
                    <w:tr2bl w:val="nil"/>
                  </w:tcBorders>
                  <w:noWrap w:val="0"/>
                  <w:vAlign w:val="center"/>
                </w:tcPr>
                <w:p w14:paraId="7E1A4D9D">
                  <w:pPr>
                    <w:pStyle w:val="54"/>
                    <w:keepNext w:val="0"/>
                    <w:keepLines w:val="0"/>
                    <w:pageBreakBefore w:val="0"/>
                    <w:kinsoku/>
                    <w:wordWrap/>
                    <w:overflowPunct/>
                    <w:topLinePunct w:val="0"/>
                    <w:bidi w:val="0"/>
                    <w:spacing w:beforeLines="0" w:afterLines="0" w:line="240" w:lineRule="auto"/>
                    <w:jc w:val="center"/>
                    <w:rPr>
                      <w:rFonts w:hint="eastAsia" w:cs="宋体"/>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034" w:type="dxa"/>
                  <w:tcBorders>
                    <w:tl2br w:val="nil"/>
                    <w:tr2bl w:val="nil"/>
                  </w:tcBorders>
                  <w:noWrap w:val="0"/>
                  <w:vAlign w:val="center"/>
                </w:tcPr>
                <w:p w14:paraId="7133DE93">
                  <w:pPr>
                    <w:adjustRightInd w:val="0"/>
                    <w:snapToGrid w:val="0"/>
                    <w:spacing w:line="256" w:lineRule="auto"/>
                    <w:jc w:val="center"/>
                    <w:rPr>
                      <w:rFonts w:hint="eastAsia"/>
                      <w:bCs/>
                      <w:color w:val="auto"/>
                      <w:kern w:val="21"/>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w:t>
                  </w:r>
                  <w:r>
                    <w:rPr>
                      <w:rFonts w:hint="eastAsia" w:ascii="Times New Roman" w:cs="Times New Roman"/>
                      <w:snapToGrid w:val="0"/>
                      <w:color w:val="auto"/>
                      <w:spacing w:val="0"/>
                      <w:kern w:val="21"/>
                      <w:position w:val="0"/>
                      <w:sz w:val="21"/>
                      <w:szCs w:val="21"/>
                      <w:highlight w:val="none"/>
                      <w:lang w:val="en-US" w:eastAsia="zh-CN"/>
                    </w:rPr>
                    <w:t>455</w:t>
                  </w:r>
                </w:p>
              </w:tc>
              <w:tc>
                <w:tcPr>
                  <w:tcW w:w="1621" w:type="dxa"/>
                  <w:tcBorders>
                    <w:tl2br w:val="nil"/>
                    <w:tr2bl w:val="nil"/>
                  </w:tcBorders>
                  <w:noWrap w:val="0"/>
                  <w:vAlign w:val="center"/>
                </w:tcPr>
                <w:p w14:paraId="17FF0DFB">
                  <w:pPr>
                    <w:pStyle w:val="54"/>
                    <w:keepNext w:val="0"/>
                    <w:keepLines w:val="0"/>
                    <w:pageBreakBefore w:val="0"/>
                    <w:kinsoku/>
                    <w:wordWrap/>
                    <w:overflowPunct/>
                    <w:topLinePunct w:val="0"/>
                    <w:bidi w:val="0"/>
                    <w:spacing w:beforeLines="0" w:afterLines="0" w:line="240" w:lineRule="auto"/>
                    <w:jc w:val="center"/>
                    <w:rPr>
                      <w:rFonts w:hint="eastAsia" w:cs="宋体"/>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w:t>
                  </w:r>
                  <w:r>
                    <w:rPr>
                      <w:rFonts w:hint="eastAsia" w:ascii="Times New Roman" w:cs="Times New Roman"/>
                      <w:snapToGrid w:val="0"/>
                      <w:color w:val="auto"/>
                      <w:spacing w:val="0"/>
                      <w:kern w:val="21"/>
                      <w:position w:val="0"/>
                      <w:sz w:val="21"/>
                      <w:szCs w:val="21"/>
                      <w:highlight w:val="none"/>
                      <w:lang w:val="en-US" w:eastAsia="zh-CN"/>
                    </w:rPr>
                    <w:t>545</w:t>
                  </w:r>
                </w:p>
              </w:tc>
              <w:tc>
                <w:tcPr>
                  <w:tcW w:w="894" w:type="dxa"/>
                  <w:tcBorders>
                    <w:tl2br w:val="nil"/>
                    <w:tr2bl w:val="nil"/>
                  </w:tcBorders>
                  <w:noWrap w:val="0"/>
                  <w:vAlign w:val="center"/>
                </w:tcPr>
                <w:p w14:paraId="05BB760D">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w:t>
                  </w:r>
                  <w:r>
                    <w:rPr>
                      <w:rFonts w:hint="eastAsia" w:ascii="Times New Roman" w:cs="Times New Roman"/>
                      <w:snapToGrid w:val="0"/>
                      <w:color w:val="auto"/>
                      <w:spacing w:val="0"/>
                      <w:kern w:val="21"/>
                      <w:position w:val="0"/>
                      <w:sz w:val="21"/>
                      <w:szCs w:val="21"/>
                      <w:highlight w:val="none"/>
                      <w:lang w:val="en-US" w:eastAsia="zh-CN"/>
                    </w:rPr>
                    <w:t>455</w:t>
                  </w:r>
                </w:p>
              </w:tc>
            </w:tr>
            <w:tr w14:paraId="565F78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0DDAF0DB">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7F95EA06">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1485165C">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bCs/>
                      <w:color w:val="auto"/>
                      <w:spacing w:val="0"/>
                      <w:position w:val="0"/>
                      <w:sz w:val="21"/>
                      <w:szCs w:val="21"/>
                      <w:highlight w:val="none"/>
                      <w:lang w:val="en-US" w:eastAsia="zh-CN"/>
                    </w:rPr>
                  </w:pPr>
                  <w:r>
                    <w:rPr>
                      <w:rFonts w:hint="eastAsia" w:ascii="Times New Roman" w:hAnsi="Times New Roman" w:eastAsia="宋体" w:cs="Times New Roman"/>
                      <w:bCs/>
                      <w:color w:val="auto"/>
                      <w:spacing w:val="0"/>
                      <w:position w:val="0"/>
                      <w:sz w:val="21"/>
                      <w:szCs w:val="21"/>
                      <w:highlight w:val="none"/>
                      <w:lang w:val="en-US" w:eastAsia="zh-CN"/>
                    </w:rPr>
                    <w:t>水帘气</w:t>
                  </w:r>
                </w:p>
                <w:p w14:paraId="225F84A9">
                  <w:pPr>
                    <w:keepNext w:val="0"/>
                    <w:keepLines w:val="0"/>
                    <w:pageBreakBefore w:val="0"/>
                    <w:kinsoku/>
                    <w:wordWrap/>
                    <w:overflowPunct/>
                    <w:topLinePunct w:val="0"/>
                    <w:bidi w:val="0"/>
                    <w:spacing w:line="240" w:lineRule="auto"/>
                    <w:jc w:val="center"/>
                    <w:rPr>
                      <w:rFonts w:hint="eastAsia" w:cs="宋体"/>
                      <w:color w:val="auto"/>
                    </w:rPr>
                  </w:pPr>
                  <w:r>
                    <w:rPr>
                      <w:rFonts w:hint="eastAsia" w:ascii="Times New Roman" w:hAnsi="Times New Roman" w:eastAsia="宋体" w:cs="Times New Roman"/>
                      <w:bCs/>
                      <w:color w:val="auto"/>
                      <w:spacing w:val="0"/>
                      <w:position w:val="0"/>
                      <w:sz w:val="21"/>
                      <w:szCs w:val="21"/>
                      <w:highlight w:val="none"/>
                      <w:lang w:val="en-US" w:eastAsia="zh-CN"/>
                    </w:rPr>
                    <w:t>旋废</w:t>
                  </w:r>
                  <w:r>
                    <w:rPr>
                      <w:rFonts w:hint="eastAsia" w:cs="Times New Roman"/>
                      <w:bCs/>
                      <w:color w:val="auto"/>
                      <w:spacing w:val="0"/>
                      <w:position w:val="0"/>
                      <w:sz w:val="21"/>
                      <w:szCs w:val="21"/>
                      <w:highlight w:val="none"/>
                      <w:lang w:val="en-US" w:eastAsia="zh-CN"/>
                    </w:rPr>
                    <w:t>液</w:t>
                  </w:r>
                </w:p>
              </w:tc>
              <w:tc>
                <w:tcPr>
                  <w:tcW w:w="1283" w:type="dxa"/>
                  <w:tcBorders>
                    <w:tl2br w:val="nil"/>
                    <w:tr2bl w:val="nil"/>
                  </w:tcBorders>
                  <w:noWrap w:val="0"/>
                  <w:vAlign w:val="center"/>
                </w:tcPr>
                <w:p w14:paraId="734256FD">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1.5</w:t>
                  </w:r>
                </w:p>
              </w:tc>
              <w:tc>
                <w:tcPr>
                  <w:tcW w:w="1410" w:type="dxa"/>
                  <w:tcBorders>
                    <w:tl2br w:val="nil"/>
                    <w:tr2bl w:val="nil"/>
                  </w:tcBorders>
                  <w:noWrap w:val="0"/>
                  <w:vAlign w:val="center"/>
                </w:tcPr>
                <w:p w14:paraId="733F4ABF">
                  <w:pPr>
                    <w:pStyle w:val="54"/>
                    <w:keepNext w:val="0"/>
                    <w:keepLines w:val="0"/>
                    <w:pageBreakBefore w:val="0"/>
                    <w:kinsoku/>
                    <w:wordWrap/>
                    <w:overflowPunct/>
                    <w:topLinePunct w:val="0"/>
                    <w:bidi w:val="0"/>
                    <w:spacing w:beforeLines="0" w:afterLines="0" w:line="240" w:lineRule="auto"/>
                    <w:jc w:val="center"/>
                    <w:rPr>
                      <w:rFonts w:hint="eastAsia" w:cs="宋体"/>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3.792</w:t>
                  </w:r>
                </w:p>
              </w:tc>
              <w:tc>
                <w:tcPr>
                  <w:tcW w:w="1034" w:type="dxa"/>
                  <w:tcBorders>
                    <w:tl2br w:val="nil"/>
                    <w:tr2bl w:val="nil"/>
                  </w:tcBorders>
                  <w:noWrap w:val="0"/>
                  <w:vAlign w:val="center"/>
                </w:tcPr>
                <w:p w14:paraId="7456B2A5">
                  <w:pPr>
                    <w:adjustRightInd w:val="0"/>
                    <w:snapToGrid w:val="0"/>
                    <w:spacing w:line="256" w:lineRule="auto"/>
                    <w:jc w:val="center"/>
                    <w:rPr>
                      <w:rFonts w:hint="eastAsia"/>
                      <w:bCs/>
                      <w:color w:val="auto"/>
                      <w:kern w:val="21"/>
                    </w:rPr>
                  </w:pPr>
                  <w:r>
                    <w:rPr>
                      <w:rFonts w:hint="eastAsia"/>
                      <w:bCs/>
                      <w:color w:val="auto"/>
                    </w:rPr>
                    <w:t>-</w:t>
                  </w:r>
                </w:p>
              </w:tc>
              <w:tc>
                <w:tcPr>
                  <w:tcW w:w="1621" w:type="dxa"/>
                  <w:tcBorders>
                    <w:tl2br w:val="nil"/>
                    <w:tr2bl w:val="nil"/>
                  </w:tcBorders>
                  <w:noWrap w:val="0"/>
                  <w:vAlign w:val="center"/>
                </w:tcPr>
                <w:p w14:paraId="59B0355A">
                  <w:pPr>
                    <w:pStyle w:val="54"/>
                    <w:keepNext w:val="0"/>
                    <w:keepLines w:val="0"/>
                    <w:pageBreakBefore w:val="0"/>
                    <w:kinsoku/>
                    <w:wordWrap/>
                    <w:overflowPunct/>
                    <w:topLinePunct w:val="0"/>
                    <w:bidi w:val="0"/>
                    <w:spacing w:beforeLines="0" w:afterLines="0" w:line="240" w:lineRule="auto"/>
                    <w:jc w:val="center"/>
                    <w:rPr>
                      <w:rFonts w:hint="eastAsia" w:cs="宋体"/>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5.292</w:t>
                  </w:r>
                </w:p>
              </w:tc>
              <w:tc>
                <w:tcPr>
                  <w:tcW w:w="894" w:type="dxa"/>
                  <w:tcBorders>
                    <w:tl2br w:val="nil"/>
                    <w:tr2bl w:val="nil"/>
                  </w:tcBorders>
                  <w:noWrap w:val="0"/>
                  <w:vAlign w:val="center"/>
                </w:tcPr>
                <w:p w14:paraId="5C2595CF">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+3.792</w:t>
                  </w:r>
                </w:p>
              </w:tc>
            </w:tr>
            <w:tr w14:paraId="64E789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76E9E5A8">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3BD8F07E">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6F0DB0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Cs/>
                      <w:color w:val="auto"/>
                      <w:spacing w:val="0"/>
                      <w:kern w:val="2"/>
                      <w:position w:val="0"/>
                      <w:sz w:val="21"/>
                      <w:szCs w:val="21"/>
                      <w:highlight w:val="none"/>
                      <w:lang w:val="en-US" w:eastAsia="zh-CN" w:bidi="ar-SA"/>
                    </w:rPr>
                  </w:pPr>
                  <w:r>
                    <w:rPr>
                      <w:rFonts w:hint="eastAsia" w:cs="Times New Roman"/>
                      <w:bCs/>
                      <w:color w:val="auto"/>
                      <w:spacing w:val="0"/>
                      <w:kern w:val="2"/>
                      <w:position w:val="0"/>
                      <w:sz w:val="21"/>
                      <w:szCs w:val="21"/>
                      <w:highlight w:val="none"/>
                      <w:lang w:val="en-US" w:eastAsia="zh-CN" w:bidi="ar-SA"/>
                    </w:rPr>
                    <w:t>喷枪清</w:t>
                  </w:r>
                </w:p>
                <w:p w14:paraId="175FA8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auto"/>
                    </w:rPr>
                  </w:pPr>
                  <w:r>
                    <w:rPr>
                      <w:rFonts w:hint="eastAsia" w:cs="Times New Roman"/>
                      <w:bCs/>
                      <w:color w:val="auto"/>
                      <w:spacing w:val="0"/>
                      <w:kern w:val="2"/>
                      <w:position w:val="0"/>
                      <w:sz w:val="21"/>
                      <w:szCs w:val="21"/>
                      <w:highlight w:val="none"/>
                      <w:lang w:val="en-US" w:eastAsia="zh-CN" w:bidi="ar-SA"/>
                    </w:rPr>
                    <w:t>洗废液</w:t>
                  </w:r>
                  <w:r>
                    <w:rPr>
                      <w:rFonts w:hint="eastAsia" w:ascii="Times New Roman" w:hAnsi="Times New Roman" w:eastAsia="宋体" w:cs="Times New Roman"/>
                      <w:bCs/>
                      <w:color w:val="auto"/>
                      <w:spacing w:val="0"/>
                      <w:kern w:val="2"/>
                      <w:position w:val="0"/>
                      <w:sz w:val="21"/>
                      <w:szCs w:val="21"/>
                      <w:highlight w:val="none"/>
                      <w:lang w:val="en-US" w:eastAsia="zh-CN" w:bidi="ar-SA"/>
                    </w:rPr>
                    <w:t xml:space="preserve"> </w:t>
                  </w:r>
                </w:p>
              </w:tc>
              <w:tc>
                <w:tcPr>
                  <w:tcW w:w="1283" w:type="dxa"/>
                  <w:tcBorders>
                    <w:tl2br w:val="nil"/>
                    <w:tr2bl w:val="nil"/>
                  </w:tcBorders>
                  <w:noWrap w:val="0"/>
                  <w:vAlign w:val="center"/>
                </w:tcPr>
                <w:p w14:paraId="44B484F1">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0.3</w:t>
                  </w:r>
                </w:p>
              </w:tc>
              <w:tc>
                <w:tcPr>
                  <w:tcW w:w="1410" w:type="dxa"/>
                  <w:tcBorders>
                    <w:tl2br w:val="nil"/>
                    <w:tr2bl w:val="nil"/>
                  </w:tcBorders>
                  <w:noWrap w:val="0"/>
                  <w:vAlign w:val="center"/>
                </w:tcPr>
                <w:p w14:paraId="0DF791CC">
                  <w:pPr>
                    <w:pStyle w:val="54"/>
                    <w:keepNext w:val="0"/>
                    <w:keepLines w:val="0"/>
                    <w:pageBreakBefore w:val="0"/>
                    <w:kinsoku/>
                    <w:wordWrap/>
                    <w:overflowPunct/>
                    <w:topLinePunct w:val="0"/>
                    <w:bidi w:val="0"/>
                    <w:spacing w:beforeLines="0" w:afterLines="0" w:line="240" w:lineRule="auto"/>
                    <w:jc w:val="center"/>
                    <w:rPr>
                      <w:rFonts w:hint="eastAsia" w:cs="宋体"/>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034" w:type="dxa"/>
                  <w:tcBorders>
                    <w:tl2br w:val="nil"/>
                    <w:tr2bl w:val="nil"/>
                  </w:tcBorders>
                  <w:noWrap w:val="0"/>
                  <w:vAlign w:val="center"/>
                </w:tcPr>
                <w:p w14:paraId="2101F42F">
                  <w:pPr>
                    <w:adjustRightInd w:val="0"/>
                    <w:snapToGrid w:val="0"/>
                    <w:spacing w:line="256" w:lineRule="auto"/>
                    <w:jc w:val="center"/>
                    <w:rPr>
                      <w:rFonts w:hint="eastAsia"/>
                      <w:bCs/>
                      <w:color w:val="auto"/>
                    </w:rPr>
                  </w:pPr>
                  <w:r>
                    <w:rPr>
                      <w:rFonts w:hint="eastAsia"/>
                      <w:bCs/>
                      <w:color w:val="auto"/>
                    </w:rPr>
                    <w:t>-</w:t>
                  </w:r>
                </w:p>
              </w:tc>
              <w:tc>
                <w:tcPr>
                  <w:tcW w:w="1621" w:type="dxa"/>
                  <w:tcBorders>
                    <w:tl2br w:val="nil"/>
                    <w:tr2bl w:val="nil"/>
                  </w:tcBorders>
                  <w:noWrap w:val="0"/>
                  <w:vAlign w:val="center"/>
                </w:tcPr>
                <w:p w14:paraId="0FFDEE7D">
                  <w:pPr>
                    <w:pStyle w:val="54"/>
                    <w:keepNext w:val="0"/>
                    <w:keepLines w:val="0"/>
                    <w:pageBreakBefore w:val="0"/>
                    <w:kinsoku/>
                    <w:wordWrap/>
                    <w:overflowPunct/>
                    <w:topLinePunct w:val="0"/>
                    <w:bidi w:val="0"/>
                    <w:spacing w:beforeLines="0" w:afterLines="0" w:line="240" w:lineRule="auto"/>
                    <w:jc w:val="center"/>
                    <w:rPr>
                      <w:rFonts w:hint="eastAsia" w:cs="宋体"/>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0.3</w:t>
                  </w:r>
                </w:p>
              </w:tc>
              <w:tc>
                <w:tcPr>
                  <w:tcW w:w="894" w:type="dxa"/>
                  <w:tcBorders>
                    <w:tl2br w:val="nil"/>
                    <w:tr2bl w:val="nil"/>
                  </w:tcBorders>
                  <w:noWrap w:val="0"/>
                  <w:vAlign w:val="center"/>
                </w:tcPr>
                <w:p w14:paraId="40376BCB">
                  <w:pPr>
                    <w:pStyle w:val="54"/>
                    <w:keepNext w:val="0"/>
                    <w:keepLines w:val="0"/>
                    <w:pageBreakBefore w:val="0"/>
                    <w:kinsoku/>
                    <w:wordWrap/>
                    <w:overflowPunct/>
                    <w:topLinePunct w:val="0"/>
                    <w:bidi w:val="0"/>
                    <w:spacing w:beforeLines="0" w:afterLines="0" w:line="240" w:lineRule="auto"/>
                    <w:jc w:val="center"/>
                    <w:rPr>
                      <w:rFonts w:hint="eastAsia"/>
                      <w:color w:val="auto"/>
                      <w:kern w:val="0"/>
                      <w:lang w:bidi="ar"/>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r>
            <w:tr w14:paraId="3D09C9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6AC6447B">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5EE355C1">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070421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废化学</w:t>
                  </w:r>
                </w:p>
                <w:p w14:paraId="11ABA8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rPr>
                  </w:pPr>
                  <w:r>
                    <w:rPr>
                      <w:rFonts w:hint="eastAsia" w:cs="Times New Roman"/>
                      <w:color w:val="auto"/>
                      <w:spacing w:val="0"/>
                      <w:position w:val="0"/>
                      <w:sz w:val="21"/>
                      <w:szCs w:val="21"/>
                      <w:highlight w:val="none"/>
                      <w:vertAlign w:val="baseline"/>
                      <w:lang w:val="en-US" w:eastAsia="zh-CN"/>
                    </w:rPr>
                    <w:t>品包装物</w:t>
                  </w:r>
                </w:p>
              </w:tc>
              <w:tc>
                <w:tcPr>
                  <w:tcW w:w="1283" w:type="dxa"/>
                  <w:tcBorders>
                    <w:tl2br w:val="nil"/>
                    <w:tr2bl w:val="nil"/>
                  </w:tcBorders>
                  <w:noWrap w:val="0"/>
                  <w:vAlign w:val="center"/>
                </w:tcPr>
                <w:p w14:paraId="3CBAA535">
                  <w:pPr>
                    <w:pStyle w:val="54"/>
                    <w:keepNext w:val="0"/>
                    <w:keepLines w:val="0"/>
                    <w:pageBreakBefore w:val="0"/>
                    <w:kinsoku/>
                    <w:wordWrap/>
                    <w:overflowPunct/>
                    <w:topLinePunct w:val="0"/>
                    <w:bidi w:val="0"/>
                    <w:spacing w:beforeLines="0" w:afterLines="0" w:line="240" w:lineRule="auto"/>
                    <w:jc w:val="center"/>
                    <w:rPr>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0.32</w:t>
                  </w:r>
                </w:p>
              </w:tc>
              <w:tc>
                <w:tcPr>
                  <w:tcW w:w="1410" w:type="dxa"/>
                  <w:tcBorders>
                    <w:tl2br w:val="nil"/>
                    <w:tr2bl w:val="nil"/>
                  </w:tcBorders>
                  <w:noWrap w:val="0"/>
                  <w:vAlign w:val="center"/>
                </w:tcPr>
                <w:p w14:paraId="12EFC45A">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0.2022</w:t>
                  </w:r>
                </w:p>
              </w:tc>
              <w:tc>
                <w:tcPr>
                  <w:tcW w:w="1034" w:type="dxa"/>
                  <w:tcBorders>
                    <w:tl2br w:val="nil"/>
                    <w:tr2bl w:val="nil"/>
                  </w:tcBorders>
                  <w:noWrap w:val="0"/>
                  <w:vAlign w:val="center"/>
                </w:tcPr>
                <w:p w14:paraId="12DF7C41">
                  <w:pPr>
                    <w:widowControl/>
                    <w:autoSpaceDE w:val="0"/>
                    <w:autoSpaceDN w:val="0"/>
                    <w:adjustRightInd w:val="0"/>
                    <w:jc w:val="center"/>
                    <w:rPr>
                      <w:rFonts w:hint="eastAsia" w:eastAsia="宋体"/>
                      <w:bCs/>
                      <w:color w:val="auto"/>
                      <w:kern w:val="0"/>
                      <w:lang w:eastAsia="zh-CN"/>
                    </w:rPr>
                  </w:pPr>
                  <w:r>
                    <w:rPr>
                      <w:rFonts w:hint="eastAsia"/>
                      <w:bCs/>
                      <w:color w:val="auto"/>
                      <w:lang w:val="en-US" w:eastAsia="zh-CN"/>
                    </w:rPr>
                    <w:t>-</w:t>
                  </w:r>
                </w:p>
              </w:tc>
              <w:tc>
                <w:tcPr>
                  <w:tcW w:w="1621" w:type="dxa"/>
                  <w:tcBorders>
                    <w:tl2br w:val="nil"/>
                    <w:tr2bl w:val="nil"/>
                  </w:tcBorders>
                  <w:noWrap w:val="0"/>
                  <w:vAlign w:val="center"/>
                </w:tcPr>
                <w:p w14:paraId="7C46A22F">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0.5222</w:t>
                  </w:r>
                </w:p>
              </w:tc>
              <w:tc>
                <w:tcPr>
                  <w:tcW w:w="894" w:type="dxa"/>
                  <w:tcBorders>
                    <w:tl2br w:val="nil"/>
                    <w:tr2bl w:val="nil"/>
                  </w:tcBorders>
                  <w:noWrap w:val="0"/>
                  <w:vAlign w:val="center"/>
                </w:tcPr>
                <w:p w14:paraId="3F4BDEEF">
                  <w:pPr>
                    <w:pStyle w:val="54"/>
                    <w:keepNext w:val="0"/>
                    <w:keepLines w:val="0"/>
                    <w:pageBreakBefore w:val="0"/>
                    <w:kinsoku/>
                    <w:wordWrap/>
                    <w:overflowPunct/>
                    <w:topLinePunct w:val="0"/>
                    <w:bidi w:val="0"/>
                    <w:spacing w:beforeLines="0" w:afterLines="0" w:line="240" w:lineRule="auto"/>
                    <w:jc w:val="center"/>
                    <w:rPr>
                      <w:rFonts w:hint="eastAsia"/>
                      <w:bCs/>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+0.2022</w:t>
                  </w:r>
                </w:p>
              </w:tc>
            </w:tr>
            <w:tr w14:paraId="47F377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5E4EBB3D">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534F95B7">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3CE36D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rPr>
                  </w:pPr>
                  <w:r>
                    <w:rPr>
                      <w:rFonts w:hint="eastAsia" w:cs="Times New Roman"/>
                      <w:color w:val="auto"/>
                      <w:spacing w:val="0"/>
                      <w:position w:val="0"/>
                      <w:sz w:val="21"/>
                      <w:szCs w:val="21"/>
                      <w:highlight w:val="none"/>
                      <w:vertAlign w:val="baseline"/>
                      <w:lang w:val="en-US" w:eastAsia="zh-CN"/>
                    </w:rPr>
                    <w:t>废灯管</w:t>
                  </w:r>
                </w:p>
              </w:tc>
              <w:tc>
                <w:tcPr>
                  <w:tcW w:w="1283" w:type="dxa"/>
                  <w:tcBorders>
                    <w:tl2br w:val="nil"/>
                    <w:tr2bl w:val="nil"/>
                  </w:tcBorders>
                  <w:noWrap w:val="0"/>
                  <w:vAlign w:val="center"/>
                </w:tcPr>
                <w:p w14:paraId="07312710">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0.15</w:t>
                  </w:r>
                </w:p>
              </w:tc>
              <w:tc>
                <w:tcPr>
                  <w:tcW w:w="1410" w:type="dxa"/>
                  <w:tcBorders>
                    <w:tl2br w:val="nil"/>
                    <w:tr2bl w:val="nil"/>
                  </w:tcBorders>
                  <w:noWrap w:val="0"/>
                  <w:vAlign w:val="center"/>
                </w:tcPr>
                <w:p w14:paraId="18C5BA78">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034" w:type="dxa"/>
                  <w:tcBorders>
                    <w:tl2br w:val="nil"/>
                    <w:tr2bl w:val="nil"/>
                  </w:tcBorders>
                  <w:noWrap w:val="0"/>
                  <w:vAlign w:val="center"/>
                </w:tcPr>
                <w:p w14:paraId="75525941">
                  <w:pPr>
                    <w:widowControl/>
                    <w:autoSpaceDE w:val="0"/>
                    <w:autoSpaceDN w:val="0"/>
                    <w:adjustRightInd w:val="0"/>
                    <w:jc w:val="center"/>
                    <w:rPr>
                      <w:rFonts w:hint="default" w:eastAsia="宋体"/>
                      <w:bCs/>
                      <w:color w:val="auto"/>
                      <w:lang w:val="en-US" w:eastAsia="zh-CN"/>
                    </w:rPr>
                  </w:pPr>
                  <w:r>
                    <w:rPr>
                      <w:rFonts w:hint="eastAsia"/>
                      <w:bCs/>
                      <w:color w:val="auto"/>
                      <w:lang w:val="en-US" w:eastAsia="zh-CN"/>
                    </w:rPr>
                    <w:t>0.15</w:t>
                  </w:r>
                </w:p>
              </w:tc>
              <w:tc>
                <w:tcPr>
                  <w:tcW w:w="1621" w:type="dxa"/>
                  <w:tcBorders>
                    <w:tl2br w:val="nil"/>
                    <w:tr2bl w:val="nil"/>
                  </w:tcBorders>
                  <w:noWrap w:val="0"/>
                  <w:vAlign w:val="center"/>
                </w:tcPr>
                <w:p w14:paraId="42D71C9C">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894" w:type="dxa"/>
                  <w:tcBorders>
                    <w:tl2br w:val="nil"/>
                    <w:tr2bl w:val="nil"/>
                  </w:tcBorders>
                  <w:noWrap w:val="0"/>
                  <w:vAlign w:val="center"/>
                </w:tcPr>
                <w:p w14:paraId="229EE5C8">
                  <w:pPr>
                    <w:pStyle w:val="54"/>
                    <w:keepNext w:val="0"/>
                    <w:keepLines w:val="0"/>
                    <w:pageBreakBefore w:val="0"/>
                    <w:kinsoku/>
                    <w:wordWrap/>
                    <w:overflowPunct/>
                    <w:topLinePunct w:val="0"/>
                    <w:bidi w:val="0"/>
                    <w:spacing w:beforeLines="0" w:afterLines="0" w:line="240" w:lineRule="auto"/>
                    <w:jc w:val="center"/>
                    <w:rPr>
                      <w:rFonts w:hint="eastAsia"/>
                      <w:bCs/>
                      <w:color w:val="auto"/>
                      <w:kern w:val="0"/>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-0.15</w:t>
                  </w:r>
                </w:p>
              </w:tc>
            </w:tr>
            <w:tr w14:paraId="0C0247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40A9EC4D">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075BF842">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71D5148D">
                  <w:pPr>
                    <w:keepNext w:val="0"/>
                    <w:keepLines w:val="0"/>
                    <w:pageBreakBefore w:val="0"/>
                    <w:widowControl w:val="0"/>
                    <w:kinsoku/>
                    <w:wordWrap/>
                    <w:overflowPunct/>
                    <w:topLinePunct w:val="0"/>
                    <w:autoSpaceDE/>
                    <w:autoSpaceDN/>
                    <w:bidi w:val="0"/>
                    <w:adjustRightInd/>
                    <w:snapToGrid/>
                    <w:jc w:val="center"/>
                    <w:textAlignment w:val="auto"/>
                    <w:rPr>
                      <w:bCs/>
                      <w:color w:val="auto"/>
                    </w:rPr>
                  </w:pPr>
                  <w:r>
                    <w:rPr>
                      <w:rFonts w:hint="eastAsia" w:cs="Times New Roman"/>
                      <w:color w:val="auto"/>
                      <w:spacing w:val="0"/>
                      <w:position w:val="0"/>
                      <w:sz w:val="21"/>
                      <w:szCs w:val="21"/>
                      <w:highlight w:val="none"/>
                      <w:vertAlign w:val="baseline"/>
                      <w:lang w:val="en-US" w:eastAsia="zh-CN"/>
                    </w:rPr>
                    <w:t xml:space="preserve">废润滑油 </w:t>
                  </w:r>
                </w:p>
              </w:tc>
              <w:tc>
                <w:tcPr>
                  <w:tcW w:w="1283" w:type="dxa"/>
                  <w:tcBorders>
                    <w:tl2br w:val="nil"/>
                    <w:tr2bl w:val="nil"/>
                  </w:tcBorders>
                  <w:noWrap w:val="0"/>
                  <w:vAlign w:val="center"/>
                </w:tcPr>
                <w:p w14:paraId="1D7659A9">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bCs/>
                      <w:color w:val="auto"/>
                    </w:rPr>
                  </w:pPr>
                  <w:r>
                    <w:rPr>
                      <w:rFonts w:hint="eastAsia" w:ascii="Times New Roman" w:hAnsi="Times New Roman" w:eastAsia="宋体" w:cs="Times New Roman"/>
                      <w:snapToGrid w:val="0"/>
                      <w:color w:val="auto"/>
                      <w:kern w:val="21"/>
                      <w:sz w:val="21"/>
                      <w:szCs w:val="21"/>
                      <w:highlight w:val="none"/>
                      <w:lang w:val="en-US" w:eastAsia="zh-CN"/>
                    </w:rPr>
                    <w:t>0.005</w:t>
                  </w:r>
                </w:p>
              </w:tc>
              <w:tc>
                <w:tcPr>
                  <w:tcW w:w="1410" w:type="dxa"/>
                  <w:tcBorders>
                    <w:tl2br w:val="nil"/>
                    <w:tr2bl w:val="nil"/>
                  </w:tcBorders>
                  <w:noWrap w:val="0"/>
                  <w:vAlign w:val="center"/>
                </w:tcPr>
                <w:p w14:paraId="6E393089">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bCs/>
                      <w:color w:val="auto"/>
                    </w:rPr>
                  </w:pPr>
                  <w:r>
                    <w:rPr>
                      <w:rFonts w:hint="eastAsia" w:ascii="Times New Roman" w:hAnsi="Times New Roman" w:eastAsia="宋体" w:cs="Times New Roman"/>
                      <w:snapToGrid w:val="0"/>
                      <w:color w:val="auto"/>
                      <w:kern w:val="21"/>
                      <w:sz w:val="21"/>
                      <w:szCs w:val="21"/>
                      <w:highlight w:val="none"/>
                      <w:lang w:val="en-US" w:eastAsia="zh-CN"/>
                    </w:rPr>
                    <w:t>0.005</w:t>
                  </w:r>
                </w:p>
              </w:tc>
              <w:tc>
                <w:tcPr>
                  <w:tcW w:w="1034" w:type="dxa"/>
                  <w:tcBorders>
                    <w:tl2br w:val="nil"/>
                    <w:tr2bl w:val="nil"/>
                  </w:tcBorders>
                  <w:noWrap w:val="0"/>
                  <w:vAlign w:val="center"/>
                </w:tcPr>
                <w:p w14:paraId="55E23C54">
                  <w:pPr>
                    <w:widowControl/>
                    <w:autoSpaceDE w:val="0"/>
                    <w:autoSpaceDN w:val="0"/>
                    <w:adjustRightInd w:val="0"/>
                    <w:jc w:val="center"/>
                    <w:rPr>
                      <w:rFonts w:hint="default" w:eastAsia="宋体"/>
                      <w:bCs/>
                      <w:color w:val="auto"/>
                      <w:lang w:val="en-US" w:eastAsia="zh-CN"/>
                    </w:rPr>
                  </w:pPr>
                  <w:r>
                    <w:rPr>
                      <w:rFonts w:hint="eastAsia"/>
                      <w:bCs/>
                      <w:color w:val="auto"/>
                      <w:lang w:val="en-US" w:eastAsia="zh-CN"/>
                    </w:rPr>
                    <w:t>0.005</w:t>
                  </w:r>
                </w:p>
              </w:tc>
              <w:tc>
                <w:tcPr>
                  <w:tcW w:w="1621" w:type="dxa"/>
                  <w:tcBorders>
                    <w:tl2br w:val="nil"/>
                    <w:tr2bl w:val="nil"/>
                  </w:tcBorders>
                  <w:noWrap w:val="0"/>
                  <w:vAlign w:val="center"/>
                </w:tcPr>
                <w:p w14:paraId="6A38F0BB">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bCs/>
                      <w:color w:val="auto"/>
                    </w:rPr>
                  </w:pPr>
                  <w:r>
                    <w:rPr>
                      <w:rFonts w:hint="eastAsia" w:ascii="Times New Roman" w:hAnsi="Times New Roman" w:eastAsia="宋体" w:cs="Times New Roman"/>
                      <w:snapToGrid w:val="0"/>
                      <w:color w:val="auto"/>
                      <w:kern w:val="21"/>
                      <w:sz w:val="21"/>
                      <w:szCs w:val="21"/>
                      <w:highlight w:val="none"/>
                      <w:lang w:val="en-US" w:eastAsia="zh-CN"/>
                    </w:rPr>
                    <w:t>0.005</w:t>
                  </w:r>
                </w:p>
              </w:tc>
              <w:tc>
                <w:tcPr>
                  <w:tcW w:w="894" w:type="dxa"/>
                  <w:tcBorders>
                    <w:tl2br w:val="nil"/>
                    <w:tr2bl w:val="nil"/>
                  </w:tcBorders>
                  <w:noWrap w:val="0"/>
                  <w:vAlign w:val="center"/>
                </w:tcPr>
                <w:p w14:paraId="02E49322">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eastAsia="宋体"/>
                      <w:bCs/>
                      <w:color w:val="auto"/>
                      <w:kern w:val="0"/>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r>
                    <w:rPr>
                      <w:rFonts w:hint="eastAsia" w:cs="Times New Roman"/>
                      <w:snapToGrid w:val="0"/>
                      <w:color w:val="auto"/>
                      <w:kern w:val="21"/>
                      <w:sz w:val="21"/>
                      <w:szCs w:val="21"/>
                      <w:highlight w:val="none"/>
                      <w:lang w:val="en-US" w:eastAsia="zh-CN"/>
                    </w:rPr>
                    <w:t>0</w:t>
                  </w:r>
                </w:p>
              </w:tc>
            </w:tr>
            <w:tr w14:paraId="35687D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2E97CE5F">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21E31FE2">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3553989D">
                  <w:pPr>
                    <w:jc w:val="center"/>
                    <w:rPr>
                      <w:bCs/>
                      <w:color w:val="auto"/>
                    </w:rPr>
                  </w:pPr>
                  <w:r>
                    <w:rPr>
                      <w:rFonts w:hint="eastAsia" w:cs="Times New Roman"/>
                      <w:color w:val="auto"/>
                      <w:spacing w:val="0"/>
                      <w:position w:val="0"/>
                      <w:sz w:val="21"/>
                      <w:szCs w:val="21"/>
                      <w:highlight w:val="none"/>
                      <w:vertAlign w:val="baseline"/>
                      <w:lang w:val="en-US" w:eastAsia="zh-CN"/>
                    </w:rPr>
                    <w:t>润滑油空桶</w:t>
                  </w:r>
                </w:p>
              </w:tc>
              <w:tc>
                <w:tcPr>
                  <w:tcW w:w="1283" w:type="dxa"/>
                  <w:tcBorders>
                    <w:tl2br w:val="nil"/>
                    <w:tr2bl w:val="nil"/>
                  </w:tcBorders>
                  <w:noWrap w:val="0"/>
                  <w:vAlign w:val="center"/>
                </w:tcPr>
                <w:p w14:paraId="6137C161">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bCs/>
                      <w:color w:val="auto"/>
                    </w:rPr>
                  </w:pPr>
                  <w:r>
                    <w:rPr>
                      <w:rFonts w:hint="eastAsia" w:ascii="Times New Roman" w:hAnsi="Times New Roman" w:eastAsia="宋体" w:cs="Times New Roman"/>
                      <w:snapToGrid w:val="0"/>
                      <w:color w:val="auto"/>
                      <w:kern w:val="21"/>
                      <w:sz w:val="21"/>
                      <w:szCs w:val="21"/>
                      <w:highlight w:val="none"/>
                      <w:lang w:val="en-US" w:eastAsia="zh-CN"/>
                    </w:rPr>
                    <w:t>0.004</w:t>
                  </w:r>
                </w:p>
              </w:tc>
              <w:tc>
                <w:tcPr>
                  <w:tcW w:w="1410" w:type="dxa"/>
                  <w:tcBorders>
                    <w:tl2br w:val="nil"/>
                    <w:tr2bl w:val="nil"/>
                  </w:tcBorders>
                  <w:noWrap w:val="0"/>
                  <w:vAlign w:val="center"/>
                </w:tcPr>
                <w:p w14:paraId="03D94D8D">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bCs/>
                      <w:color w:val="auto"/>
                    </w:rPr>
                  </w:pPr>
                  <w:r>
                    <w:rPr>
                      <w:rFonts w:hint="eastAsia" w:ascii="Times New Roman" w:hAnsi="Times New Roman" w:eastAsia="宋体" w:cs="Times New Roman"/>
                      <w:snapToGrid w:val="0"/>
                      <w:color w:val="auto"/>
                      <w:kern w:val="21"/>
                      <w:sz w:val="21"/>
                      <w:szCs w:val="21"/>
                      <w:highlight w:val="none"/>
                      <w:lang w:val="en-US" w:eastAsia="zh-CN"/>
                    </w:rPr>
                    <w:t>0.004</w:t>
                  </w:r>
                </w:p>
              </w:tc>
              <w:tc>
                <w:tcPr>
                  <w:tcW w:w="1034" w:type="dxa"/>
                  <w:tcBorders>
                    <w:tl2br w:val="nil"/>
                    <w:tr2bl w:val="nil"/>
                  </w:tcBorders>
                  <w:noWrap w:val="0"/>
                  <w:vAlign w:val="center"/>
                </w:tcPr>
                <w:p w14:paraId="21B2FCB2">
                  <w:pPr>
                    <w:widowControl/>
                    <w:autoSpaceDE w:val="0"/>
                    <w:autoSpaceDN w:val="0"/>
                    <w:adjustRightInd w:val="0"/>
                    <w:jc w:val="center"/>
                    <w:rPr>
                      <w:rFonts w:hint="default" w:eastAsia="宋体"/>
                      <w:bCs/>
                      <w:color w:val="auto"/>
                      <w:lang w:val="en-US" w:eastAsia="zh-CN"/>
                    </w:rPr>
                  </w:pPr>
                  <w:r>
                    <w:rPr>
                      <w:rFonts w:hint="eastAsia"/>
                      <w:bCs/>
                      <w:color w:val="auto"/>
                      <w:lang w:val="en-US" w:eastAsia="zh-CN"/>
                    </w:rPr>
                    <w:t>0.004</w:t>
                  </w:r>
                </w:p>
              </w:tc>
              <w:tc>
                <w:tcPr>
                  <w:tcW w:w="1621" w:type="dxa"/>
                  <w:tcBorders>
                    <w:tl2br w:val="nil"/>
                    <w:tr2bl w:val="nil"/>
                  </w:tcBorders>
                  <w:noWrap w:val="0"/>
                  <w:vAlign w:val="center"/>
                </w:tcPr>
                <w:p w14:paraId="315F3E96">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bCs/>
                      <w:color w:val="auto"/>
                    </w:rPr>
                  </w:pPr>
                  <w:r>
                    <w:rPr>
                      <w:rFonts w:hint="eastAsia" w:ascii="Times New Roman" w:hAnsi="Times New Roman" w:eastAsia="宋体" w:cs="Times New Roman"/>
                      <w:snapToGrid w:val="0"/>
                      <w:color w:val="auto"/>
                      <w:kern w:val="21"/>
                      <w:sz w:val="21"/>
                      <w:szCs w:val="21"/>
                      <w:highlight w:val="none"/>
                      <w:lang w:val="en-US" w:eastAsia="zh-CN"/>
                    </w:rPr>
                    <w:t>0.004</w:t>
                  </w:r>
                </w:p>
              </w:tc>
              <w:tc>
                <w:tcPr>
                  <w:tcW w:w="894" w:type="dxa"/>
                  <w:tcBorders>
                    <w:tl2br w:val="nil"/>
                    <w:tr2bl w:val="nil"/>
                  </w:tcBorders>
                  <w:noWrap w:val="0"/>
                  <w:vAlign w:val="center"/>
                </w:tcPr>
                <w:p w14:paraId="0914503A">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eastAsia="宋体"/>
                      <w:bCs/>
                      <w:color w:val="auto"/>
                      <w:kern w:val="0"/>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r>
                    <w:rPr>
                      <w:rFonts w:hint="eastAsia" w:cs="Times New Roman"/>
                      <w:snapToGrid w:val="0"/>
                      <w:color w:val="auto"/>
                      <w:kern w:val="21"/>
                      <w:sz w:val="21"/>
                      <w:szCs w:val="21"/>
                      <w:highlight w:val="none"/>
                      <w:lang w:val="en-US" w:eastAsia="zh-CN"/>
                    </w:rPr>
                    <w:t>0</w:t>
                  </w:r>
                </w:p>
              </w:tc>
            </w:tr>
            <w:tr w14:paraId="6D4B4B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486E0415">
                  <w:pPr>
                    <w:widowControl/>
                    <w:adjustRightInd w:val="0"/>
                    <w:jc w:val="center"/>
                    <w:textAlignment w:val="baseline"/>
                    <w:rPr>
                      <w:rFonts w:hint="eastAsia"/>
                      <w:color w:val="auto"/>
                      <w:kern w:val="0"/>
                    </w:rPr>
                  </w:pPr>
                </w:p>
              </w:tc>
              <w:tc>
                <w:tcPr>
                  <w:tcW w:w="394" w:type="dxa"/>
                  <w:vMerge w:val="continue"/>
                  <w:tcBorders>
                    <w:tl2br w:val="nil"/>
                    <w:tr2bl w:val="nil"/>
                  </w:tcBorders>
                  <w:noWrap w:val="0"/>
                  <w:vAlign w:val="center"/>
                </w:tcPr>
                <w:p w14:paraId="1B42FD3F">
                  <w:pPr>
                    <w:widowControl/>
                    <w:adjustRightInd w:val="0"/>
                    <w:jc w:val="center"/>
                    <w:textAlignment w:val="baseline"/>
                    <w:rPr>
                      <w:rFonts w:hint="eastAsia"/>
                      <w:color w:val="auto"/>
                      <w:kern w:val="0"/>
                    </w:rPr>
                  </w:pPr>
                </w:p>
              </w:tc>
              <w:tc>
                <w:tcPr>
                  <w:tcW w:w="1173" w:type="dxa"/>
                  <w:tcBorders>
                    <w:tl2br w:val="nil"/>
                    <w:tr2bl w:val="nil"/>
                  </w:tcBorders>
                  <w:noWrap w:val="0"/>
                  <w:vAlign w:val="center"/>
                </w:tcPr>
                <w:p w14:paraId="67022682">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废含油抹</w:t>
                  </w:r>
                </w:p>
                <w:p w14:paraId="60D3F2DF">
                  <w:pPr>
                    <w:jc w:val="center"/>
                    <w:rPr>
                      <w:rFonts w:hint="eastAsia"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布及手套</w:t>
                  </w:r>
                </w:p>
              </w:tc>
              <w:tc>
                <w:tcPr>
                  <w:tcW w:w="1283" w:type="dxa"/>
                  <w:tcBorders>
                    <w:tl2br w:val="nil"/>
                    <w:tr2bl w:val="nil"/>
                  </w:tcBorders>
                  <w:shd w:val="clear" w:color="auto" w:fill="auto"/>
                  <w:noWrap w:val="0"/>
                  <w:vAlign w:val="center"/>
                </w:tcPr>
                <w:p w14:paraId="39A3F1F3">
                  <w:pPr>
                    <w:spacing w:line="240" w:lineRule="auto"/>
                    <w:ind w:firstLine="0" w:firstLineChars="0"/>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0.048</w:t>
                  </w:r>
                </w:p>
              </w:tc>
              <w:tc>
                <w:tcPr>
                  <w:tcW w:w="1410" w:type="dxa"/>
                  <w:tcBorders>
                    <w:tl2br w:val="nil"/>
                    <w:tr2bl w:val="nil"/>
                  </w:tcBorders>
                  <w:shd w:val="clear" w:color="auto" w:fill="auto"/>
                  <w:noWrap w:val="0"/>
                  <w:vAlign w:val="center"/>
                </w:tcPr>
                <w:p w14:paraId="6C5F97D3">
                  <w:pPr>
                    <w:jc w:val="center"/>
                    <w:rPr>
                      <w:rFonts w:hint="eastAsia" w:ascii="Times New Roman" w:hAnsi="Times New Roman" w:eastAsia="宋体" w:cs="Times New Roman"/>
                      <w:bCs/>
                      <w:color w:val="auto"/>
                      <w:kern w:val="2"/>
                      <w:sz w:val="21"/>
                      <w:szCs w:val="24"/>
                      <w:lang w:val="en-US" w:eastAsia="zh-CN" w:bidi="ar-SA"/>
                    </w:rPr>
                  </w:pPr>
                  <w:r>
                    <w:rPr>
                      <w:rFonts w:hint="eastAsia"/>
                      <w:bCs/>
                      <w:color w:val="auto"/>
                      <w:lang w:val="en-US" w:eastAsia="zh-CN"/>
                    </w:rPr>
                    <w:t>0</w:t>
                  </w:r>
                </w:p>
              </w:tc>
              <w:tc>
                <w:tcPr>
                  <w:tcW w:w="1034" w:type="dxa"/>
                  <w:tcBorders>
                    <w:tl2br w:val="nil"/>
                    <w:tr2bl w:val="nil"/>
                  </w:tcBorders>
                  <w:shd w:val="clear" w:color="auto" w:fill="auto"/>
                  <w:noWrap w:val="0"/>
                  <w:vAlign w:val="center"/>
                </w:tcPr>
                <w:p w14:paraId="678D44E4">
                  <w:pPr>
                    <w:widowControl/>
                    <w:autoSpaceDE w:val="0"/>
                    <w:autoSpaceDN w:val="0"/>
                    <w:adjustRightInd w:val="0"/>
                    <w:jc w:val="center"/>
                    <w:rPr>
                      <w:rFonts w:hint="eastAsia" w:ascii="Times New Roman" w:hAnsi="Times New Roman" w:eastAsia="宋体" w:cs="Times New Roman"/>
                      <w:bCs/>
                      <w:color w:val="auto"/>
                      <w:kern w:val="2"/>
                      <w:sz w:val="21"/>
                      <w:szCs w:val="24"/>
                      <w:lang w:val="en-US" w:eastAsia="zh-CN" w:bidi="ar-SA"/>
                    </w:rPr>
                  </w:pPr>
                  <w:r>
                    <w:rPr>
                      <w:rFonts w:hint="eastAsia"/>
                      <w:bCs/>
                      <w:color w:val="auto"/>
                      <w:lang w:val="en-US" w:eastAsia="zh-CN"/>
                    </w:rPr>
                    <w:t>-</w:t>
                  </w:r>
                </w:p>
              </w:tc>
              <w:tc>
                <w:tcPr>
                  <w:tcW w:w="1621" w:type="dxa"/>
                  <w:tcBorders>
                    <w:tl2br w:val="nil"/>
                    <w:tr2bl w:val="nil"/>
                  </w:tcBorders>
                  <w:shd w:val="clear" w:color="auto" w:fill="auto"/>
                  <w:noWrap w:val="0"/>
                  <w:vAlign w:val="center"/>
                </w:tcPr>
                <w:p w14:paraId="6314A46E">
                  <w:pPr>
                    <w:spacing w:line="240" w:lineRule="auto"/>
                    <w:ind w:firstLine="0" w:firstLineChars="0"/>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0.048</w:t>
                  </w:r>
                </w:p>
              </w:tc>
              <w:tc>
                <w:tcPr>
                  <w:tcW w:w="894" w:type="dxa"/>
                  <w:tcBorders>
                    <w:tl2br w:val="nil"/>
                    <w:tr2bl w:val="nil"/>
                  </w:tcBorders>
                  <w:shd w:val="clear" w:color="auto" w:fill="auto"/>
                  <w:noWrap w:val="0"/>
                  <w:vAlign w:val="center"/>
                </w:tcPr>
                <w:p w14:paraId="2EE6B8DC">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4"/>
                      <w:lang w:val="en-US" w:eastAsia="zh-CN" w:bidi="ar-SA"/>
                    </w:rPr>
                  </w:pPr>
                  <w:r>
                    <w:rPr>
                      <w:rFonts w:hint="eastAsia" w:ascii="Times New Roman" w:hAnsi="Times New Roman" w:eastAsia="宋体" w:cs="Times New Roman"/>
                      <w:snapToGrid w:val="0"/>
                      <w:color w:val="auto"/>
                      <w:spacing w:val="0"/>
                      <w:kern w:val="21"/>
                      <w:sz w:val="21"/>
                      <w:szCs w:val="21"/>
                      <w:highlight w:val="none"/>
                      <w:lang w:val="en-US" w:eastAsia="zh-CN"/>
                    </w:rPr>
                    <w:t>+</w:t>
                  </w:r>
                  <w:r>
                    <w:rPr>
                      <w:rFonts w:hint="eastAsia" w:cs="Times New Roman"/>
                      <w:i w:val="0"/>
                      <w:iCs w:val="0"/>
                      <w:color w:val="auto"/>
                      <w:kern w:val="0"/>
                      <w:sz w:val="21"/>
                      <w:szCs w:val="21"/>
                      <w:highlight w:val="none"/>
                      <w:u w:val="none"/>
                      <w:lang w:val="en-US" w:eastAsia="zh-CN" w:bidi="ar"/>
                    </w:rPr>
                    <w:t>0</w:t>
                  </w:r>
                </w:p>
              </w:tc>
            </w:tr>
            <w:tr w14:paraId="6B1566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6" w:type="dxa"/>
                  <w:vMerge w:val="continue"/>
                  <w:tcBorders>
                    <w:tl2br w:val="nil"/>
                    <w:tr2bl w:val="nil"/>
                  </w:tcBorders>
                  <w:noWrap w:val="0"/>
                  <w:vAlign w:val="center"/>
                </w:tcPr>
                <w:p w14:paraId="1EB6EC3C">
                  <w:pPr>
                    <w:widowControl/>
                    <w:adjustRightInd w:val="0"/>
                    <w:jc w:val="center"/>
                    <w:textAlignment w:val="baseline"/>
                    <w:rPr>
                      <w:rFonts w:hint="eastAsia"/>
                      <w:color w:val="auto"/>
                      <w:kern w:val="0"/>
                    </w:rPr>
                  </w:pPr>
                </w:p>
              </w:tc>
              <w:tc>
                <w:tcPr>
                  <w:tcW w:w="1567" w:type="dxa"/>
                  <w:gridSpan w:val="2"/>
                  <w:tcBorders>
                    <w:tl2br w:val="nil"/>
                    <w:tr2bl w:val="nil"/>
                  </w:tcBorders>
                  <w:noWrap w:val="0"/>
                  <w:vAlign w:val="center"/>
                </w:tcPr>
                <w:p w14:paraId="161B285D">
                  <w:pPr>
                    <w:pStyle w:val="54"/>
                    <w:keepNext w:val="0"/>
                    <w:keepLines w:val="0"/>
                    <w:pageBreakBefore w:val="0"/>
                    <w:kinsoku/>
                    <w:wordWrap/>
                    <w:overflowPunct/>
                    <w:topLinePunct w:val="0"/>
                    <w:bidi w:val="0"/>
                    <w:spacing w:beforeLines="0" w:afterLines="0" w:line="240" w:lineRule="auto"/>
                    <w:jc w:val="center"/>
                    <w:rPr>
                      <w:bCs/>
                      <w:color w:val="auto"/>
                    </w:rPr>
                  </w:pPr>
                  <w:r>
                    <w:rPr>
                      <w:rFonts w:hint="eastAsia" w:ascii="Times New Roman" w:hAnsi="Times New Roman" w:eastAsia="宋体" w:cs="Times New Roman"/>
                      <w:b w:val="0"/>
                      <w:bCs/>
                      <w:color w:val="auto"/>
                      <w:spacing w:val="0"/>
                      <w:position w:val="0"/>
                      <w:sz w:val="21"/>
                      <w:szCs w:val="21"/>
                      <w:highlight w:val="none"/>
                      <w:lang w:val="en-US" w:eastAsia="zh-CN"/>
                    </w:rPr>
                    <w:t>生活垃圾</w:t>
                  </w:r>
                </w:p>
              </w:tc>
              <w:tc>
                <w:tcPr>
                  <w:tcW w:w="1283" w:type="dxa"/>
                  <w:tcBorders>
                    <w:tl2br w:val="nil"/>
                    <w:tr2bl w:val="nil"/>
                  </w:tcBorders>
                  <w:noWrap w:val="0"/>
                  <w:vAlign w:val="center"/>
                </w:tcPr>
                <w:p w14:paraId="40BAF1E8">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cs="Times New Roman"/>
                      <w:snapToGrid w:val="0"/>
                      <w:color w:val="auto"/>
                      <w:spacing w:val="0"/>
                      <w:kern w:val="21"/>
                      <w:position w:val="0"/>
                      <w:sz w:val="21"/>
                      <w:szCs w:val="21"/>
                      <w:highlight w:val="none"/>
                      <w:lang w:val="en-US" w:eastAsia="zh-CN"/>
                    </w:rPr>
                    <w:t>3</w:t>
                  </w:r>
                </w:p>
              </w:tc>
              <w:tc>
                <w:tcPr>
                  <w:tcW w:w="1410" w:type="dxa"/>
                  <w:tcBorders>
                    <w:tl2br w:val="nil"/>
                    <w:tr2bl w:val="nil"/>
                  </w:tcBorders>
                  <w:noWrap w:val="0"/>
                  <w:vAlign w:val="center"/>
                </w:tcPr>
                <w:p w14:paraId="6BAD76CC">
                  <w:pPr>
                    <w:jc w:val="center"/>
                    <w:rPr>
                      <w:rFonts w:hint="eastAsia" w:eastAsia="宋体"/>
                      <w:bCs/>
                      <w:color w:val="auto"/>
                      <w:lang w:val="en-US" w:eastAsia="zh-CN"/>
                    </w:rPr>
                  </w:pPr>
                  <w:r>
                    <w:rPr>
                      <w:rFonts w:hint="eastAsia"/>
                      <w:bCs/>
                      <w:color w:val="auto"/>
                      <w:lang w:val="en-US" w:eastAsia="zh-CN"/>
                    </w:rPr>
                    <w:t>0</w:t>
                  </w:r>
                </w:p>
              </w:tc>
              <w:tc>
                <w:tcPr>
                  <w:tcW w:w="1034" w:type="dxa"/>
                  <w:tcBorders>
                    <w:tl2br w:val="nil"/>
                    <w:tr2bl w:val="nil"/>
                  </w:tcBorders>
                  <w:noWrap w:val="0"/>
                  <w:vAlign w:val="center"/>
                </w:tcPr>
                <w:p w14:paraId="36E721A5">
                  <w:pPr>
                    <w:widowControl/>
                    <w:autoSpaceDE w:val="0"/>
                    <w:autoSpaceDN w:val="0"/>
                    <w:adjustRightInd w:val="0"/>
                    <w:jc w:val="center"/>
                    <w:rPr>
                      <w:rFonts w:hint="default" w:eastAsia="宋体"/>
                      <w:bCs/>
                      <w:color w:val="auto"/>
                      <w:lang w:val="en-US" w:eastAsia="zh-CN"/>
                    </w:rPr>
                  </w:pPr>
                  <w:r>
                    <w:rPr>
                      <w:rFonts w:hint="eastAsia"/>
                      <w:bCs/>
                      <w:color w:val="auto"/>
                      <w:lang w:val="en-US" w:eastAsia="zh-CN"/>
                    </w:rPr>
                    <w:t>-</w:t>
                  </w:r>
                </w:p>
              </w:tc>
              <w:tc>
                <w:tcPr>
                  <w:tcW w:w="1621" w:type="dxa"/>
                  <w:tcBorders>
                    <w:tl2br w:val="nil"/>
                    <w:tr2bl w:val="nil"/>
                  </w:tcBorders>
                  <w:noWrap w:val="0"/>
                  <w:vAlign w:val="center"/>
                </w:tcPr>
                <w:p w14:paraId="00DC5AC7">
                  <w:pPr>
                    <w:pStyle w:val="54"/>
                    <w:keepNext w:val="0"/>
                    <w:keepLines w:val="0"/>
                    <w:pageBreakBefore w:val="0"/>
                    <w:kinsoku/>
                    <w:wordWrap/>
                    <w:overflowPunct/>
                    <w:topLinePunct w:val="0"/>
                    <w:bidi w:val="0"/>
                    <w:spacing w:beforeLines="0" w:afterLines="0" w:line="240" w:lineRule="auto"/>
                    <w:jc w:val="center"/>
                    <w:rPr>
                      <w:rFonts w:hint="eastAsia"/>
                      <w:bCs/>
                      <w:color w:val="auto"/>
                    </w:rPr>
                  </w:pPr>
                  <w:r>
                    <w:rPr>
                      <w:rFonts w:hint="eastAsia" w:ascii="Times New Roman" w:cs="Times New Roman"/>
                      <w:snapToGrid w:val="0"/>
                      <w:color w:val="auto"/>
                      <w:spacing w:val="0"/>
                      <w:kern w:val="21"/>
                      <w:position w:val="0"/>
                      <w:sz w:val="21"/>
                      <w:szCs w:val="21"/>
                      <w:highlight w:val="none"/>
                      <w:lang w:val="en-US" w:eastAsia="zh-CN"/>
                    </w:rPr>
                    <w:t>3</w:t>
                  </w:r>
                </w:p>
              </w:tc>
              <w:tc>
                <w:tcPr>
                  <w:tcW w:w="894" w:type="dxa"/>
                  <w:tcBorders>
                    <w:tl2br w:val="nil"/>
                    <w:tr2bl w:val="nil"/>
                  </w:tcBorders>
                  <w:noWrap w:val="0"/>
                  <w:vAlign w:val="center"/>
                </w:tcPr>
                <w:p w14:paraId="13EB3CC1">
                  <w:pPr>
                    <w:keepNext w:val="0"/>
                    <w:keepLines w:val="0"/>
                    <w:pageBreakBefore w:val="0"/>
                    <w:kinsoku/>
                    <w:wordWrap/>
                    <w:overflowPunct/>
                    <w:topLinePunct w:val="0"/>
                    <w:bidi w:val="0"/>
                    <w:spacing w:line="240" w:lineRule="auto"/>
                    <w:jc w:val="center"/>
                    <w:rPr>
                      <w:rFonts w:hint="eastAsia" w:eastAsia="宋体"/>
                      <w:bCs/>
                      <w:color w:val="auto"/>
                      <w:kern w:val="0"/>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bidi="ar-SA"/>
                    </w:rPr>
                    <w:t>+</w:t>
                  </w:r>
                  <w:r>
                    <w:rPr>
                      <w:rFonts w:hint="eastAsia" w:cs="Times New Roman"/>
                      <w:snapToGrid w:val="0"/>
                      <w:color w:val="auto"/>
                      <w:spacing w:val="0"/>
                      <w:kern w:val="21"/>
                      <w:position w:val="0"/>
                      <w:sz w:val="21"/>
                      <w:szCs w:val="21"/>
                      <w:highlight w:val="none"/>
                      <w:lang w:val="en-US" w:eastAsia="zh-CN" w:bidi="ar-SA"/>
                    </w:rPr>
                    <w:t>0</w:t>
                  </w:r>
                </w:p>
              </w:tc>
            </w:tr>
          </w:tbl>
          <w:p w14:paraId="3034B56A">
            <w:pPr>
              <w:pStyle w:val="63"/>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bCs/>
                <w:color w:val="auto"/>
                <w:kern w:val="0"/>
                <w:sz w:val="24"/>
                <w:lang w:eastAsia="zh-CN"/>
              </w:rPr>
            </w:pPr>
          </w:p>
        </w:tc>
      </w:tr>
    </w:tbl>
    <w:p w14:paraId="24AC9258">
      <w:pPr>
        <w:pStyle w:val="37"/>
        <w:rPr>
          <w:color w:val="auto"/>
          <w:highlight w:val="none"/>
        </w:rPr>
        <w:sectPr>
          <w:pgSz w:w="11905" w:h="16838"/>
          <w:pgMar w:top="1134" w:right="1134" w:bottom="1134" w:left="1134"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56873DD6">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cs="Times New Roman"/>
          <w:snapToGrid w:val="0"/>
          <w:color w:val="auto"/>
          <w:spacing w:val="0"/>
          <w:position w:val="0"/>
          <w:sz w:val="30"/>
          <w:szCs w:val="30"/>
          <w:highlight w:val="none"/>
        </w:rPr>
      </w:pPr>
      <w:bookmarkStart w:id="57" w:name="_Toc8326"/>
      <w:bookmarkStart w:id="58" w:name="_Toc23572"/>
      <w:r>
        <w:rPr>
          <w:rFonts w:hint="eastAsia" w:ascii="Times New Roman" w:hAnsi="Times New Roman" w:eastAsia="宋体" w:cs="Times New Roman"/>
          <w:b/>
          <w:bCs/>
          <w:snapToGrid w:val="0"/>
          <w:color w:val="auto"/>
          <w:spacing w:val="0"/>
          <w:position w:val="0"/>
          <w:sz w:val="32"/>
          <w:szCs w:val="32"/>
          <w:highlight w:val="none"/>
        </w:rPr>
        <w:t>五、</w:t>
      </w:r>
      <w:bookmarkStart w:id="59" w:name="_Hlk54167917"/>
      <w:r>
        <w:rPr>
          <w:rFonts w:hint="eastAsia" w:ascii="Times New Roman" w:hAnsi="Times New Roman" w:eastAsia="宋体" w:cs="Times New Roman"/>
          <w:b/>
          <w:bCs/>
          <w:snapToGrid w:val="0"/>
          <w:color w:val="auto"/>
          <w:spacing w:val="0"/>
          <w:position w:val="0"/>
          <w:sz w:val="32"/>
          <w:szCs w:val="32"/>
          <w:highlight w:val="none"/>
        </w:rPr>
        <w:t>环境保护措施监督检查清单</w:t>
      </w:r>
      <w:bookmarkEnd w:id="57"/>
      <w:bookmarkEnd w:id="58"/>
      <w:bookmarkEnd w:id="59"/>
    </w:p>
    <w:tbl>
      <w:tblPr>
        <w:tblStyle w:val="29"/>
        <w:tblW w:w="91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408"/>
        <w:gridCol w:w="486"/>
        <w:gridCol w:w="129"/>
        <w:gridCol w:w="1228"/>
        <w:gridCol w:w="1344"/>
        <w:gridCol w:w="907"/>
        <w:gridCol w:w="908"/>
        <w:gridCol w:w="2709"/>
      </w:tblGrid>
      <w:tr w14:paraId="72E0D5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tcBorders>
              <w:tl2br w:val="single" w:color="auto" w:sz="4" w:space="0"/>
            </w:tcBorders>
          </w:tcPr>
          <w:p w14:paraId="578D6D00">
            <w:pPr>
              <w:adjustRightInd w:val="0"/>
              <w:snapToGrid w:val="0"/>
              <w:jc w:val="right"/>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内容</w:t>
            </w:r>
          </w:p>
          <w:p w14:paraId="16FA9F6D">
            <w:pPr>
              <w:adjustRightInd w:val="0"/>
              <w:snapToGrid w:val="0"/>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要素</w:t>
            </w:r>
          </w:p>
        </w:tc>
        <w:tc>
          <w:tcPr>
            <w:tcW w:w="1843" w:type="dxa"/>
            <w:gridSpan w:val="3"/>
            <w:vAlign w:val="center"/>
          </w:tcPr>
          <w:p w14:paraId="286801D9">
            <w:pPr>
              <w:adjustRightInd w:val="0"/>
              <w:snapToGrid w:val="0"/>
              <w:jc w:val="center"/>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排放口</w:t>
            </w:r>
            <w:r>
              <w:rPr>
                <w:rFonts w:hint="eastAsia" w:cs="Times New Roman"/>
                <w:b/>
                <w:bCs/>
                <w:color w:val="auto"/>
                <w:spacing w:val="0"/>
                <w:position w:val="0"/>
                <w:sz w:val="21"/>
                <w:szCs w:val="21"/>
                <w:highlight w:val="none"/>
                <w:lang w:eastAsia="zh-CN"/>
              </w:rPr>
              <w:t>（</w:t>
            </w:r>
            <w:r>
              <w:rPr>
                <w:rFonts w:hint="eastAsia" w:ascii="Times New Roman" w:hAnsi="Times New Roman" w:eastAsia="宋体" w:cs="Times New Roman"/>
                <w:b/>
                <w:bCs/>
                <w:color w:val="auto"/>
                <w:spacing w:val="0"/>
                <w:position w:val="0"/>
                <w:sz w:val="21"/>
                <w:szCs w:val="21"/>
                <w:highlight w:val="none"/>
              </w:rPr>
              <w:t>编号、</w:t>
            </w:r>
          </w:p>
          <w:p w14:paraId="7A2E3F89">
            <w:pPr>
              <w:adjustRightInd w:val="0"/>
              <w:snapToGrid w:val="0"/>
              <w:jc w:val="center"/>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名称</w:t>
            </w:r>
            <w:r>
              <w:rPr>
                <w:rFonts w:hint="eastAsia" w:cs="Times New Roman"/>
                <w:b/>
                <w:bCs/>
                <w:color w:val="auto"/>
                <w:spacing w:val="0"/>
                <w:position w:val="0"/>
                <w:sz w:val="21"/>
                <w:szCs w:val="21"/>
                <w:highlight w:val="none"/>
                <w:lang w:eastAsia="zh-CN"/>
              </w:rPr>
              <w:t>）</w:t>
            </w:r>
            <w:r>
              <w:rPr>
                <w:rFonts w:hint="eastAsia" w:ascii="Times New Roman" w:hAnsi="Times New Roman" w:eastAsia="宋体" w:cs="Times New Roman"/>
                <w:b/>
                <w:bCs/>
                <w:color w:val="auto"/>
                <w:spacing w:val="0"/>
                <w:position w:val="0"/>
                <w:sz w:val="21"/>
                <w:szCs w:val="21"/>
                <w:highlight w:val="none"/>
              </w:rPr>
              <w:t>/污染源</w:t>
            </w:r>
          </w:p>
        </w:tc>
        <w:tc>
          <w:tcPr>
            <w:tcW w:w="1344" w:type="dxa"/>
            <w:vAlign w:val="center"/>
          </w:tcPr>
          <w:p w14:paraId="3EC58FC5">
            <w:pPr>
              <w:adjustRightInd w:val="0"/>
              <w:snapToGrid w:val="0"/>
              <w:jc w:val="center"/>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污染物项目</w:t>
            </w:r>
          </w:p>
        </w:tc>
        <w:tc>
          <w:tcPr>
            <w:tcW w:w="1815" w:type="dxa"/>
            <w:gridSpan w:val="2"/>
            <w:vAlign w:val="center"/>
          </w:tcPr>
          <w:p w14:paraId="138C5598">
            <w:pPr>
              <w:adjustRightInd w:val="0"/>
              <w:snapToGrid w:val="0"/>
              <w:jc w:val="center"/>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环境保护措施</w:t>
            </w:r>
          </w:p>
        </w:tc>
        <w:tc>
          <w:tcPr>
            <w:tcW w:w="2709" w:type="dxa"/>
            <w:vAlign w:val="center"/>
          </w:tcPr>
          <w:p w14:paraId="77F457E8">
            <w:pPr>
              <w:adjustRightInd w:val="0"/>
              <w:snapToGrid w:val="0"/>
              <w:jc w:val="center"/>
              <w:rPr>
                <w:rFonts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b/>
                <w:bCs/>
                <w:color w:val="auto"/>
                <w:spacing w:val="0"/>
                <w:position w:val="0"/>
                <w:sz w:val="21"/>
                <w:szCs w:val="21"/>
                <w:highlight w:val="none"/>
              </w:rPr>
              <w:t>执行标准</w:t>
            </w:r>
          </w:p>
        </w:tc>
      </w:tr>
      <w:tr w14:paraId="48D75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restart"/>
            <w:vAlign w:val="center"/>
          </w:tcPr>
          <w:p w14:paraId="05EF2B04">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大气环境</w:t>
            </w:r>
          </w:p>
        </w:tc>
        <w:tc>
          <w:tcPr>
            <w:tcW w:w="1843" w:type="dxa"/>
            <w:gridSpan w:val="3"/>
            <w:vMerge w:val="restart"/>
            <w:vAlign w:val="center"/>
          </w:tcPr>
          <w:p w14:paraId="119A58A6">
            <w:pPr>
              <w:adjustRightInd w:val="0"/>
              <w:snapToGrid w:val="0"/>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eastAsia="zh-CN"/>
              </w:rPr>
              <w:t>综合废气排放口</w:t>
            </w:r>
            <w:r>
              <w:rPr>
                <w:rFonts w:hint="eastAsia" w:ascii="Times New Roman" w:hAnsi="Times New Roman" w:eastAsia="宋体" w:cs="Times New Roman"/>
                <w:color w:val="auto"/>
                <w:spacing w:val="0"/>
                <w:position w:val="0"/>
                <w:sz w:val="21"/>
                <w:szCs w:val="21"/>
                <w:highlight w:val="none"/>
              </w:rPr>
              <w:t>DA00</w:t>
            </w:r>
            <w:r>
              <w:rPr>
                <w:rFonts w:hint="eastAsia" w:cs="Times New Roman"/>
                <w:color w:val="auto"/>
                <w:spacing w:val="0"/>
                <w:position w:val="0"/>
                <w:sz w:val="21"/>
                <w:szCs w:val="21"/>
                <w:highlight w:val="none"/>
                <w:lang w:val="en-US" w:eastAsia="zh-CN"/>
              </w:rPr>
              <w:t>1</w:t>
            </w:r>
            <w:r>
              <w:rPr>
                <w:rFonts w:hint="eastAsia" w:ascii="Times New Roman" w:hAnsi="Times New Roman" w:eastAsia="宋体" w:cs="Times New Roman"/>
                <w:color w:val="auto"/>
                <w:spacing w:val="0"/>
                <w:position w:val="0"/>
                <w:sz w:val="21"/>
                <w:szCs w:val="21"/>
                <w:highlight w:val="none"/>
                <w:lang w:val="en-US" w:eastAsia="zh-CN"/>
              </w:rPr>
              <w:t>/调漆、喷漆、晾干废气</w:t>
            </w:r>
          </w:p>
        </w:tc>
        <w:tc>
          <w:tcPr>
            <w:tcW w:w="1344" w:type="dxa"/>
            <w:vAlign w:val="center"/>
          </w:tcPr>
          <w:p w14:paraId="3BD03CE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pacing w:val="0"/>
                <w:position w:val="0"/>
                <w:sz w:val="21"/>
                <w:szCs w:val="21"/>
                <w:highlight w:val="none"/>
                <w:lang w:val="en-US"/>
              </w:rPr>
            </w:pPr>
            <w:r>
              <w:rPr>
                <w:rFonts w:hint="default" w:ascii="Times New Roman" w:hAnsi="Times New Roman" w:eastAsia="宋体" w:cs="Times New Roman"/>
                <w:color w:val="auto"/>
                <w:spacing w:val="0"/>
                <w:position w:val="0"/>
                <w:sz w:val="21"/>
                <w:szCs w:val="21"/>
                <w:highlight w:val="none"/>
              </w:rPr>
              <w:t>二甲苯</w:t>
            </w:r>
          </w:p>
        </w:tc>
        <w:tc>
          <w:tcPr>
            <w:tcW w:w="1815" w:type="dxa"/>
            <w:gridSpan w:val="2"/>
            <w:vMerge w:val="restart"/>
            <w:vAlign w:val="center"/>
          </w:tcPr>
          <w:p w14:paraId="110970BE">
            <w:pPr>
              <w:adjustRightInd w:val="0"/>
              <w:snapToGrid w:val="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z w:val="21"/>
                <w:szCs w:val="21"/>
                <w:highlight w:val="none"/>
                <w:lang w:val="en-US" w:eastAsia="zh-CN"/>
              </w:rPr>
              <w:t>项目</w:t>
            </w:r>
            <w:r>
              <w:rPr>
                <w:rFonts w:hint="eastAsia" w:cs="Times New Roman"/>
                <w:color w:val="auto"/>
                <w:sz w:val="21"/>
                <w:szCs w:val="21"/>
                <w:highlight w:val="none"/>
                <w:lang w:eastAsia="zh-CN"/>
              </w:rPr>
              <w:t>喷漆晾干房</w:t>
            </w:r>
            <w:r>
              <w:rPr>
                <w:rFonts w:hint="eastAsia" w:cs="Times New Roman"/>
                <w:color w:val="auto"/>
                <w:sz w:val="21"/>
                <w:szCs w:val="21"/>
                <w:highlight w:val="none"/>
                <w:lang w:val="en-US" w:eastAsia="zh-CN"/>
              </w:rPr>
              <w:t>负压</w:t>
            </w:r>
            <w:r>
              <w:rPr>
                <w:rFonts w:hint="eastAsia" w:ascii="Times New Roman" w:hAnsi="Times New Roman" w:eastAsia="宋体" w:cs="Times New Roman"/>
                <w:color w:val="auto"/>
                <w:sz w:val="21"/>
                <w:szCs w:val="21"/>
                <w:highlight w:val="none"/>
              </w:rPr>
              <w:t>密闭</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在运营期间，</w:t>
            </w:r>
            <w:r>
              <w:rPr>
                <w:rFonts w:hint="eastAsia" w:cs="Times New Roman"/>
                <w:color w:val="auto"/>
                <w:sz w:val="21"/>
                <w:szCs w:val="21"/>
                <w:highlight w:val="none"/>
                <w:lang w:eastAsia="zh-CN"/>
              </w:rPr>
              <w:t>喷漆晾干房</w:t>
            </w:r>
            <w:r>
              <w:rPr>
                <w:rFonts w:hint="eastAsia" w:ascii="Times New Roman" w:hAnsi="Times New Roman" w:eastAsia="宋体" w:cs="Times New Roman"/>
                <w:color w:val="auto"/>
                <w:sz w:val="21"/>
                <w:szCs w:val="21"/>
                <w:highlight w:val="none"/>
              </w:rPr>
              <w:t>门窗紧闭</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且</w:t>
            </w:r>
            <w:r>
              <w:rPr>
                <w:rFonts w:hint="eastAsia" w:cs="Times New Roman"/>
                <w:color w:val="auto"/>
                <w:spacing w:val="0"/>
                <w:position w:val="0"/>
                <w:sz w:val="21"/>
                <w:szCs w:val="21"/>
                <w:highlight w:val="none"/>
                <w:lang w:eastAsia="zh-CN"/>
              </w:rPr>
              <w:t>调漆、喷漆废气经水帘柜处理后，与晾干废气一同经集气装置负压收集后，使用1台</w:t>
            </w:r>
            <w:r>
              <w:rPr>
                <w:rFonts w:hint="eastAsia" w:cs="Times New Roman"/>
                <w:color w:val="auto"/>
                <w:spacing w:val="0"/>
                <w:position w:val="0"/>
                <w:sz w:val="21"/>
                <w:szCs w:val="21"/>
                <w:highlight w:val="none"/>
                <w:lang w:val="en-US" w:eastAsia="zh-CN"/>
              </w:rPr>
              <w:t>300</w:t>
            </w:r>
            <w:r>
              <w:rPr>
                <w:rFonts w:hint="eastAsia" w:cs="Times New Roman"/>
                <w:color w:val="auto"/>
                <w:spacing w:val="0"/>
                <w:position w:val="0"/>
                <w:sz w:val="21"/>
                <w:szCs w:val="21"/>
                <w:highlight w:val="none"/>
                <w:lang w:eastAsia="zh-CN"/>
              </w:rPr>
              <w:t>00m</w:t>
            </w:r>
            <w:r>
              <w:rPr>
                <w:rFonts w:hint="eastAsia" w:cs="Times New Roman"/>
                <w:color w:val="auto"/>
                <w:spacing w:val="0"/>
                <w:position w:val="0"/>
                <w:sz w:val="21"/>
                <w:szCs w:val="21"/>
                <w:highlight w:val="none"/>
                <w:vertAlign w:val="superscript"/>
                <w:lang w:eastAsia="zh-CN"/>
              </w:rPr>
              <w:t>2</w:t>
            </w:r>
            <w:r>
              <w:rPr>
                <w:rFonts w:hint="eastAsia" w:cs="Times New Roman"/>
                <w:color w:val="auto"/>
                <w:spacing w:val="0"/>
                <w:position w:val="0"/>
                <w:sz w:val="21"/>
                <w:szCs w:val="21"/>
                <w:highlight w:val="none"/>
                <w:lang w:eastAsia="zh-CN"/>
              </w:rPr>
              <w:t>/</w:t>
            </w:r>
            <w:r>
              <w:rPr>
                <w:rFonts w:hint="eastAsia" w:cs="Times New Roman"/>
                <w:color w:val="auto"/>
                <w:spacing w:val="0"/>
                <w:position w:val="0"/>
                <w:sz w:val="21"/>
                <w:szCs w:val="21"/>
                <w:highlight w:val="none"/>
                <w:lang w:val="en-US" w:eastAsia="zh-CN"/>
              </w:rPr>
              <w:t>h</w:t>
            </w:r>
            <w:r>
              <w:rPr>
                <w:rFonts w:hint="eastAsia" w:cs="Times New Roman"/>
                <w:color w:val="auto"/>
                <w:spacing w:val="0"/>
                <w:position w:val="0"/>
                <w:sz w:val="21"/>
                <w:szCs w:val="21"/>
                <w:highlight w:val="none"/>
                <w:lang w:eastAsia="zh-CN"/>
              </w:rPr>
              <w:t>引风机引入</w:t>
            </w:r>
            <w:r>
              <w:rPr>
                <w:rFonts w:hint="eastAsia" w:cs="Times New Roman"/>
                <w:color w:val="auto"/>
                <w:spacing w:val="0"/>
                <w:position w:val="0"/>
                <w:sz w:val="21"/>
                <w:szCs w:val="21"/>
                <w:highlight w:val="none"/>
                <w:lang w:val="en-US" w:eastAsia="zh-CN"/>
              </w:rPr>
              <w:t>1套</w:t>
            </w:r>
            <w:r>
              <w:rPr>
                <w:rFonts w:hint="eastAsia" w:cs="Times New Roman"/>
                <w:color w:val="auto"/>
                <w:spacing w:val="0"/>
                <w:position w:val="0"/>
                <w:sz w:val="21"/>
                <w:szCs w:val="21"/>
                <w:highlight w:val="none"/>
                <w:lang w:eastAsia="zh-CN"/>
              </w:rPr>
              <w:t>“气旋塔+过滤棉+二级活性炭吸附装置”</w:t>
            </w:r>
            <w:r>
              <w:rPr>
                <w:rFonts w:hint="eastAsia" w:ascii="Times New Roman" w:hAnsi="Times New Roman" w:eastAsia="宋体" w:cs="Times New Roman"/>
                <w:color w:val="auto"/>
                <w:spacing w:val="0"/>
                <w:position w:val="0"/>
                <w:sz w:val="21"/>
                <w:szCs w:val="21"/>
                <w:highlight w:val="none"/>
                <w:lang w:eastAsia="zh-CN"/>
              </w:rPr>
              <w:t>处理</w:t>
            </w:r>
            <w:r>
              <w:rPr>
                <w:rFonts w:hint="eastAsia" w:cs="Times New Roman"/>
                <w:color w:val="auto"/>
                <w:spacing w:val="0"/>
                <w:position w:val="0"/>
                <w:sz w:val="21"/>
                <w:szCs w:val="21"/>
                <w:highlight w:val="none"/>
                <w:lang w:eastAsia="zh-CN"/>
              </w:rPr>
              <w:t>，</w:t>
            </w:r>
            <w:r>
              <w:rPr>
                <w:rFonts w:hint="eastAsia" w:cs="Times New Roman"/>
                <w:color w:val="auto"/>
                <w:spacing w:val="0"/>
                <w:position w:val="0"/>
                <w:sz w:val="21"/>
                <w:szCs w:val="21"/>
                <w:highlight w:val="none"/>
                <w:lang w:val="en-US" w:eastAsia="zh-CN"/>
              </w:rPr>
              <w:t>再</w:t>
            </w:r>
            <w:r>
              <w:rPr>
                <w:rFonts w:hint="eastAsia" w:ascii="Times New Roman" w:hAnsi="Times New Roman" w:eastAsia="宋体" w:cs="Times New Roman"/>
                <w:color w:val="auto"/>
                <w:spacing w:val="0"/>
                <w:kern w:val="0"/>
                <w:position w:val="0"/>
                <w:sz w:val="21"/>
                <w:szCs w:val="21"/>
                <w:highlight w:val="none"/>
                <w:lang w:val="en-US" w:eastAsia="zh-CN"/>
              </w:rPr>
              <w:t>通过1根</w:t>
            </w:r>
            <w:r>
              <w:rPr>
                <w:rFonts w:hint="eastAsia" w:cs="Times New Roman"/>
                <w:color w:val="auto"/>
                <w:spacing w:val="0"/>
                <w:kern w:val="0"/>
                <w:position w:val="0"/>
                <w:sz w:val="21"/>
                <w:szCs w:val="21"/>
                <w:highlight w:val="none"/>
                <w:lang w:val="en-US" w:eastAsia="zh-CN"/>
              </w:rPr>
              <w:t>25m</w:t>
            </w:r>
            <w:r>
              <w:rPr>
                <w:rFonts w:hint="eastAsia" w:ascii="Times New Roman" w:hAnsi="Times New Roman" w:eastAsia="宋体" w:cs="Times New Roman"/>
                <w:color w:val="auto"/>
                <w:spacing w:val="0"/>
                <w:kern w:val="0"/>
                <w:position w:val="0"/>
                <w:sz w:val="21"/>
                <w:szCs w:val="21"/>
                <w:highlight w:val="none"/>
                <w:lang w:val="en-US" w:eastAsia="zh-CN"/>
              </w:rPr>
              <w:t>排气筒</w:t>
            </w:r>
            <w:r>
              <w:rPr>
                <w:rFonts w:hint="eastAsia" w:ascii="Times New Roman" w:hAnsi="Times New Roman" w:eastAsia="宋体" w:cs="Times New Roman"/>
                <w:color w:val="auto"/>
                <w:spacing w:val="0"/>
                <w:position w:val="0"/>
                <w:sz w:val="21"/>
                <w:szCs w:val="21"/>
                <w:highlight w:val="none"/>
              </w:rPr>
              <w:t>（DA00</w:t>
            </w:r>
            <w:r>
              <w:rPr>
                <w:rFonts w:hint="eastAsia" w:cs="Times New Roman"/>
                <w:color w:val="auto"/>
                <w:spacing w:val="0"/>
                <w:position w:val="0"/>
                <w:sz w:val="21"/>
                <w:szCs w:val="21"/>
                <w:highlight w:val="none"/>
                <w:lang w:val="en-US" w:eastAsia="zh-CN"/>
              </w:rPr>
              <w:t>1</w:t>
            </w:r>
            <w:r>
              <w:rPr>
                <w:rFonts w:hint="eastAsia" w:ascii="Times New Roman" w:hAnsi="Times New Roman" w:eastAsia="宋体" w:cs="Times New Roman"/>
                <w:color w:val="auto"/>
                <w:spacing w:val="0"/>
                <w:position w:val="0"/>
                <w:sz w:val="21"/>
                <w:szCs w:val="21"/>
                <w:highlight w:val="none"/>
              </w:rPr>
              <w:t>）排放</w:t>
            </w:r>
            <w:r>
              <w:rPr>
                <w:rFonts w:hint="eastAsia" w:cs="Times New Roman"/>
                <w:color w:val="auto"/>
                <w:spacing w:val="0"/>
                <w:position w:val="0"/>
                <w:sz w:val="21"/>
                <w:szCs w:val="21"/>
                <w:highlight w:val="none"/>
                <w:lang w:eastAsia="zh-CN"/>
              </w:rPr>
              <w:t>；</w:t>
            </w:r>
            <w:r>
              <w:rPr>
                <w:rFonts w:hint="eastAsia" w:cs="Times New Roman"/>
                <w:color w:val="auto"/>
                <w:spacing w:val="0"/>
                <w:position w:val="0"/>
                <w:sz w:val="21"/>
                <w:szCs w:val="21"/>
                <w:highlight w:val="none"/>
                <w:lang w:val="en-US" w:eastAsia="zh-CN"/>
              </w:rPr>
              <w:t>项目产生的废活性炭一个季度更换一次，一次填充量为2.81t</w:t>
            </w:r>
          </w:p>
        </w:tc>
        <w:tc>
          <w:tcPr>
            <w:tcW w:w="2709" w:type="dxa"/>
            <w:vMerge w:val="restart"/>
            <w:vAlign w:val="center"/>
          </w:tcPr>
          <w:p w14:paraId="4464CE41">
            <w:pPr>
              <w:keepNext w:val="0"/>
              <w:keepLines w:val="0"/>
              <w:pageBreakBefore w:val="0"/>
              <w:widowControl w:val="0"/>
              <w:kinsoku/>
              <w:wordWrap/>
              <w:overflowPunct w:val="0"/>
              <w:topLinePunct/>
              <w:autoSpaceDE/>
              <w:autoSpaceDN/>
              <w:bidi w:val="0"/>
              <w:adjustRightInd w:val="0"/>
              <w:snapToGrid w:val="0"/>
              <w:jc w:val="both"/>
              <w:textAlignment w:val="auto"/>
              <w:rPr>
                <w:rFonts w:hint="default" w:ascii="Times New Roman" w:hAnsi="Times New Roman" w:eastAsia="宋体" w:cs="Times New Roman"/>
                <w:b/>
                <w:bCs/>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rPr>
              <w:t>《工业涂装工序挥发性有机物排放标准》（DB35/1783-2018）</w:t>
            </w:r>
            <w:r>
              <w:rPr>
                <w:rFonts w:hint="eastAsia" w:ascii="Times New Roman" w:hAnsi="Times New Roman" w:eastAsia="宋体" w:cs="Times New Roman"/>
                <w:b w:val="0"/>
                <w:bCs w:val="0"/>
                <w:color w:val="auto"/>
                <w:spacing w:val="0"/>
                <w:position w:val="0"/>
                <w:sz w:val="21"/>
                <w:szCs w:val="21"/>
                <w:highlight w:val="none"/>
                <w:lang w:val="en-US" w:eastAsia="zh-CN"/>
              </w:rPr>
              <w:t>中涉涂装工序的其他行业标准</w:t>
            </w:r>
            <w:r>
              <w:rPr>
                <w:rFonts w:hint="eastAsia" w:ascii="Times New Roman" w:hAnsi="Times New Roman" w:eastAsia="宋体" w:cs="Times New Roman"/>
                <w:color w:val="auto"/>
                <w:spacing w:val="0"/>
                <w:position w:val="0"/>
                <w:sz w:val="21"/>
                <w:szCs w:val="21"/>
                <w:highlight w:val="none"/>
                <w:lang w:val="en-US" w:eastAsia="zh-CN"/>
              </w:rPr>
              <w:t>，即：</w:t>
            </w:r>
            <w:r>
              <w:rPr>
                <w:rFonts w:hint="eastAsia" w:ascii="Times New Roman" w:hAnsi="Times New Roman" w:eastAsia="宋体" w:cs="Times New Roman"/>
                <w:b w:val="0"/>
                <w:bCs w:val="0"/>
                <w:color w:val="auto"/>
                <w:spacing w:val="0"/>
                <w:position w:val="0"/>
                <w:sz w:val="21"/>
                <w:szCs w:val="21"/>
                <w:highlight w:val="none"/>
                <w:lang w:eastAsia="zh-CN"/>
              </w:rPr>
              <w:t>二甲苯</w:t>
            </w:r>
            <w:r>
              <w:rPr>
                <w:rFonts w:hint="eastAsia" w:cs="Times New Roman"/>
                <w:b w:val="0"/>
                <w:bCs w:val="0"/>
                <w:color w:val="auto"/>
                <w:spacing w:val="0"/>
                <w:position w:val="0"/>
                <w:sz w:val="21"/>
                <w:szCs w:val="21"/>
                <w:highlight w:val="none"/>
                <w:lang w:val="en-US" w:eastAsia="zh-CN"/>
              </w:rPr>
              <w:t>排放浓度</w:t>
            </w:r>
            <w:r>
              <w:rPr>
                <w:rFonts w:hint="eastAsia" w:ascii="Times New Roman" w:hAnsi="Times New Roman" w:eastAsia="宋体" w:cs="Times New Roman"/>
                <w:color w:val="auto"/>
                <w:spacing w:val="0"/>
                <w:position w:val="0"/>
                <w:sz w:val="21"/>
                <w:szCs w:val="21"/>
                <w:highlight w:val="none"/>
                <w:lang w:val="en-US" w:eastAsia="zh-CN"/>
              </w:rPr>
              <w:t>≤</w:t>
            </w:r>
            <w:r>
              <w:rPr>
                <w:rFonts w:hint="eastAsia" w:ascii="Times New Roman" w:hAnsi="Times New Roman" w:eastAsia="宋体" w:cs="Times New Roman"/>
                <w:b w:val="0"/>
                <w:bCs/>
                <w:color w:val="auto"/>
                <w:spacing w:val="0"/>
                <w:position w:val="0"/>
                <w:sz w:val="21"/>
                <w:szCs w:val="21"/>
                <w:highlight w:val="none"/>
                <w:lang w:val="en-US" w:eastAsia="zh-CN"/>
              </w:rPr>
              <w:t>15</w:t>
            </w:r>
            <w:r>
              <w:rPr>
                <w:rFonts w:ascii="Times New Roman" w:hAnsi="Times New Roman" w:eastAsia="宋体" w:cs="Times New Roman"/>
                <w:b w:val="0"/>
                <w:bCs w:val="0"/>
                <w:color w:val="auto"/>
                <w:spacing w:val="0"/>
                <w:position w:val="0"/>
                <w:sz w:val="21"/>
                <w:szCs w:val="21"/>
                <w:highlight w:val="none"/>
              </w:rPr>
              <w:t>mg/m</w:t>
            </w:r>
            <w:r>
              <w:rPr>
                <w:rFonts w:ascii="Times New Roman" w:hAnsi="Times New Roman" w:eastAsia="宋体" w:cs="Times New Roman"/>
                <w:b w:val="0"/>
                <w:bCs w:val="0"/>
                <w:color w:val="auto"/>
                <w:spacing w:val="0"/>
                <w:position w:val="0"/>
                <w:sz w:val="21"/>
                <w:szCs w:val="21"/>
                <w:highlight w:val="none"/>
                <w:vertAlign w:val="superscript"/>
              </w:rPr>
              <w:t>3</w:t>
            </w:r>
            <w:r>
              <w:rPr>
                <w:rFonts w:hint="eastAsia" w:ascii="Times New Roman" w:hAnsi="Times New Roman" w:eastAsia="宋体" w:cs="Times New Roman"/>
                <w:b w:val="0"/>
                <w:bCs/>
                <w:color w:val="auto"/>
                <w:spacing w:val="0"/>
                <w:position w:val="0"/>
                <w:sz w:val="21"/>
                <w:szCs w:val="21"/>
                <w:highlight w:val="none"/>
                <w:vertAlign w:val="baseline"/>
                <w:lang w:eastAsia="zh-CN"/>
              </w:rPr>
              <w:t>、</w:t>
            </w:r>
            <w:r>
              <w:rPr>
                <w:rFonts w:hint="eastAsia" w:ascii="Times New Roman" w:hAnsi="Times New Roman" w:eastAsia="宋体" w:cs="Times New Roman"/>
                <w:b w:val="0"/>
                <w:bCs/>
                <w:color w:val="auto"/>
                <w:spacing w:val="0"/>
                <w:position w:val="0"/>
                <w:sz w:val="21"/>
                <w:szCs w:val="21"/>
                <w:highlight w:val="none"/>
                <w:vertAlign w:val="baseline"/>
                <w:lang w:val="en-US" w:eastAsia="zh-CN"/>
              </w:rPr>
              <w:t>排放速率</w:t>
            </w:r>
            <w:r>
              <w:rPr>
                <w:rFonts w:hint="eastAsia" w:ascii="Times New Roman" w:hAnsi="Times New Roman" w:eastAsia="宋体" w:cs="Times New Roman"/>
                <w:b w:val="0"/>
                <w:bCs/>
                <w:color w:val="auto"/>
                <w:spacing w:val="0"/>
                <w:position w:val="0"/>
                <w:sz w:val="21"/>
                <w:szCs w:val="21"/>
                <w:highlight w:val="none"/>
                <w:lang w:val="en-US" w:eastAsia="zh-CN"/>
              </w:rPr>
              <w:t>≤2.2kg/h；</w:t>
            </w:r>
            <w:r>
              <w:rPr>
                <w:rFonts w:hint="eastAsia" w:cs="Times New Roman"/>
                <w:b w:val="0"/>
                <w:bCs/>
                <w:color w:val="auto"/>
                <w:spacing w:val="0"/>
                <w:position w:val="0"/>
                <w:sz w:val="21"/>
                <w:szCs w:val="21"/>
                <w:highlight w:val="none"/>
                <w:lang w:val="en-US" w:eastAsia="zh-CN"/>
              </w:rPr>
              <w:t>苯系物</w:t>
            </w:r>
            <w:r>
              <w:rPr>
                <w:rFonts w:hint="eastAsia" w:cs="Times New Roman"/>
                <w:b w:val="0"/>
                <w:bCs w:val="0"/>
                <w:color w:val="auto"/>
                <w:spacing w:val="0"/>
                <w:position w:val="0"/>
                <w:sz w:val="21"/>
                <w:szCs w:val="21"/>
                <w:highlight w:val="none"/>
                <w:lang w:val="en-US" w:eastAsia="zh-CN"/>
              </w:rPr>
              <w:t>排放浓度</w:t>
            </w:r>
            <w:r>
              <w:rPr>
                <w:rFonts w:hint="eastAsia" w:ascii="Times New Roman" w:hAnsi="Times New Roman" w:eastAsia="宋体" w:cs="Times New Roman"/>
                <w:color w:val="auto"/>
                <w:spacing w:val="0"/>
                <w:position w:val="0"/>
                <w:sz w:val="21"/>
                <w:szCs w:val="21"/>
                <w:highlight w:val="none"/>
                <w:lang w:val="en-US" w:eastAsia="zh-CN"/>
              </w:rPr>
              <w:t>≤</w:t>
            </w:r>
            <w:r>
              <w:rPr>
                <w:rFonts w:hint="eastAsia" w:ascii="Times New Roman" w:hAnsi="Times New Roman" w:eastAsia="宋体" w:cs="Times New Roman"/>
                <w:b w:val="0"/>
                <w:bCs/>
                <w:color w:val="auto"/>
                <w:spacing w:val="0"/>
                <w:position w:val="0"/>
                <w:sz w:val="21"/>
                <w:szCs w:val="21"/>
                <w:highlight w:val="none"/>
                <w:lang w:val="en-US" w:eastAsia="zh-CN"/>
              </w:rPr>
              <w:t>30</w:t>
            </w:r>
            <w:r>
              <w:rPr>
                <w:rFonts w:ascii="Times New Roman" w:hAnsi="Times New Roman" w:eastAsia="宋体" w:cs="Times New Roman"/>
                <w:b w:val="0"/>
                <w:bCs w:val="0"/>
                <w:color w:val="auto"/>
                <w:spacing w:val="0"/>
                <w:position w:val="0"/>
                <w:sz w:val="21"/>
                <w:szCs w:val="21"/>
                <w:highlight w:val="none"/>
              </w:rPr>
              <w:t>mg/m</w:t>
            </w:r>
            <w:r>
              <w:rPr>
                <w:rFonts w:ascii="Times New Roman" w:hAnsi="Times New Roman" w:eastAsia="宋体" w:cs="Times New Roman"/>
                <w:b w:val="0"/>
                <w:bCs w:val="0"/>
                <w:color w:val="auto"/>
                <w:spacing w:val="0"/>
                <w:position w:val="0"/>
                <w:sz w:val="21"/>
                <w:szCs w:val="21"/>
                <w:highlight w:val="none"/>
                <w:vertAlign w:val="superscript"/>
              </w:rPr>
              <w:t>3</w:t>
            </w:r>
            <w:r>
              <w:rPr>
                <w:rFonts w:hint="eastAsia" w:ascii="Times New Roman" w:hAnsi="Times New Roman" w:eastAsia="宋体" w:cs="Times New Roman"/>
                <w:b w:val="0"/>
                <w:bCs/>
                <w:color w:val="auto"/>
                <w:spacing w:val="0"/>
                <w:position w:val="0"/>
                <w:sz w:val="21"/>
                <w:szCs w:val="21"/>
                <w:highlight w:val="none"/>
                <w:vertAlign w:val="baseline"/>
                <w:lang w:eastAsia="zh-CN"/>
              </w:rPr>
              <w:t>、</w:t>
            </w:r>
            <w:r>
              <w:rPr>
                <w:rFonts w:hint="eastAsia" w:ascii="Times New Roman" w:hAnsi="Times New Roman" w:eastAsia="宋体" w:cs="Times New Roman"/>
                <w:b w:val="0"/>
                <w:bCs/>
                <w:color w:val="auto"/>
                <w:spacing w:val="0"/>
                <w:position w:val="0"/>
                <w:sz w:val="21"/>
                <w:szCs w:val="21"/>
                <w:highlight w:val="none"/>
                <w:vertAlign w:val="baseline"/>
                <w:lang w:val="en-US" w:eastAsia="zh-CN"/>
              </w:rPr>
              <w:t>排放速率</w:t>
            </w:r>
            <w:r>
              <w:rPr>
                <w:rFonts w:hint="eastAsia" w:ascii="Times New Roman" w:hAnsi="Times New Roman" w:eastAsia="宋体" w:cs="Times New Roman"/>
                <w:b w:val="0"/>
                <w:bCs/>
                <w:color w:val="auto"/>
                <w:spacing w:val="0"/>
                <w:position w:val="0"/>
                <w:sz w:val="21"/>
                <w:szCs w:val="21"/>
                <w:highlight w:val="none"/>
                <w:lang w:val="en-US" w:eastAsia="zh-CN"/>
              </w:rPr>
              <w:t>≤6.6kg/h；</w:t>
            </w:r>
            <w:r>
              <w:rPr>
                <w:rFonts w:hint="eastAsia" w:ascii="Times New Roman" w:hAnsi="Times New Roman" w:eastAsia="宋体" w:cs="Times New Roman"/>
                <w:b w:val="0"/>
                <w:bCs w:val="0"/>
                <w:color w:val="auto"/>
                <w:spacing w:val="0"/>
                <w:position w:val="0"/>
                <w:sz w:val="21"/>
                <w:szCs w:val="21"/>
                <w:highlight w:val="none"/>
                <w:lang w:eastAsia="zh-CN"/>
              </w:rPr>
              <w:t>乙酸</w:t>
            </w:r>
            <w:r>
              <w:rPr>
                <w:rFonts w:hint="eastAsia" w:ascii="Times New Roman" w:hAnsi="Times New Roman" w:eastAsia="宋体" w:cs="Times New Roman"/>
                <w:b w:val="0"/>
                <w:bCs w:val="0"/>
                <w:color w:val="auto"/>
                <w:spacing w:val="0"/>
                <w:position w:val="0"/>
                <w:sz w:val="21"/>
                <w:szCs w:val="21"/>
                <w:highlight w:val="none"/>
                <w:lang w:val="en-US" w:eastAsia="zh-CN"/>
              </w:rPr>
              <w:t>乙</w:t>
            </w:r>
            <w:r>
              <w:rPr>
                <w:rFonts w:hint="eastAsia" w:ascii="Times New Roman" w:hAnsi="Times New Roman" w:eastAsia="宋体" w:cs="Times New Roman"/>
                <w:b w:val="0"/>
                <w:bCs w:val="0"/>
                <w:color w:val="auto"/>
                <w:spacing w:val="0"/>
                <w:position w:val="0"/>
                <w:sz w:val="21"/>
                <w:szCs w:val="21"/>
                <w:highlight w:val="none"/>
                <w:lang w:eastAsia="zh-CN"/>
              </w:rPr>
              <w:t>酯</w:t>
            </w:r>
            <w:r>
              <w:rPr>
                <w:rFonts w:hint="eastAsia" w:ascii="Times New Roman" w:hAnsi="Times New Roman" w:eastAsia="宋体" w:cs="Times New Roman"/>
                <w:b w:val="0"/>
                <w:bCs/>
                <w:color w:val="auto"/>
                <w:spacing w:val="0"/>
                <w:position w:val="0"/>
                <w:sz w:val="21"/>
                <w:szCs w:val="21"/>
                <w:highlight w:val="none"/>
                <w:lang w:val="en-US" w:eastAsia="zh-CN"/>
              </w:rPr>
              <w:t>与</w:t>
            </w:r>
            <w:r>
              <w:rPr>
                <w:rFonts w:hint="eastAsia" w:ascii="Times New Roman" w:hAnsi="Times New Roman" w:eastAsia="宋体" w:cs="Times New Roman"/>
                <w:b w:val="0"/>
                <w:bCs w:val="0"/>
                <w:color w:val="auto"/>
                <w:spacing w:val="0"/>
                <w:position w:val="0"/>
                <w:sz w:val="21"/>
                <w:szCs w:val="21"/>
                <w:highlight w:val="none"/>
                <w:lang w:eastAsia="zh-CN"/>
              </w:rPr>
              <w:t>乙酸丁酯</w:t>
            </w:r>
            <w:r>
              <w:rPr>
                <w:rFonts w:hint="eastAsia" w:ascii="Times New Roman" w:hAnsi="Times New Roman" w:eastAsia="宋体" w:cs="Times New Roman"/>
                <w:b w:val="0"/>
                <w:bCs w:val="0"/>
                <w:color w:val="auto"/>
                <w:spacing w:val="0"/>
                <w:position w:val="0"/>
                <w:sz w:val="21"/>
                <w:szCs w:val="21"/>
                <w:highlight w:val="none"/>
                <w:lang w:val="en-US" w:eastAsia="zh-CN"/>
              </w:rPr>
              <w:t>合计</w:t>
            </w:r>
            <w:r>
              <w:rPr>
                <w:rFonts w:hint="eastAsia" w:cs="Times New Roman"/>
                <w:b w:val="0"/>
                <w:bCs w:val="0"/>
                <w:color w:val="auto"/>
                <w:spacing w:val="0"/>
                <w:position w:val="0"/>
                <w:sz w:val="21"/>
                <w:szCs w:val="21"/>
                <w:highlight w:val="none"/>
                <w:lang w:val="en-US" w:eastAsia="zh-CN"/>
              </w:rPr>
              <w:t>排放浓度</w:t>
            </w:r>
            <w:r>
              <w:rPr>
                <w:rFonts w:hint="eastAsia" w:ascii="Times New Roman" w:hAnsi="Times New Roman" w:eastAsia="宋体" w:cs="Times New Roman"/>
                <w:color w:val="auto"/>
                <w:spacing w:val="0"/>
                <w:position w:val="0"/>
                <w:sz w:val="21"/>
                <w:szCs w:val="21"/>
                <w:highlight w:val="none"/>
                <w:lang w:val="en-US" w:eastAsia="zh-CN"/>
              </w:rPr>
              <w:t>≤</w:t>
            </w:r>
            <w:r>
              <w:rPr>
                <w:rFonts w:hint="eastAsia" w:ascii="Times New Roman" w:hAnsi="Times New Roman" w:eastAsia="宋体" w:cs="Times New Roman"/>
                <w:b w:val="0"/>
                <w:bCs/>
                <w:color w:val="auto"/>
                <w:spacing w:val="0"/>
                <w:position w:val="0"/>
                <w:sz w:val="21"/>
                <w:szCs w:val="21"/>
                <w:highlight w:val="none"/>
                <w:lang w:val="en-US" w:eastAsia="zh-CN"/>
              </w:rPr>
              <w:t>50</w:t>
            </w:r>
            <w:r>
              <w:rPr>
                <w:rFonts w:ascii="Times New Roman" w:hAnsi="Times New Roman" w:eastAsia="宋体" w:cs="Times New Roman"/>
                <w:b w:val="0"/>
                <w:bCs w:val="0"/>
                <w:color w:val="auto"/>
                <w:spacing w:val="0"/>
                <w:position w:val="0"/>
                <w:sz w:val="21"/>
                <w:szCs w:val="21"/>
                <w:highlight w:val="none"/>
              </w:rPr>
              <w:t>mg/m</w:t>
            </w:r>
            <w:r>
              <w:rPr>
                <w:rFonts w:ascii="Times New Roman" w:hAnsi="Times New Roman" w:eastAsia="宋体" w:cs="Times New Roman"/>
                <w:b w:val="0"/>
                <w:bCs w:val="0"/>
                <w:color w:val="auto"/>
                <w:spacing w:val="0"/>
                <w:position w:val="0"/>
                <w:sz w:val="21"/>
                <w:szCs w:val="21"/>
                <w:highlight w:val="none"/>
                <w:vertAlign w:val="superscript"/>
              </w:rPr>
              <w:t>3</w:t>
            </w:r>
            <w:r>
              <w:rPr>
                <w:rFonts w:hint="eastAsia" w:ascii="Times New Roman" w:hAnsi="Times New Roman" w:eastAsia="宋体" w:cs="Times New Roman"/>
                <w:b w:val="0"/>
                <w:bCs/>
                <w:color w:val="auto"/>
                <w:spacing w:val="0"/>
                <w:position w:val="0"/>
                <w:sz w:val="21"/>
                <w:szCs w:val="21"/>
                <w:highlight w:val="none"/>
                <w:vertAlign w:val="baseline"/>
                <w:lang w:eastAsia="zh-CN"/>
              </w:rPr>
              <w:t>、</w:t>
            </w:r>
            <w:r>
              <w:rPr>
                <w:rFonts w:hint="eastAsia" w:ascii="Times New Roman" w:hAnsi="Times New Roman" w:eastAsia="宋体" w:cs="Times New Roman"/>
                <w:b w:val="0"/>
                <w:bCs/>
                <w:color w:val="auto"/>
                <w:spacing w:val="0"/>
                <w:position w:val="0"/>
                <w:sz w:val="21"/>
                <w:szCs w:val="21"/>
                <w:highlight w:val="none"/>
                <w:vertAlign w:val="baseline"/>
                <w:lang w:val="en-US" w:eastAsia="zh-CN"/>
              </w:rPr>
              <w:t>排放速率</w:t>
            </w:r>
            <w:r>
              <w:rPr>
                <w:rFonts w:hint="eastAsia" w:ascii="Times New Roman" w:hAnsi="Times New Roman" w:eastAsia="宋体" w:cs="Times New Roman"/>
                <w:b w:val="0"/>
                <w:bCs/>
                <w:color w:val="auto"/>
                <w:spacing w:val="0"/>
                <w:position w:val="0"/>
                <w:sz w:val="21"/>
                <w:szCs w:val="21"/>
                <w:highlight w:val="none"/>
                <w:lang w:val="en-US" w:eastAsia="zh-CN"/>
              </w:rPr>
              <w:t>≤3.65kg/h</w:t>
            </w:r>
            <w:r>
              <w:rPr>
                <w:rFonts w:hint="eastAsia" w:cs="Times New Roman"/>
                <w:b w:val="0"/>
                <w:bCs/>
                <w:color w:val="auto"/>
                <w:spacing w:val="0"/>
                <w:position w:val="0"/>
                <w:sz w:val="21"/>
                <w:szCs w:val="21"/>
                <w:highlight w:val="none"/>
                <w:lang w:val="en-US" w:eastAsia="zh-CN"/>
              </w:rPr>
              <w:t>；</w:t>
            </w:r>
            <w:r>
              <w:rPr>
                <w:rFonts w:hint="eastAsia" w:ascii="Times New Roman" w:hAnsi="Times New Roman" w:eastAsia="宋体" w:cs="Times New Roman"/>
                <w:b w:val="0"/>
                <w:bCs w:val="0"/>
                <w:color w:val="auto"/>
                <w:spacing w:val="0"/>
                <w:position w:val="0"/>
                <w:sz w:val="21"/>
                <w:szCs w:val="21"/>
                <w:highlight w:val="none"/>
              </w:rPr>
              <w:t>非甲烷总烃</w:t>
            </w:r>
            <w:r>
              <w:rPr>
                <w:rFonts w:hint="eastAsia" w:ascii="Times New Roman" w:hAnsi="Times New Roman" w:eastAsia="宋体" w:cs="Times New Roman"/>
                <w:color w:val="auto"/>
                <w:spacing w:val="0"/>
                <w:position w:val="0"/>
                <w:sz w:val="21"/>
                <w:szCs w:val="21"/>
                <w:highlight w:val="none"/>
                <w:lang w:val="en-US" w:eastAsia="zh-CN"/>
              </w:rPr>
              <w:t>≤60</w:t>
            </w:r>
            <w:r>
              <w:rPr>
                <w:rFonts w:ascii="Times New Roman" w:hAnsi="Times New Roman" w:eastAsia="宋体" w:cs="Times New Roman"/>
                <w:b w:val="0"/>
                <w:bCs w:val="0"/>
                <w:color w:val="auto"/>
                <w:spacing w:val="0"/>
                <w:position w:val="0"/>
                <w:sz w:val="21"/>
                <w:szCs w:val="21"/>
                <w:highlight w:val="none"/>
              </w:rPr>
              <w:t>mg/m</w:t>
            </w:r>
            <w:r>
              <w:rPr>
                <w:rFonts w:ascii="Times New Roman" w:hAnsi="Times New Roman" w:eastAsia="宋体" w:cs="Times New Roman"/>
                <w:b w:val="0"/>
                <w:bCs w:val="0"/>
                <w:color w:val="auto"/>
                <w:spacing w:val="0"/>
                <w:position w:val="0"/>
                <w:sz w:val="21"/>
                <w:szCs w:val="21"/>
                <w:highlight w:val="none"/>
                <w:vertAlign w:val="superscript"/>
              </w:rPr>
              <w:t>3</w:t>
            </w:r>
            <w:r>
              <w:rPr>
                <w:rFonts w:hint="eastAsia" w:ascii="Times New Roman" w:hAnsi="Times New Roman" w:eastAsia="宋体" w:cs="Times New Roman"/>
                <w:b w:val="0"/>
                <w:bCs w:val="0"/>
                <w:color w:val="auto"/>
                <w:spacing w:val="0"/>
                <w:position w:val="0"/>
                <w:sz w:val="21"/>
                <w:szCs w:val="21"/>
                <w:highlight w:val="none"/>
                <w:vertAlign w:val="baseline"/>
                <w:lang w:eastAsia="zh-CN"/>
              </w:rPr>
              <w:t>、</w:t>
            </w:r>
            <w:r>
              <w:rPr>
                <w:rFonts w:hint="eastAsia" w:ascii="Times New Roman" w:hAnsi="Times New Roman" w:eastAsia="宋体" w:cs="Times New Roman"/>
                <w:b w:val="0"/>
                <w:bCs/>
                <w:color w:val="auto"/>
                <w:spacing w:val="0"/>
                <w:position w:val="0"/>
                <w:sz w:val="21"/>
                <w:szCs w:val="21"/>
                <w:highlight w:val="none"/>
                <w:vertAlign w:val="baseline"/>
                <w:lang w:val="en-US" w:eastAsia="zh-CN"/>
              </w:rPr>
              <w:t>排放速率</w:t>
            </w:r>
            <w:r>
              <w:rPr>
                <w:rFonts w:hint="eastAsia" w:ascii="Times New Roman" w:hAnsi="Times New Roman" w:eastAsia="宋体" w:cs="Times New Roman"/>
                <w:b w:val="0"/>
                <w:bCs/>
                <w:color w:val="auto"/>
                <w:spacing w:val="0"/>
                <w:position w:val="0"/>
                <w:sz w:val="21"/>
                <w:szCs w:val="21"/>
                <w:highlight w:val="none"/>
                <w:lang w:val="en-US" w:eastAsia="zh-CN"/>
              </w:rPr>
              <w:t>≤10.3kg/h</w:t>
            </w:r>
          </w:p>
        </w:tc>
      </w:tr>
      <w:tr w14:paraId="1FB2DD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continue"/>
            <w:vAlign w:val="center"/>
          </w:tcPr>
          <w:p w14:paraId="3708CA86">
            <w:pPr>
              <w:adjustRightInd w:val="0"/>
              <w:snapToGrid w:val="0"/>
              <w:jc w:val="center"/>
              <w:rPr>
                <w:rFonts w:hint="eastAsia" w:ascii="Times New Roman" w:hAnsi="Times New Roman" w:eastAsia="宋体" w:cs="Times New Roman"/>
                <w:color w:val="auto"/>
                <w:spacing w:val="0"/>
                <w:position w:val="0"/>
                <w:sz w:val="21"/>
                <w:szCs w:val="21"/>
                <w:highlight w:val="none"/>
              </w:rPr>
            </w:pPr>
          </w:p>
        </w:tc>
        <w:tc>
          <w:tcPr>
            <w:tcW w:w="1843" w:type="dxa"/>
            <w:gridSpan w:val="3"/>
            <w:vMerge w:val="continue"/>
            <w:vAlign w:val="center"/>
          </w:tcPr>
          <w:p w14:paraId="18B5D294">
            <w:pPr>
              <w:adjustRightInd w:val="0"/>
              <w:snapToGrid w:val="0"/>
              <w:jc w:val="center"/>
              <w:rPr>
                <w:rFonts w:hint="eastAsia" w:ascii="Times New Roman" w:hAnsi="Times New Roman" w:eastAsia="宋体" w:cs="Times New Roman"/>
                <w:color w:val="auto"/>
                <w:spacing w:val="0"/>
                <w:position w:val="0"/>
                <w:sz w:val="21"/>
                <w:szCs w:val="21"/>
                <w:highlight w:val="none"/>
                <w:lang w:eastAsia="zh-CN"/>
              </w:rPr>
            </w:pPr>
          </w:p>
        </w:tc>
        <w:tc>
          <w:tcPr>
            <w:tcW w:w="1344" w:type="dxa"/>
            <w:vAlign w:val="center"/>
          </w:tcPr>
          <w:p w14:paraId="7FCC9FC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苯系物</w:t>
            </w:r>
          </w:p>
        </w:tc>
        <w:tc>
          <w:tcPr>
            <w:tcW w:w="1815" w:type="dxa"/>
            <w:gridSpan w:val="2"/>
            <w:vMerge w:val="continue"/>
            <w:vAlign w:val="center"/>
          </w:tcPr>
          <w:p w14:paraId="3B18DE73">
            <w:pPr>
              <w:adjustRightInd w:val="0"/>
              <w:snapToGrid w:val="0"/>
              <w:jc w:val="center"/>
              <w:rPr>
                <w:rFonts w:hint="eastAsia" w:ascii="Times New Roman" w:hAnsi="Times New Roman" w:eastAsia="宋体" w:cs="Times New Roman"/>
                <w:color w:val="auto"/>
                <w:spacing w:val="0"/>
                <w:position w:val="0"/>
                <w:sz w:val="21"/>
                <w:szCs w:val="21"/>
                <w:highlight w:val="none"/>
              </w:rPr>
            </w:pPr>
          </w:p>
        </w:tc>
        <w:tc>
          <w:tcPr>
            <w:tcW w:w="2709" w:type="dxa"/>
            <w:vMerge w:val="continue"/>
            <w:vAlign w:val="center"/>
          </w:tcPr>
          <w:p w14:paraId="4E9BC261">
            <w:pPr>
              <w:keepNext w:val="0"/>
              <w:keepLines w:val="0"/>
              <w:pageBreakBefore w:val="0"/>
              <w:kinsoku/>
              <w:wordWrap w:val="0"/>
              <w:overflowPunct/>
              <w:topLinePunct/>
              <w:autoSpaceDE/>
              <w:autoSpaceDN/>
              <w:bidi w:val="0"/>
              <w:adjustRightInd w:val="0"/>
              <w:snapToGrid w:val="0"/>
              <w:jc w:val="left"/>
              <w:textAlignment w:val="auto"/>
              <w:rPr>
                <w:rFonts w:hint="eastAsia" w:ascii="Times New Roman" w:hAnsi="Times New Roman" w:eastAsia="宋体" w:cs="Times New Roman"/>
                <w:b w:val="0"/>
                <w:bCs w:val="0"/>
                <w:color w:val="auto"/>
                <w:spacing w:val="0"/>
                <w:position w:val="0"/>
                <w:sz w:val="21"/>
                <w:szCs w:val="21"/>
                <w:highlight w:val="none"/>
              </w:rPr>
            </w:pPr>
          </w:p>
        </w:tc>
      </w:tr>
      <w:tr w14:paraId="388F7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continue"/>
            <w:vAlign w:val="center"/>
          </w:tcPr>
          <w:p w14:paraId="57C34DC9">
            <w:pPr>
              <w:adjustRightInd w:val="0"/>
              <w:snapToGrid w:val="0"/>
              <w:jc w:val="center"/>
              <w:rPr>
                <w:rFonts w:ascii="Times New Roman" w:hAnsi="Times New Roman" w:eastAsia="宋体" w:cs="Times New Roman"/>
                <w:color w:val="auto"/>
                <w:spacing w:val="0"/>
                <w:position w:val="0"/>
                <w:sz w:val="21"/>
                <w:szCs w:val="21"/>
                <w:highlight w:val="none"/>
              </w:rPr>
            </w:pPr>
          </w:p>
        </w:tc>
        <w:tc>
          <w:tcPr>
            <w:tcW w:w="1843" w:type="dxa"/>
            <w:gridSpan w:val="3"/>
            <w:vMerge w:val="continue"/>
            <w:vAlign w:val="center"/>
          </w:tcPr>
          <w:p w14:paraId="5A4667BB">
            <w:pPr>
              <w:adjustRightInd w:val="0"/>
              <w:snapToGrid w:val="0"/>
              <w:jc w:val="center"/>
              <w:rPr>
                <w:rFonts w:hint="eastAsia" w:ascii="Times New Roman" w:hAnsi="Times New Roman" w:eastAsia="宋体" w:cs="Times New Roman"/>
                <w:color w:val="auto"/>
                <w:spacing w:val="0"/>
                <w:position w:val="0"/>
                <w:sz w:val="21"/>
                <w:szCs w:val="21"/>
                <w:highlight w:val="none"/>
                <w:lang w:eastAsia="zh-CN"/>
              </w:rPr>
            </w:pPr>
          </w:p>
        </w:tc>
        <w:tc>
          <w:tcPr>
            <w:tcW w:w="1344" w:type="dxa"/>
            <w:vAlign w:val="center"/>
          </w:tcPr>
          <w:p w14:paraId="5525FC8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val="en-US" w:eastAsia="zh-CN"/>
              </w:rPr>
              <w:t>乙酸乙酯与</w:t>
            </w:r>
            <w:r>
              <w:rPr>
                <w:rFonts w:hint="default" w:ascii="Times New Roman" w:hAnsi="Times New Roman" w:eastAsia="宋体" w:cs="Times New Roman"/>
                <w:color w:val="auto"/>
                <w:spacing w:val="0"/>
                <w:position w:val="0"/>
                <w:sz w:val="21"/>
                <w:szCs w:val="21"/>
                <w:highlight w:val="none"/>
              </w:rPr>
              <w:t>乙酸丁酯</w:t>
            </w:r>
            <w:r>
              <w:rPr>
                <w:rFonts w:hint="eastAsia" w:ascii="Times New Roman" w:hAnsi="Times New Roman" w:eastAsia="宋体" w:cs="Times New Roman"/>
                <w:color w:val="auto"/>
                <w:spacing w:val="0"/>
                <w:position w:val="0"/>
                <w:sz w:val="21"/>
                <w:szCs w:val="21"/>
                <w:highlight w:val="none"/>
                <w:lang w:val="en-US" w:eastAsia="zh-CN"/>
              </w:rPr>
              <w:t>合计</w:t>
            </w:r>
          </w:p>
        </w:tc>
        <w:tc>
          <w:tcPr>
            <w:tcW w:w="1815" w:type="dxa"/>
            <w:gridSpan w:val="2"/>
            <w:vMerge w:val="continue"/>
            <w:vAlign w:val="center"/>
          </w:tcPr>
          <w:p w14:paraId="2023261E">
            <w:pPr>
              <w:adjustRightInd w:val="0"/>
              <w:snapToGrid w:val="0"/>
              <w:jc w:val="center"/>
              <w:rPr>
                <w:rFonts w:hint="eastAsia" w:ascii="Times New Roman" w:hAnsi="Times New Roman" w:eastAsia="宋体" w:cs="Times New Roman"/>
                <w:color w:val="auto"/>
                <w:spacing w:val="0"/>
                <w:kern w:val="0"/>
                <w:position w:val="0"/>
                <w:sz w:val="21"/>
                <w:szCs w:val="21"/>
                <w:highlight w:val="none"/>
                <w:lang w:eastAsia="zh-CN"/>
              </w:rPr>
            </w:pPr>
          </w:p>
        </w:tc>
        <w:tc>
          <w:tcPr>
            <w:tcW w:w="2709" w:type="dxa"/>
            <w:vMerge w:val="continue"/>
            <w:vAlign w:val="center"/>
          </w:tcPr>
          <w:p w14:paraId="7AC9A3E3">
            <w:pPr>
              <w:keepNext w:val="0"/>
              <w:keepLines w:val="0"/>
              <w:pageBreakBefore w:val="0"/>
              <w:kinsoku/>
              <w:wordWrap w:val="0"/>
              <w:overflowPunct/>
              <w:topLinePunct/>
              <w:autoSpaceDE/>
              <w:autoSpaceDN/>
              <w:bidi w:val="0"/>
              <w:adjustRightInd w:val="0"/>
              <w:snapToGrid w:val="0"/>
              <w:jc w:val="center"/>
              <w:textAlignment w:val="auto"/>
              <w:rPr>
                <w:rFonts w:ascii="Times New Roman" w:hAnsi="Times New Roman" w:eastAsia="宋体" w:cs="Times New Roman"/>
                <w:color w:val="auto"/>
                <w:spacing w:val="0"/>
                <w:position w:val="0"/>
                <w:sz w:val="21"/>
                <w:szCs w:val="21"/>
                <w:highlight w:val="none"/>
              </w:rPr>
            </w:pPr>
          </w:p>
        </w:tc>
      </w:tr>
      <w:tr w14:paraId="0443D6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continue"/>
            <w:vAlign w:val="center"/>
          </w:tcPr>
          <w:p w14:paraId="4850A6EA">
            <w:pPr>
              <w:pStyle w:val="69"/>
              <w:rPr>
                <w:rFonts w:ascii="Times New Roman" w:hAnsi="Times New Roman" w:eastAsia="宋体" w:cs="Times New Roman"/>
                <w:color w:val="auto"/>
                <w:spacing w:val="0"/>
                <w:position w:val="0"/>
                <w:sz w:val="21"/>
                <w:szCs w:val="21"/>
                <w:highlight w:val="none"/>
              </w:rPr>
            </w:pPr>
          </w:p>
        </w:tc>
        <w:tc>
          <w:tcPr>
            <w:tcW w:w="1843" w:type="dxa"/>
            <w:gridSpan w:val="3"/>
            <w:vMerge w:val="continue"/>
            <w:vAlign w:val="center"/>
          </w:tcPr>
          <w:p w14:paraId="2D570492">
            <w:pPr>
              <w:pStyle w:val="69"/>
              <w:rPr>
                <w:rFonts w:ascii="Times New Roman" w:hAnsi="Times New Roman" w:eastAsia="宋体" w:cs="Times New Roman"/>
                <w:color w:val="auto"/>
                <w:spacing w:val="0"/>
                <w:position w:val="0"/>
                <w:sz w:val="21"/>
                <w:szCs w:val="21"/>
                <w:highlight w:val="none"/>
              </w:rPr>
            </w:pPr>
          </w:p>
        </w:tc>
        <w:tc>
          <w:tcPr>
            <w:tcW w:w="1344" w:type="dxa"/>
            <w:vAlign w:val="center"/>
          </w:tcPr>
          <w:p w14:paraId="5A4BAEC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bCs/>
                <w:color w:val="auto"/>
                <w:spacing w:val="0"/>
                <w:position w:val="0"/>
                <w:sz w:val="21"/>
                <w:szCs w:val="21"/>
                <w:highlight w:val="none"/>
              </w:rPr>
              <w:t>非甲烷总烃</w:t>
            </w:r>
          </w:p>
        </w:tc>
        <w:tc>
          <w:tcPr>
            <w:tcW w:w="1815" w:type="dxa"/>
            <w:gridSpan w:val="2"/>
            <w:vMerge w:val="continue"/>
            <w:vAlign w:val="center"/>
          </w:tcPr>
          <w:p w14:paraId="49F89754">
            <w:pPr>
              <w:pStyle w:val="69"/>
              <w:rPr>
                <w:rFonts w:hint="eastAsia" w:ascii="Times New Roman" w:hAnsi="Times New Roman" w:eastAsia="宋体" w:cs="Times New Roman"/>
                <w:b w:val="0"/>
                <w:bCs w:val="0"/>
                <w:color w:val="auto"/>
                <w:spacing w:val="0"/>
                <w:position w:val="0"/>
                <w:sz w:val="21"/>
                <w:szCs w:val="21"/>
                <w:highlight w:val="none"/>
              </w:rPr>
            </w:pPr>
          </w:p>
        </w:tc>
        <w:tc>
          <w:tcPr>
            <w:tcW w:w="2709" w:type="dxa"/>
            <w:vMerge w:val="continue"/>
            <w:vAlign w:val="center"/>
          </w:tcPr>
          <w:p w14:paraId="001D88AC">
            <w:pPr>
              <w:keepNext w:val="0"/>
              <w:keepLines w:val="0"/>
              <w:pageBreakBefore w:val="0"/>
              <w:kinsoku/>
              <w:wordWrap w:val="0"/>
              <w:overflowPunct/>
              <w:topLinePunct/>
              <w:autoSpaceDE/>
              <w:autoSpaceDN/>
              <w:bidi w:val="0"/>
              <w:adjustRightInd w:val="0"/>
              <w:snapToGrid w:val="0"/>
              <w:jc w:val="left"/>
              <w:textAlignment w:val="auto"/>
              <w:rPr>
                <w:rFonts w:hint="eastAsia" w:ascii="Times New Roman" w:hAnsi="Times New Roman" w:eastAsia="宋体" w:cs="Times New Roman"/>
                <w:b w:val="0"/>
                <w:bCs w:val="0"/>
                <w:color w:val="auto"/>
                <w:spacing w:val="0"/>
                <w:position w:val="0"/>
                <w:sz w:val="21"/>
                <w:szCs w:val="21"/>
                <w:highlight w:val="none"/>
                <w:lang w:val="en-US" w:eastAsia="zh-CN"/>
              </w:rPr>
            </w:pPr>
          </w:p>
        </w:tc>
      </w:tr>
      <w:tr w14:paraId="29A179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95" w:hRule="atLeast"/>
          <w:jc w:val="center"/>
        </w:trPr>
        <w:tc>
          <w:tcPr>
            <w:tcW w:w="1408" w:type="dxa"/>
            <w:vMerge w:val="continue"/>
            <w:vAlign w:val="center"/>
          </w:tcPr>
          <w:p w14:paraId="2D4D4F4C">
            <w:pPr>
              <w:pStyle w:val="69"/>
              <w:rPr>
                <w:rFonts w:hint="eastAsia" w:ascii="Times New Roman" w:hAnsi="Times New Roman" w:eastAsia="宋体" w:cs="Times New Roman"/>
                <w:b w:val="0"/>
                <w:bCs w:val="0"/>
                <w:color w:val="auto"/>
                <w:spacing w:val="0"/>
                <w:position w:val="0"/>
                <w:sz w:val="21"/>
                <w:szCs w:val="21"/>
                <w:highlight w:val="none"/>
              </w:rPr>
            </w:pPr>
          </w:p>
        </w:tc>
        <w:tc>
          <w:tcPr>
            <w:tcW w:w="1843" w:type="dxa"/>
            <w:gridSpan w:val="3"/>
            <w:vMerge w:val="continue"/>
            <w:vAlign w:val="center"/>
          </w:tcPr>
          <w:p w14:paraId="6106077F">
            <w:pPr>
              <w:pStyle w:val="69"/>
              <w:rPr>
                <w:rFonts w:hint="eastAsia" w:ascii="Times New Roman" w:hAnsi="Times New Roman" w:eastAsia="宋体" w:cs="Times New Roman"/>
                <w:b w:val="0"/>
                <w:bCs w:val="0"/>
                <w:color w:val="auto"/>
                <w:spacing w:val="0"/>
                <w:position w:val="0"/>
                <w:sz w:val="21"/>
                <w:szCs w:val="21"/>
                <w:highlight w:val="none"/>
              </w:rPr>
            </w:pPr>
          </w:p>
        </w:tc>
        <w:tc>
          <w:tcPr>
            <w:tcW w:w="1344" w:type="dxa"/>
            <w:vAlign w:val="center"/>
          </w:tcPr>
          <w:p w14:paraId="37CE729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pacing w:val="0"/>
                <w:position w:val="0"/>
                <w:sz w:val="21"/>
                <w:szCs w:val="21"/>
                <w:highlight w:val="none"/>
              </w:rPr>
            </w:pPr>
            <w:r>
              <w:rPr>
                <w:rFonts w:hint="eastAsia" w:ascii="Times New Roman" w:hAnsi="Times New Roman" w:eastAsia="宋体" w:cs="Times New Roman"/>
                <w:color w:val="auto"/>
                <w:spacing w:val="0"/>
                <w:kern w:val="2"/>
                <w:position w:val="0"/>
                <w:sz w:val="21"/>
                <w:szCs w:val="21"/>
                <w:highlight w:val="none"/>
                <w:lang w:val="en-US" w:eastAsia="zh-CN" w:bidi="ar-SA"/>
              </w:rPr>
              <w:t>颗粒物</w:t>
            </w:r>
            <w:r>
              <w:rPr>
                <w:rFonts w:hint="eastAsia" w:cs="Times New Roman"/>
                <w:color w:val="auto"/>
                <w:spacing w:val="0"/>
                <w:kern w:val="2"/>
                <w:position w:val="0"/>
                <w:sz w:val="21"/>
                <w:szCs w:val="21"/>
                <w:highlight w:val="none"/>
                <w:lang w:val="en-US" w:eastAsia="zh-CN" w:bidi="ar-SA"/>
              </w:rPr>
              <w:t>（漆雾）</w:t>
            </w:r>
          </w:p>
        </w:tc>
        <w:tc>
          <w:tcPr>
            <w:tcW w:w="1815" w:type="dxa"/>
            <w:gridSpan w:val="2"/>
            <w:vMerge w:val="continue"/>
            <w:vAlign w:val="center"/>
          </w:tcPr>
          <w:p w14:paraId="643701B7">
            <w:pPr>
              <w:pStyle w:val="69"/>
              <w:rPr>
                <w:rFonts w:hint="eastAsia" w:ascii="Times New Roman" w:hAnsi="Times New Roman" w:eastAsia="宋体" w:cs="Times New Roman"/>
                <w:b w:val="0"/>
                <w:bCs w:val="0"/>
                <w:color w:val="auto"/>
                <w:spacing w:val="0"/>
                <w:position w:val="0"/>
                <w:sz w:val="21"/>
                <w:szCs w:val="21"/>
                <w:highlight w:val="none"/>
              </w:rPr>
            </w:pPr>
          </w:p>
        </w:tc>
        <w:tc>
          <w:tcPr>
            <w:tcW w:w="2709" w:type="dxa"/>
            <w:vAlign w:val="center"/>
          </w:tcPr>
          <w:p w14:paraId="0792D90D">
            <w:pPr>
              <w:pStyle w:val="69"/>
              <w:keepNext w:val="0"/>
              <w:keepLines w:val="0"/>
              <w:pageBreakBefore w:val="0"/>
              <w:widowControl/>
              <w:kinsoku/>
              <w:wordWrap/>
              <w:overflowPunct w:val="0"/>
              <w:topLinePunct/>
              <w:autoSpaceDE/>
              <w:autoSpaceDN/>
              <w:bidi w:val="0"/>
              <w:adjustRightInd/>
              <w:snapToGrid w:val="0"/>
              <w:jc w:val="both"/>
              <w:textAlignment w:val="auto"/>
              <w:rPr>
                <w:rFonts w:hint="eastAsia" w:ascii="Times New Roman" w:hAnsi="Times New Roman" w:eastAsia="宋体" w:cs="Times New Roman"/>
                <w:b w:val="0"/>
                <w:bCs w:val="0"/>
                <w:color w:val="auto"/>
                <w:spacing w:val="0"/>
                <w:position w:val="0"/>
                <w:sz w:val="21"/>
                <w:szCs w:val="21"/>
                <w:highlight w:val="none"/>
              </w:rPr>
            </w:pPr>
            <w:r>
              <w:rPr>
                <w:rFonts w:hint="eastAsia" w:ascii="Times New Roman" w:hAnsi="Times New Roman" w:eastAsia="宋体" w:cs="Times New Roman"/>
                <w:b w:val="0"/>
                <w:bCs/>
                <w:color w:val="auto"/>
                <w:spacing w:val="0"/>
                <w:position w:val="0"/>
                <w:sz w:val="21"/>
                <w:szCs w:val="21"/>
                <w:highlight w:val="none"/>
              </w:rPr>
              <w:t>《大气污染物综合排放标准》（GB16297-1996）</w:t>
            </w:r>
            <w:r>
              <w:rPr>
                <w:rFonts w:hint="eastAsia" w:ascii="Times New Roman" w:hAnsi="Times New Roman" w:eastAsia="宋体" w:cs="Times New Roman"/>
                <w:b w:val="0"/>
                <w:bCs/>
                <w:color w:val="auto"/>
                <w:spacing w:val="0"/>
                <w:position w:val="0"/>
                <w:sz w:val="21"/>
                <w:szCs w:val="21"/>
                <w:highlight w:val="none"/>
                <w:lang w:val="en-US" w:eastAsia="zh-CN"/>
              </w:rPr>
              <w:t>表2二级标准，即：颗粒物</w:t>
            </w:r>
            <w:r>
              <w:rPr>
                <w:rFonts w:hint="eastAsia" w:cs="Times New Roman"/>
                <w:b w:val="0"/>
                <w:bCs w:val="0"/>
                <w:color w:val="auto"/>
                <w:spacing w:val="0"/>
                <w:position w:val="0"/>
                <w:sz w:val="21"/>
                <w:szCs w:val="21"/>
                <w:highlight w:val="none"/>
                <w:lang w:val="en-US" w:eastAsia="zh-CN"/>
              </w:rPr>
              <w:t>排放浓度</w:t>
            </w:r>
            <w:r>
              <w:rPr>
                <w:rFonts w:hint="eastAsia" w:ascii="Times New Roman" w:hAnsi="Times New Roman" w:eastAsia="宋体" w:cs="Times New Roman"/>
                <w:b w:val="0"/>
                <w:bCs/>
                <w:color w:val="auto"/>
                <w:spacing w:val="0"/>
                <w:position w:val="0"/>
                <w:sz w:val="21"/>
                <w:szCs w:val="21"/>
                <w:highlight w:val="none"/>
                <w:lang w:val="en-US" w:eastAsia="zh-CN"/>
              </w:rPr>
              <w:t>≤120</w:t>
            </w:r>
            <w:r>
              <w:rPr>
                <w:rFonts w:ascii="Times New Roman" w:hAnsi="Times New Roman" w:eastAsia="宋体" w:cs="Times New Roman"/>
                <w:b w:val="0"/>
                <w:bCs/>
                <w:color w:val="auto"/>
                <w:spacing w:val="0"/>
                <w:position w:val="0"/>
                <w:sz w:val="21"/>
                <w:szCs w:val="21"/>
                <w:highlight w:val="none"/>
              </w:rPr>
              <w:t>mg/m</w:t>
            </w:r>
            <w:r>
              <w:rPr>
                <w:rFonts w:ascii="Times New Roman" w:hAnsi="Times New Roman" w:eastAsia="宋体" w:cs="Times New Roman"/>
                <w:b w:val="0"/>
                <w:bCs/>
                <w:color w:val="auto"/>
                <w:spacing w:val="0"/>
                <w:position w:val="0"/>
                <w:sz w:val="21"/>
                <w:szCs w:val="21"/>
                <w:highlight w:val="none"/>
                <w:vertAlign w:val="superscript"/>
              </w:rPr>
              <w:t>3</w:t>
            </w:r>
            <w:r>
              <w:rPr>
                <w:rFonts w:hint="eastAsia" w:ascii="Times New Roman" w:hAnsi="Times New Roman" w:eastAsia="宋体" w:cs="Times New Roman"/>
                <w:b w:val="0"/>
                <w:bCs/>
                <w:color w:val="auto"/>
                <w:spacing w:val="0"/>
                <w:position w:val="0"/>
                <w:sz w:val="21"/>
                <w:szCs w:val="21"/>
                <w:highlight w:val="none"/>
                <w:vertAlign w:val="baseline"/>
                <w:lang w:eastAsia="zh-CN"/>
              </w:rPr>
              <w:t>、</w:t>
            </w:r>
            <w:r>
              <w:rPr>
                <w:rFonts w:hint="eastAsia" w:ascii="Times New Roman" w:hAnsi="Times New Roman" w:eastAsia="宋体" w:cs="Times New Roman"/>
                <w:b w:val="0"/>
                <w:bCs/>
                <w:color w:val="auto"/>
                <w:spacing w:val="0"/>
                <w:position w:val="0"/>
                <w:sz w:val="21"/>
                <w:szCs w:val="21"/>
                <w:highlight w:val="none"/>
                <w:vertAlign w:val="baseline"/>
                <w:lang w:val="en-US" w:eastAsia="zh-CN"/>
              </w:rPr>
              <w:t>排放速率</w:t>
            </w:r>
            <w:r>
              <w:rPr>
                <w:rFonts w:hint="eastAsia" w:ascii="Times New Roman" w:hAnsi="Times New Roman" w:eastAsia="宋体" w:cs="Times New Roman"/>
                <w:b w:val="0"/>
                <w:bCs/>
                <w:color w:val="auto"/>
                <w:spacing w:val="0"/>
                <w:position w:val="0"/>
                <w:sz w:val="21"/>
                <w:szCs w:val="21"/>
                <w:highlight w:val="none"/>
                <w:lang w:val="en-US" w:eastAsia="zh-CN"/>
              </w:rPr>
              <w:t>≤</w:t>
            </w:r>
            <w:r>
              <w:rPr>
                <w:rFonts w:hint="eastAsia" w:cs="Times New Roman"/>
                <w:b w:val="0"/>
                <w:bCs/>
                <w:color w:val="auto"/>
                <w:spacing w:val="0"/>
                <w:position w:val="0"/>
                <w:sz w:val="21"/>
                <w:szCs w:val="21"/>
                <w:highlight w:val="none"/>
                <w:lang w:val="en-US" w:eastAsia="zh-CN"/>
              </w:rPr>
              <w:t>7.225</w:t>
            </w:r>
            <w:r>
              <w:rPr>
                <w:rFonts w:hint="eastAsia" w:ascii="Times New Roman" w:hAnsi="Times New Roman" w:eastAsia="宋体" w:cs="Times New Roman"/>
                <w:b w:val="0"/>
                <w:bCs/>
                <w:color w:val="auto"/>
                <w:spacing w:val="0"/>
                <w:position w:val="0"/>
                <w:sz w:val="21"/>
                <w:szCs w:val="21"/>
                <w:highlight w:val="none"/>
                <w:lang w:val="en-US" w:eastAsia="zh-CN"/>
              </w:rPr>
              <w:t>kg/h</w:t>
            </w:r>
          </w:p>
        </w:tc>
      </w:tr>
      <w:tr w14:paraId="165D1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continue"/>
            <w:vAlign w:val="center"/>
          </w:tcPr>
          <w:p w14:paraId="544DD5D8">
            <w:pPr>
              <w:adjustRightInd w:val="0"/>
              <w:snapToGrid w:val="0"/>
              <w:jc w:val="center"/>
              <w:rPr>
                <w:rFonts w:ascii="Times New Roman" w:hAnsi="Times New Roman" w:eastAsia="宋体" w:cs="Times New Roman"/>
                <w:color w:val="auto"/>
                <w:spacing w:val="0"/>
                <w:position w:val="0"/>
                <w:sz w:val="21"/>
                <w:szCs w:val="21"/>
                <w:highlight w:val="none"/>
              </w:rPr>
            </w:pPr>
          </w:p>
        </w:tc>
        <w:tc>
          <w:tcPr>
            <w:tcW w:w="1843" w:type="dxa"/>
            <w:gridSpan w:val="3"/>
            <w:vMerge w:val="restart"/>
            <w:vAlign w:val="center"/>
          </w:tcPr>
          <w:p w14:paraId="2E68DDA1">
            <w:pPr>
              <w:adjustRightInd w:val="0"/>
              <w:snapToGrid w:val="0"/>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厂界</w:t>
            </w:r>
          </w:p>
        </w:tc>
        <w:tc>
          <w:tcPr>
            <w:tcW w:w="1344" w:type="dxa"/>
            <w:vAlign w:val="center"/>
          </w:tcPr>
          <w:p w14:paraId="4D572F34">
            <w:pPr>
              <w:pStyle w:val="69"/>
              <w:rPr>
                <w:rFonts w:hint="eastAsia" w:ascii="Times New Roman" w:hAnsi="Times New Roman" w:eastAsia="宋体" w:cs="Times New Roman"/>
                <w:b w:val="0"/>
                <w:bCs w:val="0"/>
                <w:color w:val="auto"/>
                <w:spacing w:val="0"/>
                <w:position w:val="0"/>
                <w:sz w:val="21"/>
                <w:szCs w:val="21"/>
                <w:highlight w:val="none"/>
              </w:rPr>
            </w:pPr>
            <w:r>
              <w:rPr>
                <w:rFonts w:hint="eastAsia" w:ascii="Times New Roman" w:hAnsi="Times New Roman" w:eastAsia="宋体" w:cs="Times New Roman"/>
                <w:b w:val="0"/>
                <w:bCs w:val="0"/>
                <w:color w:val="auto"/>
                <w:spacing w:val="0"/>
                <w:position w:val="0"/>
                <w:sz w:val="21"/>
                <w:szCs w:val="21"/>
                <w:highlight w:val="none"/>
                <w:lang w:eastAsia="zh-CN"/>
              </w:rPr>
              <w:t>颗粒物</w:t>
            </w:r>
          </w:p>
        </w:tc>
        <w:tc>
          <w:tcPr>
            <w:tcW w:w="1815" w:type="dxa"/>
            <w:gridSpan w:val="2"/>
            <w:vMerge w:val="restart"/>
            <w:vAlign w:val="center"/>
          </w:tcPr>
          <w:p w14:paraId="47757B74">
            <w:pPr>
              <w:adjustRightInd w:val="0"/>
              <w:snapToGrid w:val="0"/>
              <w:jc w:val="center"/>
              <w:rPr>
                <w:rFonts w:hint="eastAsia" w:ascii="Times New Roman" w:hAnsi="Times New Roman" w:eastAsia="宋体" w:cs="Times New Roman"/>
                <w:color w:val="auto"/>
                <w:spacing w:val="0"/>
                <w:kern w:val="0"/>
                <w:position w:val="0"/>
                <w:sz w:val="21"/>
                <w:szCs w:val="21"/>
                <w:highlight w:val="none"/>
                <w:lang w:eastAsia="zh-CN"/>
              </w:rPr>
            </w:pPr>
            <w:r>
              <w:rPr>
                <w:color w:val="auto"/>
                <w:kern w:val="0"/>
                <w:sz w:val="21"/>
                <w:szCs w:val="21"/>
                <w:highlight w:val="none"/>
              </w:rPr>
              <w:t>加强车间密闭</w:t>
            </w:r>
            <w:r>
              <w:rPr>
                <w:rFonts w:hint="eastAsia"/>
                <w:color w:val="auto"/>
                <w:kern w:val="0"/>
                <w:sz w:val="21"/>
                <w:szCs w:val="21"/>
                <w:highlight w:val="none"/>
              </w:rPr>
              <w:t>，加强管理，提高废气收集效率，减少无组织排放</w:t>
            </w:r>
          </w:p>
        </w:tc>
        <w:tc>
          <w:tcPr>
            <w:tcW w:w="2709" w:type="dxa"/>
            <w:vAlign w:val="center"/>
          </w:tcPr>
          <w:p w14:paraId="33DE7521">
            <w:pPr>
              <w:keepNext w:val="0"/>
              <w:keepLines w:val="0"/>
              <w:pageBreakBefore w:val="0"/>
              <w:kinsoku/>
              <w:wordWrap w:val="0"/>
              <w:overflowPunct/>
              <w:topLinePunct/>
              <w:autoSpaceDE/>
              <w:autoSpaceDN/>
              <w:bidi w:val="0"/>
              <w:adjustRightInd w:val="0"/>
              <w:snapToGrid w:val="0"/>
              <w:jc w:val="left"/>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default" w:ascii="Times New Roman" w:hAnsi="Times New Roman" w:eastAsia="宋体" w:cs="Times New Roman"/>
                <w:b w:val="0"/>
                <w:bCs/>
                <w:color w:val="auto"/>
                <w:spacing w:val="0"/>
                <w:position w:val="0"/>
                <w:sz w:val="21"/>
                <w:szCs w:val="21"/>
                <w:highlight w:val="none"/>
                <w:vertAlign w:val="baseline"/>
                <w:lang w:val="en-US" w:eastAsia="zh-CN"/>
              </w:rPr>
              <w:t>《大气污染物综合排放标准》（GB16297-1996）表2周界外浓度最高点排放限值</w:t>
            </w:r>
            <w:r>
              <w:rPr>
                <w:rFonts w:hint="eastAsia" w:ascii="Times New Roman" w:hAnsi="Times New Roman" w:eastAsia="宋体" w:cs="Times New Roman"/>
                <w:b w:val="0"/>
                <w:bCs/>
                <w:color w:val="auto"/>
                <w:spacing w:val="0"/>
                <w:position w:val="0"/>
                <w:sz w:val="21"/>
                <w:szCs w:val="21"/>
                <w:highlight w:val="none"/>
                <w:vertAlign w:val="baseline"/>
                <w:lang w:val="en-US" w:eastAsia="zh-CN"/>
              </w:rPr>
              <w:t>，</w:t>
            </w:r>
            <w:r>
              <w:rPr>
                <w:rFonts w:hint="eastAsia" w:ascii="Times New Roman" w:hAnsi="Times New Roman" w:eastAsia="宋体" w:cs="Times New Roman"/>
                <w:color w:val="auto"/>
                <w:spacing w:val="0"/>
                <w:position w:val="0"/>
                <w:sz w:val="21"/>
                <w:szCs w:val="21"/>
                <w:highlight w:val="none"/>
                <w:lang w:val="en-US" w:eastAsia="zh-CN"/>
              </w:rPr>
              <w:t>即：颗粒物≤1.0</w:t>
            </w:r>
            <w:r>
              <w:rPr>
                <w:rFonts w:ascii="Times New Roman" w:hAnsi="Times New Roman" w:eastAsia="宋体" w:cs="Times New Roman"/>
                <w:b w:val="0"/>
                <w:bCs w:val="0"/>
                <w:color w:val="auto"/>
                <w:spacing w:val="0"/>
                <w:position w:val="0"/>
                <w:sz w:val="21"/>
                <w:szCs w:val="21"/>
                <w:highlight w:val="none"/>
              </w:rPr>
              <w:t>mg/m</w:t>
            </w:r>
            <w:r>
              <w:rPr>
                <w:rFonts w:ascii="Times New Roman" w:hAnsi="Times New Roman" w:eastAsia="宋体" w:cs="Times New Roman"/>
                <w:b w:val="0"/>
                <w:bCs w:val="0"/>
                <w:color w:val="auto"/>
                <w:spacing w:val="0"/>
                <w:position w:val="0"/>
                <w:sz w:val="21"/>
                <w:szCs w:val="21"/>
                <w:highlight w:val="none"/>
                <w:vertAlign w:val="superscript"/>
              </w:rPr>
              <w:t>3</w:t>
            </w:r>
          </w:p>
        </w:tc>
      </w:tr>
      <w:tr w14:paraId="033BD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continue"/>
            <w:vAlign w:val="center"/>
          </w:tcPr>
          <w:p w14:paraId="3768072E">
            <w:pPr>
              <w:pStyle w:val="69"/>
              <w:rPr>
                <w:rFonts w:ascii="Times New Roman" w:hAnsi="Times New Roman" w:eastAsia="宋体" w:cs="Times New Roman"/>
                <w:color w:val="auto"/>
                <w:spacing w:val="0"/>
                <w:position w:val="0"/>
                <w:sz w:val="21"/>
                <w:szCs w:val="21"/>
                <w:highlight w:val="none"/>
              </w:rPr>
            </w:pPr>
          </w:p>
        </w:tc>
        <w:tc>
          <w:tcPr>
            <w:tcW w:w="1843" w:type="dxa"/>
            <w:gridSpan w:val="3"/>
            <w:vMerge w:val="continue"/>
            <w:vAlign w:val="center"/>
          </w:tcPr>
          <w:p w14:paraId="1E40FBB4">
            <w:pPr>
              <w:pStyle w:val="69"/>
              <w:rPr>
                <w:rFonts w:ascii="Times New Roman" w:hAnsi="Times New Roman" w:eastAsia="宋体" w:cs="Times New Roman"/>
                <w:color w:val="auto"/>
                <w:spacing w:val="0"/>
                <w:position w:val="0"/>
                <w:sz w:val="21"/>
                <w:szCs w:val="21"/>
                <w:highlight w:val="none"/>
              </w:rPr>
            </w:pPr>
          </w:p>
        </w:tc>
        <w:tc>
          <w:tcPr>
            <w:tcW w:w="1344" w:type="dxa"/>
            <w:vAlign w:val="center"/>
          </w:tcPr>
          <w:p w14:paraId="746A28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二甲苯</w:t>
            </w:r>
          </w:p>
        </w:tc>
        <w:tc>
          <w:tcPr>
            <w:tcW w:w="1815" w:type="dxa"/>
            <w:gridSpan w:val="2"/>
            <w:vMerge w:val="continue"/>
            <w:vAlign w:val="center"/>
          </w:tcPr>
          <w:p w14:paraId="6EE329D6">
            <w:pPr>
              <w:pStyle w:val="69"/>
              <w:rPr>
                <w:rFonts w:hint="eastAsia" w:ascii="Times New Roman" w:hAnsi="Times New Roman" w:eastAsia="宋体" w:cs="Times New Roman"/>
                <w:b w:val="0"/>
                <w:bCs w:val="0"/>
                <w:color w:val="auto"/>
                <w:spacing w:val="0"/>
                <w:position w:val="0"/>
                <w:sz w:val="21"/>
                <w:szCs w:val="21"/>
                <w:highlight w:val="none"/>
              </w:rPr>
            </w:pPr>
          </w:p>
        </w:tc>
        <w:tc>
          <w:tcPr>
            <w:tcW w:w="2709" w:type="dxa"/>
            <w:vMerge w:val="restart"/>
            <w:vAlign w:val="center"/>
          </w:tcPr>
          <w:p w14:paraId="0E070F7E">
            <w:pPr>
              <w:pStyle w:val="69"/>
              <w:keepNext w:val="0"/>
              <w:keepLines w:val="0"/>
              <w:pageBreakBefore w:val="0"/>
              <w:kinsoku/>
              <w:wordWrap w:val="0"/>
              <w:overflowPunct/>
              <w:topLinePunct/>
              <w:autoSpaceDE/>
              <w:autoSpaceDN/>
              <w:bidi w:val="0"/>
              <w:snapToGrid w:val="0"/>
              <w:jc w:val="both"/>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rPr>
              <w:t>《工业涂装工序挥发性有机物排放标准》（DB35/1783-2018）</w:t>
            </w:r>
            <w:r>
              <w:rPr>
                <w:rFonts w:hint="eastAsia" w:ascii="Times New Roman" w:hAnsi="Times New Roman" w:eastAsia="宋体" w:cs="Times New Roman"/>
                <w:b w:val="0"/>
                <w:bCs w:val="0"/>
                <w:color w:val="auto"/>
                <w:spacing w:val="0"/>
                <w:position w:val="0"/>
                <w:sz w:val="21"/>
                <w:szCs w:val="21"/>
                <w:highlight w:val="none"/>
                <w:lang w:val="en-US" w:eastAsia="zh-CN"/>
              </w:rPr>
              <w:t>表4标准，即：</w:t>
            </w:r>
            <w:r>
              <w:rPr>
                <w:rFonts w:hint="eastAsia" w:ascii="Times New Roman" w:hAnsi="Times New Roman" w:eastAsia="宋体" w:cs="Times New Roman"/>
                <w:b w:val="0"/>
                <w:bCs w:val="0"/>
                <w:color w:val="auto"/>
                <w:spacing w:val="0"/>
                <w:position w:val="0"/>
                <w:sz w:val="21"/>
                <w:szCs w:val="21"/>
                <w:highlight w:val="none"/>
                <w:lang w:eastAsia="zh-CN"/>
              </w:rPr>
              <w:t>二甲苯</w:t>
            </w:r>
            <w:r>
              <w:rPr>
                <w:rFonts w:hint="eastAsia" w:cs="Times New Roman"/>
                <w:b w:val="0"/>
                <w:bCs w:val="0"/>
                <w:color w:val="auto"/>
                <w:spacing w:val="0"/>
                <w:position w:val="0"/>
                <w:sz w:val="21"/>
                <w:szCs w:val="21"/>
                <w:highlight w:val="none"/>
                <w:lang w:val="en-US" w:eastAsia="zh-CN"/>
              </w:rPr>
              <w:t>排放浓度</w:t>
            </w:r>
            <w:r>
              <w:rPr>
                <w:rFonts w:hint="eastAsia" w:ascii="Times New Roman" w:hAnsi="Times New Roman" w:eastAsia="宋体" w:cs="Times New Roman"/>
                <w:b w:val="0"/>
                <w:bCs w:val="0"/>
                <w:color w:val="auto"/>
                <w:spacing w:val="0"/>
                <w:position w:val="0"/>
                <w:sz w:val="21"/>
                <w:szCs w:val="21"/>
                <w:highlight w:val="none"/>
                <w:lang w:val="en-US" w:eastAsia="zh-CN"/>
              </w:rPr>
              <w:t>≤0.2</w:t>
            </w:r>
            <w:r>
              <w:rPr>
                <w:rFonts w:ascii="Times New Roman" w:hAnsi="Times New Roman" w:eastAsia="宋体" w:cs="Times New Roman"/>
                <w:b w:val="0"/>
                <w:bCs w:val="0"/>
                <w:color w:val="auto"/>
                <w:spacing w:val="0"/>
                <w:position w:val="0"/>
                <w:sz w:val="21"/>
                <w:szCs w:val="21"/>
                <w:highlight w:val="none"/>
              </w:rPr>
              <w:t>mg/m</w:t>
            </w:r>
            <w:r>
              <w:rPr>
                <w:rFonts w:ascii="Times New Roman" w:hAnsi="Times New Roman" w:eastAsia="宋体" w:cs="Times New Roman"/>
                <w:b w:val="0"/>
                <w:bCs w:val="0"/>
                <w:color w:val="auto"/>
                <w:spacing w:val="0"/>
                <w:position w:val="0"/>
                <w:sz w:val="21"/>
                <w:szCs w:val="21"/>
                <w:highlight w:val="none"/>
                <w:vertAlign w:val="superscript"/>
              </w:rPr>
              <w:t>3</w:t>
            </w:r>
            <w:r>
              <w:rPr>
                <w:rFonts w:hint="eastAsia" w:ascii="Times New Roman" w:hAnsi="Times New Roman" w:eastAsia="宋体" w:cs="Times New Roman"/>
                <w:b w:val="0"/>
                <w:bCs w:val="0"/>
                <w:color w:val="auto"/>
                <w:spacing w:val="0"/>
                <w:position w:val="0"/>
                <w:sz w:val="21"/>
                <w:szCs w:val="21"/>
                <w:highlight w:val="none"/>
                <w:vertAlign w:val="baseline"/>
                <w:lang w:eastAsia="zh-CN"/>
              </w:rPr>
              <w:t>、乙酸乙酯</w:t>
            </w:r>
            <w:r>
              <w:rPr>
                <w:rFonts w:hint="eastAsia" w:cs="Times New Roman"/>
                <w:b w:val="0"/>
                <w:bCs w:val="0"/>
                <w:color w:val="auto"/>
                <w:spacing w:val="0"/>
                <w:position w:val="0"/>
                <w:sz w:val="21"/>
                <w:szCs w:val="21"/>
                <w:highlight w:val="none"/>
                <w:lang w:val="en-US" w:eastAsia="zh-CN"/>
              </w:rPr>
              <w:t>排放浓度</w:t>
            </w:r>
            <w:r>
              <w:rPr>
                <w:rFonts w:hint="eastAsia" w:ascii="Times New Roman" w:hAnsi="Times New Roman" w:eastAsia="宋体" w:cs="Times New Roman"/>
                <w:b w:val="0"/>
                <w:bCs w:val="0"/>
                <w:color w:val="auto"/>
                <w:spacing w:val="0"/>
                <w:position w:val="0"/>
                <w:sz w:val="21"/>
                <w:szCs w:val="21"/>
                <w:highlight w:val="none"/>
                <w:lang w:val="en-US" w:eastAsia="zh-CN"/>
              </w:rPr>
              <w:t>≤1.0</w:t>
            </w:r>
            <w:r>
              <w:rPr>
                <w:rFonts w:ascii="Times New Roman" w:hAnsi="Times New Roman" w:eastAsia="宋体" w:cs="Times New Roman"/>
                <w:b w:val="0"/>
                <w:bCs w:val="0"/>
                <w:color w:val="auto"/>
                <w:spacing w:val="0"/>
                <w:position w:val="0"/>
                <w:sz w:val="21"/>
                <w:szCs w:val="21"/>
                <w:highlight w:val="none"/>
              </w:rPr>
              <w:t>mg/m</w:t>
            </w:r>
            <w:r>
              <w:rPr>
                <w:rFonts w:ascii="Times New Roman" w:hAnsi="Times New Roman" w:eastAsia="宋体" w:cs="Times New Roman"/>
                <w:b w:val="0"/>
                <w:bCs w:val="0"/>
                <w:color w:val="auto"/>
                <w:spacing w:val="0"/>
                <w:position w:val="0"/>
                <w:sz w:val="21"/>
                <w:szCs w:val="21"/>
                <w:highlight w:val="none"/>
                <w:vertAlign w:val="superscript"/>
              </w:rPr>
              <w:t>3</w:t>
            </w:r>
            <w:r>
              <w:rPr>
                <w:rFonts w:hint="eastAsia" w:ascii="Times New Roman" w:hAnsi="Times New Roman" w:eastAsia="宋体" w:cs="Times New Roman"/>
                <w:b w:val="0"/>
                <w:bCs w:val="0"/>
                <w:color w:val="auto"/>
                <w:spacing w:val="0"/>
                <w:position w:val="0"/>
                <w:sz w:val="21"/>
                <w:szCs w:val="21"/>
                <w:highlight w:val="none"/>
                <w:vertAlign w:val="baseline"/>
                <w:lang w:eastAsia="zh-CN"/>
              </w:rPr>
              <w:t>、</w:t>
            </w:r>
            <w:r>
              <w:rPr>
                <w:rFonts w:hint="eastAsia" w:ascii="Times New Roman" w:hAnsi="Times New Roman" w:eastAsia="宋体" w:cs="Times New Roman"/>
                <w:b w:val="0"/>
                <w:bCs w:val="0"/>
                <w:color w:val="auto"/>
                <w:spacing w:val="0"/>
                <w:position w:val="0"/>
                <w:sz w:val="21"/>
                <w:szCs w:val="21"/>
                <w:highlight w:val="none"/>
              </w:rPr>
              <w:t>非甲烷总烃</w:t>
            </w:r>
            <w:r>
              <w:rPr>
                <w:rFonts w:hint="eastAsia" w:cs="Times New Roman"/>
                <w:b w:val="0"/>
                <w:bCs w:val="0"/>
                <w:color w:val="auto"/>
                <w:spacing w:val="0"/>
                <w:position w:val="0"/>
                <w:sz w:val="21"/>
                <w:szCs w:val="21"/>
                <w:highlight w:val="none"/>
                <w:lang w:val="en-US" w:eastAsia="zh-CN"/>
              </w:rPr>
              <w:t>排放浓度</w:t>
            </w:r>
            <w:r>
              <w:rPr>
                <w:rFonts w:hint="eastAsia" w:ascii="Times New Roman" w:hAnsi="Times New Roman" w:eastAsia="宋体" w:cs="Times New Roman"/>
                <w:b w:val="0"/>
                <w:bCs w:val="0"/>
                <w:color w:val="auto"/>
                <w:spacing w:val="0"/>
                <w:position w:val="0"/>
                <w:sz w:val="21"/>
                <w:szCs w:val="21"/>
                <w:highlight w:val="none"/>
                <w:lang w:val="en-US" w:eastAsia="zh-CN"/>
              </w:rPr>
              <w:t>≤2.0</w:t>
            </w:r>
            <w:r>
              <w:rPr>
                <w:rFonts w:ascii="Times New Roman" w:hAnsi="Times New Roman" w:eastAsia="宋体" w:cs="Times New Roman"/>
                <w:b w:val="0"/>
                <w:bCs w:val="0"/>
                <w:color w:val="auto"/>
                <w:spacing w:val="0"/>
                <w:position w:val="0"/>
                <w:sz w:val="21"/>
                <w:szCs w:val="21"/>
                <w:highlight w:val="none"/>
              </w:rPr>
              <w:t>mg/m</w:t>
            </w:r>
            <w:r>
              <w:rPr>
                <w:rFonts w:ascii="Times New Roman" w:hAnsi="Times New Roman" w:eastAsia="宋体" w:cs="Times New Roman"/>
                <w:b w:val="0"/>
                <w:bCs w:val="0"/>
                <w:color w:val="auto"/>
                <w:spacing w:val="0"/>
                <w:position w:val="0"/>
                <w:sz w:val="21"/>
                <w:szCs w:val="21"/>
                <w:highlight w:val="none"/>
                <w:vertAlign w:val="superscript"/>
              </w:rPr>
              <w:t>3</w:t>
            </w:r>
          </w:p>
        </w:tc>
      </w:tr>
      <w:tr w14:paraId="2B522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continue"/>
            <w:vAlign w:val="center"/>
          </w:tcPr>
          <w:p w14:paraId="378BDD42">
            <w:pPr>
              <w:pStyle w:val="69"/>
              <w:rPr>
                <w:rFonts w:ascii="Times New Roman" w:hAnsi="Times New Roman" w:eastAsia="宋体" w:cs="Times New Roman"/>
                <w:color w:val="auto"/>
                <w:spacing w:val="0"/>
                <w:position w:val="0"/>
                <w:sz w:val="21"/>
                <w:szCs w:val="21"/>
                <w:highlight w:val="none"/>
              </w:rPr>
            </w:pPr>
          </w:p>
        </w:tc>
        <w:tc>
          <w:tcPr>
            <w:tcW w:w="1843" w:type="dxa"/>
            <w:gridSpan w:val="3"/>
            <w:vMerge w:val="continue"/>
            <w:vAlign w:val="center"/>
          </w:tcPr>
          <w:p w14:paraId="20D16E01">
            <w:pPr>
              <w:pStyle w:val="69"/>
              <w:rPr>
                <w:rFonts w:ascii="Times New Roman" w:hAnsi="Times New Roman" w:eastAsia="宋体" w:cs="Times New Roman"/>
                <w:color w:val="auto"/>
                <w:spacing w:val="0"/>
                <w:position w:val="0"/>
                <w:sz w:val="21"/>
                <w:szCs w:val="21"/>
                <w:highlight w:val="none"/>
              </w:rPr>
            </w:pPr>
          </w:p>
        </w:tc>
        <w:tc>
          <w:tcPr>
            <w:tcW w:w="1344" w:type="dxa"/>
            <w:vAlign w:val="center"/>
          </w:tcPr>
          <w:p w14:paraId="4111757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苯系物</w:t>
            </w:r>
          </w:p>
        </w:tc>
        <w:tc>
          <w:tcPr>
            <w:tcW w:w="1815" w:type="dxa"/>
            <w:gridSpan w:val="2"/>
            <w:vMerge w:val="continue"/>
            <w:vAlign w:val="center"/>
          </w:tcPr>
          <w:p w14:paraId="54868A80">
            <w:pPr>
              <w:pStyle w:val="69"/>
              <w:rPr>
                <w:rFonts w:hint="eastAsia" w:ascii="Times New Roman" w:hAnsi="Times New Roman" w:eastAsia="宋体" w:cs="Times New Roman"/>
                <w:b w:val="0"/>
                <w:bCs w:val="0"/>
                <w:color w:val="auto"/>
                <w:spacing w:val="0"/>
                <w:position w:val="0"/>
                <w:sz w:val="21"/>
                <w:szCs w:val="21"/>
                <w:highlight w:val="none"/>
              </w:rPr>
            </w:pPr>
          </w:p>
        </w:tc>
        <w:tc>
          <w:tcPr>
            <w:tcW w:w="2709" w:type="dxa"/>
            <w:vMerge w:val="continue"/>
            <w:vAlign w:val="center"/>
          </w:tcPr>
          <w:p w14:paraId="6A342B11">
            <w:pPr>
              <w:pStyle w:val="69"/>
              <w:keepNext w:val="0"/>
              <w:keepLines w:val="0"/>
              <w:pageBreakBefore w:val="0"/>
              <w:kinsoku/>
              <w:wordWrap w:val="0"/>
              <w:overflowPunct/>
              <w:topLinePunct/>
              <w:autoSpaceDE/>
              <w:autoSpaceDN/>
              <w:bidi w:val="0"/>
              <w:snapToGrid w:val="0"/>
              <w:jc w:val="both"/>
              <w:textAlignment w:val="auto"/>
              <w:rPr>
                <w:rFonts w:hint="eastAsia" w:ascii="Times New Roman" w:hAnsi="Times New Roman" w:eastAsia="宋体" w:cs="Times New Roman"/>
                <w:b w:val="0"/>
                <w:bCs w:val="0"/>
                <w:color w:val="auto"/>
                <w:spacing w:val="0"/>
                <w:position w:val="0"/>
                <w:sz w:val="21"/>
                <w:szCs w:val="21"/>
                <w:highlight w:val="none"/>
              </w:rPr>
            </w:pPr>
          </w:p>
        </w:tc>
      </w:tr>
      <w:tr w14:paraId="1D584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408" w:type="dxa"/>
            <w:vMerge w:val="continue"/>
            <w:vAlign w:val="center"/>
          </w:tcPr>
          <w:p w14:paraId="73F2700A">
            <w:pPr>
              <w:pStyle w:val="69"/>
              <w:rPr>
                <w:rFonts w:hint="eastAsia" w:ascii="Times New Roman" w:hAnsi="Times New Roman" w:eastAsia="宋体" w:cs="Times New Roman"/>
                <w:b w:val="0"/>
                <w:bCs w:val="0"/>
                <w:color w:val="auto"/>
                <w:spacing w:val="0"/>
                <w:position w:val="0"/>
                <w:sz w:val="21"/>
                <w:szCs w:val="21"/>
                <w:highlight w:val="none"/>
              </w:rPr>
            </w:pPr>
          </w:p>
        </w:tc>
        <w:tc>
          <w:tcPr>
            <w:tcW w:w="1843" w:type="dxa"/>
            <w:gridSpan w:val="3"/>
            <w:vMerge w:val="continue"/>
            <w:vAlign w:val="center"/>
          </w:tcPr>
          <w:p w14:paraId="677746E6">
            <w:pPr>
              <w:pStyle w:val="69"/>
              <w:rPr>
                <w:rFonts w:hint="eastAsia" w:ascii="Times New Roman" w:hAnsi="Times New Roman" w:eastAsia="宋体" w:cs="Times New Roman"/>
                <w:b w:val="0"/>
                <w:bCs w:val="0"/>
                <w:color w:val="auto"/>
                <w:spacing w:val="0"/>
                <w:position w:val="0"/>
                <w:sz w:val="21"/>
                <w:szCs w:val="21"/>
                <w:highlight w:val="none"/>
              </w:rPr>
            </w:pPr>
          </w:p>
        </w:tc>
        <w:tc>
          <w:tcPr>
            <w:tcW w:w="1344" w:type="dxa"/>
            <w:vAlign w:val="center"/>
          </w:tcPr>
          <w:p w14:paraId="0998460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乙酸</w:t>
            </w:r>
            <w:r>
              <w:rPr>
                <w:rFonts w:hint="eastAsia" w:ascii="Times New Roman" w:hAnsi="Times New Roman" w:eastAsia="宋体" w:cs="Times New Roman"/>
                <w:color w:val="auto"/>
                <w:spacing w:val="0"/>
                <w:position w:val="0"/>
                <w:sz w:val="21"/>
                <w:szCs w:val="21"/>
                <w:highlight w:val="none"/>
                <w:lang w:val="en-US" w:eastAsia="zh-CN"/>
              </w:rPr>
              <w:t>乙</w:t>
            </w:r>
            <w:r>
              <w:rPr>
                <w:rFonts w:hint="default" w:ascii="Times New Roman" w:hAnsi="Times New Roman" w:eastAsia="宋体" w:cs="Times New Roman"/>
                <w:color w:val="auto"/>
                <w:spacing w:val="0"/>
                <w:position w:val="0"/>
                <w:sz w:val="21"/>
                <w:szCs w:val="21"/>
                <w:highlight w:val="none"/>
              </w:rPr>
              <w:t>酯</w:t>
            </w:r>
          </w:p>
        </w:tc>
        <w:tc>
          <w:tcPr>
            <w:tcW w:w="1815" w:type="dxa"/>
            <w:gridSpan w:val="2"/>
            <w:vMerge w:val="continue"/>
            <w:vAlign w:val="center"/>
          </w:tcPr>
          <w:p w14:paraId="40F7E60D">
            <w:pPr>
              <w:pStyle w:val="69"/>
              <w:rPr>
                <w:rFonts w:hint="eastAsia" w:ascii="Times New Roman" w:hAnsi="Times New Roman" w:eastAsia="宋体" w:cs="Times New Roman"/>
                <w:b w:val="0"/>
                <w:bCs w:val="0"/>
                <w:color w:val="auto"/>
                <w:spacing w:val="0"/>
                <w:position w:val="0"/>
                <w:sz w:val="21"/>
                <w:szCs w:val="21"/>
                <w:highlight w:val="none"/>
              </w:rPr>
            </w:pPr>
          </w:p>
        </w:tc>
        <w:tc>
          <w:tcPr>
            <w:tcW w:w="2709" w:type="dxa"/>
            <w:vMerge w:val="continue"/>
            <w:vAlign w:val="center"/>
          </w:tcPr>
          <w:p w14:paraId="03322756">
            <w:pPr>
              <w:pStyle w:val="69"/>
              <w:jc w:val="both"/>
              <w:rPr>
                <w:rFonts w:hint="eastAsia" w:ascii="Times New Roman" w:hAnsi="Times New Roman" w:eastAsia="宋体" w:cs="Times New Roman"/>
                <w:b w:val="0"/>
                <w:bCs w:val="0"/>
                <w:color w:val="auto"/>
                <w:spacing w:val="0"/>
                <w:position w:val="0"/>
                <w:sz w:val="21"/>
                <w:szCs w:val="21"/>
                <w:highlight w:val="none"/>
              </w:rPr>
            </w:pPr>
          </w:p>
        </w:tc>
      </w:tr>
      <w:tr w14:paraId="021BD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continue"/>
            <w:vAlign w:val="center"/>
          </w:tcPr>
          <w:p w14:paraId="2B0BA0E8">
            <w:pPr>
              <w:pStyle w:val="69"/>
              <w:rPr>
                <w:rFonts w:hint="eastAsia" w:ascii="Times New Roman" w:hAnsi="Times New Roman" w:eastAsia="宋体" w:cs="Times New Roman"/>
                <w:b w:val="0"/>
                <w:bCs w:val="0"/>
                <w:color w:val="auto"/>
                <w:spacing w:val="0"/>
                <w:position w:val="0"/>
                <w:sz w:val="21"/>
                <w:szCs w:val="21"/>
                <w:highlight w:val="none"/>
              </w:rPr>
            </w:pPr>
          </w:p>
        </w:tc>
        <w:tc>
          <w:tcPr>
            <w:tcW w:w="1843" w:type="dxa"/>
            <w:gridSpan w:val="3"/>
            <w:vMerge w:val="continue"/>
            <w:vAlign w:val="center"/>
          </w:tcPr>
          <w:p w14:paraId="4B32B3BD">
            <w:pPr>
              <w:pStyle w:val="69"/>
              <w:rPr>
                <w:rFonts w:hint="eastAsia" w:ascii="Times New Roman" w:hAnsi="Times New Roman" w:eastAsia="宋体" w:cs="Times New Roman"/>
                <w:b w:val="0"/>
                <w:bCs w:val="0"/>
                <w:color w:val="auto"/>
                <w:spacing w:val="0"/>
                <w:position w:val="0"/>
                <w:sz w:val="21"/>
                <w:szCs w:val="21"/>
                <w:highlight w:val="none"/>
              </w:rPr>
            </w:pPr>
          </w:p>
        </w:tc>
        <w:tc>
          <w:tcPr>
            <w:tcW w:w="1344" w:type="dxa"/>
            <w:vAlign w:val="center"/>
          </w:tcPr>
          <w:p w14:paraId="2F28791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非甲烷总烃</w:t>
            </w:r>
          </w:p>
        </w:tc>
        <w:tc>
          <w:tcPr>
            <w:tcW w:w="1815" w:type="dxa"/>
            <w:gridSpan w:val="2"/>
            <w:vMerge w:val="continue"/>
            <w:vAlign w:val="center"/>
          </w:tcPr>
          <w:p w14:paraId="4166089C">
            <w:pPr>
              <w:pStyle w:val="69"/>
              <w:rPr>
                <w:rFonts w:hint="eastAsia" w:ascii="Times New Roman" w:hAnsi="Times New Roman" w:eastAsia="宋体" w:cs="Times New Roman"/>
                <w:b w:val="0"/>
                <w:bCs w:val="0"/>
                <w:color w:val="auto"/>
                <w:spacing w:val="0"/>
                <w:position w:val="0"/>
                <w:sz w:val="21"/>
                <w:szCs w:val="21"/>
                <w:highlight w:val="none"/>
              </w:rPr>
            </w:pPr>
          </w:p>
        </w:tc>
        <w:tc>
          <w:tcPr>
            <w:tcW w:w="2709" w:type="dxa"/>
            <w:vMerge w:val="continue"/>
            <w:vAlign w:val="center"/>
          </w:tcPr>
          <w:p w14:paraId="522A78BF">
            <w:pPr>
              <w:keepNext w:val="0"/>
              <w:keepLines w:val="0"/>
              <w:pageBreakBefore w:val="0"/>
              <w:kinsoku/>
              <w:wordWrap w:val="0"/>
              <w:overflowPunct/>
              <w:topLinePunct/>
              <w:autoSpaceDE/>
              <w:autoSpaceDN/>
              <w:bidi w:val="0"/>
              <w:adjustRightInd w:val="0"/>
              <w:snapToGrid w:val="0"/>
              <w:jc w:val="both"/>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p>
        </w:tc>
      </w:tr>
      <w:tr w14:paraId="451CAF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continue"/>
            <w:vAlign w:val="center"/>
          </w:tcPr>
          <w:p w14:paraId="5B14EBB0">
            <w:pPr>
              <w:pStyle w:val="69"/>
              <w:rPr>
                <w:rFonts w:hint="eastAsia" w:ascii="Times New Roman" w:hAnsi="Times New Roman" w:eastAsia="宋体" w:cs="Times New Roman"/>
                <w:b w:val="0"/>
                <w:bCs w:val="0"/>
                <w:color w:val="auto"/>
                <w:spacing w:val="0"/>
                <w:position w:val="0"/>
                <w:sz w:val="21"/>
                <w:szCs w:val="21"/>
                <w:highlight w:val="none"/>
              </w:rPr>
            </w:pPr>
          </w:p>
        </w:tc>
        <w:tc>
          <w:tcPr>
            <w:tcW w:w="486" w:type="dxa"/>
            <w:vMerge w:val="restart"/>
            <w:vAlign w:val="center"/>
          </w:tcPr>
          <w:p w14:paraId="001ED371">
            <w:pPr>
              <w:pStyle w:val="69"/>
              <w:jc w:val="center"/>
              <w:rPr>
                <w:rFonts w:hint="eastAsia"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lang w:val="en-US" w:eastAsia="zh-CN"/>
              </w:rPr>
              <w:t>厂区内</w:t>
            </w:r>
          </w:p>
        </w:tc>
        <w:tc>
          <w:tcPr>
            <w:tcW w:w="1357" w:type="dxa"/>
            <w:gridSpan w:val="2"/>
            <w:vAlign w:val="center"/>
          </w:tcPr>
          <w:p w14:paraId="505EB725">
            <w:pPr>
              <w:keepNext w:val="0"/>
              <w:keepLines w:val="0"/>
              <w:widowControl/>
              <w:suppressLineNumbers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lang w:val="en-US" w:eastAsia="zh-CN" w:bidi="ar"/>
              </w:rPr>
              <w:t>监控点处</w:t>
            </w:r>
          </w:p>
          <w:p w14:paraId="3D8E6FFA">
            <w:pPr>
              <w:keepNext w:val="0"/>
              <w:keepLines w:val="0"/>
              <w:widowControl/>
              <w:suppressLineNumbers w:val="0"/>
              <w:jc w:val="center"/>
              <w:rPr>
                <w:rFonts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kern w:val="0"/>
                <w:position w:val="0"/>
                <w:sz w:val="21"/>
                <w:szCs w:val="21"/>
                <w:highlight w:val="none"/>
                <w:lang w:val="en-US" w:eastAsia="zh-CN" w:bidi="ar"/>
              </w:rPr>
              <w:t xml:space="preserve">1h </w:t>
            </w:r>
            <w:r>
              <w:rPr>
                <w:rFonts w:hint="eastAsia" w:ascii="Times New Roman" w:hAnsi="Times New Roman" w:eastAsia="宋体" w:cs="Times New Roman"/>
                <w:color w:val="auto"/>
                <w:spacing w:val="0"/>
                <w:kern w:val="0"/>
                <w:position w:val="0"/>
                <w:sz w:val="21"/>
                <w:szCs w:val="21"/>
                <w:highlight w:val="none"/>
                <w:lang w:val="en-US" w:eastAsia="zh-CN" w:bidi="ar"/>
              </w:rPr>
              <w:t>平均</w:t>
            </w:r>
          </w:p>
          <w:p w14:paraId="63FFAF1D">
            <w:pPr>
              <w:keepNext w:val="0"/>
              <w:keepLines w:val="0"/>
              <w:widowControl/>
              <w:suppressLineNumbers w:val="0"/>
              <w:jc w:val="center"/>
              <w:rPr>
                <w:rFonts w:hint="eastAsia"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bidi="ar"/>
              </w:rPr>
              <w:t>浓度值</w:t>
            </w:r>
          </w:p>
        </w:tc>
        <w:tc>
          <w:tcPr>
            <w:tcW w:w="1344" w:type="dxa"/>
            <w:vAlign w:val="center"/>
          </w:tcPr>
          <w:p w14:paraId="437C1D77">
            <w:pPr>
              <w:pStyle w:val="69"/>
              <w:jc w:val="center"/>
              <w:rPr>
                <w:rFonts w:hint="eastAsia"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rPr>
              <w:t>非甲烷总烃</w:t>
            </w:r>
          </w:p>
        </w:tc>
        <w:tc>
          <w:tcPr>
            <w:tcW w:w="1815" w:type="dxa"/>
            <w:gridSpan w:val="2"/>
            <w:vMerge w:val="restart"/>
            <w:vAlign w:val="center"/>
          </w:tcPr>
          <w:p w14:paraId="0E2FE01D">
            <w:pPr>
              <w:keepNext w:val="0"/>
              <w:keepLines w:val="0"/>
              <w:widowControl/>
              <w:suppressLineNumbers w:val="0"/>
              <w:jc w:val="both"/>
              <w:rPr>
                <w:rFonts w:hint="eastAsia" w:ascii="Times New Roman" w:hAnsi="Times New Roman" w:eastAsia="宋体" w:cs="Times New Roman"/>
                <w:color w:val="auto"/>
                <w:spacing w:val="0"/>
                <w:kern w:val="0"/>
                <w:position w:val="0"/>
                <w:sz w:val="21"/>
                <w:szCs w:val="21"/>
                <w:highlight w:val="none"/>
                <w:lang w:val="en-US" w:eastAsia="zh-CN" w:bidi="ar"/>
              </w:rPr>
            </w:pPr>
            <w:r>
              <w:rPr>
                <w:rFonts w:hint="eastAsia" w:ascii="Times New Roman" w:hAnsi="Times New Roman" w:eastAsia="宋体" w:cs="Times New Roman"/>
                <w:color w:val="auto"/>
                <w:spacing w:val="0"/>
                <w:kern w:val="0"/>
                <w:position w:val="0"/>
                <w:sz w:val="21"/>
                <w:szCs w:val="21"/>
                <w:highlight w:val="none"/>
                <w:lang w:val="en-US" w:eastAsia="zh-CN" w:bidi="ar"/>
              </w:rPr>
              <w:t>①产生</w:t>
            </w:r>
            <w:r>
              <w:rPr>
                <w:rFonts w:hint="eastAsia" w:cs="Times New Roman"/>
                <w:color w:val="auto"/>
                <w:spacing w:val="0"/>
                <w:kern w:val="0"/>
                <w:position w:val="0"/>
                <w:sz w:val="21"/>
                <w:szCs w:val="21"/>
                <w:highlight w:val="none"/>
                <w:lang w:val="en-US" w:eastAsia="zh-CN" w:bidi="ar"/>
              </w:rPr>
              <w:t>的</w:t>
            </w:r>
            <w:r>
              <w:rPr>
                <w:rFonts w:hint="eastAsia" w:ascii="Times New Roman" w:hAnsi="Times New Roman" w:eastAsia="宋体" w:cs="Times New Roman"/>
                <w:color w:val="auto"/>
                <w:spacing w:val="0"/>
                <w:kern w:val="0"/>
                <w:position w:val="0"/>
                <w:sz w:val="21"/>
                <w:szCs w:val="21"/>
                <w:highlight w:val="none"/>
                <w:lang w:val="en-US" w:eastAsia="zh-CN" w:bidi="ar"/>
              </w:rPr>
              <w:t>有机废气经集气</w:t>
            </w:r>
            <w:r>
              <w:rPr>
                <w:rFonts w:hint="eastAsia" w:cs="Times New Roman"/>
                <w:color w:val="auto"/>
                <w:spacing w:val="0"/>
                <w:kern w:val="0"/>
                <w:position w:val="0"/>
                <w:sz w:val="21"/>
                <w:szCs w:val="21"/>
                <w:highlight w:val="none"/>
                <w:lang w:val="en-US" w:eastAsia="zh-CN" w:bidi="ar"/>
              </w:rPr>
              <w:t>装置</w:t>
            </w:r>
            <w:r>
              <w:rPr>
                <w:rFonts w:hint="eastAsia" w:ascii="Times New Roman" w:hAnsi="Times New Roman" w:eastAsia="宋体" w:cs="Times New Roman"/>
                <w:color w:val="auto"/>
                <w:spacing w:val="0"/>
                <w:kern w:val="0"/>
                <w:position w:val="0"/>
                <w:sz w:val="21"/>
                <w:szCs w:val="21"/>
                <w:highlight w:val="none"/>
                <w:lang w:val="en-US" w:eastAsia="zh-CN" w:bidi="ar"/>
              </w:rPr>
              <w:t>收集净化处理后有组织排放；</w:t>
            </w:r>
          </w:p>
          <w:p w14:paraId="5B6F8245">
            <w:pPr>
              <w:keepNext w:val="0"/>
              <w:keepLines w:val="0"/>
              <w:widowControl/>
              <w:suppressLineNumbers w:val="0"/>
              <w:jc w:val="both"/>
              <w:rPr>
                <w:rFonts w:hint="default" w:ascii="Times New Roman" w:hAnsi="Times New Roman" w:eastAsia="宋体" w:cs="Times New Roman"/>
                <w:b w:val="0"/>
                <w:bCs w:val="0"/>
                <w:color w:val="auto"/>
                <w:spacing w:val="0"/>
                <w:position w:val="0"/>
                <w:sz w:val="21"/>
                <w:szCs w:val="21"/>
                <w:highlight w:val="none"/>
                <w:lang w:val="en-US"/>
              </w:rPr>
            </w:pPr>
            <w:r>
              <w:rPr>
                <w:rFonts w:hint="eastAsia" w:ascii="Times New Roman" w:hAnsi="Times New Roman" w:eastAsia="宋体" w:cs="Times New Roman"/>
                <w:color w:val="auto"/>
                <w:spacing w:val="0"/>
                <w:kern w:val="0"/>
                <w:position w:val="0"/>
                <w:sz w:val="21"/>
                <w:szCs w:val="21"/>
                <w:highlight w:val="none"/>
                <w:lang w:val="en-US" w:eastAsia="zh-CN" w:bidi="ar"/>
              </w:rPr>
              <w:t>②</w:t>
            </w:r>
            <w:r>
              <w:rPr>
                <w:rFonts w:hint="eastAsia" w:cs="Times New Roman"/>
                <w:color w:val="auto"/>
                <w:spacing w:val="0"/>
                <w:kern w:val="0"/>
                <w:position w:val="0"/>
                <w:sz w:val="21"/>
                <w:szCs w:val="21"/>
                <w:highlight w:val="none"/>
                <w:lang w:val="en-US" w:eastAsia="zh-CN" w:bidi="ar"/>
              </w:rPr>
              <w:t>油性漆、水性漆</w:t>
            </w:r>
            <w:r>
              <w:rPr>
                <w:rFonts w:hint="eastAsia" w:ascii="Times New Roman" w:hAnsi="Times New Roman" w:eastAsia="宋体" w:cs="Times New Roman"/>
                <w:color w:val="auto"/>
                <w:spacing w:val="0"/>
                <w:kern w:val="0"/>
                <w:position w:val="0"/>
                <w:sz w:val="21"/>
                <w:szCs w:val="21"/>
                <w:highlight w:val="none"/>
                <w:lang w:val="en-US" w:eastAsia="zh-CN" w:bidi="ar"/>
              </w:rPr>
              <w:t>、稀释剂</w:t>
            </w:r>
            <w:r>
              <w:rPr>
                <w:rFonts w:hint="eastAsia" w:cs="Times New Roman"/>
                <w:color w:val="auto"/>
                <w:spacing w:val="0"/>
                <w:kern w:val="0"/>
                <w:position w:val="0"/>
                <w:sz w:val="21"/>
                <w:szCs w:val="21"/>
                <w:highlight w:val="none"/>
                <w:lang w:val="en-US" w:eastAsia="zh-CN" w:bidi="ar"/>
              </w:rPr>
              <w:t>、固化剂</w:t>
            </w:r>
            <w:r>
              <w:rPr>
                <w:rFonts w:hint="eastAsia" w:ascii="Times New Roman" w:hAnsi="Times New Roman" w:eastAsia="宋体" w:cs="Times New Roman"/>
                <w:color w:val="auto"/>
                <w:spacing w:val="0"/>
                <w:kern w:val="0"/>
                <w:position w:val="0"/>
                <w:sz w:val="21"/>
                <w:szCs w:val="21"/>
                <w:highlight w:val="none"/>
                <w:lang w:val="en-US" w:eastAsia="zh-CN" w:bidi="ar"/>
              </w:rPr>
              <w:t>等有机溶剂在厂区内运输时不打开包装，密闭运输，到</w:t>
            </w:r>
            <w:r>
              <w:rPr>
                <w:rFonts w:hint="eastAsia" w:cs="Times New Roman"/>
                <w:color w:val="auto"/>
                <w:spacing w:val="0"/>
                <w:kern w:val="0"/>
                <w:position w:val="0"/>
                <w:sz w:val="21"/>
                <w:szCs w:val="21"/>
                <w:highlight w:val="none"/>
                <w:lang w:val="en-US" w:eastAsia="zh-CN" w:bidi="ar"/>
              </w:rPr>
              <w:t>喷漆晾干房</w:t>
            </w:r>
            <w:r>
              <w:rPr>
                <w:rFonts w:hint="eastAsia" w:ascii="Times New Roman" w:hAnsi="Times New Roman" w:eastAsia="宋体" w:cs="Times New Roman"/>
                <w:color w:val="auto"/>
                <w:spacing w:val="0"/>
                <w:kern w:val="0"/>
                <w:position w:val="0"/>
                <w:sz w:val="21"/>
                <w:szCs w:val="21"/>
                <w:highlight w:val="none"/>
                <w:lang w:val="en-US" w:eastAsia="zh-CN" w:bidi="ar"/>
              </w:rPr>
              <w:t>使用才进行开封</w:t>
            </w:r>
            <w:r>
              <w:rPr>
                <w:rFonts w:hint="eastAsia" w:cs="Times New Roman"/>
                <w:color w:val="auto"/>
                <w:spacing w:val="0"/>
                <w:kern w:val="0"/>
                <w:position w:val="0"/>
                <w:sz w:val="21"/>
                <w:szCs w:val="21"/>
                <w:highlight w:val="none"/>
                <w:lang w:val="en-US" w:eastAsia="zh-CN" w:bidi="ar"/>
              </w:rPr>
              <w:t>等。</w:t>
            </w:r>
          </w:p>
        </w:tc>
        <w:tc>
          <w:tcPr>
            <w:tcW w:w="2709" w:type="dxa"/>
            <w:vAlign w:val="center"/>
          </w:tcPr>
          <w:p w14:paraId="224C6A40">
            <w:pPr>
              <w:pStyle w:val="69"/>
              <w:keepNext w:val="0"/>
              <w:keepLines w:val="0"/>
              <w:pageBreakBefore w:val="0"/>
              <w:widowControl/>
              <w:kinsoku/>
              <w:wordWrap w:val="0"/>
              <w:overflowPunct/>
              <w:topLinePunct/>
              <w:autoSpaceDE/>
              <w:autoSpaceDN/>
              <w:bidi w:val="0"/>
              <w:adjustRightInd/>
              <w:snapToGrid w:val="0"/>
              <w:jc w:val="both"/>
              <w:textAlignment w:val="auto"/>
              <w:rPr>
                <w:rFonts w:hint="default"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rPr>
              <w:t>《工业涂装工序挥发性有机物排放标准》（DB35/1783-2018）</w:t>
            </w:r>
            <w:r>
              <w:rPr>
                <w:rFonts w:hint="eastAsia" w:ascii="Times New Roman" w:hAnsi="Times New Roman" w:eastAsia="宋体" w:cs="Times New Roman"/>
                <w:b w:val="0"/>
                <w:bCs w:val="0"/>
                <w:color w:val="auto"/>
                <w:spacing w:val="0"/>
                <w:position w:val="0"/>
                <w:sz w:val="21"/>
                <w:szCs w:val="21"/>
                <w:highlight w:val="none"/>
                <w:lang w:val="en-US" w:eastAsia="zh-CN"/>
              </w:rPr>
              <w:t>表3标准，即：</w:t>
            </w:r>
            <w:r>
              <w:rPr>
                <w:rFonts w:hint="eastAsia" w:ascii="Times New Roman" w:hAnsi="Times New Roman" w:eastAsia="宋体" w:cs="Times New Roman"/>
                <w:b w:val="0"/>
                <w:bCs w:val="0"/>
                <w:color w:val="auto"/>
                <w:spacing w:val="0"/>
                <w:position w:val="0"/>
                <w:sz w:val="21"/>
                <w:szCs w:val="21"/>
                <w:highlight w:val="none"/>
              </w:rPr>
              <w:t>非甲烷总烃</w:t>
            </w:r>
            <w:r>
              <w:rPr>
                <w:rFonts w:hint="eastAsia" w:ascii="Times New Roman" w:hAnsi="Times New Roman" w:eastAsia="宋体" w:cs="Times New Roman"/>
                <w:b w:val="0"/>
                <w:bCs w:val="0"/>
                <w:color w:val="auto"/>
                <w:spacing w:val="0"/>
                <w:position w:val="0"/>
                <w:sz w:val="21"/>
                <w:szCs w:val="21"/>
                <w:highlight w:val="none"/>
                <w:lang w:val="en-US" w:eastAsia="zh-CN"/>
              </w:rPr>
              <w:t>≤8.0</w:t>
            </w:r>
            <w:r>
              <w:rPr>
                <w:rFonts w:ascii="Times New Roman" w:hAnsi="Times New Roman" w:eastAsia="宋体" w:cs="Times New Roman"/>
                <w:b w:val="0"/>
                <w:bCs w:val="0"/>
                <w:color w:val="auto"/>
                <w:spacing w:val="0"/>
                <w:position w:val="0"/>
                <w:sz w:val="21"/>
                <w:szCs w:val="21"/>
                <w:highlight w:val="none"/>
              </w:rPr>
              <w:t>mg/m</w:t>
            </w:r>
            <w:r>
              <w:rPr>
                <w:rFonts w:ascii="Times New Roman" w:hAnsi="Times New Roman" w:eastAsia="宋体" w:cs="Times New Roman"/>
                <w:b w:val="0"/>
                <w:bCs w:val="0"/>
                <w:color w:val="auto"/>
                <w:spacing w:val="0"/>
                <w:position w:val="0"/>
                <w:sz w:val="21"/>
                <w:szCs w:val="21"/>
                <w:highlight w:val="none"/>
                <w:vertAlign w:val="superscript"/>
              </w:rPr>
              <w:t>3</w:t>
            </w:r>
          </w:p>
        </w:tc>
      </w:tr>
      <w:tr w14:paraId="748F8D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continue"/>
            <w:vAlign w:val="center"/>
          </w:tcPr>
          <w:p w14:paraId="4EFFFDAC">
            <w:pPr>
              <w:pStyle w:val="69"/>
              <w:rPr>
                <w:rFonts w:ascii="Times New Roman" w:hAnsi="Times New Roman" w:eastAsia="宋体" w:cs="Times New Roman"/>
                <w:color w:val="auto"/>
                <w:spacing w:val="0"/>
                <w:position w:val="0"/>
                <w:sz w:val="21"/>
                <w:szCs w:val="21"/>
                <w:highlight w:val="none"/>
              </w:rPr>
            </w:pPr>
          </w:p>
        </w:tc>
        <w:tc>
          <w:tcPr>
            <w:tcW w:w="486" w:type="dxa"/>
            <w:vMerge w:val="continue"/>
            <w:vAlign w:val="center"/>
          </w:tcPr>
          <w:p w14:paraId="0E5501BD">
            <w:pPr>
              <w:pStyle w:val="69"/>
              <w:jc w:val="center"/>
              <w:rPr>
                <w:rFonts w:ascii="Times New Roman" w:hAnsi="Times New Roman" w:eastAsia="宋体" w:cs="Times New Roman"/>
                <w:color w:val="auto"/>
                <w:spacing w:val="0"/>
                <w:position w:val="0"/>
                <w:sz w:val="21"/>
                <w:szCs w:val="21"/>
                <w:highlight w:val="none"/>
              </w:rPr>
            </w:pPr>
          </w:p>
        </w:tc>
        <w:tc>
          <w:tcPr>
            <w:tcW w:w="1357" w:type="dxa"/>
            <w:gridSpan w:val="2"/>
            <w:vAlign w:val="center"/>
          </w:tcPr>
          <w:p w14:paraId="66ECDDA6">
            <w:pPr>
              <w:keepNext w:val="0"/>
              <w:keepLines w:val="0"/>
              <w:widowControl/>
              <w:suppressLineNumbers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lang w:val="en-US" w:eastAsia="zh-CN" w:bidi="ar"/>
              </w:rPr>
              <w:t>监控点处</w:t>
            </w:r>
          </w:p>
          <w:p w14:paraId="3DC467C2">
            <w:pPr>
              <w:keepNext w:val="0"/>
              <w:keepLines w:val="0"/>
              <w:widowControl/>
              <w:suppressLineNumbers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lang w:val="en-US" w:eastAsia="zh-CN" w:bidi="ar"/>
              </w:rPr>
              <w:t>任意一次</w:t>
            </w:r>
          </w:p>
          <w:p w14:paraId="10E885A0">
            <w:pPr>
              <w:keepNext w:val="0"/>
              <w:keepLines w:val="0"/>
              <w:widowControl/>
              <w:suppressLineNumbers w:val="0"/>
              <w:jc w:val="center"/>
              <w:rPr>
                <w:rFonts w:hint="eastAsia"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color w:val="auto"/>
                <w:spacing w:val="0"/>
                <w:kern w:val="0"/>
                <w:position w:val="0"/>
                <w:sz w:val="21"/>
                <w:szCs w:val="21"/>
                <w:highlight w:val="none"/>
                <w:lang w:val="en-US" w:eastAsia="zh-CN" w:bidi="ar"/>
              </w:rPr>
              <w:t>浓度值</w:t>
            </w:r>
          </w:p>
        </w:tc>
        <w:tc>
          <w:tcPr>
            <w:tcW w:w="1344" w:type="dxa"/>
            <w:vAlign w:val="center"/>
          </w:tcPr>
          <w:p w14:paraId="16D53749">
            <w:pPr>
              <w:pStyle w:val="69"/>
              <w:jc w:val="center"/>
              <w:rPr>
                <w:rFonts w:hint="eastAsia"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rPr>
              <w:t>非甲烷总烃</w:t>
            </w:r>
          </w:p>
        </w:tc>
        <w:tc>
          <w:tcPr>
            <w:tcW w:w="1815" w:type="dxa"/>
            <w:gridSpan w:val="2"/>
            <w:vMerge w:val="continue"/>
            <w:vAlign w:val="center"/>
          </w:tcPr>
          <w:p w14:paraId="6EBC3A60">
            <w:pPr>
              <w:pStyle w:val="69"/>
              <w:jc w:val="center"/>
              <w:rPr>
                <w:rFonts w:hint="eastAsia" w:ascii="Times New Roman" w:hAnsi="Times New Roman" w:eastAsia="宋体" w:cs="Times New Roman"/>
                <w:b w:val="0"/>
                <w:bCs w:val="0"/>
                <w:color w:val="auto"/>
                <w:spacing w:val="0"/>
                <w:position w:val="0"/>
                <w:sz w:val="21"/>
                <w:szCs w:val="21"/>
                <w:highlight w:val="none"/>
                <w:lang w:val="en-US" w:eastAsia="zh-CN"/>
              </w:rPr>
            </w:pPr>
          </w:p>
        </w:tc>
        <w:tc>
          <w:tcPr>
            <w:tcW w:w="2709" w:type="dxa"/>
            <w:vAlign w:val="center"/>
          </w:tcPr>
          <w:p w14:paraId="0243ECB1">
            <w:pPr>
              <w:keepNext w:val="0"/>
              <w:keepLines w:val="0"/>
              <w:pageBreakBefore w:val="0"/>
              <w:widowControl/>
              <w:suppressLineNumbers w:val="0"/>
              <w:kinsoku/>
              <w:wordWrap w:val="0"/>
              <w:overflowPunct/>
              <w:topLinePunct/>
              <w:autoSpaceDE/>
              <w:autoSpaceDN/>
              <w:bidi w:val="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lang w:val="en-US" w:eastAsia="zh-CN" w:bidi="ar"/>
              </w:rPr>
              <w:t>《挥发性有机物无组织排</w:t>
            </w:r>
          </w:p>
          <w:p w14:paraId="36C3A201">
            <w:pPr>
              <w:keepNext w:val="0"/>
              <w:keepLines w:val="0"/>
              <w:pageBreakBefore w:val="0"/>
              <w:widowControl/>
              <w:suppressLineNumbers w:val="0"/>
              <w:kinsoku/>
              <w:wordWrap w:val="0"/>
              <w:overflowPunct/>
              <w:topLinePunct/>
              <w:autoSpaceDE/>
              <w:autoSpaceDN/>
              <w:bidi w:val="0"/>
              <w:jc w:val="center"/>
              <w:textAlignment w:val="auto"/>
              <w:rPr>
                <w:rFonts w:hint="eastAsia" w:ascii="Times New Roman" w:hAnsi="Times New Roman" w:eastAsia="宋体" w:cs="Times New Roman"/>
                <w:color w:val="auto"/>
                <w:spacing w:val="0"/>
                <w:kern w:val="0"/>
                <w:position w:val="0"/>
                <w:sz w:val="21"/>
                <w:szCs w:val="21"/>
                <w:highlight w:val="none"/>
                <w:lang w:val="en-US" w:eastAsia="zh-CN" w:bidi="ar"/>
              </w:rPr>
            </w:pPr>
            <w:r>
              <w:rPr>
                <w:rFonts w:hint="eastAsia" w:ascii="Times New Roman" w:hAnsi="Times New Roman" w:eastAsia="宋体" w:cs="Times New Roman"/>
                <w:color w:val="auto"/>
                <w:spacing w:val="0"/>
                <w:kern w:val="0"/>
                <w:position w:val="0"/>
                <w:sz w:val="21"/>
                <w:szCs w:val="21"/>
                <w:highlight w:val="none"/>
                <w:lang w:val="en-US" w:eastAsia="zh-CN" w:bidi="ar"/>
              </w:rPr>
              <w:t>放控制标准》（</w:t>
            </w:r>
            <w:r>
              <w:rPr>
                <w:rFonts w:hint="default" w:ascii="Times New Roman" w:hAnsi="Times New Roman" w:eastAsia="宋体" w:cs="Times New Roman"/>
                <w:color w:val="auto"/>
                <w:spacing w:val="0"/>
                <w:kern w:val="0"/>
                <w:position w:val="0"/>
                <w:sz w:val="21"/>
                <w:szCs w:val="21"/>
                <w:highlight w:val="none"/>
                <w:lang w:val="en-US" w:eastAsia="zh-CN" w:bidi="ar"/>
              </w:rPr>
              <w:t>GB37822-2019</w:t>
            </w:r>
            <w:r>
              <w:rPr>
                <w:rFonts w:hint="eastAsia" w:ascii="Times New Roman" w:hAnsi="Times New Roman" w:eastAsia="宋体" w:cs="Times New Roman"/>
                <w:color w:val="auto"/>
                <w:spacing w:val="0"/>
                <w:kern w:val="0"/>
                <w:position w:val="0"/>
                <w:sz w:val="21"/>
                <w:szCs w:val="21"/>
                <w:highlight w:val="none"/>
                <w:lang w:val="en-US" w:eastAsia="zh-CN" w:bidi="ar"/>
              </w:rPr>
              <w:t>）附录</w:t>
            </w:r>
            <w:r>
              <w:rPr>
                <w:rFonts w:hint="default" w:ascii="Times New Roman" w:hAnsi="Times New Roman" w:eastAsia="宋体" w:cs="Times New Roman"/>
                <w:color w:val="auto"/>
                <w:spacing w:val="0"/>
                <w:kern w:val="0"/>
                <w:position w:val="0"/>
                <w:sz w:val="21"/>
                <w:szCs w:val="21"/>
                <w:highlight w:val="none"/>
                <w:lang w:val="en-US" w:eastAsia="zh-CN" w:bidi="ar"/>
              </w:rPr>
              <w:t>A</w:t>
            </w:r>
            <w:r>
              <w:rPr>
                <w:rFonts w:hint="eastAsia" w:ascii="Times New Roman" w:hAnsi="Times New Roman" w:eastAsia="宋体" w:cs="Times New Roman"/>
                <w:color w:val="auto"/>
                <w:spacing w:val="0"/>
                <w:kern w:val="0"/>
                <w:position w:val="0"/>
                <w:sz w:val="21"/>
                <w:szCs w:val="21"/>
                <w:highlight w:val="none"/>
                <w:lang w:val="en-US" w:eastAsia="zh-CN" w:bidi="ar"/>
              </w:rPr>
              <w:t>表</w:t>
            </w:r>
            <w:r>
              <w:rPr>
                <w:rFonts w:hint="default" w:ascii="Times New Roman" w:hAnsi="Times New Roman" w:eastAsia="宋体" w:cs="Times New Roman"/>
                <w:color w:val="auto"/>
                <w:spacing w:val="0"/>
                <w:kern w:val="0"/>
                <w:position w:val="0"/>
                <w:sz w:val="21"/>
                <w:szCs w:val="21"/>
                <w:highlight w:val="none"/>
                <w:lang w:val="en-US" w:eastAsia="zh-CN" w:bidi="ar"/>
              </w:rPr>
              <w:t>A.1</w:t>
            </w:r>
            <w:r>
              <w:rPr>
                <w:rFonts w:hint="eastAsia" w:ascii="Times New Roman" w:hAnsi="Times New Roman" w:eastAsia="宋体" w:cs="Times New Roman"/>
                <w:color w:val="auto"/>
                <w:spacing w:val="0"/>
                <w:kern w:val="0"/>
                <w:position w:val="0"/>
                <w:sz w:val="21"/>
                <w:szCs w:val="21"/>
                <w:highlight w:val="none"/>
                <w:lang w:val="en-US" w:eastAsia="zh-CN" w:bidi="ar"/>
              </w:rPr>
              <w:t>标准，</w:t>
            </w:r>
          </w:p>
          <w:p w14:paraId="09AF4075">
            <w:pPr>
              <w:keepNext w:val="0"/>
              <w:keepLines w:val="0"/>
              <w:pageBreakBefore w:val="0"/>
              <w:widowControl/>
              <w:suppressLineNumbers w:val="0"/>
              <w:kinsoku/>
              <w:wordWrap w:val="0"/>
              <w:overflowPunct/>
              <w:topLinePunct/>
              <w:autoSpaceDE/>
              <w:autoSpaceDN/>
              <w:bidi w:val="0"/>
              <w:jc w:val="center"/>
              <w:textAlignment w:val="auto"/>
              <w:rPr>
                <w:rFonts w:hint="eastAsia" w:ascii="Times New Roman" w:hAnsi="Times New Roman" w:eastAsia="宋体" w:cs="Times New Roman"/>
                <w:b w:val="0"/>
                <w:bCs w:val="0"/>
                <w:color w:val="auto"/>
                <w:spacing w:val="0"/>
                <w:position w:val="0"/>
                <w:sz w:val="21"/>
                <w:szCs w:val="21"/>
                <w:highlight w:val="none"/>
                <w:lang w:val="en-US" w:eastAsia="zh-CN"/>
              </w:rPr>
            </w:pPr>
            <w:r>
              <w:rPr>
                <w:rFonts w:hint="eastAsia" w:ascii="Times New Roman" w:hAnsi="Times New Roman" w:eastAsia="宋体" w:cs="Times New Roman"/>
                <w:b w:val="0"/>
                <w:bCs w:val="0"/>
                <w:color w:val="auto"/>
                <w:spacing w:val="0"/>
                <w:position w:val="0"/>
                <w:sz w:val="21"/>
                <w:szCs w:val="21"/>
                <w:highlight w:val="none"/>
                <w:lang w:val="en-US" w:eastAsia="zh-CN"/>
              </w:rPr>
              <w:t>即：</w:t>
            </w:r>
            <w:r>
              <w:rPr>
                <w:rFonts w:hint="eastAsia" w:ascii="Times New Roman" w:hAnsi="Times New Roman" w:eastAsia="宋体" w:cs="Times New Roman"/>
                <w:b w:val="0"/>
                <w:bCs w:val="0"/>
                <w:color w:val="auto"/>
                <w:spacing w:val="0"/>
                <w:position w:val="0"/>
                <w:sz w:val="21"/>
                <w:szCs w:val="21"/>
                <w:highlight w:val="none"/>
              </w:rPr>
              <w:t>非甲烷总烃</w:t>
            </w:r>
            <w:r>
              <w:rPr>
                <w:rFonts w:hint="eastAsia" w:ascii="Times New Roman" w:hAnsi="Times New Roman" w:eastAsia="宋体" w:cs="Times New Roman"/>
                <w:b w:val="0"/>
                <w:bCs w:val="0"/>
                <w:color w:val="auto"/>
                <w:spacing w:val="0"/>
                <w:position w:val="0"/>
                <w:sz w:val="21"/>
                <w:szCs w:val="21"/>
                <w:highlight w:val="none"/>
                <w:lang w:val="en-US" w:eastAsia="zh-CN"/>
              </w:rPr>
              <w:t>≤30</w:t>
            </w:r>
            <w:r>
              <w:rPr>
                <w:rFonts w:ascii="Times New Roman" w:hAnsi="Times New Roman" w:eastAsia="宋体" w:cs="Times New Roman"/>
                <w:b w:val="0"/>
                <w:bCs w:val="0"/>
                <w:color w:val="auto"/>
                <w:spacing w:val="0"/>
                <w:position w:val="0"/>
                <w:sz w:val="21"/>
                <w:szCs w:val="21"/>
                <w:highlight w:val="none"/>
              </w:rPr>
              <w:t>mg/m</w:t>
            </w:r>
            <w:r>
              <w:rPr>
                <w:rFonts w:ascii="Times New Roman" w:hAnsi="Times New Roman" w:eastAsia="宋体" w:cs="Times New Roman"/>
                <w:b w:val="0"/>
                <w:bCs w:val="0"/>
                <w:color w:val="auto"/>
                <w:spacing w:val="0"/>
                <w:position w:val="0"/>
                <w:sz w:val="21"/>
                <w:szCs w:val="21"/>
                <w:highlight w:val="none"/>
                <w:vertAlign w:val="superscript"/>
              </w:rPr>
              <w:t>3</w:t>
            </w:r>
          </w:p>
        </w:tc>
      </w:tr>
      <w:tr w14:paraId="45003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restart"/>
            <w:vAlign w:val="center"/>
          </w:tcPr>
          <w:p w14:paraId="6D3F7580">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地表水环境</w:t>
            </w:r>
          </w:p>
        </w:tc>
        <w:tc>
          <w:tcPr>
            <w:tcW w:w="1843" w:type="dxa"/>
            <w:gridSpan w:val="3"/>
            <w:vAlign w:val="center"/>
          </w:tcPr>
          <w:p w14:paraId="4E1012DF">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生活污水</w:t>
            </w:r>
          </w:p>
        </w:tc>
        <w:tc>
          <w:tcPr>
            <w:tcW w:w="1344" w:type="dxa"/>
            <w:vAlign w:val="center"/>
          </w:tcPr>
          <w:p w14:paraId="781B522D">
            <w:pPr>
              <w:adjustRightInd w:val="0"/>
              <w:snapToGrid w:val="0"/>
              <w:jc w:val="center"/>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bCs/>
                <w:color w:val="auto"/>
                <w:spacing w:val="0"/>
                <w:position w:val="0"/>
                <w:sz w:val="21"/>
                <w:szCs w:val="21"/>
                <w:highlight w:val="none"/>
              </w:rPr>
              <w:t>pH、COD</w:t>
            </w:r>
            <w:r>
              <w:rPr>
                <w:rFonts w:hint="eastAsia" w:ascii="Times New Roman" w:hAnsi="Times New Roman" w:eastAsia="宋体" w:cs="Times New Roman"/>
                <w:bCs/>
                <w:color w:val="auto"/>
                <w:spacing w:val="0"/>
                <w:position w:val="0"/>
                <w:sz w:val="21"/>
                <w:szCs w:val="21"/>
                <w:highlight w:val="none"/>
                <w:vertAlign w:val="subscript"/>
                <w:lang w:val="en-US" w:eastAsia="zh-CN"/>
              </w:rPr>
              <w:t>Cr</w:t>
            </w:r>
            <w:r>
              <w:rPr>
                <w:rFonts w:hint="eastAsia" w:ascii="Times New Roman" w:hAnsi="Times New Roman" w:eastAsia="宋体" w:cs="Times New Roman"/>
                <w:bCs/>
                <w:color w:val="auto"/>
                <w:spacing w:val="0"/>
                <w:position w:val="0"/>
                <w:sz w:val="21"/>
                <w:szCs w:val="21"/>
                <w:highlight w:val="none"/>
              </w:rPr>
              <w:t>、BOD</w:t>
            </w:r>
            <w:r>
              <w:rPr>
                <w:rFonts w:hint="eastAsia" w:ascii="Times New Roman" w:hAnsi="Times New Roman" w:eastAsia="宋体" w:cs="Times New Roman"/>
                <w:bCs/>
                <w:color w:val="auto"/>
                <w:spacing w:val="0"/>
                <w:position w:val="0"/>
                <w:sz w:val="21"/>
                <w:szCs w:val="21"/>
                <w:highlight w:val="none"/>
                <w:vertAlign w:val="subscript"/>
              </w:rPr>
              <w:t>5</w:t>
            </w:r>
            <w:r>
              <w:rPr>
                <w:rFonts w:hint="eastAsia" w:ascii="Times New Roman" w:hAnsi="Times New Roman" w:eastAsia="宋体" w:cs="Times New Roman"/>
                <w:bCs/>
                <w:color w:val="auto"/>
                <w:spacing w:val="0"/>
                <w:position w:val="0"/>
                <w:sz w:val="21"/>
                <w:szCs w:val="21"/>
                <w:highlight w:val="none"/>
              </w:rPr>
              <w:t>、SS、NH</w:t>
            </w:r>
            <w:r>
              <w:rPr>
                <w:rFonts w:hint="eastAsia" w:ascii="Times New Roman" w:hAnsi="Times New Roman" w:eastAsia="宋体" w:cs="Times New Roman"/>
                <w:bCs/>
                <w:color w:val="auto"/>
                <w:spacing w:val="0"/>
                <w:position w:val="0"/>
                <w:sz w:val="21"/>
                <w:szCs w:val="21"/>
                <w:highlight w:val="none"/>
                <w:vertAlign w:val="subscript"/>
              </w:rPr>
              <w:t>3</w:t>
            </w:r>
            <w:r>
              <w:rPr>
                <w:rFonts w:hint="eastAsia" w:ascii="Times New Roman" w:hAnsi="Times New Roman" w:eastAsia="宋体" w:cs="Times New Roman"/>
                <w:bCs/>
                <w:color w:val="auto"/>
                <w:spacing w:val="0"/>
                <w:position w:val="0"/>
                <w:sz w:val="21"/>
                <w:szCs w:val="21"/>
                <w:highlight w:val="none"/>
              </w:rPr>
              <w:t>-N</w:t>
            </w:r>
            <w:r>
              <w:rPr>
                <w:rFonts w:hint="eastAsia" w:ascii="Times New Roman" w:hAnsi="Times New Roman" w:eastAsia="宋体" w:cs="Times New Roman"/>
                <w:bCs/>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总磷</w:t>
            </w:r>
            <w:r>
              <w:rPr>
                <w:rFonts w:hint="eastAsia" w:ascii="Times New Roman" w:hAnsi="Times New Roman" w:eastAsia="宋体" w:cs="Times New Roman"/>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总氮</w:t>
            </w:r>
          </w:p>
        </w:tc>
        <w:tc>
          <w:tcPr>
            <w:tcW w:w="1815" w:type="dxa"/>
            <w:gridSpan w:val="2"/>
            <w:vAlign w:val="center"/>
          </w:tcPr>
          <w:p w14:paraId="7987FB3C">
            <w:pPr>
              <w:adjustRightInd w:val="0"/>
              <w:snapToGrid w:val="0"/>
              <w:jc w:val="center"/>
              <w:rPr>
                <w:rFonts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val="en-US" w:eastAsia="zh-CN"/>
              </w:rPr>
              <w:t>生活污水经化粪池预处理后通过市政排污管网汇入</w:t>
            </w:r>
            <w:r>
              <w:rPr>
                <w:rFonts w:hint="eastAsia" w:cs="Times New Roman"/>
                <w:color w:val="auto"/>
                <w:spacing w:val="0"/>
                <w:position w:val="0"/>
                <w:sz w:val="21"/>
                <w:szCs w:val="21"/>
                <w:highlight w:val="none"/>
                <w:lang w:val="en-US" w:eastAsia="zh-CN"/>
              </w:rPr>
              <w:t>闽侯县城关污水处理厂</w:t>
            </w:r>
            <w:r>
              <w:rPr>
                <w:rFonts w:hint="default" w:ascii="Times New Roman" w:hAnsi="Times New Roman" w:eastAsia="宋体" w:cs="Times New Roman"/>
                <w:color w:val="auto"/>
                <w:spacing w:val="0"/>
                <w:position w:val="0"/>
                <w:sz w:val="21"/>
                <w:szCs w:val="21"/>
                <w:highlight w:val="none"/>
                <w:lang w:val="en-US" w:eastAsia="zh-CN"/>
              </w:rPr>
              <w:t>统一处理</w:t>
            </w:r>
          </w:p>
        </w:tc>
        <w:tc>
          <w:tcPr>
            <w:tcW w:w="2709" w:type="dxa"/>
            <w:vAlign w:val="center"/>
          </w:tcPr>
          <w:p w14:paraId="3A8D548C">
            <w:pPr>
              <w:keepNext w:val="0"/>
              <w:keepLines w:val="0"/>
              <w:pageBreakBefore w:val="0"/>
              <w:kinsoku/>
              <w:wordWrap w:val="0"/>
              <w:overflowPunct/>
              <w:topLinePunct/>
              <w:autoSpaceDE/>
              <w:autoSpaceDN/>
              <w:bidi w:val="0"/>
              <w:adjustRightInd w:val="0"/>
              <w:snapToGrid w:val="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《污水综合排放标准》（GB8978-1996）表4三级标准，其中氨氮、总磷、总氮参照《污水排入城镇下水道水质标准》（GB/T31962-2015）表1中B等级标准，即：pH：6~9</w:t>
            </w:r>
            <w:r>
              <w:rPr>
                <w:rFonts w:hint="eastAsia" w:ascii="Times New Roman" w:hAnsi="Times New Roman" w:eastAsia="宋体" w:cs="Times New Roman"/>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COD</w:t>
            </w:r>
            <w:r>
              <w:rPr>
                <w:rFonts w:ascii="Times New Roman" w:hAnsi="Times New Roman" w:eastAsia="宋体" w:cs="Times New Roman"/>
                <w:color w:val="auto"/>
                <w:spacing w:val="0"/>
                <w:position w:val="0"/>
                <w:sz w:val="21"/>
                <w:szCs w:val="21"/>
                <w:highlight w:val="none"/>
                <w:vertAlign w:val="subscript"/>
              </w:rPr>
              <w:t>Cr</w:t>
            </w:r>
            <w:r>
              <w:rPr>
                <w:rFonts w:ascii="Times New Roman" w:hAnsi="Times New Roman" w:eastAsia="宋体" w:cs="Times New Roman"/>
                <w:color w:val="auto"/>
                <w:spacing w:val="0"/>
                <w:position w:val="0"/>
                <w:sz w:val="21"/>
                <w:szCs w:val="21"/>
                <w:highlight w:val="none"/>
              </w:rPr>
              <w:t>≤500mg/L</w:t>
            </w:r>
            <w:r>
              <w:rPr>
                <w:rFonts w:hint="eastAsia" w:ascii="Times New Roman" w:hAnsi="Times New Roman" w:eastAsia="宋体" w:cs="Times New Roman"/>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BOD</w:t>
            </w:r>
            <w:r>
              <w:rPr>
                <w:rFonts w:ascii="Times New Roman" w:hAnsi="Times New Roman" w:eastAsia="宋体" w:cs="Times New Roman"/>
                <w:color w:val="auto"/>
                <w:spacing w:val="0"/>
                <w:position w:val="0"/>
                <w:sz w:val="21"/>
                <w:szCs w:val="21"/>
                <w:highlight w:val="none"/>
                <w:vertAlign w:val="subscript"/>
              </w:rPr>
              <w:t>5</w:t>
            </w:r>
            <w:r>
              <w:rPr>
                <w:rFonts w:ascii="Times New Roman" w:hAnsi="Times New Roman" w:eastAsia="宋体" w:cs="Times New Roman"/>
                <w:color w:val="auto"/>
                <w:spacing w:val="0"/>
                <w:position w:val="0"/>
                <w:sz w:val="21"/>
                <w:szCs w:val="21"/>
                <w:highlight w:val="none"/>
              </w:rPr>
              <w:t>≤300mg/L</w:t>
            </w:r>
            <w:r>
              <w:rPr>
                <w:rFonts w:hint="eastAsia" w:ascii="Times New Roman" w:hAnsi="Times New Roman" w:eastAsia="宋体" w:cs="Times New Roman"/>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SS≤400mg/L</w:t>
            </w:r>
            <w:r>
              <w:rPr>
                <w:rFonts w:hint="eastAsia" w:ascii="Times New Roman" w:hAnsi="Times New Roman" w:eastAsia="宋体" w:cs="Times New Roman"/>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氨氮≤45mg/L、总磷≤8mg/L、总氮≤70mg/L</w:t>
            </w:r>
          </w:p>
        </w:tc>
      </w:tr>
      <w:tr w14:paraId="3E946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continue"/>
            <w:vAlign w:val="center"/>
          </w:tcPr>
          <w:p w14:paraId="0E8163C8">
            <w:pPr>
              <w:adjustRightInd w:val="0"/>
              <w:snapToGrid w:val="0"/>
              <w:jc w:val="center"/>
              <w:rPr>
                <w:rFonts w:hint="eastAsia" w:ascii="Times New Roman" w:hAnsi="Times New Roman" w:eastAsia="宋体" w:cs="Times New Roman"/>
                <w:color w:val="auto"/>
                <w:spacing w:val="0"/>
                <w:position w:val="0"/>
                <w:sz w:val="21"/>
                <w:szCs w:val="21"/>
                <w:highlight w:val="none"/>
              </w:rPr>
            </w:pPr>
          </w:p>
        </w:tc>
        <w:tc>
          <w:tcPr>
            <w:tcW w:w="615" w:type="dxa"/>
            <w:gridSpan w:val="2"/>
            <w:vMerge w:val="restart"/>
            <w:vAlign w:val="center"/>
          </w:tcPr>
          <w:p w14:paraId="5BAEE71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生产废水</w:t>
            </w:r>
          </w:p>
        </w:tc>
        <w:tc>
          <w:tcPr>
            <w:tcW w:w="1228" w:type="dxa"/>
            <w:vAlign w:val="center"/>
          </w:tcPr>
          <w:p w14:paraId="16ABBB83">
            <w:pPr>
              <w:pStyle w:val="94"/>
              <w:adjustRightInd w:val="0"/>
              <w:snapToGrid w:val="0"/>
              <w:ind w:left="-63" w:leftChars="-30" w:right="-63" w:rightChars="-30" w:firstLine="0" w:firstLineChars="0"/>
              <w:rPr>
                <w:rFonts w:hint="eastAsia"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b w:val="0"/>
                <w:bCs/>
                <w:color w:val="auto"/>
                <w:spacing w:val="0"/>
                <w:position w:val="0"/>
                <w:sz w:val="21"/>
                <w:szCs w:val="21"/>
                <w:highlight w:val="none"/>
                <w:lang w:eastAsia="zh-CN"/>
              </w:rPr>
              <w:t>水帘</w:t>
            </w:r>
            <w:r>
              <w:rPr>
                <w:rFonts w:hint="eastAsia" w:ascii="Times New Roman" w:hAnsi="Times New Roman" w:eastAsia="宋体" w:cs="Times New Roman"/>
                <w:b w:val="0"/>
                <w:bCs/>
                <w:color w:val="auto"/>
                <w:spacing w:val="0"/>
                <w:position w:val="0"/>
                <w:sz w:val="21"/>
                <w:szCs w:val="21"/>
                <w:highlight w:val="none"/>
                <w:lang w:eastAsia="zh-CN"/>
              </w:rPr>
              <w:t>气旋</w:t>
            </w:r>
            <w:r>
              <w:rPr>
                <w:rFonts w:hint="eastAsia" w:ascii="Times New Roman" w:hAnsi="Times New Roman" w:eastAsia="宋体" w:cs="Times New Roman"/>
                <w:b w:val="0"/>
                <w:bCs/>
                <w:color w:val="auto"/>
                <w:spacing w:val="0"/>
                <w:position w:val="0"/>
                <w:sz w:val="21"/>
                <w:szCs w:val="21"/>
                <w:highlight w:val="none"/>
                <w:lang w:val="en-US" w:eastAsia="zh-CN"/>
              </w:rPr>
              <w:t>废水</w:t>
            </w:r>
          </w:p>
        </w:tc>
        <w:tc>
          <w:tcPr>
            <w:tcW w:w="1344" w:type="dxa"/>
            <w:vMerge w:val="restart"/>
            <w:vAlign w:val="center"/>
          </w:tcPr>
          <w:p w14:paraId="07B269B7">
            <w:pPr>
              <w:pStyle w:val="94"/>
              <w:adjustRightInd w:val="0"/>
              <w:snapToGrid w:val="0"/>
              <w:ind w:left="-63" w:leftChars="-30" w:right="-63" w:rightChars="-30" w:firstLine="0" w:firstLineChars="0"/>
              <w:rPr>
                <w:rFonts w:hint="default" w:ascii="Times New Roman" w:hAnsi="Times New Roman" w:eastAsia="宋体" w:cs="Times New Roman"/>
                <w:bCs/>
                <w:color w:val="auto"/>
                <w:spacing w:val="0"/>
                <w:position w:val="0"/>
                <w:sz w:val="21"/>
                <w:szCs w:val="21"/>
                <w:highlight w:val="none"/>
                <w:lang w:val="en-US" w:eastAsia="zh-CN"/>
              </w:rPr>
            </w:pPr>
            <w:r>
              <w:rPr>
                <w:rFonts w:hint="default" w:ascii="Times New Roman" w:hAnsi="Times New Roman" w:eastAsia="宋体" w:cs="Times New Roman"/>
                <w:b w:val="0"/>
                <w:bCs/>
                <w:color w:val="auto"/>
                <w:spacing w:val="0"/>
                <w:position w:val="0"/>
                <w:sz w:val="21"/>
                <w:szCs w:val="21"/>
                <w:highlight w:val="none"/>
              </w:rPr>
              <w:t>COD</w:t>
            </w:r>
            <w:r>
              <w:rPr>
                <w:rFonts w:hint="eastAsia" w:ascii="Times New Roman" w:hAnsi="Times New Roman" w:eastAsia="宋体" w:cs="Times New Roman"/>
                <w:b w:val="0"/>
                <w:bCs/>
                <w:color w:val="auto"/>
                <w:spacing w:val="0"/>
                <w:position w:val="0"/>
                <w:sz w:val="21"/>
                <w:szCs w:val="21"/>
                <w:highlight w:val="none"/>
                <w:vertAlign w:val="subscript"/>
                <w:lang w:val="en-US" w:eastAsia="zh-CN"/>
              </w:rPr>
              <w:t>Cr</w:t>
            </w:r>
            <w:r>
              <w:rPr>
                <w:rFonts w:hint="default" w:ascii="Times New Roman" w:hAnsi="Times New Roman" w:eastAsia="宋体" w:cs="Times New Roman"/>
                <w:b w:val="0"/>
                <w:bCs/>
                <w:color w:val="auto"/>
                <w:spacing w:val="0"/>
                <w:position w:val="0"/>
                <w:sz w:val="21"/>
                <w:szCs w:val="21"/>
                <w:highlight w:val="none"/>
              </w:rPr>
              <w:t>、</w:t>
            </w:r>
            <w:r>
              <w:rPr>
                <w:rFonts w:hint="eastAsia" w:cs="Times New Roman"/>
                <w:b w:val="0"/>
                <w:bCs/>
                <w:color w:val="auto"/>
                <w:spacing w:val="0"/>
                <w:position w:val="0"/>
                <w:sz w:val="21"/>
                <w:szCs w:val="21"/>
                <w:highlight w:val="none"/>
                <w:lang w:val="en-US" w:eastAsia="zh-CN"/>
              </w:rPr>
              <w:t>BOD</w:t>
            </w:r>
            <w:r>
              <w:rPr>
                <w:rFonts w:hint="eastAsia" w:cs="Times New Roman"/>
                <w:b w:val="0"/>
                <w:bCs/>
                <w:color w:val="auto"/>
                <w:spacing w:val="0"/>
                <w:position w:val="0"/>
                <w:sz w:val="21"/>
                <w:szCs w:val="21"/>
                <w:highlight w:val="none"/>
                <w:vertAlign w:val="subscript"/>
                <w:lang w:val="en-US" w:eastAsia="zh-CN"/>
              </w:rPr>
              <w:t>5</w:t>
            </w:r>
            <w:r>
              <w:rPr>
                <w:rFonts w:hint="eastAsia" w:cs="Times New Roman"/>
                <w:b w:val="0"/>
                <w:bCs/>
                <w:color w:val="auto"/>
                <w:spacing w:val="0"/>
                <w:position w:val="0"/>
                <w:sz w:val="21"/>
                <w:szCs w:val="21"/>
                <w:highlight w:val="none"/>
                <w:lang w:val="en-US" w:eastAsia="zh-CN"/>
              </w:rPr>
              <w:t>、</w:t>
            </w:r>
            <w:r>
              <w:rPr>
                <w:rFonts w:hint="default" w:ascii="Times New Roman" w:hAnsi="Times New Roman" w:eastAsia="宋体" w:cs="Times New Roman"/>
                <w:b w:val="0"/>
                <w:bCs/>
                <w:color w:val="auto"/>
                <w:spacing w:val="0"/>
                <w:position w:val="0"/>
                <w:sz w:val="21"/>
                <w:szCs w:val="21"/>
                <w:highlight w:val="none"/>
              </w:rPr>
              <w:t>SS</w:t>
            </w:r>
            <w:r>
              <w:rPr>
                <w:rFonts w:hint="eastAsia" w:cs="Times New Roman"/>
                <w:b w:val="0"/>
                <w:bCs/>
                <w:color w:val="auto"/>
                <w:spacing w:val="0"/>
                <w:position w:val="0"/>
                <w:sz w:val="21"/>
                <w:szCs w:val="21"/>
                <w:highlight w:val="none"/>
                <w:lang w:eastAsia="zh-CN"/>
              </w:rPr>
              <w:t>、</w:t>
            </w:r>
            <w:r>
              <w:rPr>
                <w:rFonts w:hint="eastAsia" w:cs="Times New Roman"/>
                <w:b w:val="0"/>
                <w:bCs/>
                <w:color w:val="auto"/>
                <w:spacing w:val="0"/>
                <w:position w:val="0"/>
                <w:sz w:val="21"/>
                <w:szCs w:val="21"/>
                <w:highlight w:val="none"/>
                <w:lang w:val="en-US" w:eastAsia="zh-CN"/>
              </w:rPr>
              <w:t>石油类、色度</w:t>
            </w:r>
          </w:p>
        </w:tc>
        <w:tc>
          <w:tcPr>
            <w:tcW w:w="1815" w:type="dxa"/>
            <w:gridSpan w:val="2"/>
            <w:vAlign w:val="center"/>
          </w:tcPr>
          <w:p w14:paraId="50BD7E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sz w:val="21"/>
                <w:szCs w:val="21"/>
                <w:highlight w:val="none"/>
              </w:rPr>
              <w:t>“</w:t>
            </w:r>
            <w:r>
              <w:rPr>
                <w:rFonts w:hint="eastAsia" w:ascii="Times New Roman" w:hAnsi="Times New Roman" w:eastAsia="宋体" w:cs="Times New Roman"/>
                <w:color w:val="auto"/>
                <w:spacing w:val="0"/>
                <w:sz w:val="21"/>
                <w:szCs w:val="21"/>
                <w:highlight w:val="none"/>
                <w:lang w:val="en-US" w:eastAsia="zh-CN"/>
              </w:rPr>
              <w:t>调节池+絮凝沉淀+压滤+清水池</w:t>
            </w:r>
            <w:r>
              <w:rPr>
                <w:rFonts w:hint="eastAsia" w:ascii="Times New Roman" w:hAnsi="Times New Roman" w:eastAsia="宋体" w:cs="Times New Roman"/>
                <w:color w:val="auto"/>
                <w:spacing w:val="0"/>
                <w:sz w:val="21"/>
                <w:szCs w:val="21"/>
                <w:highlight w:val="none"/>
              </w:rPr>
              <w:t>”</w:t>
            </w:r>
            <w:r>
              <w:rPr>
                <w:rFonts w:hint="eastAsia" w:ascii="Times New Roman" w:hAnsi="Times New Roman" w:eastAsia="宋体" w:cs="Times New Roman"/>
                <w:color w:val="auto"/>
                <w:spacing w:val="0"/>
                <w:position w:val="0"/>
                <w:sz w:val="21"/>
                <w:szCs w:val="21"/>
                <w:highlight w:val="none"/>
                <w:lang w:val="en-US" w:eastAsia="zh-CN"/>
              </w:rPr>
              <w:t>处理设施</w:t>
            </w:r>
            <w:r>
              <w:rPr>
                <w:rFonts w:hint="eastAsia" w:cs="Times New Roman"/>
                <w:color w:val="auto"/>
                <w:spacing w:val="0"/>
                <w:position w:val="0"/>
                <w:sz w:val="21"/>
                <w:szCs w:val="21"/>
                <w:highlight w:val="none"/>
                <w:lang w:val="en-US" w:eastAsia="zh-CN"/>
              </w:rPr>
              <w:t>，</w:t>
            </w:r>
            <w:r>
              <w:rPr>
                <w:rFonts w:hint="eastAsia"/>
                <w:color w:val="auto"/>
                <w:kern w:val="0"/>
                <w:sz w:val="21"/>
                <w:szCs w:val="21"/>
                <w:highlight w:val="none"/>
              </w:rPr>
              <w:t>回用不外排</w:t>
            </w:r>
          </w:p>
        </w:tc>
        <w:tc>
          <w:tcPr>
            <w:tcW w:w="2709" w:type="dxa"/>
            <w:vAlign w:val="center"/>
          </w:tcPr>
          <w:p w14:paraId="383C9C2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r w14:paraId="720720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continue"/>
            <w:vAlign w:val="center"/>
          </w:tcPr>
          <w:p w14:paraId="561E358A">
            <w:pPr>
              <w:adjustRightInd w:val="0"/>
              <w:snapToGrid w:val="0"/>
              <w:jc w:val="center"/>
              <w:rPr>
                <w:rFonts w:hint="eastAsia" w:ascii="Times New Roman" w:hAnsi="Times New Roman" w:eastAsia="宋体" w:cs="Times New Roman"/>
                <w:color w:val="auto"/>
                <w:spacing w:val="0"/>
                <w:position w:val="0"/>
                <w:sz w:val="21"/>
                <w:szCs w:val="21"/>
                <w:highlight w:val="none"/>
              </w:rPr>
            </w:pPr>
          </w:p>
        </w:tc>
        <w:tc>
          <w:tcPr>
            <w:tcW w:w="615" w:type="dxa"/>
            <w:gridSpan w:val="2"/>
            <w:vMerge w:val="continue"/>
            <w:vAlign w:val="center"/>
          </w:tcPr>
          <w:p w14:paraId="14A94B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228" w:type="dxa"/>
            <w:vAlign w:val="center"/>
          </w:tcPr>
          <w:p w14:paraId="3FC79FBF">
            <w:pPr>
              <w:pStyle w:val="94"/>
              <w:adjustRightInd w:val="0"/>
              <w:snapToGrid w:val="0"/>
              <w:ind w:left="-63" w:leftChars="-30" w:right="-63" w:rightChars="-30" w:firstLine="0" w:firstLineChars="0"/>
              <w:rPr>
                <w:rFonts w:hint="default" w:ascii="Times New Roman" w:hAnsi="Times New Roman" w:eastAsia="宋体" w:cs="Times New Roman"/>
                <w:b w:val="0"/>
                <w:bCs/>
                <w:color w:val="auto"/>
                <w:spacing w:val="0"/>
                <w:position w:val="0"/>
                <w:sz w:val="21"/>
                <w:szCs w:val="21"/>
                <w:highlight w:val="none"/>
                <w:lang w:val="en-US" w:eastAsia="zh-CN"/>
              </w:rPr>
            </w:pPr>
            <w:r>
              <w:rPr>
                <w:rFonts w:hint="eastAsia" w:cs="Times New Roman"/>
                <w:b w:val="0"/>
                <w:bCs/>
                <w:color w:val="auto"/>
                <w:spacing w:val="0"/>
                <w:position w:val="0"/>
                <w:sz w:val="21"/>
                <w:szCs w:val="21"/>
                <w:highlight w:val="none"/>
                <w:lang w:val="en-US" w:eastAsia="zh-CN"/>
              </w:rPr>
              <w:t>喷漆清洗废水</w:t>
            </w:r>
          </w:p>
        </w:tc>
        <w:tc>
          <w:tcPr>
            <w:tcW w:w="1344" w:type="dxa"/>
            <w:vMerge w:val="continue"/>
            <w:vAlign w:val="center"/>
          </w:tcPr>
          <w:p w14:paraId="278F5059">
            <w:pPr>
              <w:pStyle w:val="94"/>
              <w:adjustRightInd w:val="0"/>
              <w:snapToGrid w:val="0"/>
              <w:ind w:left="-63" w:leftChars="-30" w:right="-63" w:rightChars="-30" w:firstLine="0" w:firstLineChars="0"/>
              <w:rPr>
                <w:rFonts w:hint="eastAsia" w:cs="Times New Roman"/>
                <w:b w:val="0"/>
                <w:bCs/>
                <w:color w:val="auto"/>
                <w:spacing w:val="0"/>
                <w:position w:val="0"/>
                <w:sz w:val="21"/>
                <w:szCs w:val="21"/>
                <w:highlight w:val="none"/>
                <w:lang w:val="en-US" w:eastAsia="zh-CN"/>
              </w:rPr>
            </w:pPr>
          </w:p>
        </w:tc>
        <w:tc>
          <w:tcPr>
            <w:tcW w:w="1815" w:type="dxa"/>
            <w:gridSpan w:val="2"/>
            <w:vAlign w:val="center"/>
          </w:tcPr>
          <w:p w14:paraId="5C5B216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0"/>
                <w:sz w:val="21"/>
                <w:szCs w:val="21"/>
                <w:highlight w:val="none"/>
              </w:rPr>
            </w:pPr>
            <w:r>
              <w:rPr>
                <w:rFonts w:hint="eastAsia" w:cs="Times New Roman"/>
                <w:b w:val="0"/>
                <w:bCs/>
                <w:color w:val="auto"/>
                <w:spacing w:val="0"/>
                <w:position w:val="0"/>
                <w:sz w:val="21"/>
                <w:szCs w:val="21"/>
                <w:highlight w:val="none"/>
                <w:lang w:val="en-US" w:eastAsia="zh-CN"/>
              </w:rPr>
              <w:t>作为危险废物委托有资质单位处置</w:t>
            </w:r>
          </w:p>
        </w:tc>
        <w:tc>
          <w:tcPr>
            <w:tcW w:w="2709" w:type="dxa"/>
            <w:vAlign w:val="center"/>
          </w:tcPr>
          <w:p w14:paraId="201764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r>
      <w:tr w14:paraId="384531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restart"/>
            <w:vAlign w:val="center"/>
          </w:tcPr>
          <w:p w14:paraId="3E3EA007">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声环境</w:t>
            </w:r>
          </w:p>
        </w:tc>
        <w:tc>
          <w:tcPr>
            <w:tcW w:w="1843" w:type="dxa"/>
            <w:gridSpan w:val="3"/>
            <w:vAlign w:val="center"/>
          </w:tcPr>
          <w:p w14:paraId="224F3C44">
            <w:pPr>
              <w:keepNext w:val="0"/>
              <w:keepLines w:val="0"/>
              <w:pageBreakBefore w:val="0"/>
              <w:widowControl w:val="0"/>
              <w:tabs>
                <w:tab w:val="left" w:pos="1440"/>
              </w:tabs>
              <w:kinsoku/>
              <w:wordWrap/>
              <w:overflowPunct/>
              <w:topLinePunct w:val="0"/>
              <w:autoSpaceDE/>
              <w:autoSpaceDN/>
              <w:bidi w:val="0"/>
              <w:spacing w:line="240" w:lineRule="auto"/>
              <w:ind w:right="0" w:rightChars="0" w:firstLine="0" w:firstLineChars="0"/>
              <w:jc w:val="center"/>
              <w:textAlignment w:val="auto"/>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生产设备</w:t>
            </w:r>
            <w:r>
              <w:rPr>
                <w:rFonts w:hint="eastAsia" w:cs="Times New Roman"/>
                <w:color w:val="auto"/>
                <w:spacing w:val="0"/>
                <w:sz w:val="21"/>
                <w:szCs w:val="21"/>
                <w:highlight w:val="none"/>
                <w:lang w:val="en-US" w:eastAsia="zh-CN"/>
              </w:rPr>
              <w:t>及空压机等</w:t>
            </w:r>
            <w:r>
              <w:rPr>
                <w:rFonts w:hint="eastAsia" w:ascii="宋体" w:hAnsi="宋体" w:eastAsia="宋体" w:cs="宋体"/>
                <w:i w:val="0"/>
                <w:iCs w:val="0"/>
                <w:color w:val="auto"/>
                <w:kern w:val="0"/>
                <w:sz w:val="21"/>
                <w:szCs w:val="21"/>
                <w:highlight w:val="none"/>
                <w:u w:val="none"/>
                <w:lang w:val="en-US" w:eastAsia="zh-CN" w:bidi="ar"/>
              </w:rPr>
              <w:t>运行噪声</w:t>
            </w:r>
          </w:p>
        </w:tc>
        <w:tc>
          <w:tcPr>
            <w:tcW w:w="1344" w:type="dxa"/>
            <w:vMerge w:val="restart"/>
            <w:vAlign w:val="center"/>
          </w:tcPr>
          <w:p w14:paraId="54C59072">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等效A声级</w:t>
            </w:r>
          </w:p>
        </w:tc>
        <w:tc>
          <w:tcPr>
            <w:tcW w:w="907" w:type="dxa"/>
            <w:vMerge w:val="restart"/>
            <w:vAlign w:val="center"/>
          </w:tcPr>
          <w:p w14:paraId="061A9D09">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color w:val="auto"/>
                <w:kern w:val="0"/>
                <w:sz w:val="21"/>
                <w:szCs w:val="21"/>
                <w:highlight w:val="none"/>
              </w:rPr>
              <w:t>项目夜间不生产</w:t>
            </w:r>
          </w:p>
        </w:tc>
        <w:tc>
          <w:tcPr>
            <w:tcW w:w="908" w:type="dxa"/>
            <w:vAlign w:val="center"/>
          </w:tcPr>
          <w:p w14:paraId="615FAF31">
            <w:pPr>
              <w:adjustRightInd w:val="0"/>
              <w:snapToGrid w:val="0"/>
              <w:jc w:val="center"/>
              <w:rPr>
                <w:rFonts w:hint="eastAsia" w:ascii="Times New Roman" w:hAnsi="Times New Roman" w:eastAsia="宋体" w:cs="Times New Roman"/>
                <w:color w:val="auto"/>
                <w:spacing w:val="0"/>
                <w:position w:val="0"/>
                <w:sz w:val="21"/>
                <w:szCs w:val="21"/>
                <w:highlight w:val="none"/>
              </w:rPr>
            </w:pPr>
            <w:r>
              <w:rPr>
                <w:rFonts w:hint="eastAsia"/>
                <w:color w:val="auto"/>
                <w:kern w:val="0"/>
                <w:sz w:val="21"/>
                <w:szCs w:val="21"/>
                <w:highlight w:val="none"/>
                <w:lang w:val="en-US" w:eastAsia="zh-CN"/>
              </w:rPr>
              <w:t>隔声减震</w:t>
            </w:r>
          </w:p>
        </w:tc>
        <w:tc>
          <w:tcPr>
            <w:tcW w:w="2709" w:type="dxa"/>
            <w:vMerge w:val="restart"/>
            <w:vAlign w:val="center"/>
          </w:tcPr>
          <w:p w14:paraId="56330A46">
            <w:pPr>
              <w:adjustRightInd w:val="0"/>
              <w:snapToGrid w:val="0"/>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eastAsia="zh-CN"/>
              </w:rPr>
              <w:t>《</w:t>
            </w:r>
            <w:r>
              <w:rPr>
                <w:rFonts w:hint="eastAsia" w:ascii="Times New Roman" w:hAnsi="Times New Roman" w:eastAsia="宋体" w:cs="Times New Roman"/>
                <w:color w:val="auto"/>
                <w:spacing w:val="0"/>
                <w:position w:val="0"/>
                <w:sz w:val="21"/>
                <w:szCs w:val="21"/>
                <w:highlight w:val="none"/>
              </w:rPr>
              <w:t>工业企业厂界环境噪声</w:t>
            </w:r>
          </w:p>
          <w:p w14:paraId="3F2A27C9">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排放标准》（GB12348-2008）</w:t>
            </w:r>
            <w:r>
              <w:rPr>
                <w:rFonts w:hint="eastAsia" w:ascii="Times New Roman" w:hAnsi="Times New Roman" w:eastAsia="宋体" w:cs="Times New Roman"/>
                <w:color w:val="auto"/>
                <w:spacing w:val="0"/>
                <w:position w:val="0"/>
                <w:sz w:val="21"/>
                <w:szCs w:val="21"/>
                <w:highlight w:val="none"/>
                <w:lang w:val="en-US" w:eastAsia="zh-CN"/>
              </w:rPr>
              <w:t>3</w:t>
            </w:r>
            <w:r>
              <w:rPr>
                <w:rFonts w:hint="eastAsia" w:ascii="Times New Roman" w:hAnsi="Times New Roman" w:eastAsia="宋体" w:cs="Times New Roman"/>
                <w:color w:val="auto"/>
                <w:spacing w:val="0"/>
                <w:position w:val="0"/>
                <w:sz w:val="21"/>
                <w:szCs w:val="21"/>
                <w:highlight w:val="none"/>
              </w:rPr>
              <w:t>类标准</w:t>
            </w:r>
            <w:r>
              <w:rPr>
                <w:rFonts w:hint="eastAsia" w:ascii="Times New Roman" w:hAnsi="Times New Roman" w:eastAsia="宋体" w:cs="Times New Roman"/>
                <w:color w:val="auto"/>
                <w:spacing w:val="0"/>
                <w:position w:val="0"/>
                <w:sz w:val="21"/>
                <w:szCs w:val="21"/>
                <w:highlight w:val="none"/>
                <w:lang w:eastAsia="zh-CN"/>
              </w:rPr>
              <w:t>，</w:t>
            </w:r>
            <w:r>
              <w:rPr>
                <w:rFonts w:hint="eastAsia" w:ascii="Times New Roman" w:hAnsi="Times New Roman" w:eastAsia="宋体" w:cs="Times New Roman"/>
                <w:b w:val="0"/>
                <w:bCs w:val="0"/>
                <w:color w:val="auto"/>
                <w:spacing w:val="0"/>
                <w:kern w:val="2"/>
                <w:position w:val="0"/>
                <w:sz w:val="21"/>
                <w:szCs w:val="21"/>
                <w:highlight w:val="none"/>
                <w:lang w:val="en-US" w:eastAsia="zh-CN" w:bidi="ar"/>
              </w:rPr>
              <w:t>即：</w:t>
            </w:r>
            <w:r>
              <w:rPr>
                <w:rFonts w:hint="eastAsia" w:ascii="Times New Roman" w:hAnsi="Times New Roman" w:eastAsia="宋体" w:cs="Times New Roman"/>
                <w:color w:val="auto"/>
                <w:spacing w:val="0"/>
                <w:position w:val="0"/>
                <w:sz w:val="21"/>
                <w:szCs w:val="21"/>
                <w:highlight w:val="none"/>
                <w:lang w:eastAsia="zh-CN"/>
              </w:rPr>
              <w:t>昼间≤6</w:t>
            </w:r>
            <w:r>
              <w:rPr>
                <w:rFonts w:hint="eastAsia" w:ascii="Times New Roman" w:hAnsi="Times New Roman" w:eastAsia="宋体" w:cs="Times New Roman"/>
                <w:color w:val="auto"/>
                <w:spacing w:val="0"/>
                <w:position w:val="0"/>
                <w:sz w:val="21"/>
                <w:szCs w:val="21"/>
                <w:highlight w:val="none"/>
                <w:lang w:val="en-US" w:eastAsia="zh-CN"/>
              </w:rPr>
              <w:t>5</w:t>
            </w:r>
            <w:r>
              <w:rPr>
                <w:rFonts w:hint="eastAsia" w:ascii="Times New Roman" w:hAnsi="Times New Roman" w:eastAsia="宋体" w:cs="Times New Roman"/>
                <w:color w:val="auto"/>
                <w:spacing w:val="0"/>
                <w:position w:val="0"/>
                <w:sz w:val="21"/>
                <w:szCs w:val="21"/>
                <w:highlight w:val="none"/>
                <w:lang w:eastAsia="zh-CN"/>
              </w:rPr>
              <w:t>dB（A）</w:t>
            </w:r>
          </w:p>
        </w:tc>
      </w:tr>
      <w:tr w14:paraId="31E4A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Merge w:val="continue"/>
            <w:vAlign w:val="center"/>
          </w:tcPr>
          <w:p w14:paraId="51081E3C">
            <w:pPr>
              <w:adjustRightInd w:val="0"/>
              <w:snapToGrid w:val="0"/>
              <w:jc w:val="center"/>
              <w:rPr>
                <w:rFonts w:ascii="Times New Roman" w:hAnsi="Times New Roman" w:eastAsia="宋体" w:cs="Times New Roman"/>
                <w:color w:val="auto"/>
                <w:spacing w:val="0"/>
                <w:position w:val="0"/>
                <w:sz w:val="21"/>
                <w:szCs w:val="21"/>
                <w:highlight w:val="none"/>
              </w:rPr>
            </w:pPr>
          </w:p>
        </w:tc>
        <w:tc>
          <w:tcPr>
            <w:tcW w:w="1843" w:type="dxa"/>
            <w:gridSpan w:val="3"/>
            <w:vAlign w:val="center"/>
          </w:tcPr>
          <w:p w14:paraId="7EEC516A">
            <w:pPr>
              <w:keepNext w:val="0"/>
              <w:keepLines w:val="0"/>
              <w:pageBreakBefore w:val="0"/>
              <w:widowControl w:val="0"/>
              <w:tabs>
                <w:tab w:val="left" w:pos="1440"/>
              </w:tabs>
              <w:kinsoku/>
              <w:wordWrap/>
              <w:overflowPunct/>
              <w:topLinePunct w:val="0"/>
              <w:autoSpaceDE/>
              <w:autoSpaceDN/>
              <w:bidi w:val="0"/>
              <w:spacing w:line="240" w:lineRule="auto"/>
              <w:ind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风机（室外）</w:t>
            </w:r>
          </w:p>
          <w:p w14:paraId="7BBDDFA5">
            <w:pPr>
              <w:keepNext w:val="0"/>
              <w:keepLines w:val="0"/>
              <w:pageBreakBefore w:val="0"/>
              <w:widowControl w:val="0"/>
              <w:tabs>
                <w:tab w:val="left" w:pos="1440"/>
              </w:tabs>
              <w:kinsoku/>
              <w:wordWrap/>
              <w:overflowPunct/>
              <w:topLinePunct w:val="0"/>
              <w:autoSpaceDE/>
              <w:autoSpaceDN/>
              <w:bidi w:val="0"/>
              <w:spacing w:line="240" w:lineRule="auto"/>
              <w:ind w:right="0" w:rightChars="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运行噪声</w:t>
            </w:r>
          </w:p>
        </w:tc>
        <w:tc>
          <w:tcPr>
            <w:tcW w:w="1344" w:type="dxa"/>
            <w:vMerge w:val="continue"/>
            <w:vAlign w:val="center"/>
          </w:tcPr>
          <w:p w14:paraId="79EE7455">
            <w:pPr>
              <w:adjustRightInd w:val="0"/>
              <w:snapToGrid w:val="0"/>
              <w:jc w:val="center"/>
              <w:rPr>
                <w:rFonts w:ascii="Times New Roman" w:hAnsi="Times New Roman" w:eastAsia="宋体" w:cs="Times New Roman"/>
                <w:color w:val="auto"/>
                <w:spacing w:val="0"/>
                <w:position w:val="0"/>
                <w:sz w:val="21"/>
                <w:szCs w:val="21"/>
                <w:highlight w:val="none"/>
              </w:rPr>
            </w:pPr>
          </w:p>
        </w:tc>
        <w:tc>
          <w:tcPr>
            <w:tcW w:w="907" w:type="dxa"/>
            <w:vMerge w:val="continue"/>
            <w:vAlign w:val="center"/>
          </w:tcPr>
          <w:p w14:paraId="5D7FE438">
            <w:pPr>
              <w:adjustRightInd w:val="0"/>
              <w:snapToGrid w:val="0"/>
              <w:jc w:val="center"/>
              <w:rPr>
                <w:rFonts w:ascii="Times New Roman" w:hAnsi="Times New Roman" w:eastAsia="宋体" w:cs="Times New Roman"/>
                <w:color w:val="auto"/>
                <w:spacing w:val="0"/>
                <w:position w:val="0"/>
                <w:sz w:val="21"/>
                <w:szCs w:val="21"/>
                <w:highlight w:val="none"/>
              </w:rPr>
            </w:pPr>
          </w:p>
        </w:tc>
        <w:tc>
          <w:tcPr>
            <w:tcW w:w="908" w:type="dxa"/>
            <w:vAlign w:val="center"/>
          </w:tcPr>
          <w:p w14:paraId="63A8F05A">
            <w:pPr>
              <w:adjustRightInd w:val="0"/>
              <w:snapToGrid w:val="0"/>
              <w:jc w:val="center"/>
              <w:rPr>
                <w:rFonts w:hint="eastAsia" w:ascii="Times New Roman" w:hAnsi="Times New Roman" w:eastAsia="宋体" w:cs="Times New Roman"/>
                <w:color w:val="auto"/>
                <w:spacing w:val="0"/>
                <w:position w:val="0"/>
                <w:sz w:val="21"/>
                <w:szCs w:val="21"/>
                <w:highlight w:val="none"/>
              </w:rPr>
            </w:pPr>
            <w:r>
              <w:rPr>
                <w:rFonts w:hint="eastAsia" w:cs="Times New Roman"/>
                <w:b w:val="0"/>
                <w:bCs w:val="0"/>
                <w:color w:val="auto"/>
                <w:spacing w:val="0"/>
                <w:w w:val="100"/>
                <w:position w:val="0"/>
                <w:highlight w:val="none"/>
                <w:lang w:val="en-US" w:eastAsia="zh-CN"/>
              </w:rPr>
              <w:t>消声+隔声减振+隔声罩</w:t>
            </w:r>
          </w:p>
        </w:tc>
        <w:tc>
          <w:tcPr>
            <w:tcW w:w="2709" w:type="dxa"/>
            <w:vMerge w:val="continue"/>
            <w:vAlign w:val="center"/>
          </w:tcPr>
          <w:p w14:paraId="25B69F47">
            <w:pPr>
              <w:adjustRightInd w:val="0"/>
              <w:snapToGrid w:val="0"/>
              <w:jc w:val="center"/>
              <w:rPr>
                <w:rFonts w:ascii="Times New Roman" w:hAnsi="Times New Roman" w:eastAsia="宋体" w:cs="Times New Roman"/>
                <w:color w:val="auto"/>
                <w:spacing w:val="0"/>
                <w:position w:val="0"/>
                <w:sz w:val="21"/>
                <w:szCs w:val="21"/>
                <w:highlight w:val="none"/>
              </w:rPr>
            </w:pPr>
          </w:p>
        </w:tc>
      </w:tr>
      <w:tr w14:paraId="51936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8" w:type="dxa"/>
            <w:vAlign w:val="center"/>
          </w:tcPr>
          <w:p w14:paraId="50FAAE7A">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电磁辐射</w:t>
            </w:r>
          </w:p>
        </w:tc>
        <w:tc>
          <w:tcPr>
            <w:tcW w:w="1843" w:type="dxa"/>
            <w:gridSpan w:val="3"/>
            <w:vAlign w:val="center"/>
          </w:tcPr>
          <w:p w14:paraId="40584833">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w:t>
            </w:r>
          </w:p>
        </w:tc>
        <w:tc>
          <w:tcPr>
            <w:tcW w:w="1344" w:type="dxa"/>
            <w:vAlign w:val="center"/>
          </w:tcPr>
          <w:p w14:paraId="06DCD0A2">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w:t>
            </w:r>
          </w:p>
        </w:tc>
        <w:tc>
          <w:tcPr>
            <w:tcW w:w="1815" w:type="dxa"/>
            <w:gridSpan w:val="2"/>
            <w:vAlign w:val="center"/>
          </w:tcPr>
          <w:p w14:paraId="043ECB1A">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w:t>
            </w:r>
          </w:p>
        </w:tc>
        <w:tc>
          <w:tcPr>
            <w:tcW w:w="2709" w:type="dxa"/>
            <w:vAlign w:val="center"/>
          </w:tcPr>
          <w:p w14:paraId="3962D357">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w:t>
            </w:r>
          </w:p>
        </w:tc>
      </w:tr>
      <w:tr w14:paraId="4D7DE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14" w:hRule="atLeast"/>
          <w:jc w:val="center"/>
        </w:trPr>
        <w:tc>
          <w:tcPr>
            <w:tcW w:w="1408" w:type="dxa"/>
            <w:vMerge w:val="restart"/>
            <w:vAlign w:val="center"/>
          </w:tcPr>
          <w:p w14:paraId="7E669E54">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固体废物</w:t>
            </w:r>
          </w:p>
        </w:tc>
        <w:tc>
          <w:tcPr>
            <w:tcW w:w="5002" w:type="dxa"/>
            <w:gridSpan w:val="6"/>
            <w:vAlign w:val="center"/>
          </w:tcPr>
          <w:p w14:paraId="3A87323F">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color w:val="auto"/>
                <w:kern w:val="0"/>
                <w:sz w:val="21"/>
                <w:szCs w:val="21"/>
                <w:highlight w:val="none"/>
                <w:shd w:val="clear" w:color="auto" w:fill="auto"/>
              </w:rPr>
              <w:fldChar w:fldCharType="begin"/>
            </w:r>
            <w:r>
              <w:rPr>
                <w:rFonts w:hint="eastAsia"/>
                <w:color w:val="auto"/>
                <w:kern w:val="0"/>
                <w:sz w:val="21"/>
                <w:szCs w:val="21"/>
                <w:highlight w:val="none"/>
                <w:shd w:val="clear" w:color="auto" w:fill="auto"/>
              </w:rPr>
              <w:instrText xml:space="preserve"> = 1 \* GB3 \* MERGEFORMAT </w:instrText>
            </w:r>
            <w:r>
              <w:rPr>
                <w:rFonts w:hint="eastAsia"/>
                <w:color w:val="auto"/>
                <w:kern w:val="0"/>
                <w:sz w:val="21"/>
                <w:szCs w:val="21"/>
                <w:highlight w:val="none"/>
                <w:shd w:val="clear" w:color="auto" w:fill="auto"/>
              </w:rPr>
              <w:fldChar w:fldCharType="separate"/>
            </w:r>
            <w:r>
              <w:rPr>
                <w:rFonts w:hint="eastAsia"/>
                <w:color w:val="auto"/>
                <w:kern w:val="0"/>
                <w:sz w:val="21"/>
                <w:szCs w:val="21"/>
                <w:highlight w:val="none"/>
                <w:shd w:val="clear" w:color="auto" w:fill="auto"/>
              </w:rPr>
              <w:t>①</w:t>
            </w:r>
            <w:r>
              <w:rPr>
                <w:rFonts w:hint="eastAsia"/>
                <w:color w:val="auto"/>
                <w:kern w:val="0"/>
                <w:sz w:val="21"/>
                <w:szCs w:val="21"/>
                <w:highlight w:val="none"/>
                <w:shd w:val="clear" w:color="auto" w:fill="auto"/>
              </w:rPr>
              <w:fldChar w:fldCharType="end"/>
            </w:r>
            <w:r>
              <w:rPr>
                <w:rFonts w:hint="eastAsia"/>
                <w:color w:val="auto"/>
                <w:kern w:val="0"/>
                <w:sz w:val="21"/>
                <w:szCs w:val="21"/>
                <w:highlight w:val="none"/>
                <w:shd w:val="clear" w:color="auto" w:fill="auto"/>
              </w:rPr>
              <w:t>生活垃圾由环卫部门清运</w:t>
            </w:r>
            <w:r>
              <w:rPr>
                <w:rFonts w:hint="eastAsia"/>
                <w:color w:val="auto"/>
                <w:kern w:val="0"/>
                <w:sz w:val="21"/>
                <w:szCs w:val="21"/>
                <w:highlight w:val="none"/>
                <w:shd w:val="clear" w:color="auto" w:fill="auto"/>
                <w:lang w:eastAsia="zh-CN"/>
              </w:rPr>
              <w:t>。</w:t>
            </w:r>
          </w:p>
        </w:tc>
        <w:tc>
          <w:tcPr>
            <w:tcW w:w="2709" w:type="dxa"/>
            <w:vAlign w:val="center"/>
          </w:tcPr>
          <w:p w14:paraId="0DE087D6">
            <w:pPr>
              <w:keepNext w:val="0"/>
              <w:keepLines w:val="0"/>
              <w:pageBreakBefore w:val="0"/>
              <w:widowControl/>
              <w:kinsoku/>
              <w:wordWrap w:val="0"/>
              <w:overflowPunct/>
              <w:topLinePunct w:val="0"/>
              <w:autoSpaceDE/>
              <w:autoSpaceDN/>
              <w:bidi w:val="0"/>
              <w:spacing w:line="240" w:lineRule="auto"/>
              <w:ind w:firstLine="0" w:firstLineChars="0"/>
              <w:jc w:val="both"/>
              <w:textAlignment w:val="auto"/>
              <w:rPr>
                <w:rFonts w:ascii="Times New Roman" w:hAnsi="Times New Roman" w:eastAsia="宋体" w:cs="Times New Roman"/>
                <w:color w:val="auto"/>
                <w:spacing w:val="0"/>
                <w:position w:val="0"/>
                <w:sz w:val="21"/>
                <w:szCs w:val="21"/>
                <w:highlight w:val="none"/>
              </w:rPr>
            </w:pPr>
            <w:r>
              <w:rPr>
                <w:rFonts w:hint="eastAsia"/>
                <w:color w:val="auto"/>
                <w:kern w:val="0"/>
                <w:sz w:val="21"/>
                <w:szCs w:val="21"/>
                <w:highlight w:val="none"/>
                <w:shd w:val="clear" w:color="auto" w:fill="auto"/>
              </w:rPr>
              <w:t>《中华人民共和国固体废物污染环境防治法》（2020年4月29日修订）</w:t>
            </w:r>
            <w:r>
              <w:rPr>
                <w:rFonts w:hint="eastAsia"/>
                <w:color w:val="auto"/>
                <w:kern w:val="0"/>
                <w:sz w:val="21"/>
                <w:szCs w:val="21"/>
                <w:highlight w:val="none"/>
                <w:shd w:val="clear" w:color="auto" w:fill="auto"/>
                <w:lang w:eastAsia="zh-CN"/>
              </w:rPr>
              <w:t>“</w:t>
            </w:r>
            <w:r>
              <w:rPr>
                <w:rFonts w:hint="eastAsia"/>
                <w:color w:val="auto"/>
                <w:kern w:val="0"/>
                <w:sz w:val="21"/>
                <w:szCs w:val="21"/>
                <w:highlight w:val="none"/>
                <w:shd w:val="clear" w:color="auto" w:fill="auto"/>
              </w:rPr>
              <w:t>第四章生活垃圾</w:t>
            </w:r>
            <w:r>
              <w:rPr>
                <w:rFonts w:hint="eastAsia"/>
                <w:color w:val="auto"/>
                <w:kern w:val="0"/>
                <w:sz w:val="21"/>
                <w:szCs w:val="21"/>
                <w:highlight w:val="none"/>
                <w:shd w:val="clear" w:color="auto" w:fill="auto"/>
                <w:lang w:eastAsia="zh-CN"/>
              </w:rPr>
              <w:t>”</w:t>
            </w:r>
            <w:r>
              <w:rPr>
                <w:rFonts w:hint="eastAsia"/>
                <w:color w:val="auto"/>
                <w:kern w:val="0"/>
                <w:sz w:val="21"/>
                <w:szCs w:val="21"/>
                <w:highlight w:val="none"/>
                <w:shd w:val="clear" w:color="auto" w:fill="auto"/>
              </w:rPr>
              <w:t>的相关规定。</w:t>
            </w:r>
          </w:p>
        </w:tc>
      </w:tr>
      <w:tr w14:paraId="04C9A9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14" w:hRule="atLeast"/>
          <w:jc w:val="center"/>
        </w:trPr>
        <w:tc>
          <w:tcPr>
            <w:tcW w:w="1408" w:type="dxa"/>
            <w:vMerge w:val="continue"/>
            <w:vAlign w:val="center"/>
          </w:tcPr>
          <w:p w14:paraId="7E700F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color w:val="auto"/>
                <w:highlight w:val="none"/>
              </w:rPr>
            </w:pPr>
          </w:p>
        </w:tc>
        <w:tc>
          <w:tcPr>
            <w:tcW w:w="5002" w:type="dxa"/>
            <w:gridSpan w:val="6"/>
            <w:vAlign w:val="center"/>
          </w:tcPr>
          <w:p w14:paraId="6238CF88">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highlight w:val="none"/>
              </w:rPr>
            </w:pPr>
            <w:r>
              <w:rPr>
                <w:rFonts w:hint="eastAsia" w:ascii="宋体" w:hAnsi="宋体" w:eastAsia="宋体" w:cs="宋体"/>
                <w:color w:val="auto"/>
                <w:kern w:val="0"/>
                <w:sz w:val="21"/>
                <w:szCs w:val="21"/>
                <w:highlight w:val="none"/>
              </w:rPr>
              <w:t>②</w:t>
            </w:r>
            <w:r>
              <w:rPr>
                <w:rFonts w:hint="eastAsia"/>
                <w:color w:val="auto"/>
                <w:kern w:val="0"/>
                <w:sz w:val="21"/>
                <w:szCs w:val="21"/>
                <w:highlight w:val="none"/>
              </w:rPr>
              <w:t>一般固废集中收集后暂存于</w:t>
            </w:r>
            <w:r>
              <w:rPr>
                <w:rFonts w:hint="eastAsia"/>
                <w:color w:val="auto"/>
                <w:kern w:val="0"/>
                <w:sz w:val="21"/>
                <w:szCs w:val="21"/>
                <w:highlight w:val="none"/>
                <w:lang w:eastAsia="zh-CN"/>
              </w:rPr>
              <w:t>一般固废间</w:t>
            </w:r>
            <w:r>
              <w:rPr>
                <w:rFonts w:hint="eastAsia"/>
                <w:color w:val="auto"/>
                <w:kern w:val="0"/>
                <w:sz w:val="21"/>
                <w:szCs w:val="21"/>
                <w:highlight w:val="none"/>
              </w:rPr>
              <w:t>，</w:t>
            </w:r>
            <w:r>
              <w:rPr>
                <w:rFonts w:hint="eastAsia"/>
                <w:color w:val="auto"/>
                <w:kern w:val="0"/>
                <w:sz w:val="21"/>
                <w:szCs w:val="21"/>
                <w:highlight w:val="none"/>
                <w:lang w:eastAsia="zh-CN"/>
              </w:rPr>
              <w:t>废包装</w:t>
            </w:r>
            <w:r>
              <w:rPr>
                <w:rFonts w:hint="eastAsia"/>
                <w:color w:val="auto"/>
                <w:kern w:val="0"/>
                <w:sz w:val="21"/>
                <w:szCs w:val="21"/>
                <w:highlight w:val="none"/>
                <w:lang w:val="en-US" w:eastAsia="zh-CN"/>
              </w:rPr>
              <w:t>材料</w:t>
            </w:r>
            <w:r>
              <w:rPr>
                <w:rFonts w:hint="eastAsia" w:cs="Times New Roman"/>
                <w:color w:val="auto"/>
                <w:spacing w:val="0"/>
                <w:kern w:val="0"/>
                <w:sz w:val="21"/>
                <w:szCs w:val="21"/>
                <w:highlight w:val="none"/>
                <w:lang w:val="en-US" w:eastAsia="zh-CN" w:bidi="ar-SA"/>
              </w:rPr>
              <w:t>、废钉子、废纱布</w:t>
            </w:r>
            <w:r>
              <w:rPr>
                <w:rFonts w:hint="eastAsia"/>
                <w:color w:val="auto"/>
                <w:kern w:val="0"/>
                <w:sz w:val="21"/>
                <w:szCs w:val="21"/>
                <w:highlight w:val="none"/>
              </w:rPr>
              <w:t>集中收集后外售综合利用</w:t>
            </w:r>
            <w:r>
              <w:rPr>
                <w:rFonts w:hint="eastAsia"/>
                <w:color w:val="auto"/>
                <w:kern w:val="0"/>
                <w:sz w:val="21"/>
                <w:szCs w:val="21"/>
                <w:highlight w:val="none"/>
                <w:lang w:val="en-US" w:eastAsia="zh-CN"/>
              </w:rPr>
              <w:t>。</w:t>
            </w:r>
          </w:p>
        </w:tc>
        <w:tc>
          <w:tcPr>
            <w:tcW w:w="2709" w:type="dxa"/>
            <w:vAlign w:val="center"/>
          </w:tcPr>
          <w:p w14:paraId="70889A01">
            <w:pPr>
              <w:keepNext w:val="0"/>
              <w:keepLines w:val="0"/>
              <w:pageBreakBefore w:val="0"/>
              <w:widowControl/>
              <w:kinsoku/>
              <w:wordWrap w:val="0"/>
              <w:overflowPunct/>
              <w:topLinePunct w:val="0"/>
              <w:autoSpaceDE/>
              <w:autoSpaceDN/>
              <w:bidi w:val="0"/>
              <w:spacing w:line="240" w:lineRule="auto"/>
              <w:ind w:firstLine="0" w:firstLineChars="0"/>
              <w:jc w:val="both"/>
              <w:textAlignment w:val="auto"/>
              <w:rPr>
                <w:rFonts w:ascii="Times New Roman" w:hAnsi="Times New Roman" w:eastAsia="宋体" w:cs="Times New Roman"/>
                <w:color w:val="auto"/>
                <w:spacing w:val="0"/>
                <w:position w:val="0"/>
                <w:sz w:val="21"/>
                <w:szCs w:val="21"/>
                <w:highlight w:val="none"/>
              </w:rPr>
            </w:pPr>
            <w:r>
              <w:rPr>
                <w:rFonts w:hint="eastAsia"/>
                <w:color w:val="auto"/>
                <w:kern w:val="0"/>
                <w:sz w:val="21"/>
                <w:szCs w:val="21"/>
                <w:highlight w:val="none"/>
              </w:rPr>
              <w:t>《一般工业固体废物贮存和填埋污染控制标准》</w:t>
            </w:r>
            <w:r>
              <w:rPr>
                <w:rFonts w:hint="eastAsia"/>
                <w:color w:val="auto"/>
                <w:kern w:val="0"/>
                <w:sz w:val="21"/>
                <w:szCs w:val="21"/>
                <w:highlight w:val="none"/>
                <w:lang w:eastAsia="zh-CN"/>
              </w:rPr>
              <w:t>（</w:t>
            </w:r>
            <w:r>
              <w:rPr>
                <w:rFonts w:hint="eastAsia"/>
                <w:color w:val="auto"/>
                <w:kern w:val="0"/>
                <w:sz w:val="21"/>
                <w:szCs w:val="21"/>
                <w:highlight w:val="none"/>
              </w:rPr>
              <w:t>GB18599-2020</w:t>
            </w:r>
            <w:r>
              <w:rPr>
                <w:rFonts w:hint="eastAsia"/>
                <w:color w:val="auto"/>
                <w:kern w:val="0"/>
                <w:sz w:val="21"/>
                <w:szCs w:val="21"/>
                <w:highlight w:val="none"/>
                <w:lang w:eastAsia="zh-CN"/>
              </w:rPr>
              <w:t>）</w:t>
            </w:r>
            <w:r>
              <w:rPr>
                <w:rFonts w:hint="eastAsia"/>
                <w:color w:val="auto"/>
                <w:kern w:val="0"/>
                <w:sz w:val="21"/>
                <w:szCs w:val="21"/>
                <w:highlight w:val="none"/>
              </w:rPr>
              <w:t>中</w:t>
            </w:r>
            <w:r>
              <w:rPr>
                <w:rFonts w:hint="eastAsia"/>
                <w:color w:val="auto"/>
                <w:kern w:val="0"/>
                <w:sz w:val="21"/>
                <w:szCs w:val="21"/>
                <w:highlight w:val="none"/>
                <w:lang w:val="en-US" w:eastAsia="zh-CN"/>
              </w:rPr>
              <w:t>一</w:t>
            </w:r>
            <w:r>
              <w:rPr>
                <w:rFonts w:hint="eastAsia"/>
                <w:color w:val="auto"/>
                <w:kern w:val="0"/>
                <w:sz w:val="21"/>
                <w:szCs w:val="21"/>
                <w:highlight w:val="none"/>
              </w:rPr>
              <w:t>般工业固废厂区内暂时贮存场所建设应满足防渗漏、防雨淋、防扬尘等环境保护要求，分类执行《固体废物分类与代码目录》</w:t>
            </w:r>
            <w:r>
              <w:rPr>
                <w:rFonts w:hint="eastAsia"/>
                <w:color w:val="auto"/>
                <w:kern w:val="0"/>
                <w:sz w:val="21"/>
                <w:szCs w:val="21"/>
                <w:highlight w:val="none"/>
                <w:lang w:eastAsia="zh-CN"/>
              </w:rPr>
              <w:t>（</w:t>
            </w:r>
            <w:r>
              <w:rPr>
                <w:rFonts w:hint="eastAsia"/>
                <w:color w:val="auto"/>
                <w:kern w:val="0"/>
                <w:sz w:val="21"/>
                <w:szCs w:val="21"/>
                <w:highlight w:val="none"/>
              </w:rPr>
              <w:t>生态环境部公告 2024 年第 4 号</w:t>
            </w:r>
            <w:r>
              <w:rPr>
                <w:rFonts w:hint="eastAsia"/>
                <w:color w:val="auto"/>
                <w:kern w:val="0"/>
                <w:sz w:val="21"/>
                <w:szCs w:val="21"/>
                <w:highlight w:val="none"/>
                <w:lang w:eastAsia="zh-CN"/>
              </w:rPr>
              <w:t>）</w:t>
            </w:r>
            <w:r>
              <w:rPr>
                <w:rFonts w:hint="eastAsia"/>
                <w:color w:val="auto"/>
                <w:kern w:val="0"/>
                <w:sz w:val="21"/>
                <w:szCs w:val="21"/>
                <w:highlight w:val="none"/>
              </w:rPr>
              <w:t>。</w:t>
            </w:r>
          </w:p>
        </w:tc>
      </w:tr>
      <w:tr w14:paraId="7C786E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14" w:hRule="atLeast"/>
          <w:jc w:val="center"/>
        </w:trPr>
        <w:tc>
          <w:tcPr>
            <w:tcW w:w="1408" w:type="dxa"/>
            <w:vMerge w:val="continue"/>
            <w:vAlign w:val="center"/>
          </w:tcPr>
          <w:p w14:paraId="358489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ascii="Times New Roman" w:hAnsi="Times New Roman" w:eastAsia="宋体" w:cs="Times New Roman"/>
                <w:color w:val="auto"/>
                <w:spacing w:val="0"/>
                <w:position w:val="0"/>
                <w:sz w:val="21"/>
                <w:szCs w:val="21"/>
                <w:highlight w:val="none"/>
              </w:rPr>
            </w:pPr>
          </w:p>
        </w:tc>
        <w:tc>
          <w:tcPr>
            <w:tcW w:w="5002" w:type="dxa"/>
            <w:gridSpan w:val="6"/>
            <w:vAlign w:val="center"/>
          </w:tcPr>
          <w:p w14:paraId="0AAF0C16">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color w:val="auto"/>
                <w:kern w:val="0"/>
                <w:sz w:val="21"/>
                <w:szCs w:val="21"/>
                <w:highlight w:val="none"/>
              </w:rPr>
              <w:t>③危险废物集中收集后暂存于危废</w:t>
            </w:r>
            <w:r>
              <w:rPr>
                <w:rFonts w:hint="eastAsia"/>
                <w:color w:val="auto"/>
                <w:kern w:val="0"/>
                <w:sz w:val="21"/>
                <w:szCs w:val="21"/>
                <w:highlight w:val="none"/>
                <w:lang w:val="en-US" w:eastAsia="zh-CN"/>
              </w:rPr>
              <w:t>暂存</w:t>
            </w:r>
            <w:r>
              <w:rPr>
                <w:rFonts w:hint="eastAsia"/>
                <w:color w:val="auto"/>
                <w:kern w:val="0"/>
                <w:sz w:val="21"/>
                <w:szCs w:val="21"/>
                <w:highlight w:val="none"/>
              </w:rPr>
              <w:t>间，</w:t>
            </w:r>
            <w:r>
              <w:rPr>
                <w:rFonts w:hint="eastAsia" w:ascii="Times New Roman" w:hAnsi="Times New Roman" w:eastAsia="宋体" w:cs="Times New Roman"/>
                <w:color w:val="auto"/>
                <w:spacing w:val="0"/>
                <w:kern w:val="0"/>
                <w:sz w:val="21"/>
                <w:szCs w:val="21"/>
                <w:highlight w:val="none"/>
                <w:lang w:val="en-US" w:eastAsia="zh-CN" w:bidi="ar-SA"/>
              </w:rPr>
              <w:t>漆渣、废活性炭、</w:t>
            </w:r>
            <w:r>
              <w:rPr>
                <w:rFonts w:hint="eastAsia" w:cs="Times New Roman"/>
                <w:color w:val="auto"/>
                <w:spacing w:val="0"/>
                <w:kern w:val="0"/>
                <w:sz w:val="21"/>
                <w:szCs w:val="21"/>
                <w:highlight w:val="none"/>
                <w:lang w:val="en-US" w:eastAsia="zh-CN" w:bidi="ar-SA"/>
              </w:rPr>
              <w:t>废过滤棉、</w:t>
            </w:r>
            <w:r>
              <w:rPr>
                <w:rFonts w:hint="eastAsia" w:ascii="Times New Roman" w:hAnsi="Times New Roman" w:eastAsia="宋体" w:cs="Times New Roman"/>
                <w:color w:val="auto"/>
                <w:spacing w:val="0"/>
                <w:kern w:val="0"/>
                <w:sz w:val="21"/>
                <w:szCs w:val="21"/>
                <w:highlight w:val="none"/>
                <w:lang w:val="en-US" w:eastAsia="zh-CN" w:bidi="ar-SA"/>
              </w:rPr>
              <w:t>沉淀污泥、</w:t>
            </w:r>
            <w:r>
              <w:rPr>
                <w:rFonts w:hint="eastAsia" w:cs="Times New Roman"/>
                <w:color w:val="auto"/>
                <w:spacing w:val="0"/>
                <w:kern w:val="0"/>
                <w:sz w:val="21"/>
                <w:szCs w:val="21"/>
                <w:highlight w:val="none"/>
                <w:lang w:val="en-US" w:eastAsia="zh-CN" w:bidi="ar-SA"/>
              </w:rPr>
              <w:t>水帘气旋废液</w:t>
            </w:r>
            <w:r>
              <w:rPr>
                <w:rFonts w:hint="eastAsia" w:ascii="Times New Roman" w:hAnsi="Times New Roman" w:eastAsia="宋体" w:cs="Times New Roman"/>
                <w:color w:val="auto"/>
                <w:spacing w:val="0"/>
                <w:kern w:val="0"/>
                <w:sz w:val="21"/>
                <w:szCs w:val="21"/>
                <w:highlight w:val="none"/>
                <w:lang w:val="en-US" w:eastAsia="zh-CN" w:bidi="ar-SA"/>
              </w:rPr>
              <w:t>、</w:t>
            </w:r>
            <w:r>
              <w:rPr>
                <w:rFonts w:hint="eastAsia" w:cs="Times New Roman"/>
                <w:color w:val="auto"/>
                <w:spacing w:val="0"/>
                <w:kern w:val="0"/>
                <w:sz w:val="21"/>
                <w:szCs w:val="21"/>
                <w:highlight w:val="none"/>
                <w:lang w:val="en-US" w:eastAsia="zh-CN" w:bidi="ar-SA"/>
              </w:rPr>
              <w:t>喷枪清洗废液、废化学品包装物、废润滑油、润滑油空桶、废含油抹布及手套</w:t>
            </w:r>
            <w:r>
              <w:rPr>
                <w:rFonts w:hint="eastAsia"/>
                <w:color w:val="auto"/>
                <w:kern w:val="0"/>
                <w:sz w:val="21"/>
                <w:szCs w:val="21"/>
                <w:highlight w:val="none"/>
              </w:rPr>
              <w:t>定期委托有危废资质的单位</w:t>
            </w:r>
            <w:r>
              <w:rPr>
                <w:rFonts w:hint="eastAsia"/>
                <w:color w:val="auto"/>
                <w:kern w:val="0"/>
                <w:sz w:val="21"/>
                <w:szCs w:val="21"/>
                <w:highlight w:val="none"/>
                <w:lang w:val="en-US" w:eastAsia="zh-CN"/>
              </w:rPr>
              <w:t>回收</w:t>
            </w:r>
            <w:r>
              <w:rPr>
                <w:rFonts w:hint="eastAsia"/>
                <w:color w:val="auto"/>
                <w:kern w:val="0"/>
                <w:sz w:val="21"/>
                <w:szCs w:val="21"/>
                <w:highlight w:val="none"/>
              </w:rPr>
              <w:t>处置</w:t>
            </w:r>
            <w:r>
              <w:rPr>
                <w:rFonts w:hint="eastAsia"/>
                <w:color w:val="auto"/>
                <w:kern w:val="0"/>
                <w:sz w:val="21"/>
                <w:szCs w:val="21"/>
                <w:highlight w:val="none"/>
                <w:lang w:eastAsia="zh-CN"/>
              </w:rPr>
              <w:t>。</w:t>
            </w:r>
          </w:p>
        </w:tc>
        <w:tc>
          <w:tcPr>
            <w:tcW w:w="2709" w:type="dxa"/>
            <w:vAlign w:val="center"/>
          </w:tcPr>
          <w:p w14:paraId="43266604">
            <w:pPr>
              <w:keepNext w:val="0"/>
              <w:keepLines w:val="0"/>
              <w:pageBreakBefore w:val="0"/>
              <w:widowControl/>
              <w:kinsoku/>
              <w:wordWrap w:val="0"/>
              <w:overflowPunct/>
              <w:topLinePunct w:val="0"/>
              <w:autoSpaceDE/>
              <w:autoSpaceDN/>
              <w:bidi w:val="0"/>
              <w:spacing w:line="240" w:lineRule="auto"/>
              <w:ind w:firstLine="0" w:firstLineChars="0"/>
              <w:jc w:val="both"/>
              <w:textAlignment w:val="auto"/>
              <w:rPr>
                <w:rFonts w:ascii="Times New Roman" w:hAnsi="Times New Roman" w:eastAsia="宋体" w:cs="Times New Roman"/>
                <w:color w:val="auto"/>
                <w:spacing w:val="0"/>
                <w:position w:val="0"/>
                <w:sz w:val="21"/>
                <w:szCs w:val="21"/>
                <w:highlight w:val="none"/>
              </w:rPr>
            </w:pPr>
            <w:r>
              <w:rPr>
                <w:rFonts w:hint="eastAsia"/>
                <w:color w:val="auto"/>
                <w:kern w:val="0"/>
                <w:sz w:val="21"/>
                <w:szCs w:val="21"/>
                <w:highlight w:val="none"/>
              </w:rPr>
              <w:t>《危险废物贮存污染控制标准》（GB18597-2023）相关要求。</w:t>
            </w:r>
          </w:p>
        </w:tc>
      </w:tr>
      <w:tr w14:paraId="0C764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28" w:hRule="atLeast"/>
          <w:jc w:val="center"/>
        </w:trPr>
        <w:tc>
          <w:tcPr>
            <w:tcW w:w="1408" w:type="dxa"/>
            <w:vAlign w:val="center"/>
          </w:tcPr>
          <w:p w14:paraId="130F2658">
            <w:pPr>
              <w:keepNext w:val="0"/>
              <w:keepLines w:val="0"/>
              <w:pageBreakBefore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土壤及地下水</w:t>
            </w:r>
          </w:p>
          <w:p w14:paraId="5FDFA0C7">
            <w:pPr>
              <w:keepNext w:val="0"/>
              <w:keepLines w:val="0"/>
              <w:pageBreakBefore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污染防治措施</w:t>
            </w:r>
          </w:p>
        </w:tc>
        <w:tc>
          <w:tcPr>
            <w:tcW w:w="7711" w:type="dxa"/>
            <w:gridSpan w:val="7"/>
            <w:vAlign w:val="center"/>
          </w:tcPr>
          <w:p w14:paraId="3905CE7D">
            <w:pPr>
              <w:keepNext w:val="0"/>
              <w:keepLines w:val="0"/>
              <w:widowControl/>
              <w:suppressLineNumbers w:val="0"/>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b/>
                <w:bCs/>
                <w:color w:val="auto"/>
                <w:spacing w:val="0"/>
                <w:position w:val="0"/>
                <w:sz w:val="21"/>
                <w:szCs w:val="21"/>
                <w:highlight w:val="none"/>
                <w:lang w:val="en-US" w:eastAsia="zh-CN"/>
              </w:rPr>
              <w:t>分区防渗措施要求</w:t>
            </w:r>
          </w:p>
          <w:tbl>
            <w:tblPr>
              <w:tblStyle w:val="30"/>
              <w:tblW w:w="7584"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492"/>
              <w:gridCol w:w="4951"/>
            </w:tblGrid>
            <w:tr w14:paraId="7EA692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1" w:type="dxa"/>
                  <w:tcBorders>
                    <w:tl2br w:val="nil"/>
                    <w:tr2bl w:val="nil"/>
                  </w:tcBorders>
                  <w:vAlign w:val="center"/>
                </w:tcPr>
                <w:p w14:paraId="28F9061F">
                  <w:pPr>
                    <w:pStyle w:val="28"/>
                    <w:keepNext w:val="0"/>
                    <w:keepLines w:val="0"/>
                    <w:pageBreakBefore w:val="0"/>
                    <w:widowControl w:val="0"/>
                    <w:kinsoku/>
                    <w:wordWrap/>
                    <w:overflowPunct/>
                    <w:topLinePunct w:val="0"/>
                    <w:autoSpaceDE/>
                    <w:autoSpaceDN/>
                    <w:bidi w:val="0"/>
                    <w:adjustRightInd/>
                    <w:snapToGrid/>
                    <w:spacing w:after="0" w:line="280" w:lineRule="exact"/>
                    <w:ind w:left="0" w:leftChars="0"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en-US" w:eastAsia="zh-CN"/>
                    </w:rPr>
                  </w:pPr>
                  <w:r>
                    <w:rPr>
                      <w:rFonts w:hint="eastAsia" w:ascii="Times New Roman" w:hAnsi="Times New Roman" w:eastAsia="宋体" w:cs="Times New Roman"/>
                      <w:b/>
                      <w:bCs/>
                      <w:color w:val="auto"/>
                      <w:spacing w:val="0"/>
                      <w:position w:val="0"/>
                      <w:sz w:val="21"/>
                      <w:szCs w:val="21"/>
                      <w:highlight w:val="none"/>
                      <w:vertAlign w:val="baseline"/>
                      <w:lang w:val="en-US" w:eastAsia="zh-CN"/>
                    </w:rPr>
                    <w:t>分区类别</w:t>
                  </w:r>
                </w:p>
              </w:tc>
              <w:tc>
                <w:tcPr>
                  <w:tcW w:w="1492" w:type="dxa"/>
                  <w:tcBorders>
                    <w:tl2br w:val="nil"/>
                    <w:tr2bl w:val="nil"/>
                  </w:tcBorders>
                  <w:vAlign w:val="center"/>
                </w:tcPr>
                <w:p w14:paraId="56BE97AC">
                  <w:pPr>
                    <w:pStyle w:val="28"/>
                    <w:keepNext w:val="0"/>
                    <w:keepLines w:val="0"/>
                    <w:pageBreakBefore w:val="0"/>
                    <w:widowControl w:val="0"/>
                    <w:kinsoku/>
                    <w:wordWrap/>
                    <w:overflowPunct/>
                    <w:topLinePunct w:val="0"/>
                    <w:autoSpaceDE/>
                    <w:autoSpaceDN/>
                    <w:bidi w:val="0"/>
                    <w:adjustRightInd/>
                    <w:snapToGrid/>
                    <w:spacing w:after="0" w:line="280" w:lineRule="exact"/>
                    <w:ind w:left="0" w:leftChars="0" w:firstLine="0" w:firstLineChars="0"/>
                    <w:jc w:val="center"/>
                    <w:textAlignment w:val="auto"/>
                    <w:rPr>
                      <w:rFonts w:hint="default" w:ascii="Times New Roman" w:hAnsi="Times New Roman" w:eastAsia="宋体" w:cs="Times New Roman"/>
                      <w:b/>
                      <w:bCs/>
                      <w:color w:val="auto"/>
                      <w:spacing w:val="0"/>
                      <w:position w:val="0"/>
                      <w:sz w:val="21"/>
                      <w:szCs w:val="21"/>
                      <w:highlight w:val="none"/>
                      <w:vertAlign w:val="baseline"/>
                      <w:lang w:val="en-US" w:eastAsia="zh-CN"/>
                    </w:rPr>
                  </w:pPr>
                  <w:r>
                    <w:rPr>
                      <w:rFonts w:hint="default" w:ascii="Times New Roman" w:hAnsi="Times New Roman" w:eastAsia="宋体" w:cs="Times New Roman"/>
                      <w:b/>
                      <w:bCs/>
                      <w:color w:val="auto"/>
                      <w:spacing w:val="0"/>
                      <w:position w:val="0"/>
                      <w:sz w:val="21"/>
                      <w:szCs w:val="21"/>
                      <w:highlight w:val="none"/>
                      <w:vertAlign w:val="baseline"/>
                      <w:lang w:val="en-US" w:eastAsia="zh-CN"/>
                    </w:rPr>
                    <w:t>区域</w:t>
                  </w:r>
                  <w:r>
                    <w:rPr>
                      <w:rFonts w:hint="eastAsia" w:ascii="Times New Roman" w:hAnsi="Times New Roman" w:eastAsia="宋体" w:cs="Times New Roman"/>
                      <w:b/>
                      <w:bCs/>
                      <w:color w:val="auto"/>
                      <w:spacing w:val="0"/>
                      <w:position w:val="0"/>
                      <w:sz w:val="21"/>
                      <w:szCs w:val="21"/>
                      <w:highlight w:val="none"/>
                      <w:vertAlign w:val="baseline"/>
                      <w:lang w:val="en-US" w:eastAsia="zh-CN"/>
                    </w:rPr>
                    <w:t>名称</w:t>
                  </w:r>
                </w:p>
              </w:tc>
              <w:tc>
                <w:tcPr>
                  <w:tcW w:w="4951" w:type="dxa"/>
                  <w:tcBorders>
                    <w:tl2br w:val="nil"/>
                    <w:tr2bl w:val="nil"/>
                  </w:tcBorders>
                  <w:vAlign w:val="center"/>
                </w:tcPr>
                <w:p w14:paraId="72FC375A">
                  <w:pPr>
                    <w:pStyle w:val="28"/>
                    <w:keepNext w:val="0"/>
                    <w:keepLines w:val="0"/>
                    <w:pageBreakBefore w:val="0"/>
                    <w:widowControl w:val="0"/>
                    <w:kinsoku/>
                    <w:wordWrap/>
                    <w:overflowPunct/>
                    <w:topLinePunct w:val="0"/>
                    <w:autoSpaceDE/>
                    <w:autoSpaceDN/>
                    <w:bidi w:val="0"/>
                    <w:adjustRightInd/>
                    <w:snapToGrid/>
                    <w:spacing w:after="0" w:line="280" w:lineRule="exact"/>
                    <w:ind w:left="0" w:leftChars="0" w:firstLine="0" w:firstLineChars="0"/>
                    <w:jc w:val="center"/>
                    <w:textAlignment w:val="auto"/>
                    <w:rPr>
                      <w:rFonts w:hint="eastAsia" w:ascii="Times New Roman" w:hAnsi="Times New Roman" w:eastAsia="宋体" w:cs="Times New Roman"/>
                      <w:b/>
                      <w:bCs/>
                      <w:color w:val="auto"/>
                      <w:spacing w:val="0"/>
                      <w:position w:val="0"/>
                      <w:sz w:val="21"/>
                      <w:szCs w:val="21"/>
                      <w:highlight w:val="none"/>
                      <w:vertAlign w:val="baseline"/>
                      <w:lang w:val="en-US" w:eastAsia="zh-CN"/>
                    </w:rPr>
                  </w:pPr>
                  <w:r>
                    <w:rPr>
                      <w:rFonts w:hint="default" w:ascii="Times New Roman" w:hAnsi="Times New Roman" w:eastAsia="宋体" w:cs="Times New Roman"/>
                      <w:b/>
                      <w:bCs/>
                      <w:color w:val="auto"/>
                      <w:spacing w:val="0"/>
                      <w:position w:val="0"/>
                      <w:sz w:val="21"/>
                      <w:szCs w:val="21"/>
                      <w:highlight w:val="none"/>
                      <w:vertAlign w:val="baseline"/>
                      <w:lang w:val="en-US" w:eastAsia="zh-CN"/>
                    </w:rPr>
                    <w:t>防护措施</w:t>
                  </w:r>
                </w:p>
              </w:tc>
            </w:tr>
            <w:tr w14:paraId="277672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1" w:type="dxa"/>
                  <w:tcBorders>
                    <w:tl2br w:val="nil"/>
                    <w:tr2bl w:val="nil"/>
                  </w:tcBorders>
                  <w:vAlign w:val="center"/>
                </w:tcPr>
                <w:p w14:paraId="7259DB27">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重点</w:t>
                  </w:r>
                </w:p>
                <w:p w14:paraId="0197AF1A">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防渗区</w:t>
                  </w:r>
                </w:p>
              </w:tc>
              <w:tc>
                <w:tcPr>
                  <w:tcW w:w="1492" w:type="dxa"/>
                  <w:tcBorders>
                    <w:tl2br w:val="nil"/>
                    <w:tr2bl w:val="nil"/>
                  </w:tcBorders>
                  <w:vAlign w:val="center"/>
                </w:tcPr>
                <w:p w14:paraId="1342DFED">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color w:val="auto"/>
                      <w:spacing w:val="0"/>
                      <w:position w:val="0"/>
                      <w:sz w:val="21"/>
                      <w:szCs w:val="21"/>
                      <w:highlight w:val="none"/>
                      <w:vertAlign w:val="baseline"/>
                      <w:lang w:val="en-US" w:eastAsia="zh-CN"/>
                    </w:rPr>
                    <w:t>化学品仓库</w:t>
                  </w:r>
                  <w:r>
                    <w:rPr>
                      <w:rFonts w:hint="eastAsia" w:ascii="Times New Roman" w:hAnsi="Times New Roman" w:eastAsia="宋体" w:cs="Times New Roman"/>
                      <w:color w:val="auto"/>
                      <w:spacing w:val="0"/>
                      <w:highlight w:val="none"/>
                      <w:lang w:eastAsia="zh-CN"/>
                    </w:rPr>
                    <w:t>、</w:t>
                  </w:r>
                  <w:r>
                    <w:rPr>
                      <w:rFonts w:hint="eastAsia" w:cs="Times New Roman"/>
                      <w:color w:val="auto"/>
                      <w:spacing w:val="0"/>
                      <w:highlight w:val="none"/>
                      <w:lang w:val="en-US" w:eastAsia="zh-CN"/>
                    </w:rPr>
                    <w:t>喷漆晾干房、</w:t>
                  </w:r>
                  <w:r>
                    <w:rPr>
                      <w:rFonts w:hint="eastAsia" w:cs="Times New Roman"/>
                      <w:color w:val="auto"/>
                      <w:spacing w:val="0"/>
                      <w:position w:val="0"/>
                      <w:sz w:val="21"/>
                      <w:szCs w:val="21"/>
                      <w:highlight w:val="none"/>
                      <w:vertAlign w:val="baseline"/>
                      <w:lang w:val="en-US" w:eastAsia="zh-CN"/>
                    </w:rPr>
                    <w:t>危废暂存</w:t>
                  </w:r>
                  <w:r>
                    <w:rPr>
                      <w:rFonts w:hint="eastAsia" w:ascii="Times New Roman" w:hAnsi="Times New Roman" w:eastAsia="宋体" w:cs="Times New Roman"/>
                      <w:color w:val="auto"/>
                      <w:spacing w:val="0"/>
                      <w:position w:val="0"/>
                      <w:sz w:val="21"/>
                      <w:szCs w:val="21"/>
                      <w:highlight w:val="none"/>
                      <w:vertAlign w:val="baseline"/>
                      <w:lang w:val="en-US" w:eastAsia="zh-CN"/>
                    </w:rPr>
                    <w:t>间、</w:t>
                  </w:r>
                  <w:r>
                    <w:rPr>
                      <w:rFonts w:hint="eastAsia" w:ascii="Times New Roman" w:hAnsi="Times New Roman" w:eastAsia="宋体" w:cs="Times New Roman"/>
                      <w:color w:val="auto"/>
                      <w:spacing w:val="0"/>
                      <w:kern w:val="0"/>
                      <w:sz w:val="21"/>
                      <w:szCs w:val="21"/>
                      <w:highlight w:val="none"/>
                      <w:lang w:val="en-US" w:eastAsia="zh-CN" w:bidi="ar"/>
                    </w:rPr>
                    <w:t>废水处理设施</w:t>
                  </w:r>
                  <w:r>
                    <w:rPr>
                      <w:rFonts w:hint="eastAsia"/>
                      <w:color w:val="auto"/>
                      <w:szCs w:val="21"/>
                      <w:highlight w:val="none"/>
                      <w:lang w:val="en-US" w:eastAsia="zh-CN"/>
                    </w:rPr>
                    <w:t>、车间涉及化学品区域</w:t>
                  </w:r>
                  <w:r>
                    <w:rPr>
                      <w:rFonts w:hint="eastAsia" w:eastAsia="宋体"/>
                      <w:color w:val="auto"/>
                      <w:kern w:val="0"/>
                      <w:sz w:val="21"/>
                      <w:szCs w:val="21"/>
                      <w:highlight w:val="none"/>
                      <w:lang w:eastAsia="zh-CN" w:bidi="ar"/>
                    </w:rPr>
                    <w:t>等</w:t>
                  </w:r>
                </w:p>
              </w:tc>
              <w:tc>
                <w:tcPr>
                  <w:tcW w:w="4951" w:type="dxa"/>
                  <w:tcBorders>
                    <w:tl2br w:val="nil"/>
                    <w:tr2bl w:val="nil"/>
                  </w:tcBorders>
                  <w:vAlign w:val="center"/>
                </w:tcPr>
                <w:p w14:paraId="2B884466">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
                    </w:rPr>
                    <w:t>危废暂存间采用“2mmHPDE膜+防渗混凝土”进行防渗</w:t>
                  </w:r>
                  <w:r>
                    <w:rPr>
                      <w:rFonts w:hint="eastAsia" w:ascii="Times New Roman" w:hAnsi="Times New Roman" w:eastAsia="宋体" w:cs="Times New Roman"/>
                      <w:color w:val="auto"/>
                      <w:spacing w:val="0"/>
                      <w:position w:val="0"/>
                      <w:sz w:val="21"/>
                      <w:szCs w:val="21"/>
                      <w:highlight w:val="none"/>
                      <w:lang w:val="en-US" w:eastAsia="zh-CN"/>
                    </w:rPr>
                    <w:t>+</w:t>
                  </w:r>
                  <w:r>
                    <w:rPr>
                      <w:rFonts w:ascii="Times New Roman" w:hAnsi="Times New Roman" w:eastAsia="宋体" w:cs="Times New Roman"/>
                      <w:color w:val="auto"/>
                      <w:spacing w:val="0"/>
                      <w:position w:val="0"/>
                      <w:sz w:val="21"/>
                      <w:szCs w:val="21"/>
                      <w:highlight w:val="none"/>
                    </w:rPr>
                    <w:t>托盘</w:t>
                  </w:r>
                  <w:r>
                    <w:rPr>
                      <w:rFonts w:hint="eastAsia" w:ascii="Times New Roman" w:hAnsi="Times New Roman" w:eastAsia="宋体" w:cs="Times New Roman"/>
                      <w:color w:val="auto"/>
                      <w:spacing w:val="0"/>
                      <w:kern w:val="0"/>
                      <w:position w:val="0"/>
                      <w:sz w:val="21"/>
                      <w:szCs w:val="21"/>
                      <w:highlight w:val="none"/>
                      <w:lang w:val="en-US" w:eastAsia="zh-CN" w:bidi="ar"/>
                    </w:rPr>
                    <w:t>”，在各类危险废物下方增设托盘，同时确保防渗系数K</w:t>
                  </w:r>
                  <w:r>
                    <w:rPr>
                      <w:rFonts w:hint="default" w:ascii="Times New Roman" w:hAnsi="Times New Roman" w:eastAsia="宋体" w:cs="Times New Roman"/>
                      <w:color w:val="auto"/>
                      <w:spacing w:val="0"/>
                      <w:kern w:val="0"/>
                      <w:position w:val="0"/>
                      <w:sz w:val="21"/>
                      <w:szCs w:val="21"/>
                      <w:highlight w:val="none"/>
                      <w:lang w:val="en-US" w:eastAsia="zh-CN" w:bidi="ar"/>
                    </w:rPr>
                    <w:t>≤</w:t>
                  </w:r>
                  <w:r>
                    <w:rPr>
                      <w:rFonts w:hint="eastAsia" w:ascii="Times New Roman" w:hAnsi="Times New Roman" w:eastAsia="宋体" w:cs="Times New Roman"/>
                      <w:color w:val="auto"/>
                      <w:spacing w:val="0"/>
                      <w:kern w:val="0"/>
                      <w:position w:val="0"/>
                      <w:sz w:val="21"/>
                      <w:szCs w:val="21"/>
                      <w:highlight w:val="none"/>
                      <w:lang w:val="en-US" w:eastAsia="zh-CN" w:bidi="ar"/>
                    </w:rPr>
                    <w:t>10</w:t>
                  </w:r>
                  <w:r>
                    <w:rPr>
                      <w:rFonts w:hint="eastAsia" w:ascii="Times New Roman" w:hAnsi="Times New Roman" w:eastAsia="宋体" w:cs="Times New Roman"/>
                      <w:color w:val="auto"/>
                      <w:spacing w:val="0"/>
                      <w:kern w:val="0"/>
                      <w:position w:val="0"/>
                      <w:sz w:val="21"/>
                      <w:szCs w:val="21"/>
                      <w:highlight w:val="none"/>
                      <w:vertAlign w:val="superscript"/>
                      <w:lang w:val="en-US" w:eastAsia="zh-CN" w:bidi="ar"/>
                    </w:rPr>
                    <w:t>-10</w:t>
                  </w:r>
                  <w:r>
                    <w:rPr>
                      <w:rFonts w:hint="eastAsia" w:ascii="Times New Roman" w:hAnsi="Times New Roman" w:eastAsia="宋体" w:cs="Times New Roman"/>
                      <w:color w:val="auto"/>
                      <w:spacing w:val="0"/>
                      <w:kern w:val="0"/>
                      <w:position w:val="0"/>
                      <w:sz w:val="21"/>
                      <w:szCs w:val="21"/>
                      <w:highlight w:val="none"/>
                      <w:lang w:val="en-US" w:eastAsia="zh-CN" w:bidi="ar"/>
                    </w:rPr>
                    <w:t>cm/s，或者参照</w:t>
                  </w:r>
                  <w:r>
                    <w:rPr>
                      <w:rFonts w:ascii="Times New Roman" w:hAnsi="Times New Roman" w:eastAsia="宋体" w:cs="Times New Roman"/>
                      <w:color w:val="auto"/>
                      <w:spacing w:val="0"/>
                      <w:kern w:val="0"/>
                      <w:position w:val="0"/>
                      <w:sz w:val="21"/>
                      <w:szCs w:val="21"/>
                      <w:highlight w:val="none"/>
                      <w:lang w:bidi="ar"/>
                    </w:rPr>
                    <w:t>《危险废物贮存污染控制标准》（GB18597-2023）</w:t>
                  </w:r>
                  <w:r>
                    <w:rPr>
                      <w:rFonts w:hint="eastAsia" w:ascii="Times New Roman" w:hAnsi="Times New Roman" w:eastAsia="宋体" w:cs="Times New Roman"/>
                      <w:color w:val="auto"/>
                      <w:spacing w:val="0"/>
                      <w:kern w:val="0"/>
                      <w:position w:val="0"/>
                      <w:sz w:val="21"/>
                      <w:szCs w:val="21"/>
                      <w:highlight w:val="none"/>
                      <w:lang w:val="en-US" w:eastAsia="zh-CN" w:bidi="ar"/>
                    </w:rPr>
                    <w:t>和《石油化工企业防渗设计通则》（</w:t>
                  </w:r>
                  <w:r>
                    <w:rPr>
                      <w:rFonts w:hint="default" w:ascii="Times New Roman" w:hAnsi="Times New Roman" w:eastAsia="宋体" w:cs="Times New Roman"/>
                      <w:color w:val="auto"/>
                      <w:spacing w:val="0"/>
                      <w:kern w:val="0"/>
                      <w:position w:val="0"/>
                      <w:sz w:val="21"/>
                      <w:szCs w:val="21"/>
                      <w:highlight w:val="none"/>
                      <w:lang w:val="en-US" w:eastAsia="zh-CN" w:bidi="ar"/>
                    </w:rPr>
                    <w:t>QSY1303-2010</w:t>
                  </w:r>
                  <w:r>
                    <w:rPr>
                      <w:rFonts w:hint="eastAsia" w:ascii="Times New Roman" w:hAnsi="Times New Roman" w:eastAsia="宋体" w:cs="Times New Roman"/>
                      <w:color w:val="auto"/>
                      <w:spacing w:val="0"/>
                      <w:kern w:val="0"/>
                      <w:position w:val="0"/>
                      <w:sz w:val="21"/>
                      <w:szCs w:val="21"/>
                      <w:highlight w:val="none"/>
                      <w:lang w:val="en-US" w:eastAsia="zh-CN" w:bidi="ar"/>
                    </w:rPr>
                    <w:t>）的重点污染防治区进行防渗设计，可采用混凝土地坪</w:t>
                  </w:r>
                  <w:r>
                    <w:rPr>
                      <w:rFonts w:hint="default" w:ascii="Times New Roman" w:hAnsi="Times New Roman" w:eastAsia="宋体" w:cs="Times New Roman"/>
                      <w:color w:val="auto"/>
                      <w:spacing w:val="0"/>
                      <w:kern w:val="0"/>
                      <w:position w:val="0"/>
                      <w:sz w:val="21"/>
                      <w:szCs w:val="21"/>
                      <w:highlight w:val="none"/>
                      <w:lang w:val="en-US" w:eastAsia="zh-CN" w:bidi="ar"/>
                    </w:rPr>
                    <w:t>+</w:t>
                  </w:r>
                  <w:r>
                    <w:rPr>
                      <w:rFonts w:hint="eastAsia" w:ascii="Times New Roman" w:hAnsi="Times New Roman" w:eastAsia="宋体" w:cs="Times New Roman"/>
                      <w:color w:val="auto"/>
                      <w:spacing w:val="0"/>
                      <w:kern w:val="0"/>
                      <w:position w:val="0"/>
                      <w:sz w:val="21"/>
                      <w:szCs w:val="21"/>
                      <w:highlight w:val="none"/>
                      <w:lang w:val="en-US" w:eastAsia="zh-CN" w:bidi="ar"/>
                    </w:rPr>
                    <w:t>环氧树脂涂层进行处理。</w:t>
                  </w:r>
                </w:p>
              </w:tc>
            </w:tr>
            <w:tr w14:paraId="335FEA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1" w:type="dxa"/>
                  <w:tcBorders>
                    <w:tl2br w:val="nil"/>
                    <w:tr2bl w:val="nil"/>
                  </w:tcBorders>
                  <w:vAlign w:val="center"/>
                </w:tcPr>
                <w:p w14:paraId="1D40A6DE">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一般</w:t>
                  </w:r>
                </w:p>
                <w:p w14:paraId="539ABEAC">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防渗区</w:t>
                  </w:r>
                </w:p>
              </w:tc>
              <w:tc>
                <w:tcPr>
                  <w:tcW w:w="1492" w:type="dxa"/>
                  <w:tcBorders>
                    <w:tl2br w:val="nil"/>
                    <w:tr2bl w:val="nil"/>
                  </w:tcBorders>
                  <w:vAlign w:val="center"/>
                </w:tcPr>
                <w:p w14:paraId="3E9EEC2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color w:val="auto"/>
                      <w:sz w:val="21"/>
                      <w:szCs w:val="21"/>
                      <w:highlight w:val="none"/>
                      <w:lang w:val="en-US" w:eastAsia="zh-CN"/>
                    </w:rPr>
                    <w:t>一般</w:t>
                  </w:r>
                  <w:r>
                    <w:rPr>
                      <w:color w:val="auto"/>
                      <w:sz w:val="21"/>
                      <w:szCs w:val="21"/>
                      <w:highlight w:val="none"/>
                    </w:rPr>
                    <w:t>生产车间、成品</w:t>
                  </w:r>
                  <w:r>
                    <w:rPr>
                      <w:rFonts w:hint="eastAsia"/>
                      <w:color w:val="auto"/>
                      <w:sz w:val="21"/>
                      <w:szCs w:val="21"/>
                      <w:highlight w:val="none"/>
                    </w:rPr>
                    <w:t>区</w:t>
                  </w:r>
                  <w:r>
                    <w:rPr>
                      <w:color w:val="auto"/>
                      <w:sz w:val="21"/>
                      <w:szCs w:val="21"/>
                      <w:highlight w:val="none"/>
                    </w:rPr>
                    <w:t>、</w:t>
                  </w:r>
                  <w:r>
                    <w:rPr>
                      <w:rFonts w:hint="eastAsia" w:ascii="Times New Roman" w:hAnsi="Times New Roman" w:eastAsia="宋体"/>
                      <w:color w:val="auto"/>
                      <w:sz w:val="21"/>
                      <w:szCs w:val="21"/>
                      <w:highlight w:val="none"/>
                      <w:lang w:val="en-US" w:eastAsia="zh-CN"/>
                    </w:rPr>
                    <w:t>原料</w:t>
                  </w:r>
                  <w:r>
                    <w:rPr>
                      <w:rFonts w:hint="eastAsia"/>
                      <w:color w:val="auto"/>
                      <w:sz w:val="21"/>
                      <w:szCs w:val="21"/>
                      <w:highlight w:val="none"/>
                      <w:lang w:val="en-US" w:eastAsia="zh-CN"/>
                    </w:rPr>
                    <w:t>区、</w:t>
                  </w:r>
                  <w:r>
                    <w:rPr>
                      <w:rFonts w:hint="eastAsia" w:ascii="Times New Roman" w:hAnsi="Times New Roman" w:eastAsia="宋体" w:cs="Times New Roman"/>
                      <w:color w:val="auto"/>
                      <w:spacing w:val="0"/>
                      <w:highlight w:val="none"/>
                      <w:lang w:val="en-US" w:eastAsia="zh-CN"/>
                    </w:rPr>
                    <w:t>化粪池</w:t>
                  </w:r>
                  <w:r>
                    <w:rPr>
                      <w:rFonts w:hint="eastAsia" w:ascii="Times New Roman" w:hAnsi="Times New Roman" w:eastAsia="宋体" w:cs="Times New Roman"/>
                      <w:color w:val="auto"/>
                      <w:spacing w:val="0"/>
                      <w:kern w:val="0"/>
                      <w:sz w:val="21"/>
                      <w:szCs w:val="21"/>
                      <w:highlight w:val="none"/>
                      <w:lang w:val="en-US" w:eastAsia="zh-CN" w:bidi="ar"/>
                    </w:rPr>
                    <w:t>及配套管网、一般固废间</w:t>
                  </w:r>
                  <w:r>
                    <w:rPr>
                      <w:rFonts w:hint="eastAsia" w:cs="Times New Roman"/>
                      <w:color w:val="auto"/>
                      <w:spacing w:val="0"/>
                      <w:kern w:val="0"/>
                      <w:sz w:val="21"/>
                      <w:szCs w:val="21"/>
                      <w:highlight w:val="none"/>
                      <w:lang w:val="en-US" w:eastAsia="zh-CN" w:bidi="ar"/>
                    </w:rPr>
                    <w:t>等</w:t>
                  </w:r>
                </w:p>
              </w:tc>
              <w:tc>
                <w:tcPr>
                  <w:tcW w:w="4951" w:type="dxa"/>
                  <w:tcBorders>
                    <w:tl2br w:val="nil"/>
                    <w:tr2bl w:val="nil"/>
                  </w:tcBorders>
                  <w:vAlign w:val="center"/>
                </w:tcPr>
                <w:p w14:paraId="2ABD5864">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
                    </w:rPr>
                    <w:t>防渗混凝土，防渗系数K</w:t>
                  </w:r>
                  <w:r>
                    <w:rPr>
                      <w:rFonts w:hint="default" w:ascii="Times New Roman" w:hAnsi="Times New Roman" w:eastAsia="宋体" w:cs="Times New Roman"/>
                      <w:color w:val="auto"/>
                      <w:spacing w:val="0"/>
                      <w:kern w:val="0"/>
                      <w:position w:val="0"/>
                      <w:sz w:val="21"/>
                      <w:szCs w:val="21"/>
                      <w:highlight w:val="none"/>
                      <w:lang w:val="en-US" w:eastAsia="zh-CN" w:bidi="ar"/>
                    </w:rPr>
                    <w:t>≤</w:t>
                  </w:r>
                  <w:r>
                    <w:rPr>
                      <w:rFonts w:hint="eastAsia" w:ascii="Times New Roman" w:hAnsi="Times New Roman" w:eastAsia="宋体" w:cs="Times New Roman"/>
                      <w:color w:val="auto"/>
                      <w:spacing w:val="0"/>
                      <w:kern w:val="0"/>
                      <w:position w:val="0"/>
                      <w:sz w:val="21"/>
                      <w:szCs w:val="21"/>
                      <w:highlight w:val="none"/>
                      <w:lang w:val="en-US" w:eastAsia="zh-CN" w:bidi="ar"/>
                    </w:rPr>
                    <w:t>10</w:t>
                  </w:r>
                  <w:r>
                    <w:rPr>
                      <w:rFonts w:hint="eastAsia" w:ascii="Times New Roman" w:hAnsi="Times New Roman" w:eastAsia="宋体" w:cs="Times New Roman"/>
                      <w:color w:val="auto"/>
                      <w:spacing w:val="0"/>
                      <w:kern w:val="0"/>
                      <w:position w:val="0"/>
                      <w:sz w:val="21"/>
                      <w:szCs w:val="21"/>
                      <w:highlight w:val="none"/>
                      <w:vertAlign w:val="superscript"/>
                      <w:lang w:val="en-US" w:eastAsia="zh-CN" w:bidi="ar"/>
                    </w:rPr>
                    <w:t>-7</w:t>
                  </w:r>
                  <w:r>
                    <w:rPr>
                      <w:rFonts w:hint="eastAsia" w:ascii="Times New Roman" w:hAnsi="Times New Roman" w:eastAsia="宋体" w:cs="Times New Roman"/>
                      <w:color w:val="auto"/>
                      <w:spacing w:val="0"/>
                      <w:kern w:val="0"/>
                      <w:position w:val="0"/>
                      <w:sz w:val="21"/>
                      <w:szCs w:val="21"/>
                      <w:highlight w:val="none"/>
                      <w:lang w:val="en-US" w:eastAsia="zh-CN" w:bidi="ar"/>
                    </w:rPr>
                    <w:t>cm/s。或者参照</w:t>
                  </w:r>
                  <w:r>
                    <w:rPr>
                      <w:rFonts w:ascii="Times New Roman" w:hAnsi="Times New Roman" w:eastAsia="宋体" w:cs="Times New Roman"/>
                      <w:color w:val="auto"/>
                      <w:spacing w:val="0"/>
                      <w:position w:val="0"/>
                      <w:sz w:val="21"/>
                      <w:szCs w:val="21"/>
                      <w:highlight w:val="none"/>
                    </w:rPr>
                    <w:t>《一般工业固体废物贮存和填埋污染控制标准》</w:t>
                  </w:r>
                  <w:r>
                    <w:rPr>
                      <w:rFonts w:ascii="Times New Roman" w:hAnsi="Times New Roman" w:eastAsia="宋体" w:cs="Times New Roman"/>
                      <w:color w:val="auto"/>
                      <w:spacing w:val="0"/>
                      <w:kern w:val="0"/>
                      <w:position w:val="0"/>
                      <w:sz w:val="21"/>
                      <w:szCs w:val="21"/>
                      <w:highlight w:val="none"/>
                      <w:lang w:bidi="ar"/>
                    </w:rPr>
                    <w:t>（GB18599-2020）</w:t>
                  </w:r>
                  <w:r>
                    <w:rPr>
                      <w:rFonts w:hint="eastAsia" w:ascii="Times New Roman" w:hAnsi="Times New Roman" w:eastAsia="宋体" w:cs="Times New Roman"/>
                      <w:color w:val="auto"/>
                      <w:spacing w:val="0"/>
                      <w:kern w:val="0"/>
                      <w:position w:val="0"/>
                      <w:sz w:val="21"/>
                      <w:szCs w:val="21"/>
                      <w:highlight w:val="none"/>
                      <w:lang w:val="en-US" w:eastAsia="zh-CN" w:bidi="ar"/>
                    </w:rPr>
                    <w:t>和《石油化工企业防渗设计通则》（</w:t>
                  </w:r>
                  <w:r>
                    <w:rPr>
                      <w:rFonts w:hint="default" w:ascii="Times New Roman" w:hAnsi="Times New Roman" w:eastAsia="宋体" w:cs="Times New Roman"/>
                      <w:color w:val="auto"/>
                      <w:spacing w:val="0"/>
                      <w:kern w:val="0"/>
                      <w:position w:val="0"/>
                      <w:sz w:val="21"/>
                      <w:szCs w:val="21"/>
                      <w:highlight w:val="none"/>
                      <w:lang w:val="en-US" w:eastAsia="zh-CN" w:bidi="ar"/>
                    </w:rPr>
                    <w:t>QSY1303-2010</w:t>
                  </w:r>
                  <w:r>
                    <w:rPr>
                      <w:rFonts w:hint="eastAsia" w:ascii="Times New Roman" w:hAnsi="Times New Roman" w:eastAsia="宋体" w:cs="Times New Roman"/>
                      <w:color w:val="auto"/>
                      <w:spacing w:val="0"/>
                      <w:kern w:val="0"/>
                      <w:position w:val="0"/>
                      <w:sz w:val="21"/>
                      <w:szCs w:val="21"/>
                      <w:highlight w:val="none"/>
                      <w:lang w:val="en-US" w:eastAsia="zh-CN" w:bidi="ar"/>
                    </w:rPr>
                    <w:t>）的一般污染防治区进行防渗设计。</w:t>
                  </w:r>
                </w:p>
              </w:tc>
            </w:tr>
            <w:tr w14:paraId="0201DF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1" w:type="dxa"/>
                  <w:tcBorders>
                    <w:tl2br w:val="nil"/>
                    <w:tr2bl w:val="nil"/>
                  </w:tcBorders>
                  <w:vAlign w:val="center"/>
                </w:tcPr>
                <w:p w14:paraId="5D08DD9E">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非污染防治区</w:t>
                  </w:r>
                </w:p>
              </w:tc>
              <w:tc>
                <w:tcPr>
                  <w:tcW w:w="1492" w:type="dxa"/>
                  <w:tcBorders>
                    <w:tl2br w:val="nil"/>
                    <w:tr2bl w:val="nil"/>
                  </w:tcBorders>
                  <w:vAlign w:val="center"/>
                </w:tcPr>
                <w:p w14:paraId="707A610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kern w:val="0"/>
                      <w:position w:val="0"/>
                      <w:sz w:val="21"/>
                      <w:szCs w:val="21"/>
                      <w:highlight w:val="none"/>
                      <w:lang w:val="en-US" w:eastAsia="zh-CN" w:bidi="ar"/>
                    </w:rPr>
                  </w:pPr>
                  <w:r>
                    <w:rPr>
                      <w:rFonts w:hint="eastAsia" w:ascii="Times New Roman" w:hAnsi="Times New Roman" w:eastAsia="宋体" w:cs="Times New Roman"/>
                      <w:color w:val="auto"/>
                      <w:spacing w:val="0"/>
                      <w:kern w:val="0"/>
                      <w:position w:val="0"/>
                      <w:sz w:val="21"/>
                      <w:szCs w:val="21"/>
                      <w:highlight w:val="none"/>
                      <w:lang w:val="en-US" w:eastAsia="zh-CN" w:bidi="ar"/>
                    </w:rPr>
                    <w:t>办公室、</w:t>
                  </w:r>
                </w:p>
                <w:p w14:paraId="5156AB2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
                    </w:rPr>
                    <w:t>厂区道路</w:t>
                  </w:r>
                </w:p>
              </w:tc>
              <w:tc>
                <w:tcPr>
                  <w:tcW w:w="4951" w:type="dxa"/>
                  <w:tcBorders>
                    <w:tl2br w:val="nil"/>
                    <w:tr2bl w:val="nil"/>
                  </w:tcBorders>
                  <w:vAlign w:val="center"/>
                </w:tcPr>
                <w:p w14:paraId="0749C3ED">
                  <w:pPr>
                    <w:pStyle w:val="28"/>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color w:val="auto"/>
                      <w:spacing w:val="0"/>
                      <w:position w:val="0"/>
                      <w:sz w:val="21"/>
                      <w:szCs w:val="21"/>
                      <w:highlight w:val="none"/>
                      <w:lang w:eastAsia="zh-CN"/>
                    </w:rPr>
                    <w:t>地面硬化</w:t>
                  </w:r>
                </w:p>
              </w:tc>
            </w:tr>
          </w:tbl>
          <w:p w14:paraId="2272D87F">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color w:val="auto"/>
                <w:spacing w:val="0"/>
                <w:position w:val="0"/>
                <w:sz w:val="21"/>
                <w:szCs w:val="21"/>
                <w:highlight w:val="none"/>
                <w:lang w:eastAsia="zh-CN"/>
              </w:rPr>
            </w:pPr>
          </w:p>
        </w:tc>
      </w:tr>
      <w:tr w14:paraId="0509E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31" w:hRule="atLeast"/>
          <w:jc w:val="center"/>
        </w:trPr>
        <w:tc>
          <w:tcPr>
            <w:tcW w:w="1408" w:type="dxa"/>
            <w:vAlign w:val="center"/>
          </w:tcPr>
          <w:p w14:paraId="4B7EB4DA">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生态保护措施</w:t>
            </w:r>
          </w:p>
        </w:tc>
        <w:tc>
          <w:tcPr>
            <w:tcW w:w="7711" w:type="dxa"/>
            <w:gridSpan w:val="7"/>
            <w:vAlign w:val="center"/>
          </w:tcPr>
          <w:p w14:paraId="22667896">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无</w:t>
            </w:r>
          </w:p>
        </w:tc>
      </w:tr>
      <w:tr w14:paraId="3BA5F3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6" w:hRule="atLeast"/>
          <w:jc w:val="center"/>
        </w:trPr>
        <w:tc>
          <w:tcPr>
            <w:tcW w:w="1408" w:type="dxa"/>
            <w:vAlign w:val="center"/>
          </w:tcPr>
          <w:p w14:paraId="79412AFC">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环境风险</w:t>
            </w:r>
          </w:p>
          <w:p w14:paraId="4BA8E397">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防范措施</w:t>
            </w:r>
          </w:p>
        </w:tc>
        <w:tc>
          <w:tcPr>
            <w:tcW w:w="7711" w:type="dxa"/>
            <w:gridSpan w:val="7"/>
            <w:vAlign w:val="center"/>
          </w:tcPr>
          <w:p w14:paraId="26DFB248">
            <w:pPr>
              <w:spacing w:line="360" w:lineRule="auto"/>
              <w:ind w:firstLine="422" w:firstLineChars="200"/>
              <w:rPr>
                <w:rFonts w:hint="eastAsia" w:ascii="Times New Roman" w:hAnsi="Times New Roman" w:eastAsia="宋体" w:cs="Times New Roman"/>
                <w:b/>
                <w:bCs/>
                <w:color w:val="auto"/>
                <w:spacing w:val="0"/>
                <w:position w:val="0"/>
                <w:sz w:val="21"/>
                <w:szCs w:val="21"/>
                <w:highlight w:val="none"/>
              </w:rPr>
            </w:pPr>
            <w:r>
              <w:rPr>
                <w:rFonts w:hint="eastAsia" w:cs="Times New Roman"/>
                <w:b/>
                <w:bCs/>
                <w:color w:val="auto"/>
                <w:spacing w:val="0"/>
                <w:position w:val="0"/>
                <w:sz w:val="21"/>
                <w:szCs w:val="21"/>
                <w:highlight w:val="none"/>
                <w:lang w:eastAsia="zh-CN"/>
              </w:rPr>
              <w:t>（</w:t>
            </w:r>
            <w:r>
              <w:rPr>
                <w:rFonts w:hint="eastAsia" w:cs="Times New Roman"/>
                <w:b/>
                <w:bCs/>
                <w:color w:val="auto"/>
                <w:spacing w:val="0"/>
                <w:position w:val="0"/>
                <w:sz w:val="21"/>
                <w:szCs w:val="21"/>
                <w:highlight w:val="none"/>
                <w:lang w:val="en-US" w:eastAsia="zh-CN"/>
              </w:rPr>
              <w:t>1</w:t>
            </w:r>
            <w:r>
              <w:rPr>
                <w:rFonts w:hint="eastAsia" w:cs="Times New Roman"/>
                <w:b/>
                <w:bCs/>
                <w:color w:val="auto"/>
                <w:spacing w:val="0"/>
                <w:position w:val="0"/>
                <w:sz w:val="21"/>
                <w:szCs w:val="21"/>
                <w:highlight w:val="none"/>
                <w:lang w:eastAsia="zh-CN"/>
              </w:rPr>
              <w:t>）</w:t>
            </w:r>
            <w:r>
              <w:rPr>
                <w:rFonts w:hint="eastAsia" w:ascii="Times New Roman" w:hAnsi="Times New Roman" w:eastAsia="宋体" w:cs="Times New Roman"/>
                <w:b/>
                <w:bCs/>
                <w:color w:val="auto"/>
                <w:spacing w:val="0"/>
                <w:position w:val="0"/>
                <w:sz w:val="21"/>
                <w:szCs w:val="21"/>
                <w:highlight w:val="none"/>
                <w:lang w:val="en-US" w:eastAsia="zh-CN"/>
              </w:rPr>
              <w:t>化学品仓库</w:t>
            </w:r>
            <w:r>
              <w:rPr>
                <w:rFonts w:hint="eastAsia" w:cs="Times New Roman"/>
                <w:b/>
                <w:bCs/>
                <w:color w:val="auto"/>
                <w:spacing w:val="0"/>
                <w:position w:val="0"/>
                <w:sz w:val="21"/>
                <w:szCs w:val="21"/>
                <w:highlight w:val="none"/>
                <w:lang w:val="en-US" w:eastAsia="zh-CN"/>
              </w:rPr>
              <w:t>、</w:t>
            </w:r>
            <w:r>
              <w:rPr>
                <w:rFonts w:hint="eastAsia" w:ascii="Times New Roman" w:hAnsi="Times New Roman" w:eastAsia="宋体" w:cs="Times New Roman"/>
                <w:b/>
                <w:bCs/>
                <w:color w:val="auto"/>
                <w:spacing w:val="0"/>
                <w:position w:val="0"/>
                <w:sz w:val="21"/>
                <w:szCs w:val="21"/>
                <w:highlight w:val="none"/>
                <w:lang w:val="en-US" w:eastAsia="zh-CN"/>
              </w:rPr>
              <w:t>危废包装破损</w:t>
            </w:r>
            <w:r>
              <w:rPr>
                <w:rFonts w:ascii="Times New Roman" w:hAnsi="Times New Roman" w:eastAsia="宋体" w:cs="Times New Roman"/>
                <w:b/>
                <w:bCs/>
                <w:color w:val="auto"/>
                <w:spacing w:val="0"/>
                <w:kern w:val="0"/>
                <w:position w:val="0"/>
                <w:sz w:val="21"/>
                <w:szCs w:val="21"/>
                <w:highlight w:val="none"/>
                <w:lang w:bidi="ar"/>
              </w:rPr>
              <w:t>泄漏</w:t>
            </w:r>
            <w:r>
              <w:rPr>
                <w:rFonts w:hint="eastAsia" w:ascii="Times New Roman" w:hAnsi="Times New Roman" w:eastAsia="宋体" w:cs="Times New Roman"/>
                <w:b/>
                <w:bCs/>
                <w:color w:val="auto"/>
                <w:spacing w:val="0"/>
                <w:position w:val="0"/>
                <w:sz w:val="21"/>
                <w:szCs w:val="21"/>
                <w:highlight w:val="none"/>
              </w:rPr>
              <w:t>防范措施</w:t>
            </w:r>
          </w:p>
          <w:p w14:paraId="213780D8">
            <w:pPr>
              <w:spacing w:line="360" w:lineRule="auto"/>
              <w:ind w:firstLine="420" w:firstLineChars="200"/>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①</w:t>
            </w:r>
            <w:r>
              <w:rPr>
                <w:rFonts w:hint="eastAsia" w:cs="Times New Roman"/>
                <w:color w:val="auto"/>
                <w:spacing w:val="0"/>
                <w:position w:val="0"/>
                <w:sz w:val="21"/>
                <w:szCs w:val="21"/>
                <w:highlight w:val="none"/>
                <w:lang w:val="en-US" w:eastAsia="zh-CN"/>
              </w:rPr>
              <w:t>油性漆、水性漆</w:t>
            </w:r>
            <w:r>
              <w:rPr>
                <w:rFonts w:hint="eastAsia" w:ascii="Times New Roman" w:hAnsi="Times New Roman" w:eastAsia="宋体" w:cs="Times New Roman"/>
                <w:color w:val="auto"/>
                <w:spacing w:val="0"/>
                <w:position w:val="0"/>
                <w:sz w:val="21"/>
                <w:szCs w:val="21"/>
                <w:highlight w:val="none"/>
                <w:lang w:val="en-US" w:eastAsia="zh-CN"/>
              </w:rPr>
              <w:t>、固化剂、稀释剂</w:t>
            </w:r>
            <w:r>
              <w:rPr>
                <w:rFonts w:hint="eastAsia" w:cs="Times New Roman"/>
                <w:color w:val="auto"/>
                <w:spacing w:val="0"/>
                <w:position w:val="0"/>
                <w:sz w:val="21"/>
                <w:szCs w:val="21"/>
                <w:highlight w:val="none"/>
                <w:lang w:val="en-US" w:eastAsia="zh-CN"/>
              </w:rPr>
              <w:t>等</w:t>
            </w:r>
            <w:r>
              <w:rPr>
                <w:rFonts w:hint="eastAsia" w:ascii="Times New Roman" w:hAnsi="Times New Roman" w:eastAsia="宋体" w:cs="Times New Roman"/>
                <w:color w:val="auto"/>
                <w:spacing w:val="0"/>
                <w:position w:val="0"/>
                <w:sz w:val="21"/>
                <w:szCs w:val="21"/>
                <w:highlight w:val="none"/>
                <w:lang w:val="en-US" w:eastAsia="zh-CN"/>
              </w:rPr>
              <w:t>在</w:t>
            </w:r>
            <w:r>
              <w:rPr>
                <w:rFonts w:hint="eastAsia" w:cs="Times New Roman"/>
                <w:color w:val="auto"/>
                <w:spacing w:val="0"/>
                <w:position w:val="0"/>
                <w:sz w:val="21"/>
                <w:szCs w:val="21"/>
                <w:highlight w:val="none"/>
                <w:lang w:val="en-US" w:eastAsia="zh-CN"/>
              </w:rPr>
              <w:t>使用</w:t>
            </w:r>
            <w:r>
              <w:rPr>
                <w:rFonts w:hint="eastAsia" w:ascii="Times New Roman" w:hAnsi="Times New Roman" w:eastAsia="宋体" w:cs="Times New Roman"/>
                <w:color w:val="auto"/>
                <w:spacing w:val="0"/>
                <w:position w:val="0"/>
                <w:sz w:val="21"/>
                <w:szCs w:val="21"/>
                <w:highlight w:val="none"/>
                <w:lang w:val="en-US" w:eastAsia="zh-CN"/>
              </w:rPr>
              <w:t>过程中可能发生</w:t>
            </w:r>
            <w:r>
              <w:rPr>
                <w:rFonts w:hint="eastAsia" w:cs="Times New Roman"/>
                <w:color w:val="auto"/>
                <w:spacing w:val="0"/>
                <w:position w:val="0"/>
                <w:sz w:val="21"/>
                <w:szCs w:val="21"/>
                <w:highlight w:val="none"/>
                <w:lang w:val="en-US" w:eastAsia="zh-CN"/>
              </w:rPr>
              <w:t>泄漏</w:t>
            </w:r>
            <w:r>
              <w:rPr>
                <w:rFonts w:hint="eastAsia" w:ascii="Times New Roman" w:hAnsi="Times New Roman" w:eastAsia="宋体" w:cs="Times New Roman"/>
                <w:color w:val="auto"/>
                <w:spacing w:val="0"/>
                <w:position w:val="0"/>
                <w:sz w:val="21"/>
                <w:szCs w:val="21"/>
                <w:highlight w:val="none"/>
                <w:lang w:val="en-US" w:eastAsia="zh-CN"/>
              </w:rPr>
              <w:t>，在生产设备下方放置洁净的接收容器，</w:t>
            </w:r>
            <w:r>
              <w:rPr>
                <w:rFonts w:hint="eastAsia" w:cs="Times New Roman"/>
                <w:color w:val="auto"/>
                <w:spacing w:val="0"/>
                <w:position w:val="0"/>
                <w:sz w:val="21"/>
                <w:szCs w:val="21"/>
                <w:highlight w:val="none"/>
                <w:lang w:val="en-US" w:eastAsia="zh-CN"/>
              </w:rPr>
              <w:t>油性漆、水性漆、</w:t>
            </w:r>
            <w:r>
              <w:rPr>
                <w:rFonts w:hint="eastAsia" w:ascii="Times New Roman" w:hAnsi="Times New Roman" w:eastAsia="宋体" w:cs="Times New Roman"/>
                <w:color w:val="auto"/>
                <w:spacing w:val="0"/>
                <w:position w:val="0"/>
                <w:sz w:val="21"/>
                <w:szCs w:val="21"/>
                <w:highlight w:val="none"/>
                <w:lang w:val="en-US" w:eastAsia="zh-CN"/>
              </w:rPr>
              <w:t>固化剂、稀释剂</w:t>
            </w:r>
            <w:r>
              <w:rPr>
                <w:rFonts w:hint="eastAsia" w:cs="Times New Roman"/>
                <w:color w:val="auto"/>
                <w:spacing w:val="0"/>
                <w:position w:val="0"/>
                <w:sz w:val="21"/>
                <w:szCs w:val="21"/>
                <w:highlight w:val="none"/>
                <w:lang w:val="en-US" w:eastAsia="zh-CN"/>
              </w:rPr>
              <w:t>在调配时</w:t>
            </w:r>
            <w:r>
              <w:rPr>
                <w:rFonts w:hint="eastAsia" w:ascii="Times New Roman" w:hAnsi="Times New Roman" w:eastAsia="宋体" w:cs="Times New Roman"/>
                <w:color w:val="auto"/>
                <w:spacing w:val="0"/>
                <w:position w:val="0"/>
                <w:sz w:val="21"/>
                <w:szCs w:val="21"/>
                <w:highlight w:val="none"/>
                <w:lang w:val="en-US" w:eastAsia="zh-CN"/>
              </w:rPr>
              <w:t>泄</w:t>
            </w:r>
            <w:r>
              <w:rPr>
                <w:rFonts w:hint="eastAsia" w:cs="Times New Roman"/>
                <w:color w:val="auto"/>
                <w:spacing w:val="0"/>
                <w:position w:val="0"/>
                <w:sz w:val="21"/>
                <w:szCs w:val="21"/>
                <w:highlight w:val="none"/>
                <w:lang w:val="en-US" w:eastAsia="zh-CN"/>
              </w:rPr>
              <w:t>漏</w:t>
            </w:r>
            <w:r>
              <w:rPr>
                <w:rFonts w:hint="eastAsia" w:ascii="Times New Roman" w:hAnsi="Times New Roman" w:eastAsia="宋体" w:cs="Times New Roman"/>
                <w:color w:val="auto"/>
                <w:spacing w:val="0"/>
                <w:position w:val="0"/>
                <w:sz w:val="21"/>
                <w:szCs w:val="21"/>
                <w:highlight w:val="none"/>
                <w:lang w:val="en-US" w:eastAsia="zh-CN"/>
              </w:rPr>
              <w:t>在接收容器后，可回用于生产，</w:t>
            </w:r>
            <w:r>
              <w:rPr>
                <w:rFonts w:hint="eastAsia" w:cs="Times New Roman"/>
                <w:color w:val="auto"/>
                <w:spacing w:val="0"/>
                <w:position w:val="0"/>
                <w:sz w:val="21"/>
                <w:szCs w:val="21"/>
                <w:highlight w:val="none"/>
                <w:lang w:val="en-US" w:eastAsia="zh-CN"/>
              </w:rPr>
              <w:t>同时确保喷漆时废气处理系统正常运行</w:t>
            </w:r>
            <w:r>
              <w:rPr>
                <w:rFonts w:hint="eastAsia" w:ascii="Times New Roman" w:hAnsi="Times New Roman" w:eastAsia="宋体" w:cs="Times New Roman"/>
                <w:color w:val="auto"/>
                <w:spacing w:val="0"/>
                <w:position w:val="0"/>
                <w:sz w:val="21"/>
                <w:szCs w:val="21"/>
                <w:highlight w:val="none"/>
                <w:lang w:val="en-US" w:eastAsia="zh-CN"/>
              </w:rPr>
              <w:t>。</w:t>
            </w:r>
          </w:p>
          <w:p w14:paraId="721C114A">
            <w:pPr>
              <w:spacing w:line="360" w:lineRule="auto"/>
              <w:ind w:firstLine="420" w:firstLineChars="200"/>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2"/>
                <w:position w:val="0"/>
                <w:sz w:val="21"/>
                <w:szCs w:val="21"/>
                <w:highlight w:val="none"/>
                <w:lang w:val="en-US" w:eastAsia="zh-CN" w:bidi="ar-SA"/>
              </w:rPr>
              <w:t>②</w:t>
            </w:r>
            <w:r>
              <w:rPr>
                <w:rFonts w:ascii="Times New Roman" w:hAnsi="Times New Roman" w:eastAsia="宋体" w:cs="Times New Roman"/>
                <w:color w:val="auto"/>
                <w:spacing w:val="0"/>
                <w:position w:val="0"/>
                <w:sz w:val="21"/>
                <w:szCs w:val="21"/>
                <w:highlight w:val="none"/>
              </w:rPr>
              <w:t>项目在生产过程中产生的</w:t>
            </w:r>
            <w:r>
              <w:rPr>
                <w:rFonts w:hint="eastAsia" w:cs="Times New Roman"/>
                <w:color w:val="auto"/>
                <w:spacing w:val="0"/>
                <w:position w:val="0"/>
                <w:sz w:val="21"/>
                <w:szCs w:val="21"/>
                <w:highlight w:val="none"/>
                <w:lang w:val="en-US" w:eastAsia="zh-CN"/>
              </w:rPr>
              <w:t>危险废物</w:t>
            </w:r>
            <w:r>
              <w:rPr>
                <w:rFonts w:ascii="Times New Roman" w:hAnsi="Times New Roman" w:eastAsia="宋体" w:cs="Times New Roman"/>
                <w:color w:val="auto"/>
                <w:spacing w:val="0"/>
                <w:position w:val="0"/>
                <w:sz w:val="21"/>
                <w:szCs w:val="21"/>
                <w:highlight w:val="none"/>
              </w:rPr>
              <w:t>具有毒性，项目应做好相关的风险防范措施及应急措施，以</w:t>
            </w:r>
            <w:r>
              <w:rPr>
                <w:rFonts w:hint="eastAsia" w:ascii="Times New Roman" w:hAnsi="Times New Roman" w:eastAsia="宋体" w:cs="Times New Roman"/>
                <w:color w:val="auto"/>
                <w:spacing w:val="0"/>
                <w:position w:val="0"/>
                <w:sz w:val="21"/>
                <w:szCs w:val="21"/>
                <w:highlight w:val="none"/>
              </w:rPr>
              <w:t>防止</w:t>
            </w:r>
            <w:r>
              <w:rPr>
                <w:rFonts w:ascii="Times New Roman" w:hAnsi="Times New Roman" w:eastAsia="宋体" w:cs="Times New Roman"/>
                <w:color w:val="auto"/>
                <w:spacing w:val="0"/>
                <w:position w:val="0"/>
                <w:sz w:val="21"/>
                <w:szCs w:val="21"/>
                <w:highlight w:val="none"/>
              </w:rPr>
              <w:t>风险发生对车间工作人员及周边环境造成影响，具体措施如下：</w:t>
            </w:r>
          </w:p>
          <w:p w14:paraId="16F8FE01">
            <w:pPr>
              <w:numPr>
                <w:ilvl w:val="0"/>
                <w:numId w:val="0"/>
              </w:numPr>
              <w:spacing w:line="360" w:lineRule="auto"/>
              <w:ind w:left="0" w:leftChars="0" w:firstLine="420" w:firstLineChars="200"/>
              <w:rPr>
                <w:rFonts w:ascii="Times New Roman" w:hAnsi="Times New Roman" w:eastAsia="宋体" w:cs="Times New Roman"/>
                <w:color w:val="auto"/>
                <w:spacing w:val="0"/>
                <w:position w:val="0"/>
                <w:sz w:val="21"/>
                <w:szCs w:val="21"/>
                <w:highlight w:val="none"/>
              </w:rPr>
            </w:pPr>
            <w:r>
              <w:rPr>
                <w:rFonts w:hint="eastAsia" w:cs="Times New Roman"/>
                <w:color w:val="auto"/>
                <w:spacing w:val="0"/>
                <w:kern w:val="2"/>
                <w:position w:val="0"/>
                <w:sz w:val="21"/>
                <w:szCs w:val="21"/>
                <w:highlight w:val="none"/>
                <w:lang w:val="en-US" w:eastAsia="zh-CN" w:bidi="ar-SA"/>
              </w:rPr>
              <w:t>A.</w:t>
            </w:r>
            <w:r>
              <w:rPr>
                <w:rFonts w:ascii="Times New Roman" w:hAnsi="Times New Roman" w:eastAsia="宋体" w:cs="Times New Roman"/>
                <w:color w:val="auto"/>
                <w:spacing w:val="0"/>
                <w:position w:val="0"/>
                <w:sz w:val="21"/>
                <w:szCs w:val="21"/>
                <w:highlight w:val="none"/>
              </w:rPr>
              <w:t>项目在生产过程中产生的危废应及时收集，妥善保管；放置于</w:t>
            </w:r>
            <w:r>
              <w:rPr>
                <w:rFonts w:hint="eastAsia" w:cs="Times New Roman"/>
                <w:color w:val="auto"/>
                <w:spacing w:val="0"/>
                <w:position w:val="0"/>
                <w:sz w:val="21"/>
                <w:szCs w:val="21"/>
                <w:highlight w:val="none"/>
                <w:lang w:eastAsia="zh-CN"/>
              </w:rPr>
              <w:t>危废暂存间</w:t>
            </w:r>
            <w:r>
              <w:rPr>
                <w:rFonts w:ascii="Times New Roman" w:hAnsi="Times New Roman" w:eastAsia="宋体" w:cs="Times New Roman"/>
                <w:color w:val="auto"/>
                <w:spacing w:val="0"/>
                <w:position w:val="0"/>
                <w:sz w:val="21"/>
                <w:szCs w:val="21"/>
                <w:highlight w:val="none"/>
              </w:rPr>
              <w:t>，并保持通风阴凉；</w:t>
            </w:r>
          </w:p>
          <w:p w14:paraId="6713A9EE">
            <w:pPr>
              <w:numPr>
                <w:ilvl w:val="0"/>
                <w:numId w:val="0"/>
              </w:numPr>
              <w:spacing w:line="360" w:lineRule="auto"/>
              <w:ind w:left="0" w:leftChars="0" w:firstLine="420" w:firstLineChars="200"/>
              <w:rPr>
                <w:rFonts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val="en-US" w:eastAsia="zh-CN"/>
              </w:rPr>
              <w:t>B.</w:t>
            </w:r>
            <w:r>
              <w:rPr>
                <w:rFonts w:ascii="Times New Roman" w:hAnsi="Times New Roman" w:eastAsia="宋体" w:cs="Times New Roman"/>
                <w:color w:val="auto"/>
                <w:spacing w:val="0"/>
                <w:position w:val="0"/>
                <w:sz w:val="21"/>
                <w:szCs w:val="21"/>
                <w:highlight w:val="none"/>
              </w:rPr>
              <w:t>远离火种、热源</w:t>
            </w:r>
            <w:r>
              <w:rPr>
                <w:rFonts w:hint="eastAsia" w:ascii="Times New Roman" w:hAnsi="Times New Roman" w:eastAsia="宋体" w:cs="Times New Roman"/>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工作场所禁止吸烟等；</w:t>
            </w:r>
          </w:p>
          <w:p w14:paraId="23384145">
            <w:pPr>
              <w:numPr>
                <w:ilvl w:val="0"/>
                <w:numId w:val="0"/>
              </w:numPr>
              <w:spacing w:line="360" w:lineRule="auto"/>
              <w:ind w:left="0" w:leftChars="0" w:firstLine="420" w:firstLineChars="200"/>
              <w:rPr>
                <w:rFonts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val="en-US" w:eastAsia="zh-CN"/>
              </w:rPr>
              <w:t>C.</w:t>
            </w:r>
            <w:r>
              <w:rPr>
                <w:rFonts w:ascii="Times New Roman" w:hAnsi="Times New Roman" w:eastAsia="宋体" w:cs="Times New Roman"/>
                <w:color w:val="auto"/>
                <w:spacing w:val="0"/>
                <w:position w:val="0"/>
                <w:sz w:val="21"/>
                <w:szCs w:val="21"/>
                <w:highlight w:val="none"/>
              </w:rPr>
              <w:t>配备相应品种的消防器材，进行各种日常的、定期的、专业的防火安全检查；</w:t>
            </w:r>
          </w:p>
          <w:p w14:paraId="0818F240">
            <w:pPr>
              <w:numPr>
                <w:ilvl w:val="0"/>
                <w:numId w:val="0"/>
              </w:numPr>
              <w:spacing w:line="360" w:lineRule="auto"/>
              <w:ind w:left="0" w:leftChars="0" w:firstLine="420" w:firstLineChars="200"/>
              <w:rPr>
                <w:rFonts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val="en-US" w:eastAsia="zh-CN"/>
              </w:rPr>
              <w:t>D.</w:t>
            </w:r>
            <w:r>
              <w:rPr>
                <w:rFonts w:ascii="Times New Roman" w:hAnsi="Times New Roman" w:eastAsia="宋体" w:cs="Times New Roman"/>
                <w:color w:val="auto"/>
                <w:spacing w:val="0"/>
                <w:position w:val="0"/>
                <w:sz w:val="21"/>
                <w:szCs w:val="21"/>
                <w:highlight w:val="none"/>
              </w:rPr>
              <w:t>委托有资质的单位处置，并做到专车专用，并标有相关标志</w:t>
            </w:r>
            <w:r>
              <w:rPr>
                <w:rFonts w:hint="eastAsia" w:ascii="Times New Roman" w:hAnsi="Times New Roman" w:eastAsia="宋体" w:cs="Times New Roman"/>
                <w:color w:val="auto"/>
                <w:spacing w:val="0"/>
                <w:position w:val="0"/>
                <w:sz w:val="21"/>
                <w:szCs w:val="21"/>
                <w:highlight w:val="none"/>
              </w:rPr>
              <w:t>；</w:t>
            </w:r>
          </w:p>
          <w:p w14:paraId="20A7F058">
            <w:pPr>
              <w:pStyle w:val="63"/>
              <w:numPr>
                <w:ilvl w:val="0"/>
                <w:numId w:val="0"/>
              </w:numPr>
              <w:ind w:left="0" w:leftChars="0" w:firstLine="420" w:firstLineChars="200"/>
              <w:rPr>
                <w:rFonts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val="en-US" w:eastAsia="zh-CN"/>
              </w:rPr>
              <w:t>E.</w:t>
            </w:r>
            <w:r>
              <w:rPr>
                <w:rFonts w:hint="eastAsia" w:cs="Times New Roman"/>
                <w:color w:val="auto"/>
                <w:spacing w:val="0"/>
                <w:position w:val="0"/>
                <w:sz w:val="21"/>
                <w:szCs w:val="21"/>
                <w:highlight w:val="none"/>
                <w:lang w:eastAsia="zh-CN"/>
              </w:rPr>
              <w:t>危废暂存间</w:t>
            </w:r>
            <w:r>
              <w:rPr>
                <w:rFonts w:ascii="Times New Roman" w:hAnsi="Times New Roman" w:eastAsia="宋体" w:cs="Times New Roman"/>
                <w:color w:val="auto"/>
                <w:spacing w:val="0"/>
                <w:position w:val="0"/>
                <w:sz w:val="21"/>
                <w:szCs w:val="21"/>
                <w:highlight w:val="none"/>
              </w:rPr>
              <w:t>按《危险废物贮存污染控制标准》（GB</w:t>
            </w:r>
            <w:r>
              <w:rPr>
                <w:rFonts w:hint="eastAsia" w:ascii="Times New Roman" w:hAnsi="Times New Roman" w:eastAsia="宋体" w:cs="Times New Roman"/>
                <w:color w:val="auto"/>
                <w:spacing w:val="0"/>
                <w:position w:val="0"/>
                <w:sz w:val="21"/>
                <w:szCs w:val="21"/>
                <w:highlight w:val="none"/>
              </w:rPr>
              <w:t xml:space="preserve"> </w:t>
            </w:r>
            <w:r>
              <w:rPr>
                <w:rFonts w:ascii="Times New Roman" w:hAnsi="Times New Roman" w:eastAsia="宋体" w:cs="Times New Roman"/>
                <w:color w:val="auto"/>
                <w:spacing w:val="0"/>
                <w:position w:val="0"/>
                <w:sz w:val="21"/>
                <w:szCs w:val="21"/>
                <w:highlight w:val="none"/>
              </w:rPr>
              <w:t>18597-20</w:t>
            </w:r>
            <w:r>
              <w:rPr>
                <w:rFonts w:hint="eastAsia" w:ascii="Times New Roman" w:hAnsi="Times New Roman" w:eastAsia="宋体" w:cs="Times New Roman"/>
                <w:color w:val="auto"/>
                <w:spacing w:val="0"/>
                <w:position w:val="0"/>
                <w:sz w:val="21"/>
                <w:szCs w:val="21"/>
                <w:highlight w:val="none"/>
              </w:rPr>
              <w:t>23</w:t>
            </w:r>
            <w:r>
              <w:rPr>
                <w:rFonts w:ascii="Times New Roman" w:hAnsi="Times New Roman" w:eastAsia="宋体" w:cs="Times New Roman"/>
                <w:color w:val="auto"/>
                <w:spacing w:val="0"/>
                <w:position w:val="0"/>
                <w:sz w:val="21"/>
                <w:szCs w:val="21"/>
                <w:highlight w:val="none"/>
              </w:rPr>
              <w:t>）要求进行防渗防漏处理。</w:t>
            </w:r>
            <w:r>
              <w:rPr>
                <w:rFonts w:hint="eastAsia" w:cs="Times New Roman"/>
                <w:color w:val="auto"/>
                <w:spacing w:val="0"/>
                <w:position w:val="0"/>
                <w:sz w:val="21"/>
                <w:szCs w:val="21"/>
                <w:highlight w:val="none"/>
                <w:lang w:eastAsia="zh-CN"/>
              </w:rPr>
              <w:t>危废暂存间</w:t>
            </w:r>
            <w:r>
              <w:rPr>
                <w:rFonts w:hint="eastAsia" w:ascii="Times New Roman" w:hAnsi="Times New Roman" w:eastAsia="宋体" w:cs="Times New Roman"/>
                <w:color w:val="auto"/>
                <w:spacing w:val="0"/>
                <w:position w:val="0"/>
                <w:sz w:val="21"/>
                <w:szCs w:val="21"/>
                <w:highlight w:val="none"/>
              </w:rPr>
              <w:t>内设有托盘、</w:t>
            </w:r>
            <w:r>
              <w:rPr>
                <w:rFonts w:ascii="Times New Roman" w:hAnsi="Times New Roman" w:eastAsia="宋体" w:cs="Times New Roman"/>
                <w:color w:val="auto"/>
                <w:spacing w:val="0"/>
                <w:position w:val="0"/>
                <w:sz w:val="21"/>
                <w:szCs w:val="21"/>
                <w:highlight w:val="none"/>
              </w:rPr>
              <w:t>门口设</w:t>
            </w:r>
            <w:r>
              <w:rPr>
                <w:rFonts w:hint="eastAsia" w:ascii="Times New Roman" w:hAnsi="Times New Roman" w:eastAsia="宋体" w:cs="Times New Roman"/>
                <w:color w:val="auto"/>
                <w:spacing w:val="0"/>
                <w:position w:val="0"/>
                <w:sz w:val="21"/>
                <w:szCs w:val="21"/>
                <w:highlight w:val="none"/>
              </w:rPr>
              <w:t>有</w:t>
            </w:r>
            <w:r>
              <w:rPr>
                <w:rFonts w:ascii="Times New Roman" w:hAnsi="Times New Roman" w:eastAsia="宋体" w:cs="Times New Roman"/>
                <w:color w:val="auto"/>
                <w:spacing w:val="0"/>
                <w:position w:val="0"/>
                <w:sz w:val="21"/>
                <w:szCs w:val="21"/>
                <w:highlight w:val="none"/>
              </w:rPr>
              <w:t>围堰，确保</w:t>
            </w:r>
            <w:r>
              <w:rPr>
                <w:rFonts w:hint="eastAsia" w:ascii="Times New Roman" w:hAnsi="Times New Roman" w:eastAsia="宋体" w:cs="Times New Roman"/>
                <w:color w:val="auto"/>
                <w:spacing w:val="0"/>
                <w:position w:val="0"/>
                <w:sz w:val="21"/>
                <w:szCs w:val="21"/>
                <w:highlight w:val="none"/>
              </w:rPr>
              <w:t>危险废物</w:t>
            </w:r>
            <w:r>
              <w:rPr>
                <w:rFonts w:ascii="Times New Roman" w:hAnsi="Times New Roman" w:eastAsia="宋体" w:cs="Times New Roman"/>
                <w:color w:val="auto"/>
                <w:spacing w:val="0"/>
                <w:position w:val="0"/>
                <w:sz w:val="21"/>
                <w:szCs w:val="21"/>
                <w:highlight w:val="none"/>
              </w:rPr>
              <w:t>发生泄漏时，可成功截留在危废仓内。</w:t>
            </w:r>
          </w:p>
          <w:p w14:paraId="29BACB69">
            <w:pPr>
              <w:spacing w:line="360" w:lineRule="auto"/>
              <w:ind w:firstLine="422" w:firstLineChars="200"/>
              <w:rPr>
                <w:rFonts w:ascii="Times New Roman" w:hAnsi="Times New Roman" w:eastAsia="宋体" w:cs="Times New Roman"/>
                <w:b/>
                <w:bCs/>
                <w:color w:val="auto"/>
                <w:spacing w:val="0"/>
                <w:position w:val="0"/>
                <w:sz w:val="21"/>
                <w:szCs w:val="21"/>
                <w:highlight w:val="none"/>
              </w:rPr>
            </w:pPr>
            <w:r>
              <w:rPr>
                <w:rFonts w:hint="eastAsia" w:cs="Times New Roman"/>
                <w:b/>
                <w:bCs/>
                <w:color w:val="auto"/>
                <w:spacing w:val="0"/>
                <w:position w:val="0"/>
                <w:sz w:val="21"/>
                <w:szCs w:val="21"/>
                <w:highlight w:val="none"/>
                <w:lang w:eastAsia="zh-CN"/>
              </w:rPr>
              <w:t>（</w:t>
            </w:r>
            <w:r>
              <w:rPr>
                <w:rFonts w:hint="eastAsia" w:cs="Times New Roman"/>
                <w:b/>
                <w:bCs/>
                <w:color w:val="auto"/>
                <w:spacing w:val="0"/>
                <w:position w:val="0"/>
                <w:sz w:val="21"/>
                <w:szCs w:val="21"/>
                <w:highlight w:val="none"/>
                <w:lang w:val="en-US" w:eastAsia="zh-CN"/>
              </w:rPr>
              <w:t>2</w:t>
            </w:r>
            <w:r>
              <w:rPr>
                <w:rFonts w:hint="eastAsia" w:cs="Times New Roman"/>
                <w:b/>
                <w:bCs/>
                <w:color w:val="auto"/>
                <w:spacing w:val="0"/>
                <w:position w:val="0"/>
                <w:sz w:val="21"/>
                <w:szCs w:val="21"/>
                <w:highlight w:val="none"/>
                <w:lang w:eastAsia="zh-CN"/>
              </w:rPr>
              <w:t>）</w:t>
            </w:r>
            <w:r>
              <w:rPr>
                <w:rFonts w:ascii="Times New Roman" w:hAnsi="Times New Roman" w:eastAsia="宋体" w:cs="Times New Roman"/>
                <w:b/>
                <w:bCs/>
                <w:color w:val="auto"/>
                <w:spacing w:val="0"/>
                <w:position w:val="0"/>
                <w:sz w:val="21"/>
                <w:szCs w:val="21"/>
                <w:highlight w:val="none"/>
              </w:rPr>
              <w:t>废</w:t>
            </w:r>
            <w:r>
              <w:rPr>
                <w:rFonts w:hint="eastAsia" w:ascii="Times New Roman" w:hAnsi="Times New Roman" w:eastAsia="宋体" w:cs="Times New Roman"/>
                <w:b/>
                <w:bCs/>
                <w:color w:val="auto"/>
                <w:spacing w:val="0"/>
                <w:position w:val="0"/>
                <w:sz w:val="21"/>
                <w:szCs w:val="21"/>
                <w:highlight w:val="none"/>
                <w:lang w:val="en-US" w:eastAsia="zh-CN"/>
              </w:rPr>
              <w:t>水</w:t>
            </w:r>
            <w:r>
              <w:rPr>
                <w:rFonts w:ascii="Times New Roman" w:hAnsi="Times New Roman" w:eastAsia="宋体" w:cs="Times New Roman"/>
                <w:b/>
                <w:bCs/>
                <w:color w:val="auto"/>
                <w:spacing w:val="0"/>
                <w:position w:val="0"/>
                <w:sz w:val="21"/>
                <w:szCs w:val="21"/>
                <w:highlight w:val="none"/>
              </w:rPr>
              <w:t>事故</w:t>
            </w:r>
            <w:r>
              <w:rPr>
                <w:rFonts w:hint="eastAsia" w:ascii="Times New Roman" w:hAnsi="Times New Roman" w:eastAsia="宋体" w:cs="Times New Roman"/>
                <w:b/>
                <w:bCs/>
                <w:color w:val="auto"/>
                <w:spacing w:val="0"/>
                <w:position w:val="0"/>
                <w:sz w:val="21"/>
                <w:szCs w:val="21"/>
                <w:highlight w:val="none"/>
              </w:rPr>
              <w:t>防范措施</w:t>
            </w:r>
          </w:p>
          <w:p w14:paraId="7117FF04">
            <w:pPr>
              <w:spacing w:line="360" w:lineRule="auto"/>
              <w:ind w:firstLine="420" w:firstLineChars="200"/>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定期对污水处理设施</w:t>
            </w:r>
            <w:r>
              <w:rPr>
                <w:rFonts w:hint="eastAsia" w:cs="Times New Roman"/>
                <w:color w:val="auto"/>
                <w:spacing w:val="0"/>
                <w:position w:val="0"/>
                <w:sz w:val="21"/>
                <w:szCs w:val="21"/>
                <w:highlight w:val="none"/>
                <w:lang w:eastAsia="zh-CN"/>
              </w:rPr>
              <w:t>、</w:t>
            </w:r>
            <w:r>
              <w:rPr>
                <w:rFonts w:hint="eastAsia" w:cs="Times New Roman"/>
                <w:color w:val="auto"/>
                <w:spacing w:val="0"/>
                <w:position w:val="0"/>
                <w:sz w:val="21"/>
                <w:szCs w:val="21"/>
                <w:highlight w:val="none"/>
                <w:lang w:val="en-US" w:eastAsia="zh-CN"/>
              </w:rPr>
              <w:t>水帘气旋设备</w:t>
            </w:r>
            <w:r>
              <w:rPr>
                <w:rFonts w:hint="eastAsia" w:ascii="Times New Roman" w:hAnsi="Times New Roman" w:eastAsia="宋体" w:cs="Times New Roman"/>
                <w:color w:val="auto"/>
                <w:spacing w:val="0"/>
                <w:position w:val="0"/>
                <w:sz w:val="21"/>
                <w:szCs w:val="21"/>
                <w:highlight w:val="none"/>
              </w:rPr>
              <w:t>进行设备设施的检查和维护，及时发现并排除存在的安全隐患，保持设备设施的良好工作状态</w:t>
            </w:r>
            <w:r>
              <w:rPr>
                <w:rFonts w:hint="eastAsia" w:ascii="Times New Roman" w:hAnsi="Times New Roman" w:eastAsia="宋体" w:cs="Times New Roman"/>
                <w:color w:val="auto"/>
                <w:spacing w:val="0"/>
                <w:position w:val="0"/>
                <w:sz w:val="21"/>
                <w:szCs w:val="21"/>
                <w:highlight w:val="none"/>
                <w:lang w:eastAsia="zh-CN"/>
              </w:rPr>
              <w:t>。制定并严格执行操作规程，包括设备运行、检修和维护等各个环节的标准化操作程序。同时，加强对操作人员的监督和管理，确保操作按照规程进行，</w:t>
            </w:r>
            <w:r>
              <w:rPr>
                <w:rFonts w:hint="eastAsia" w:ascii="Times New Roman" w:hAnsi="Times New Roman" w:eastAsia="宋体" w:cs="Times New Roman"/>
                <w:color w:val="auto"/>
                <w:spacing w:val="0"/>
                <w:position w:val="0"/>
                <w:sz w:val="21"/>
                <w:szCs w:val="21"/>
                <w:highlight w:val="none"/>
                <w:lang w:val="en-US" w:eastAsia="zh-CN"/>
              </w:rPr>
              <w:t>降低事故发生的可能性</w:t>
            </w:r>
            <w:r>
              <w:rPr>
                <w:rFonts w:hint="eastAsia" w:ascii="Times New Roman" w:hAnsi="Times New Roman" w:eastAsia="宋体" w:cs="Times New Roman"/>
                <w:color w:val="auto"/>
                <w:spacing w:val="0"/>
                <w:position w:val="0"/>
                <w:sz w:val="21"/>
                <w:szCs w:val="21"/>
                <w:highlight w:val="none"/>
                <w:lang w:eastAsia="zh-CN"/>
              </w:rPr>
              <w:t>‌。</w:t>
            </w:r>
            <w:r>
              <w:rPr>
                <w:rFonts w:hint="eastAsia" w:ascii="Times New Roman" w:hAnsi="Times New Roman" w:eastAsia="宋体" w:cs="Times New Roman"/>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应设有备用电源和备用处理设备和零件，一旦设备出现故障不能及时处理的，应立即上报主管，并通知相应车间停产。</w:t>
            </w:r>
          </w:p>
          <w:p w14:paraId="2ED0CF19">
            <w:pPr>
              <w:spacing w:line="360" w:lineRule="auto"/>
              <w:ind w:firstLine="422" w:firstLineChars="200"/>
              <w:rPr>
                <w:rFonts w:ascii="Times New Roman" w:hAnsi="Times New Roman" w:eastAsia="宋体" w:cs="Times New Roman"/>
                <w:b/>
                <w:bCs/>
                <w:color w:val="auto"/>
                <w:spacing w:val="0"/>
                <w:position w:val="0"/>
                <w:sz w:val="21"/>
                <w:szCs w:val="21"/>
                <w:highlight w:val="none"/>
              </w:rPr>
            </w:pPr>
            <w:r>
              <w:rPr>
                <w:rFonts w:hint="eastAsia" w:cs="Times New Roman"/>
                <w:b/>
                <w:bCs/>
                <w:color w:val="auto"/>
                <w:spacing w:val="0"/>
                <w:position w:val="0"/>
                <w:sz w:val="21"/>
                <w:szCs w:val="21"/>
                <w:highlight w:val="none"/>
                <w:lang w:val="en-US" w:eastAsia="zh-CN"/>
              </w:rPr>
              <w:t>（3）</w:t>
            </w:r>
            <w:r>
              <w:rPr>
                <w:rFonts w:ascii="Times New Roman" w:hAnsi="Times New Roman" w:eastAsia="宋体" w:cs="Times New Roman"/>
                <w:b/>
                <w:bCs/>
                <w:color w:val="auto"/>
                <w:spacing w:val="0"/>
                <w:position w:val="0"/>
                <w:sz w:val="21"/>
                <w:szCs w:val="21"/>
                <w:highlight w:val="none"/>
              </w:rPr>
              <w:t>废气事故</w:t>
            </w:r>
            <w:r>
              <w:rPr>
                <w:rFonts w:hint="eastAsia" w:ascii="Times New Roman" w:hAnsi="Times New Roman" w:eastAsia="宋体" w:cs="Times New Roman"/>
                <w:b/>
                <w:bCs/>
                <w:color w:val="auto"/>
                <w:spacing w:val="0"/>
                <w:position w:val="0"/>
                <w:sz w:val="21"/>
                <w:szCs w:val="21"/>
                <w:highlight w:val="none"/>
              </w:rPr>
              <w:t>防范措施</w:t>
            </w:r>
          </w:p>
          <w:p w14:paraId="0294D9A3">
            <w:pPr>
              <w:pStyle w:val="63"/>
              <w:ind w:firstLine="480"/>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加强废气处理设施的维护，及时发现处理设备的隐患，确保废气处理</w:t>
            </w:r>
            <w:r>
              <w:rPr>
                <w:rFonts w:hint="eastAsia" w:ascii="Times New Roman" w:hAnsi="Times New Roman" w:eastAsia="宋体" w:cs="Times New Roman"/>
                <w:color w:val="auto"/>
                <w:spacing w:val="0"/>
                <w:position w:val="0"/>
                <w:sz w:val="21"/>
                <w:szCs w:val="21"/>
                <w:highlight w:val="none"/>
              </w:rPr>
              <w:t>系统</w:t>
            </w:r>
            <w:r>
              <w:rPr>
                <w:rFonts w:ascii="Times New Roman" w:hAnsi="Times New Roman" w:eastAsia="宋体" w:cs="Times New Roman"/>
                <w:color w:val="auto"/>
                <w:spacing w:val="0"/>
                <w:position w:val="0"/>
                <w:sz w:val="21"/>
                <w:szCs w:val="21"/>
                <w:highlight w:val="none"/>
              </w:rPr>
              <w:t>正常运行；开、停、检修要有预案，有严密周全的计划，确保不发生事故排放，或使影响最小。应设有备用电源和备用处理设备和零件，以备停电或设备出现故障时及时更换使废气全部做到达标排放。一旦设备出现故障不能及时处理的，应立即上报主管，并通知相应车间停产。</w:t>
            </w:r>
          </w:p>
          <w:p w14:paraId="5ED83E6A">
            <w:pPr>
              <w:pStyle w:val="63"/>
              <w:spacing w:line="348" w:lineRule="auto"/>
              <w:ind w:firstLine="480"/>
              <w:rPr>
                <w:rFonts w:ascii="Times New Roman" w:hAnsi="Times New Roman" w:eastAsia="宋体" w:cs="Times New Roman"/>
                <w:b/>
                <w:bCs/>
                <w:color w:val="auto"/>
                <w:spacing w:val="0"/>
                <w:position w:val="0"/>
                <w:sz w:val="21"/>
                <w:szCs w:val="21"/>
                <w:highlight w:val="none"/>
              </w:rPr>
            </w:pPr>
            <w:r>
              <w:rPr>
                <w:rFonts w:hint="eastAsia" w:cs="Times New Roman"/>
                <w:b/>
                <w:bCs/>
                <w:color w:val="auto"/>
                <w:spacing w:val="0"/>
                <w:position w:val="0"/>
                <w:sz w:val="21"/>
                <w:szCs w:val="21"/>
                <w:highlight w:val="none"/>
                <w:lang w:val="en-US" w:eastAsia="zh-CN"/>
              </w:rPr>
              <w:t>（4）</w:t>
            </w:r>
            <w:r>
              <w:rPr>
                <w:rFonts w:ascii="Times New Roman" w:hAnsi="Times New Roman" w:eastAsia="宋体" w:cs="Times New Roman"/>
                <w:b/>
                <w:bCs/>
                <w:color w:val="auto"/>
                <w:spacing w:val="0"/>
                <w:position w:val="0"/>
                <w:sz w:val="21"/>
                <w:szCs w:val="21"/>
                <w:highlight w:val="none"/>
              </w:rPr>
              <w:t>火灾事故应急处理措施</w:t>
            </w:r>
          </w:p>
          <w:p w14:paraId="221F935E">
            <w:pPr>
              <w:spacing w:line="360" w:lineRule="auto"/>
              <w:ind w:firstLine="420" w:firstLineChars="200"/>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当火灾事故发生时，</w:t>
            </w:r>
            <w:r>
              <w:rPr>
                <w:rFonts w:hint="eastAsia" w:cs="Times New Roman"/>
                <w:color w:val="auto"/>
                <w:spacing w:val="0"/>
                <w:position w:val="0"/>
                <w:sz w:val="21"/>
                <w:szCs w:val="21"/>
                <w:highlight w:val="none"/>
                <w:lang w:val="en-US" w:eastAsia="zh-CN"/>
              </w:rPr>
              <w:t>根据</w:t>
            </w:r>
            <w:r>
              <w:rPr>
                <w:rFonts w:hint="eastAsia" w:ascii="Times New Roman" w:hAnsi="Times New Roman" w:eastAsia="宋体" w:cs="Times New Roman"/>
                <w:color w:val="auto"/>
                <w:spacing w:val="0"/>
                <w:position w:val="0"/>
                <w:sz w:val="21"/>
                <w:szCs w:val="21"/>
                <w:highlight w:val="none"/>
                <w:lang w:val="en-US" w:eastAsia="zh-CN"/>
              </w:rPr>
              <w:t>原料、</w:t>
            </w:r>
            <w:r>
              <w:rPr>
                <w:rFonts w:hint="eastAsia" w:ascii="Times New Roman" w:hAnsi="Times New Roman" w:eastAsia="宋体" w:cs="Times New Roman"/>
                <w:color w:val="auto"/>
                <w:spacing w:val="0"/>
                <w:position w:val="0"/>
                <w:sz w:val="21"/>
                <w:szCs w:val="21"/>
                <w:highlight w:val="none"/>
              </w:rPr>
              <w:t>成品</w:t>
            </w:r>
            <w:r>
              <w:rPr>
                <w:rFonts w:hint="eastAsia" w:ascii="Times New Roman" w:hAnsi="Times New Roman" w:eastAsia="宋体" w:cs="Times New Roman"/>
                <w:color w:val="auto"/>
                <w:spacing w:val="0"/>
                <w:position w:val="0"/>
                <w:sz w:val="21"/>
                <w:szCs w:val="21"/>
                <w:highlight w:val="none"/>
                <w:lang w:val="en-US" w:eastAsia="zh-CN"/>
              </w:rPr>
              <w:t>、</w:t>
            </w:r>
            <w:r>
              <w:rPr>
                <w:rFonts w:hint="eastAsia" w:cs="Times New Roman"/>
                <w:color w:val="auto"/>
                <w:spacing w:val="0"/>
                <w:position w:val="0"/>
                <w:sz w:val="21"/>
                <w:szCs w:val="21"/>
                <w:highlight w:val="none"/>
                <w:lang w:val="en-US" w:eastAsia="zh-CN"/>
              </w:rPr>
              <w:t>喷漆晾干房</w:t>
            </w:r>
            <w:r>
              <w:rPr>
                <w:rFonts w:hint="eastAsia" w:ascii="Times New Roman" w:hAnsi="Times New Roman" w:eastAsia="宋体" w:cs="Times New Roman"/>
                <w:color w:val="auto"/>
                <w:spacing w:val="0"/>
                <w:position w:val="0"/>
                <w:sz w:val="21"/>
                <w:szCs w:val="21"/>
                <w:highlight w:val="none"/>
                <w:lang w:val="en-US" w:eastAsia="zh-CN"/>
              </w:rPr>
              <w:t>、</w:t>
            </w:r>
            <w:r>
              <w:rPr>
                <w:rFonts w:hint="eastAsia" w:ascii="Times New Roman" w:hAnsi="Times New Roman" w:eastAsia="宋体" w:cs="Times New Roman"/>
                <w:color w:val="auto"/>
                <w:spacing w:val="0"/>
                <w:position w:val="0"/>
                <w:sz w:val="21"/>
                <w:szCs w:val="21"/>
                <w:highlight w:val="none"/>
              </w:rPr>
              <w:t>化学品</w:t>
            </w:r>
            <w:r>
              <w:rPr>
                <w:rFonts w:hint="eastAsia" w:cs="Times New Roman"/>
                <w:color w:val="auto"/>
                <w:spacing w:val="0"/>
                <w:position w:val="0"/>
                <w:sz w:val="21"/>
                <w:szCs w:val="21"/>
                <w:highlight w:val="none"/>
                <w:lang w:val="en-US" w:eastAsia="zh-CN"/>
              </w:rPr>
              <w:t>仓</w:t>
            </w:r>
            <w:r>
              <w:rPr>
                <w:rFonts w:hint="eastAsia" w:ascii="Times New Roman" w:hAnsi="Times New Roman" w:eastAsia="宋体" w:cs="Times New Roman"/>
                <w:color w:val="auto"/>
                <w:spacing w:val="0"/>
                <w:position w:val="0"/>
                <w:sz w:val="21"/>
                <w:szCs w:val="21"/>
                <w:highlight w:val="none"/>
                <w:lang w:val="en-US" w:eastAsia="zh-CN"/>
              </w:rPr>
              <w:t>库</w:t>
            </w:r>
            <w:r>
              <w:rPr>
                <w:rFonts w:hint="eastAsia" w:ascii="Times New Roman" w:hAnsi="Times New Roman" w:eastAsia="宋体" w:cs="Times New Roman"/>
                <w:color w:val="auto"/>
                <w:spacing w:val="0"/>
                <w:position w:val="0"/>
                <w:sz w:val="21"/>
                <w:szCs w:val="21"/>
                <w:highlight w:val="none"/>
              </w:rPr>
              <w:t>、</w:t>
            </w:r>
            <w:r>
              <w:rPr>
                <w:rFonts w:hint="eastAsia" w:cs="Times New Roman"/>
                <w:color w:val="auto"/>
                <w:spacing w:val="0"/>
                <w:position w:val="0"/>
                <w:sz w:val="21"/>
                <w:szCs w:val="21"/>
                <w:highlight w:val="none"/>
                <w:lang w:val="en-US" w:eastAsia="zh-CN"/>
              </w:rPr>
              <w:t>一般固废间</w:t>
            </w:r>
            <w:r>
              <w:rPr>
                <w:rFonts w:hint="eastAsia" w:ascii="Times New Roman" w:hAnsi="Times New Roman" w:eastAsia="宋体" w:cs="Times New Roman"/>
                <w:color w:val="auto"/>
                <w:spacing w:val="0"/>
                <w:position w:val="0"/>
                <w:sz w:val="21"/>
                <w:szCs w:val="21"/>
                <w:highlight w:val="none"/>
                <w:lang w:val="en-US" w:eastAsia="zh-CN"/>
              </w:rPr>
              <w:t>及危废</w:t>
            </w:r>
            <w:r>
              <w:rPr>
                <w:rFonts w:hint="eastAsia" w:cs="Times New Roman"/>
                <w:color w:val="auto"/>
                <w:spacing w:val="0"/>
                <w:position w:val="0"/>
                <w:sz w:val="21"/>
                <w:szCs w:val="21"/>
                <w:highlight w:val="none"/>
                <w:lang w:val="en-US" w:eastAsia="zh-CN"/>
              </w:rPr>
              <w:t>暂存间</w:t>
            </w:r>
            <w:r>
              <w:rPr>
                <w:rFonts w:hint="eastAsia" w:ascii="Times New Roman" w:hAnsi="Times New Roman" w:eastAsia="宋体" w:cs="Times New Roman"/>
                <w:color w:val="auto"/>
                <w:spacing w:val="0"/>
                <w:position w:val="0"/>
                <w:sz w:val="21"/>
                <w:szCs w:val="21"/>
                <w:highlight w:val="none"/>
              </w:rPr>
              <w:t>等物料的火灾事故</w:t>
            </w:r>
            <w:r>
              <w:rPr>
                <w:rFonts w:ascii="Times New Roman" w:hAnsi="Times New Roman" w:eastAsia="宋体" w:cs="Times New Roman"/>
                <w:color w:val="auto"/>
                <w:spacing w:val="0"/>
                <w:position w:val="0"/>
                <w:sz w:val="21"/>
                <w:szCs w:val="21"/>
                <w:highlight w:val="none"/>
              </w:rPr>
              <w:t>特点，企业</w:t>
            </w:r>
            <w:r>
              <w:rPr>
                <w:rFonts w:hint="eastAsia" w:ascii="Times New Roman" w:hAnsi="Times New Roman" w:eastAsia="宋体" w:cs="Times New Roman"/>
                <w:color w:val="auto"/>
                <w:spacing w:val="0"/>
                <w:position w:val="0"/>
                <w:sz w:val="21"/>
                <w:szCs w:val="21"/>
                <w:highlight w:val="none"/>
              </w:rPr>
              <w:t>在发生</w:t>
            </w:r>
            <w:r>
              <w:rPr>
                <w:rFonts w:ascii="Times New Roman" w:hAnsi="Times New Roman" w:eastAsia="宋体" w:cs="Times New Roman"/>
                <w:color w:val="auto"/>
                <w:spacing w:val="0"/>
                <w:position w:val="0"/>
                <w:sz w:val="21"/>
                <w:szCs w:val="21"/>
                <w:highlight w:val="none"/>
              </w:rPr>
              <w:t>火灾</w:t>
            </w:r>
            <w:r>
              <w:rPr>
                <w:rFonts w:hint="eastAsia" w:ascii="Times New Roman" w:hAnsi="Times New Roman" w:eastAsia="宋体" w:cs="Times New Roman"/>
                <w:color w:val="auto"/>
                <w:spacing w:val="0"/>
                <w:position w:val="0"/>
                <w:sz w:val="21"/>
                <w:szCs w:val="21"/>
                <w:highlight w:val="none"/>
              </w:rPr>
              <w:t>区域内</w:t>
            </w:r>
            <w:r>
              <w:rPr>
                <w:rFonts w:ascii="Times New Roman" w:hAnsi="Times New Roman" w:eastAsia="宋体" w:cs="Times New Roman"/>
                <w:color w:val="auto"/>
                <w:spacing w:val="0"/>
                <w:position w:val="0"/>
                <w:sz w:val="21"/>
                <w:szCs w:val="21"/>
                <w:highlight w:val="none"/>
              </w:rPr>
              <w:t>主要采用</w:t>
            </w:r>
            <w:r>
              <w:rPr>
                <w:rFonts w:hint="eastAsia" w:ascii="Times New Roman" w:hAnsi="Times New Roman" w:eastAsia="宋体" w:cs="Times New Roman"/>
                <w:color w:val="auto"/>
                <w:spacing w:val="0"/>
                <w:position w:val="0"/>
                <w:sz w:val="21"/>
                <w:szCs w:val="21"/>
                <w:highlight w:val="none"/>
                <w:lang w:val="en-US" w:eastAsia="zh-CN"/>
              </w:rPr>
              <w:t>二氧化碳灭火器</w:t>
            </w:r>
            <w:r>
              <w:rPr>
                <w:rFonts w:hint="eastAsia" w:ascii="Times New Roman" w:hAnsi="Times New Roman" w:eastAsia="宋体" w:cs="Times New Roman"/>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泡沫灭火器</w:t>
            </w:r>
            <w:r>
              <w:rPr>
                <w:rFonts w:hint="eastAsia" w:ascii="Times New Roman" w:hAnsi="Times New Roman" w:eastAsia="宋体" w:cs="Times New Roman"/>
                <w:color w:val="auto"/>
                <w:spacing w:val="0"/>
                <w:position w:val="0"/>
                <w:sz w:val="21"/>
                <w:szCs w:val="21"/>
                <w:highlight w:val="none"/>
              </w:rPr>
              <w:t>、沙子</w:t>
            </w:r>
            <w:r>
              <w:rPr>
                <w:rFonts w:ascii="Times New Roman" w:hAnsi="Times New Roman" w:eastAsia="宋体" w:cs="Times New Roman"/>
                <w:color w:val="auto"/>
                <w:spacing w:val="0"/>
                <w:position w:val="0"/>
                <w:sz w:val="21"/>
                <w:szCs w:val="21"/>
                <w:highlight w:val="none"/>
              </w:rPr>
              <w:t>控制，因此一般不会造成含有危险化学品的消防废水大量排放，故不会对周边地表水环境造成二次污染影响。</w:t>
            </w:r>
          </w:p>
          <w:p w14:paraId="5B181E47">
            <w:pPr>
              <w:numPr>
                <w:ilvl w:val="0"/>
                <w:numId w:val="0"/>
              </w:numPr>
              <w:spacing w:line="360" w:lineRule="auto"/>
              <w:ind w:left="0" w:leftChars="0" w:firstLine="420" w:firstLineChars="200"/>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2"/>
                <w:position w:val="0"/>
                <w:sz w:val="21"/>
                <w:szCs w:val="21"/>
                <w:highlight w:val="none"/>
                <w:lang w:val="en-US" w:eastAsia="zh-CN" w:bidi="ar-SA"/>
              </w:rPr>
              <w:t>①</w:t>
            </w:r>
            <w:r>
              <w:rPr>
                <w:rFonts w:ascii="Times New Roman" w:hAnsi="Times New Roman" w:eastAsia="宋体" w:cs="Times New Roman"/>
                <w:color w:val="auto"/>
                <w:spacing w:val="0"/>
                <w:position w:val="0"/>
                <w:sz w:val="21"/>
                <w:szCs w:val="21"/>
                <w:highlight w:val="none"/>
              </w:rPr>
              <w:t>有毒有害物质由抢修抢险组配备相应的防护、收集用具收集后，贮存于密封的桶内，转移到安全的区域，最终统一处置，优先进行回收利用，如不可回用则委托有资质的单位处理</w:t>
            </w:r>
            <w:r>
              <w:rPr>
                <w:rFonts w:hint="eastAsia" w:ascii="Times New Roman" w:hAnsi="Times New Roman" w:eastAsia="宋体" w:cs="Times New Roman"/>
                <w:color w:val="auto"/>
                <w:spacing w:val="0"/>
                <w:position w:val="0"/>
                <w:sz w:val="21"/>
                <w:szCs w:val="21"/>
                <w:highlight w:val="none"/>
              </w:rPr>
              <w:t>。</w:t>
            </w:r>
          </w:p>
          <w:p w14:paraId="18905F0D">
            <w:pPr>
              <w:pStyle w:val="63"/>
              <w:numPr>
                <w:ilvl w:val="0"/>
                <w:numId w:val="0"/>
              </w:numPr>
              <w:ind w:left="0" w:leftChars="0" w:firstLine="420" w:firstLineChars="200"/>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2"/>
                <w:position w:val="0"/>
                <w:sz w:val="21"/>
                <w:szCs w:val="21"/>
                <w:highlight w:val="none"/>
                <w:lang w:val="en-US" w:eastAsia="zh-CN" w:bidi="ar-SA"/>
              </w:rPr>
              <w:t>②</w:t>
            </w:r>
            <w:r>
              <w:rPr>
                <w:rFonts w:ascii="Times New Roman" w:hAnsi="Times New Roman" w:eastAsia="宋体" w:cs="Times New Roman"/>
                <w:color w:val="auto"/>
                <w:spacing w:val="0"/>
                <w:position w:val="0"/>
                <w:sz w:val="21"/>
                <w:szCs w:val="21"/>
                <w:highlight w:val="none"/>
              </w:rPr>
              <w:t>报告厂区或上级消防控制部门，启动消防和环境风险应急预案。</w:t>
            </w:r>
          </w:p>
          <w:p w14:paraId="298503D8">
            <w:pPr>
              <w:spacing w:line="360" w:lineRule="auto"/>
              <w:ind w:firstLine="422" w:firstLineChars="200"/>
              <w:rPr>
                <w:rFonts w:ascii="Times New Roman" w:hAnsi="Times New Roman" w:eastAsia="宋体" w:cs="Times New Roman"/>
                <w:color w:val="auto"/>
                <w:spacing w:val="0"/>
                <w:position w:val="0"/>
                <w:sz w:val="21"/>
                <w:szCs w:val="21"/>
                <w:highlight w:val="none"/>
              </w:rPr>
            </w:pPr>
            <w:r>
              <w:rPr>
                <w:rFonts w:hint="eastAsia" w:cs="Times New Roman"/>
                <w:b/>
                <w:bCs/>
                <w:color w:val="auto"/>
                <w:spacing w:val="0"/>
                <w:kern w:val="0"/>
                <w:position w:val="0"/>
                <w:sz w:val="21"/>
                <w:szCs w:val="21"/>
                <w:highlight w:val="none"/>
                <w:lang w:val="en-US" w:eastAsia="zh-CN" w:bidi="ar"/>
              </w:rPr>
              <w:t>（5）</w:t>
            </w:r>
            <w:r>
              <w:rPr>
                <w:rFonts w:ascii="Times New Roman" w:hAnsi="Times New Roman" w:eastAsia="宋体" w:cs="Times New Roman"/>
                <w:b/>
                <w:bCs/>
                <w:color w:val="auto"/>
                <w:spacing w:val="0"/>
                <w:position w:val="0"/>
                <w:sz w:val="21"/>
                <w:szCs w:val="21"/>
                <w:highlight w:val="none"/>
              </w:rPr>
              <w:t>其他风险防范及管理措施</w:t>
            </w:r>
          </w:p>
          <w:p w14:paraId="7595D48B">
            <w:pPr>
              <w:numPr>
                <w:ilvl w:val="0"/>
                <w:numId w:val="0"/>
              </w:numPr>
              <w:spacing w:line="360" w:lineRule="auto"/>
              <w:ind w:left="0" w:leftChars="0" w:firstLine="420" w:firstLineChars="200"/>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2"/>
                <w:position w:val="0"/>
                <w:sz w:val="21"/>
                <w:szCs w:val="21"/>
                <w:highlight w:val="none"/>
                <w:lang w:val="en-US" w:eastAsia="zh-CN" w:bidi="ar-SA"/>
              </w:rPr>
              <w:t>①</w:t>
            </w:r>
            <w:r>
              <w:rPr>
                <w:rFonts w:ascii="Times New Roman" w:hAnsi="Times New Roman" w:eastAsia="宋体" w:cs="Times New Roman"/>
                <w:color w:val="auto"/>
                <w:spacing w:val="0"/>
                <w:position w:val="0"/>
                <w:sz w:val="21"/>
                <w:szCs w:val="21"/>
                <w:highlight w:val="none"/>
              </w:rPr>
              <w:t>各生产环节严格执行生产管理的有关规定，加强设备的检修及保养，提高管理人员素质，并设置机器事故应急措施及管理制度，确保设备长期处于良好状态，使设备达到预期的处理效果。</w:t>
            </w:r>
          </w:p>
          <w:p w14:paraId="00CF66C1">
            <w:pPr>
              <w:numPr>
                <w:ilvl w:val="0"/>
                <w:numId w:val="0"/>
              </w:numPr>
              <w:spacing w:line="360" w:lineRule="auto"/>
              <w:ind w:left="0" w:leftChars="0" w:firstLine="420" w:firstLineChars="200"/>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2"/>
                <w:position w:val="0"/>
                <w:sz w:val="21"/>
                <w:szCs w:val="21"/>
                <w:highlight w:val="none"/>
                <w:lang w:val="en-US" w:eastAsia="zh-CN" w:bidi="ar-SA"/>
              </w:rPr>
              <w:t>②</w:t>
            </w:r>
            <w:r>
              <w:rPr>
                <w:rFonts w:ascii="Times New Roman" w:hAnsi="Times New Roman" w:eastAsia="宋体" w:cs="Times New Roman"/>
                <w:color w:val="auto"/>
                <w:spacing w:val="0"/>
                <w:position w:val="0"/>
                <w:sz w:val="21"/>
                <w:szCs w:val="21"/>
                <w:highlight w:val="none"/>
              </w:rPr>
              <w:t>现场作业人员定时记录废气设施处理状况，并派专人巡视，遇不良工作状况应立即停止车间相关作业，维修正常后再开始作业，杜绝事故性废气排放，并及时呈报单位主管，待检修完毕再通知生产车间相关工序。</w:t>
            </w:r>
          </w:p>
          <w:p w14:paraId="06E26398">
            <w:pPr>
              <w:numPr>
                <w:ilvl w:val="0"/>
                <w:numId w:val="0"/>
              </w:numPr>
              <w:spacing w:line="360" w:lineRule="auto"/>
              <w:ind w:left="0" w:leftChars="0" w:firstLine="420" w:firstLineChars="200"/>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2"/>
                <w:position w:val="0"/>
                <w:sz w:val="21"/>
                <w:szCs w:val="21"/>
                <w:highlight w:val="none"/>
                <w:lang w:val="en-US" w:eastAsia="zh-CN" w:bidi="ar-SA"/>
              </w:rPr>
              <w:t>③</w:t>
            </w:r>
            <w:r>
              <w:rPr>
                <w:rFonts w:ascii="Times New Roman" w:hAnsi="Times New Roman" w:eastAsia="宋体" w:cs="Times New Roman"/>
                <w:color w:val="auto"/>
                <w:spacing w:val="0"/>
                <w:position w:val="0"/>
                <w:sz w:val="21"/>
                <w:szCs w:val="21"/>
                <w:highlight w:val="none"/>
              </w:rPr>
              <w:t>建立应急救援组织或者配备应急救援人员，配备必要的应急救援器材、设备，对消防措施定期检查，保证消防措施的有效性，并定期组织演练。灭火器材配置有安全帽、安全带、切割机、气焊设备、小型电动工具、一般五金工具、雨衣、雨靴、手电筒等，统一存在仓库。消防器材主要有</w:t>
            </w:r>
            <w:r>
              <w:rPr>
                <w:rFonts w:hint="eastAsia" w:ascii="Times New Roman" w:hAnsi="Times New Roman" w:eastAsia="宋体" w:cs="Times New Roman"/>
                <w:color w:val="auto"/>
                <w:spacing w:val="0"/>
                <w:position w:val="0"/>
                <w:sz w:val="21"/>
                <w:szCs w:val="21"/>
                <w:highlight w:val="none"/>
                <w:lang w:val="en-US" w:eastAsia="zh-CN"/>
              </w:rPr>
              <w:t>二氧化碳</w:t>
            </w:r>
            <w:r>
              <w:rPr>
                <w:rFonts w:ascii="Times New Roman" w:hAnsi="Times New Roman" w:eastAsia="宋体" w:cs="Times New Roman"/>
                <w:color w:val="auto"/>
                <w:spacing w:val="0"/>
                <w:position w:val="0"/>
                <w:sz w:val="21"/>
                <w:szCs w:val="21"/>
                <w:highlight w:val="none"/>
              </w:rPr>
              <w:t>灭火器和</w:t>
            </w:r>
            <w:r>
              <w:rPr>
                <w:rFonts w:hint="eastAsia" w:ascii="Times New Roman" w:hAnsi="Times New Roman" w:eastAsia="宋体" w:cs="Times New Roman"/>
                <w:color w:val="auto"/>
                <w:spacing w:val="0"/>
                <w:position w:val="0"/>
                <w:sz w:val="21"/>
                <w:szCs w:val="21"/>
                <w:highlight w:val="none"/>
                <w:lang w:val="en-US" w:eastAsia="zh-CN"/>
              </w:rPr>
              <w:t>泡沫</w:t>
            </w:r>
            <w:r>
              <w:rPr>
                <w:rFonts w:ascii="Times New Roman" w:hAnsi="Times New Roman" w:eastAsia="宋体" w:cs="Times New Roman"/>
                <w:color w:val="auto"/>
                <w:spacing w:val="0"/>
                <w:position w:val="0"/>
                <w:sz w:val="21"/>
                <w:szCs w:val="21"/>
                <w:highlight w:val="none"/>
              </w:rPr>
              <w:t>灭火器、国际消防栓。设置现场疏散指示标志和应急照明灯。</w:t>
            </w:r>
          </w:p>
          <w:p w14:paraId="4C8ECF3E">
            <w:pPr>
              <w:pStyle w:val="63"/>
              <w:numPr>
                <w:ilvl w:val="0"/>
                <w:numId w:val="0"/>
              </w:numPr>
              <w:ind w:left="0" w:leftChars="0" w:firstLine="420" w:firstLineChars="200"/>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2"/>
                <w:position w:val="0"/>
                <w:sz w:val="21"/>
                <w:szCs w:val="21"/>
                <w:highlight w:val="none"/>
                <w:lang w:val="en-US" w:eastAsia="zh-CN" w:bidi="ar-SA"/>
              </w:rPr>
              <w:t>④</w:t>
            </w:r>
            <w:r>
              <w:rPr>
                <w:rFonts w:ascii="Times New Roman" w:hAnsi="Times New Roman" w:eastAsia="宋体" w:cs="Times New Roman"/>
                <w:color w:val="auto"/>
                <w:spacing w:val="0"/>
                <w:position w:val="0"/>
                <w:sz w:val="21"/>
                <w:szCs w:val="21"/>
                <w:highlight w:val="none"/>
              </w:rPr>
              <w:t>加强职工的安全教育和培训，推行持证上岗。一是对消防理论知识的培训，二是加强消防技能的训练。掌握必要的消防设备使用、</w:t>
            </w:r>
            <w:r>
              <w:rPr>
                <w:rFonts w:hint="eastAsia" w:cs="Times New Roman"/>
                <w:color w:val="auto"/>
                <w:spacing w:val="0"/>
                <w:position w:val="0"/>
                <w:sz w:val="21"/>
                <w:szCs w:val="21"/>
                <w:highlight w:val="none"/>
                <w:lang w:eastAsia="zh-CN"/>
              </w:rPr>
              <w:t>检修</w:t>
            </w:r>
            <w:r>
              <w:rPr>
                <w:rFonts w:ascii="Times New Roman" w:hAnsi="Times New Roman" w:eastAsia="宋体" w:cs="Times New Roman"/>
                <w:color w:val="auto"/>
                <w:spacing w:val="0"/>
                <w:position w:val="0"/>
                <w:sz w:val="21"/>
                <w:szCs w:val="21"/>
                <w:highlight w:val="none"/>
              </w:rPr>
              <w:t>保养方面的知识，在必要的时候能够发挥所配备的消防设施的作用，发挥出处理初期火灾事故的能力</w:t>
            </w:r>
            <w:r>
              <w:rPr>
                <w:rFonts w:hint="eastAsia" w:ascii="Times New Roman" w:hAnsi="Times New Roman" w:eastAsia="宋体" w:cs="Times New Roman"/>
                <w:color w:val="auto"/>
                <w:spacing w:val="0"/>
                <w:position w:val="0"/>
                <w:sz w:val="21"/>
                <w:szCs w:val="21"/>
                <w:highlight w:val="none"/>
              </w:rPr>
              <w:t>。</w:t>
            </w:r>
          </w:p>
          <w:p w14:paraId="21909674">
            <w:pPr>
              <w:pStyle w:val="27"/>
              <w:keepNext w:val="0"/>
              <w:keepLines w:val="0"/>
              <w:pageBreakBefore w:val="0"/>
              <w:kinsoku/>
              <w:wordWrap/>
              <w:overflowPunct/>
              <w:topLinePunct w:val="0"/>
              <w:autoSpaceDE/>
              <w:autoSpaceDN/>
              <w:bidi w:val="0"/>
              <w:adjustRightInd/>
              <w:spacing w:before="0" w:after="0" w:line="360" w:lineRule="auto"/>
              <w:ind w:right="0" w:firstLine="422" w:firstLineChars="200"/>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lang w:val="en-US" w:eastAsia="zh-CN"/>
              </w:rPr>
              <w:t>6</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rPr>
              <w:t>消防废水的收集及处置措施</w:t>
            </w:r>
          </w:p>
          <w:p w14:paraId="617B8A38">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0"/>
                <w:kern w:val="2"/>
                <w:position w:val="0"/>
                <w:sz w:val="21"/>
                <w:szCs w:val="21"/>
                <w:highlight w:val="none"/>
                <w:lang w:val="en-US" w:eastAsia="zh-CN" w:bidi="ar-SA"/>
              </w:rPr>
              <w:t>①</w:t>
            </w:r>
            <w:r>
              <w:rPr>
                <w:rFonts w:hint="eastAsia" w:ascii="Times New Roman" w:hAnsi="Times New Roman" w:eastAsia="宋体" w:cs="Times New Roman"/>
                <w:color w:val="auto"/>
                <w:sz w:val="21"/>
                <w:szCs w:val="21"/>
                <w:highlight w:val="none"/>
              </w:rPr>
              <w:t>车间内部防渗截留，做好应急物资储备</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本项目生产车间、危废暂存间、化学品仓库地面均已做防渗硬化处理，防渗性能良好</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设置围堰</w:t>
            </w:r>
            <w:r>
              <w:rPr>
                <w:rFonts w:hint="eastAsia" w:ascii="Times New Roman" w:hAnsi="Times New Roman" w:eastAsia="宋体" w:cs="Times New Roman"/>
                <w:color w:val="auto"/>
                <w:sz w:val="21"/>
                <w:szCs w:val="21"/>
                <w:highlight w:val="none"/>
              </w:rPr>
              <w:t>。厂区配套储备足量应急堵漏物资，包括应急砂袋、吸油毡、收集桶、移动式抽水泵、防渗软管等。发生火灾或物料泄漏事故时，立即停止生产，切断车间电源，第一时间对泄漏物料、消防废水进行围挡拦截，控制污染废水在封闭厂房内部，防止废水无序漫流。</w:t>
            </w:r>
          </w:p>
          <w:p w14:paraId="22870676">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0"/>
                <w:kern w:val="2"/>
                <w:position w:val="0"/>
                <w:sz w:val="21"/>
                <w:szCs w:val="21"/>
                <w:highlight w:val="none"/>
                <w:lang w:val="en-US" w:eastAsia="zh-CN" w:bidi="ar-SA"/>
              </w:rPr>
              <w:t>②</w:t>
            </w:r>
            <w:r>
              <w:rPr>
                <w:rFonts w:hint="eastAsia" w:ascii="Times New Roman" w:hAnsi="Times New Roman" w:eastAsia="宋体" w:cs="Times New Roman"/>
                <w:color w:val="auto"/>
                <w:sz w:val="21"/>
                <w:szCs w:val="21"/>
                <w:highlight w:val="none"/>
              </w:rPr>
              <w:t>雨水排口封堵，阻断外排通道</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正常情况下雨水排放口保持通畅；事故状态下，立即采用应急沙包封堵厂区雨水排放口，彻底切断雨水外排通道，严防被污染的消防废水、事故废水通过雨水管网直排外环境，确保所有污染水体截留在厂区内部。</w:t>
            </w:r>
          </w:p>
          <w:p w14:paraId="3B423DDF">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0"/>
                <w:kern w:val="2"/>
                <w:position w:val="0"/>
                <w:sz w:val="21"/>
                <w:szCs w:val="21"/>
                <w:highlight w:val="none"/>
                <w:lang w:val="en-US" w:eastAsia="zh-CN" w:bidi="ar-SA"/>
              </w:rPr>
              <w:t>③</w:t>
            </w:r>
            <w:r>
              <w:rPr>
                <w:rFonts w:hint="eastAsia" w:ascii="Times New Roman" w:hAnsi="Times New Roman" w:eastAsia="宋体" w:cs="Times New Roman"/>
                <w:color w:val="auto"/>
                <w:sz w:val="21"/>
                <w:szCs w:val="21"/>
                <w:highlight w:val="none"/>
              </w:rPr>
              <w:t>厂区边界封堵，防止废水外流</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事故发生后，利用应急沙包对厂房门口、围墙缝隙、低洼处进行堆砌封堵，形成临时挡水围堰，避免消防废水从围墙缝隙、门口向外渗漏，最大限度限制事故废水、消防废水在厂房内部及厂区硬化区域内。</w:t>
            </w:r>
          </w:p>
          <w:p w14:paraId="578CEEA9">
            <w:pPr>
              <w:pStyle w:val="27"/>
              <w:keepNext w:val="0"/>
              <w:keepLines w:val="0"/>
              <w:pageBreakBefore w:val="0"/>
              <w:kinsoku/>
              <w:wordWrap/>
              <w:overflowPunct/>
              <w:topLinePunct w:val="0"/>
              <w:autoSpaceDE/>
              <w:autoSpaceDN/>
              <w:bidi w:val="0"/>
              <w:adjustRightInd/>
              <w:spacing w:before="0" w:after="0" w:line="360" w:lineRule="auto"/>
              <w:ind w:left="0" w:leftChars="0" w:right="0" w:firstLine="422" w:firstLineChars="200"/>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eastAsia="zh-CN"/>
              </w:rPr>
              <w:t>）外排雨水口拦截措施</w:t>
            </w:r>
          </w:p>
          <w:p w14:paraId="17C31518">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z w:val="21"/>
                <w:szCs w:val="21"/>
                <w:highlight w:val="none"/>
              </w:rPr>
              <w:t>本项目所在建筑物厂区已设雨水排口。设立正常排放和事故排放切换闸门，当突发环境事件发生时，除了利用应急沙包堵住厂界，防止厂区消防废水外流之外，事故时需开启雨水口截断阀，可将未收集的部分消防废水、事故废水截留在厂区范围内，避免事故废水通过雨水排放口泄漏污染周边水体。</w:t>
            </w:r>
          </w:p>
        </w:tc>
      </w:tr>
      <w:tr w14:paraId="7986B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02" w:hRule="atLeast"/>
          <w:jc w:val="center"/>
        </w:trPr>
        <w:tc>
          <w:tcPr>
            <w:tcW w:w="1408" w:type="dxa"/>
            <w:vAlign w:val="center"/>
          </w:tcPr>
          <w:p w14:paraId="39629352">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其他环境</w:t>
            </w:r>
          </w:p>
          <w:p w14:paraId="1D8179E4">
            <w:pPr>
              <w:adjustRightInd w:val="0"/>
              <w:snapToGrid w:val="0"/>
              <w:jc w:val="center"/>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管理要求</w:t>
            </w:r>
          </w:p>
        </w:tc>
        <w:tc>
          <w:tcPr>
            <w:tcW w:w="7711" w:type="dxa"/>
            <w:gridSpan w:val="7"/>
            <w:vAlign w:val="center"/>
          </w:tcPr>
          <w:p w14:paraId="7E986C0B">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b/>
                <w:color w:val="auto"/>
                <w:spacing w:val="0"/>
                <w:kern w:val="0"/>
                <w:position w:val="0"/>
                <w:sz w:val="21"/>
                <w:szCs w:val="21"/>
                <w:highlight w:val="none"/>
                <w:lang w:bidi="ar"/>
              </w:rPr>
              <w:t xml:space="preserve">（1）环境管理 </w:t>
            </w:r>
          </w:p>
          <w:p w14:paraId="1B830FA2">
            <w:pPr>
              <w:widowControl/>
              <w:spacing w:line="360" w:lineRule="auto"/>
              <w:ind w:firstLine="420" w:firstLineChars="200"/>
              <w:jc w:val="left"/>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kern w:val="0"/>
                <w:position w:val="0"/>
                <w:sz w:val="21"/>
                <w:szCs w:val="21"/>
                <w:highlight w:val="none"/>
                <w:lang w:bidi="ar"/>
              </w:rPr>
              <w:t xml:space="preserve">企业环境管理由公司经理负责制下设兼职环境监督员1～2人，在项目的运行期实施环境监控计划，负责日常的环境管理。作为企业的环境监督员有如下的职责： </w:t>
            </w:r>
          </w:p>
          <w:p w14:paraId="2627ED86">
            <w:pPr>
              <w:widowControl/>
              <w:spacing w:line="360" w:lineRule="auto"/>
              <w:ind w:firstLine="420" w:firstLineChars="200"/>
              <w:jc w:val="left"/>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kern w:val="0"/>
                <w:position w:val="0"/>
                <w:sz w:val="21"/>
                <w:szCs w:val="21"/>
                <w:highlight w:val="none"/>
                <w:lang w:bidi="ar"/>
              </w:rPr>
              <w:t xml:space="preserve">①协助领导组织推动本企业的环境保护工作，贯彻执行环境保护的法律、法规、规章、标准及其他要求； </w:t>
            </w:r>
          </w:p>
          <w:p w14:paraId="30A69E71">
            <w:pPr>
              <w:widowControl/>
              <w:spacing w:line="360" w:lineRule="auto"/>
              <w:ind w:firstLine="420" w:firstLineChars="200"/>
              <w:jc w:val="left"/>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kern w:val="0"/>
                <w:position w:val="0"/>
                <w:sz w:val="21"/>
                <w:szCs w:val="21"/>
                <w:highlight w:val="none"/>
                <w:lang w:bidi="ar"/>
              </w:rPr>
              <w:t xml:space="preserve">②组织和协助相关部门制定或修订相关的环境保护规章制度和操作规程，并对其贯彻执行情况进行监督检查； </w:t>
            </w:r>
          </w:p>
          <w:p w14:paraId="606AA1DA">
            <w:pPr>
              <w:widowControl/>
              <w:spacing w:line="360" w:lineRule="auto"/>
              <w:ind w:firstLine="420" w:firstLineChars="200"/>
              <w:jc w:val="left"/>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kern w:val="0"/>
                <w:position w:val="0"/>
                <w:sz w:val="21"/>
                <w:szCs w:val="21"/>
                <w:highlight w:val="none"/>
                <w:lang w:bidi="ar"/>
              </w:rPr>
              <w:t xml:space="preserve">③汇总审查相关环保技术措施计划并督促有关部门或人员切实执行； </w:t>
            </w:r>
          </w:p>
          <w:p w14:paraId="53EDE413">
            <w:pPr>
              <w:widowControl/>
              <w:spacing w:line="360" w:lineRule="auto"/>
              <w:ind w:firstLine="420" w:firstLineChars="200"/>
              <w:jc w:val="left"/>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kern w:val="0"/>
                <w:position w:val="0"/>
                <w:sz w:val="21"/>
                <w:szCs w:val="21"/>
                <w:highlight w:val="none"/>
                <w:lang w:bidi="ar"/>
              </w:rPr>
              <w:t xml:space="preserve">④进行日常现场监督检查，发现问题及时协助解决，遇到特别环境污染事件，有权责令停止排污或者消减排污量，并立即报告领导研究处理； </w:t>
            </w:r>
          </w:p>
          <w:p w14:paraId="21754408">
            <w:pPr>
              <w:widowControl/>
              <w:spacing w:line="360" w:lineRule="auto"/>
              <w:ind w:firstLine="420" w:firstLineChars="200"/>
              <w:jc w:val="left"/>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kern w:val="0"/>
                <w:position w:val="0"/>
                <w:sz w:val="21"/>
                <w:szCs w:val="21"/>
                <w:highlight w:val="none"/>
                <w:lang w:bidi="ar"/>
              </w:rPr>
              <w:t xml:space="preserve">⑤指导部门的环境监督员工作，充分发挥部门环境监督员的作用； </w:t>
            </w:r>
          </w:p>
          <w:p w14:paraId="079B523F">
            <w:pPr>
              <w:widowControl/>
              <w:spacing w:line="360" w:lineRule="auto"/>
              <w:ind w:firstLine="420" w:firstLineChars="200"/>
              <w:jc w:val="left"/>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kern w:val="0"/>
                <w:position w:val="0"/>
                <w:sz w:val="21"/>
                <w:szCs w:val="21"/>
                <w:highlight w:val="none"/>
                <w:lang w:bidi="ar"/>
              </w:rPr>
              <w:t>⑥办理建设项目环境影响评价事项和</w:t>
            </w:r>
            <w:r>
              <w:rPr>
                <w:rFonts w:hint="eastAsia" w:ascii="Times New Roman" w:hAnsi="Times New Roman" w:eastAsia="宋体" w:cs="Times New Roman"/>
                <w:color w:val="auto"/>
                <w:spacing w:val="0"/>
                <w:kern w:val="0"/>
                <w:position w:val="0"/>
                <w:sz w:val="21"/>
                <w:szCs w:val="21"/>
                <w:highlight w:val="none"/>
                <w:lang w:eastAsia="zh-CN" w:bidi="ar"/>
              </w:rPr>
              <w:t>“</w:t>
            </w:r>
            <w:r>
              <w:rPr>
                <w:rFonts w:ascii="Times New Roman" w:hAnsi="Times New Roman" w:eastAsia="宋体" w:cs="Times New Roman"/>
                <w:color w:val="auto"/>
                <w:spacing w:val="0"/>
                <w:kern w:val="0"/>
                <w:position w:val="0"/>
                <w:sz w:val="21"/>
                <w:szCs w:val="21"/>
                <w:highlight w:val="none"/>
                <w:lang w:bidi="ar"/>
              </w:rPr>
              <w:t>三同时</w:t>
            </w:r>
            <w:r>
              <w:rPr>
                <w:rFonts w:hint="eastAsia" w:ascii="Times New Roman" w:hAnsi="Times New Roman" w:eastAsia="宋体" w:cs="Times New Roman"/>
                <w:color w:val="auto"/>
                <w:spacing w:val="0"/>
                <w:kern w:val="0"/>
                <w:position w:val="0"/>
                <w:sz w:val="21"/>
                <w:szCs w:val="21"/>
                <w:highlight w:val="none"/>
                <w:lang w:eastAsia="zh-CN" w:bidi="ar"/>
              </w:rPr>
              <w:t>”</w:t>
            </w:r>
            <w:r>
              <w:rPr>
                <w:rFonts w:ascii="Times New Roman" w:hAnsi="Times New Roman" w:eastAsia="宋体" w:cs="Times New Roman"/>
                <w:color w:val="auto"/>
                <w:spacing w:val="0"/>
                <w:kern w:val="0"/>
                <w:position w:val="0"/>
                <w:sz w:val="21"/>
                <w:szCs w:val="21"/>
                <w:highlight w:val="none"/>
                <w:lang w:bidi="ar"/>
              </w:rPr>
              <w:t xml:space="preserve">相关事项，参加环保设施验收和试运行工作； </w:t>
            </w:r>
          </w:p>
          <w:p w14:paraId="6302F53E">
            <w:pPr>
              <w:widowControl/>
              <w:spacing w:line="360" w:lineRule="auto"/>
              <w:ind w:firstLine="420" w:firstLineChars="200"/>
              <w:jc w:val="left"/>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kern w:val="0"/>
                <w:position w:val="0"/>
                <w:sz w:val="21"/>
                <w:szCs w:val="21"/>
                <w:highlight w:val="none"/>
                <w:lang w:bidi="ar"/>
              </w:rPr>
              <w:t xml:space="preserve">⑦参加环境污染事件调查和处理工作； </w:t>
            </w:r>
          </w:p>
          <w:p w14:paraId="6ABF203C">
            <w:pPr>
              <w:widowControl/>
              <w:spacing w:line="360" w:lineRule="auto"/>
              <w:ind w:firstLine="420" w:firstLineChars="200"/>
              <w:jc w:val="left"/>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kern w:val="0"/>
                <w:position w:val="0"/>
                <w:sz w:val="21"/>
                <w:szCs w:val="21"/>
                <w:highlight w:val="none"/>
                <w:lang w:bidi="ar"/>
              </w:rPr>
              <w:t xml:space="preserve">⑧组织有关部门研究解决本企业环境污染防治技术； </w:t>
            </w:r>
          </w:p>
          <w:p w14:paraId="7E22BD00">
            <w:pPr>
              <w:widowControl/>
              <w:spacing w:line="360" w:lineRule="auto"/>
              <w:ind w:firstLine="420" w:firstLineChars="200"/>
              <w:jc w:val="left"/>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kern w:val="0"/>
                <w:position w:val="0"/>
                <w:sz w:val="21"/>
                <w:szCs w:val="21"/>
                <w:highlight w:val="none"/>
                <w:lang w:bidi="ar"/>
              </w:rPr>
              <w:t xml:space="preserve">⑨负责本企业应办理的所有环境保护事项。 </w:t>
            </w:r>
          </w:p>
          <w:p w14:paraId="6C29E992">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b/>
                <w:color w:val="auto"/>
                <w:spacing w:val="0"/>
                <w:kern w:val="0"/>
                <w:position w:val="0"/>
                <w:sz w:val="21"/>
                <w:szCs w:val="21"/>
                <w:highlight w:val="none"/>
                <w:lang w:bidi="ar"/>
              </w:rPr>
              <w:t>（2）排污</w:t>
            </w:r>
            <w:r>
              <w:rPr>
                <w:rFonts w:hint="eastAsia" w:ascii="Times New Roman" w:hAnsi="Times New Roman" w:eastAsia="宋体" w:cs="Times New Roman"/>
                <w:b/>
                <w:color w:val="auto"/>
                <w:spacing w:val="0"/>
                <w:kern w:val="0"/>
                <w:position w:val="0"/>
                <w:sz w:val="21"/>
                <w:szCs w:val="21"/>
                <w:highlight w:val="none"/>
                <w:lang w:bidi="ar"/>
              </w:rPr>
              <w:t>许可</w:t>
            </w:r>
            <w:r>
              <w:rPr>
                <w:rFonts w:ascii="Times New Roman" w:hAnsi="Times New Roman" w:eastAsia="宋体" w:cs="Times New Roman"/>
                <w:b/>
                <w:color w:val="auto"/>
                <w:spacing w:val="0"/>
                <w:kern w:val="0"/>
                <w:position w:val="0"/>
                <w:sz w:val="21"/>
                <w:szCs w:val="21"/>
                <w:highlight w:val="none"/>
                <w:lang w:bidi="ar"/>
              </w:rPr>
              <w:t xml:space="preserve"> </w:t>
            </w:r>
          </w:p>
          <w:p w14:paraId="552940B7">
            <w:pPr>
              <w:keepNext w:val="0"/>
              <w:keepLines w:val="0"/>
              <w:pageBreakBefore w:val="0"/>
              <w:widowControl w:val="0"/>
              <w:kinsoku/>
              <w:wordWrap w:val="0"/>
              <w:overflowPunct/>
              <w:topLinePunct w:val="0"/>
              <w:autoSpaceDE/>
              <w:autoSpaceDN/>
              <w:bidi w:val="0"/>
              <w:adjustRightInd w:val="0"/>
              <w:snapToGrid/>
              <w:spacing w:line="360" w:lineRule="auto"/>
              <w:ind w:firstLine="420" w:firstLineChars="200"/>
              <w:jc w:val="left"/>
              <w:textAlignment w:val="auto"/>
              <w:rPr>
                <w:rFonts w:hint="eastAsia"/>
                <w:color w:val="auto"/>
                <w:sz w:val="21"/>
                <w:szCs w:val="21"/>
                <w:highlight w:val="none"/>
              </w:rPr>
            </w:pPr>
            <w:r>
              <w:rPr>
                <w:rFonts w:hint="eastAsia"/>
                <w:color w:val="auto"/>
                <w:sz w:val="21"/>
                <w:szCs w:val="21"/>
                <w:highlight w:val="none"/>
              </w:rPr>
              <w:t xml:space="preserve">①建立完善的环保管理制度，设立环境管理科；配备专门人员进行环保处理设施日常运行管理和维护保养，建立台账。 </w:t>
            </w:r>
          </w:p>
          <w:p w14:paraId="525376AB">
            <w:pPr>
              <w:keepNext w:val="0"/>
              <w:keepLines w:val="0"/>
              <w:pageBreakBefore w:val="0"/>
              <w:widowControl w:val="0"/>
              <w:kinsoku/>
              <w:wordWrap w:val="0"/>
              <w:overflowPunct/>
              <w:topLinePunct w:val="0"/>
              <w:autoSpaceDE/>
              <w:autoSpaceDN/>
              <w:bidi w:val="0"/>
              <w:adjustRightInd w:val="0"/>
              <w:snapToGrid/>
              <w:spacing w:line="360" w:lineRule="auto"/>
              <w:ind w:firstLine="420" w:firstLineChars="200"/>
              <w:jc w:val="left"/>
              <w:textAlignment w:val="auto"/>
              <w:rPr>
                <w:rFonts w:hint="eastAsia"/>
                <w:color w:val="auto"/>
                <w:sz w:val="21"/>
                <w:szCs w:val="21"/>
                <w:highlight w:val="none"/>
              </w:rPr>
            </w:pPr>
            <w:r>
              <w:rPr>
                <w:rFonts w:hint="eastAsia"/>
                <w:color w:val="auto"/>
                <w:sz w:val="21"/>
                <w:szCs w:val="21"/>
                <w:highlight w:val="none"/>
              </w:rPr>
              <w:t>②根据《固定污染源排污许可分类管理名录》（2019版），</w:t>
            </w:r>
            <w:r>
              <w:rPr>
                <w:rFonts w:hint="eastAsia" w:ascii="宋体" w:hAnsi="宋体"/>
                <w:color w:val="auto"/>
                <w:kern w:val="0"/>
                <w:sz w:val="21"/>
                <w:szCs w:val="21"/>
                <w:highlight w:val="none"/>
              </w:rPr>
              <w:t>本项目排污许可分类管理属于</w:t>
            </w:r>
            <w:r>
              <w:rPr>
                <w:rFonts w:hint="eastAsia" w:ascii="宋体" w:hAnsi="宋体"/>
                <w:color w:val="auto"/>
                <w:kern w:val="0"/>
                <w:sz w:val="21"/>
                <w:szCs w:val="21"/>
                <w:highlight w:val="none"/>
                <w:lang w:eastAsia="zh-CN"/>
              </w:rPr>
              <w:t>登记管理</w:t>
            </w:r>
            <w:r>
              <w:rPr>
                <w:rFonts w:hint="eastAsia" w:ascii="宋体" w:hAnsi="宋体"/>
                <w:color w:val="auto"/>
                <w:kern w:val="0"/>
                <w:sz w:val="21"/>
                <w:szCs w:val="21"/>
                <w:highlight w:val="none"/>
              </w:rPr>
              <w:t>类别</w:t>
            </w:r>
            <w:r>
              <w:rPr>
                <w:rFonts w:hint="eastAsia" w:ascii="宋体" w:hAnsi="宋体"/>
                <w:color w:val="auto"/>
                <w:sz w:val="21"/>
                <w:szCs w:val="21"/>
                <w:highlight w:val="none"/>
              </w:rPr>
              <w:t>，判定依据见表</w:t>
            </w:r>
            <w:r>
              <w:rPr>
                <w:rFonts w:hint="eastAsia"/>
                <w:color w:val="auto"/>
                <w:sz w:val="21"/>
                <w:szCs w:val="21"/>
                <w:highlight w:val="none"/>
              </w:rPr>
              <w:t>5-1</w:t>
            </w:r>
            <w:r>
              <w:rPr>
                <w:rFonts w:ascii="宋体" w:hAnsi="宋体"/>
                <w:color w:val="auto"/>
                <w:sz w:val="21"/>
                <w:szCs w:val="21"/>
                <w:highlight w:val="none"/>
              </w:rPr>
              <w:t>，建设单位按照《全国排污许可证管理信息平台》相关要求，本项目竣工前应按照相关</w:t>
            </w:r>
            <w:r>
              <w:rPr>
                <w:rFonts w:hint="eastAsia" w:ascii="宋体" w:hAnsi="宋体"/>
                <w:color w:val="auto"/>
                <w:sz w:val="21"/>
                <w:szCs w:val="21"/>
                <w:highlight w:val="none"/>
              </w:rPr>
              <w:t>要求办理</w:t>
            </w:r>
            <w:r>
              <w:rPr>
                <w:rFonts w:ascii="宋体" w:hAnsi="宋体"/>
                <w:color w:val="auto"/>
                <w:sz w:val="21"/>
                <w:szCs w:val="21"/>
                <w:highlight w:val="none"/>
              </w:rPr>
              <w:t>排污</w:t>
            </w:r>
            <w:r>
              <w:rPr>
                <w:rFonts w:hint="eastAsia" w:ascii="宋体" w:hAnsi="宋体"/>
                <w:color w:val="auto"/>
                <w:sz w:val="21"/>
                <w:szCs w:val="21"/>
                <w:highlight w:val="none"/>
                <w:lang w:val="en-US" w:eastAsia="zh-CN"/>
              </w:rPr>
              <w:t>登记</w:t>
            </w:r>
            <w:r>
              <w:rPr>
                <w:rFonts w:hint="eastAsia"/>
                <w:color w:val="auto"/>
                <w:sz w:val="21"/>
                <w:szCs w:val="21"/>
                <w:highlight w:val="none"/>
              </w:rPr>
              <w:t xml:space="preserve">。 </w:t>
            </w:r>
          </w:p>
          <w:p w14:paraId="5B740D4F">
            <w:pPr>
              <w:keepNext w:val="0"/>
              <w:keepLines w:val="0"/>
              <w:pageBreakBefore w:val="0"/>
              <w:widowControl w:val="0"/>
              <w:kinsoku/>
              <w:wordWrap w:val="0"/>
              <w:overflowPunct/>
              <w:topLinePunct w:val="0"/>
              <w:autoSpaceDE/>
              <w:autoSpaceDN/>
              <w:bidi w:val="0"/>
              <w:adjustRightInd/>
              <w:snapToGrid/>
              <w:spacing w:line="240" w:lineRule="auto"/>
              <w:ind w:firstLine="422" w:firstLineChars="200"/>
              <w:jc w:val="center"/>
              <w:textAlignment w:val="auto"/>
              <w:rPr>
                <w:rFonts w:ascii="宋体" w:hAnsi="宋体"/>
                <w:b/>
                <w:bCs/>
                <w:color w:val="auto"/>
                <w:sz w:val="21"/>
                <w:szCs w:val="21"/>
                <w:highlight w:val="none"/>
              </w:rPr>
            </w:pPr>
            <w:r>
              <w:rPr>
                <w:rFonts w:ascii="宋体" w:hAnsi="宋体"/>
                <w:b/>
                <w:bCs/>
                <w:color w:val="auto"/>
                <w:sz w:val="21"/>
                <w:szCs w:val="21"/>
                <w:highlight w:val="none"/>
              </w:rPr>
              <w:t>表</w:t>
            </w:r>
            <w:r>
              <w:rPr>
                <w:rFonts w:hint="eastAsia"/>
                <w:b/>
                <w:bCs/>
                <w:color w:val="auto"/>
                <w:sz w:val="21"/>
                <w:szCs w:val="21"/>
                <w:highlight w:val="none"/>
              </w:rPr>
              <w:t>5-1</w:t>
            </w:r>
            <w:r>
              <w:rPr>
                <w:rFonts w:ascii="宋体" w:hAnsi="宋体"/>
                <w:b/>
                <w:bCs/>
                <w:color w:val="auto"/>
                <w:sz w:val="21"/>
                <w:szCs w:val="21"/>
                <w:highlight w:val="none"/>
              </w:rPr>
              <w:t>固定污染源排污许可分类管理名录（摘录）</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570"/>
              <w:gridCol w:w="1262"/>
              <w:gridCol w:w="2903"/>
              <w:gridCol w:w="1261"/>
            </w:tblGrid>
            <w:tr w14:paraId="77209A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shd w:val="clear" w:color="auto" w:fill="auto"/>
                  <w:noWrap w:val="0"/>
                  <w:vAlign w:val="center"/>
                </w:tcPr>
                <w:p w14:paraId="06D2288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color w:val="auto"/>
                      <w:sz w:val="18"/>
                      <w:szCs w:val="18"/>
                      <w:highlight w:val="none"/>
                    </w:rPr>
                  </w:pPr>
                  <w:r>
                    <w:rPr>
                      <w:b/>
                      <w:bCs/>
                      <w:color w:val="auto"/>
                      <w:sz w:val="18"/>
                      <w:szCs w:val="18"/>
                      <w:highlight w:val="none"/>
                    </w:rPr>
                    <w:t>序号</w:t>
                  </w:r>
                </w:p>
              </w:tc>
              <w:tc>
                <w:tcPr>
                  <w:tcW w:w="1612" w:type="dxa"/>
                  <w:tcBorders>
                    <w:tl2br w:val="nil"/>
                    <w:tr2bl w:val="nil"/>
                  </w:tcBorders>
                  <w:shd w:val="clear" w:color="auto" w:fill="auto"/>
                  <w:noWrap w:val="0"/>
                  <w:vAlign w:val="center"/>
                </w:tcPr>
                <w:p w14:paraId="1ACF972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color w:val="auto"/>
                      <w:sz w:val="18"/>
                      <w:szCs w:val="18"/>
                      <w:highlight w:val="none"/>
                    </w:rPr>
                  </w:pPr>
                  <w:r>
                    <w:rPr>
                      <w:b/>
                      <w:bCs/>
                      <w:color w:val="auto"/>
                      <w:sz w:val="18"/>
                      <w:szCs w:val="18"/>
                      <w:highlight w:val="none"/>
                    </w:rPr>
                    <w:t>行业类别</w:t>
                  </w:r>
                </w:p>
              </w:tc>
              <w:tc>
                <w:tcPr>
                  <w:tcW w:w="1296" w:type="dxa"/>
                  <w:tcBorders>
                    <w:tl2br w:val="nil"/>
                    <w:tr2bl w:val="nil"/>
                  </w:tcBorders>
                  <w:shd w:val="clear" w:color="auto" w:fill="auto"/>
                  <w:noWrap w:val="0"/>
                  <w:vAlign w:val="center"/>
                </w:tcPr>
                <w:p w14:paraId="13AD830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color w:val="auto"/>
                      <w:sz w:val="18"/>
                      <w:szCs w:val="18"/>
                      <w:highlight w:val="none"/>
                    </w:rPr>
                  </w:pPr>
                  <w:r>
                    <w:rPr>
                      <w:b/>
                      <w:bCs/>
                      <w:color w:val="auto"/>
                      <w:sz w:val="18"/>
                      <w:szCs w:val="18"/>
                      <w:highlight w:val="none"/>
                    </w:rPr>
                    <w:t>重点管理</w:t>
                  </w:r>
                </w:p>
              </w:tc>
              <w:tc>
                <w:tcPr>
                  <w:tcW w:w="2982" w:type="dxa"/>
                  <w:tcBorders>
                    <w:tl2br w:val="nil"/>
                    <w:tr2bl w:val="nil"/>
                  </w:tcBorders>
                  <w:shd w:val="clear" w:color="auto" w:fill="auto"/>
                  <w:noWrap w:val="0"/>
                  <w:vAlign w:val="center"/>
                </w:tcPr>
                <w:p w14:paraId="3053C58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color w:val="auto"/>
                      <w:sz w:val="18"/>
                      <w:szCs w:val="18"/>
                      <w:highlight w:val="none"/>
                    </w:rPr>
                  </w:pPr>
                  <w:r>
                    <w:rPr>
                      <w:b/>
                      <w:bCs/>
                      <w:color w:val="auto"/>
                      <w:sz w:val="18"/>
                      <w:szCs w:val="18"/>
                      <w:highlight w:val="none"/>
                    </w:rPr>
                    <w:t>简化管理</w:t>
                  </w:r>
                </w:p>
              </w:tc>
              <w:tc>
                <w:tcPr>
                  <w:tcW w:w="1295" w:type="dxa"/>
                  <w:tcBorders>
                    <w:tl2br w:val="nil"/>
                    <w:tr2bl w:val="nil"/>
                  </w:tcBorders>
                  <w:shd w:val="clear" w:color="auto" w:fill="BEBEBE"/>
                  <w:noWrap w:val="0"/>
                  <w:vAlign w:val="center"/>
                </w:tcPr>
                <w:p w14:paraId="3866B7F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color w:val="auto"/>
                      <w:sz w:val="18"/>
                      <w:szCs w:val="18"/>
                      <w:highlight w:val="none"/>
                    </w:rPr>
                  </w:pPr>
                  <w:r>
                    <w:rPr>
                      <w:b/>
                      <w:bCs/>
                      <w:color w:val="auto"/>
                      <w:sz w:val="18"/>
                      <w:szCs w:val="18"/>
                      <w:highlight w:val="none"/>
                    </w:rPr>
                    <w:t>登记管理</w:t>
                  </w:r>
                </w:p>
              </w:tc>
            </w:tr>
            <w:tr w14:paraId="5EA1AF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3" w:type="dxa"/>
                  <w:gridSpan w:val="5"/>
                  <w:tcBorders>
                    <w:tl2br w:val="nil"/>
                    <w:tr2bl w:val="nil"/>
                  </w:tcBorders>
                  <w:shd w:val="clear" w:color="auto" w:fill="BEBEBE"/>
                  <w:noWrap w:val="0"/>
                  <w:vAlign w:val="center"/>
                </w:tcPr>
                <w:p w14:paraId="6131A52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eastAsia="宋体"/>
                      <w:b/>
                      <w:bCs/>
                      <w:color w:val="auto"/>
                      <w:sz w:val="18"/>
                      <w:szCs w:val="18"/>
                      <w:highlight w:val="none"/>
                      <w:lang w:val="en-US" w:eastAsia="zh-CN"/>
                    </w:rPr>
                  </w:pPr>
                  <w:r>
                    <w:rPr>
                      <w:rFonts w:hint="eastAsia"/>
                      <w:b/>
                      <w:bCs/>
                      <w:color w:val="auto"/>
                      <w:sz w:val="18"/>
                      <w:szCs w:val="18"/>
                      <w:highlight w:val="none"/>
                      <w:lang w:val="en-US" w:eastAsia="zh-CN"/>
                    </w:rPr>
                    <w:t>十六、家具制造业21</w:t>
                  </w:r>
                </w:p>
              </w:tc>
            </w:tr>
            <w:tr w14:paraId="3E80DA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shd w:val="clear" w:color="auto" w:fill="auto"/>
                  <w:noWrap w:val="0"/>
                  <w:vAlign w:val="center"/>
                </w:tcPr>
                <w:p w14:paraId="2403F19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val="0"/>
                      <w:bCs w:val="0"/>
                      <w:color w:val="auto"/>
                      <w:sz w:val="18"/>
                      <w:szCs w:val="18"/>
                      <w:highlight w:val="none"/>
                      <w:lang w:val="en-US" w:eastAsia="zh-CN"/>
                    </w:rPr>
                  </w:pPr>
                  <w:r>
                    <w:rPr>
                      <w:rFonts w:hint="eastAsia"/>
                      <w:b w:val="0"/>
                      <w:bCs w:val="0"/>
                      <w:color w:val="auto"/>
                      <w:sz w:val="18"/>
                      <w:szCs w:val="18"/>
                      <w:highlight w:val="none"/>
                      <w:lang w:val="en-US" w:eastAsia="zh-CN"/>
                    </w:rPr>
                    <w:t>335</w:t>
                  </w:r>
                </w:p>
              </w:tc>
              <w:tc>
                <w:tcPr>
                  <w:tcW w:w="1612" w:type="dxa"/>
                  <w:tcBorders>
                    <w:tl2br w:val="nil"/>
                    <w:tr2bl w:val="nil"/>
                  </w:tcBorders>
                  <w:shd w:val="clear" w:color="auto" w:fill="auto"/>
                  <w:noWrap w:val="0"/>
                  <w:vAlign w:val="center"/>
                </w:tcPr>
                <w:p w14:paraId="3B662FC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18"/>
                      <w:szCs w:val="18"/>
                      <w:highlight w:val="none"/>
                      <w:lang w:val="en-US" w:eastAsia="zh-CN"/>
                    </w:rPr>
                  </w:pPr>
                  <w:r>
                    <w:rPr>
                      <w:rFonts w:hint="eastAsia"/>
                      <w:b w:val="0"/>
                      <w:bCs w:val="0"/>
                      <w:color w:val="auto"/>
                      <w:sz w:val="18"/>
                      <w:szCs w:val="18"/>
                      <w:highlight w:val="none"/>
                      <w:lang w:val="en-US" w:eastAsia="zh-CN"/>
                    </w:rPr>
                    <w:t>木质家具制造</w:t>
                  </w:r>
                </w:p>
                <w:p w14:paraId="0219B5D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val="0"/>
                      <w:bCs w:val="0"/>
                      <w:color w:val="auto"/>
                      <w:sz w:val="18"/>
                      <w:szCs w:val="18"/>
                      <w:highlight w:val="none"/>
                      <w:lang w:val="en-US" w:eastAsia="zh-CN"/>
                    </w:rPr>
                  </w:pPr>
                  <w:r>
                    <w:rPr>
                      <w:rFonts w:hint="eastAsia"/>
                      <w:b w:val="0"/>
                      <w:bCs w:val="0"/>
                      <w:color w:val="auto"/>
                      <w:sz w:val="18"/>
                      <w:szCs w:val="18"/>
                      <w:highlight w:val="none"/>
                      <w:lang w:val="en-US" w:eastAsia="zh-CN"/>
                    </w:rPr>
                    <w:t>211</w:t>
                  </w:r>
                </w:p>
              </w:tc>
              <w:tc>
                <w:tcPr>
                  <w:tcW w:w="1296" w:type="dxa"/>
                  <w:tcBorders>
                    <w:tl2br w:val="nil"/>
                    <w:tr2bl w:val="nil"/>
                  </w:tcBorders>
                  <w:shd w:val="clear" w:color="auto" w:fill="auto"/>
                  <w:noWrap w:val="0"/>
                  <w:vAlign w:val="center"/>
                </w:tcPr>
                <w:p w14:paraId="031BA8D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rPr>
                    <w:t>纳入重点排污单位名录的</w:t>
                  </w:r>
                </w:p>
              </w:tc>
              <w:tc>
                <w:tcPr>
                  <w:tcW w:w="2982" w:type="dxa"/>
                  <w:tcBorders>
                    <w:tl2br w:val="nil"/>
                    <w:tr2bl w:val="nil"/>
                  </w:tcBorders>
                  <w:shd w:val="clear" w:color="auto" w:fill="auto"/>
                  <w:noWrap w:val="0"/>
                  <w:vAlign w:val="center"/>
                </w:tcPr>
                <w:p w14:paraId="10EF642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val="0"/>
                      <w:bCs w:val="0"/>
                      <w:color w:val="auto"/>
                      <w:sz w:val="18"/>
                      <w:szCs w:val="18"/>
                      <w:highlight w:val="none"/>
                      <w:lang w:val="en-US" w:eastAsia="zh-CN"/>
                    </w:rPr>
                  </w:pPr>
                  <w:r>
                    <w:rPr>
                      <w:rFonts w:hint="eastAsia"/>
                      <w:b w:val="0"/>
                      <w:bCs w:val="0"/>
                      <w:color w:val="auto"/>
                      <w:sz w:val="18"/>
                      <w:szCs w:val="18"/>
                      <w:highlight w:val="none"/>
                    </w:rPr>
                    <w:t>除重点管理以外的年使用</w:t>
                  </w:r>
                  <w:r>
                    <w:rPr>
                      <w:rFonts w:hint="eastAsia"/>
                      <w:b w:val="0"/>
                      <w:bCs w:val="0"/>
                      <w:color w:val="auto"/>
                      <w:sz w:val="18"/>
                      <w:szCs w:val="18"/>
                      <w:highlight w:val="none"/>
                      <w:lang w:val="en-US" w:eastAsia="zh-CN"/>
                    </w:rPr>
                    <w:t>10</w:t>
                  </w:r>
                  <w:r>
                    <w:rPr>
                      <w:rFonts w:hint="eastAsia"/>
                      <w:b w:val="0"/>
                      <w:bCs w:val="0"/>
                      <w:color w:val="auto"/>
                      <w:sz w:val="18"/>
                      <w:szCs w:val="18"/>
                      <w:highlight w:val="none"/>
                    </w:rPr>
                    <w:t>吨及以上溶剂型涂料或者</w:t>
                  </w:r>
                  <w:r>
                    <w:rPr>
                      <w:rFonts w:hint="eastAsia"/>
                      <w:b w:val="0"/>
                      <w:bCs w:val="0"/>
                      <w:color w:val="auto"/>
                      <w:sz w:val="18"/>
                      <w:szCs w:val="18"/>
                      <w:highlight w:val="none"/>
                      <w:lang w:val="en-US" w:eastAsia="zh-CN"/>
                    </w:rPr>
                    <w:t>胶粘剂（含稀释剂、固化剂）的、年使用20吨及以上水性涂料或者胶粘剂的、有磷化表面处理工艺的</w:t>
                  </w:r>
                </w:p>
              </w:tc>
              <w:tc>
                <w:tcPr>
                  <w:tcW w:w="1295" w:type="dxa"/>
                  <w:tcBorders>
                    <w:tl2br w:val="nil"/>
                    <w:tr2bl w:val="nil"/>
                  </w:tcBorders>
                  <w:shd w:val="clear" w:color="auto" w:fill="BEBEBE"/>
                  <w:noWrap w:val="0"/>
                  <w:vAlign w:val="center"/>
                </w:tcPr>
                <w:p w14:paraId="1FC3E35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18"/>
                      <w:szCs w:val="18"/>
                      <w:highlight w:val="none"/>
                      <w:lang w:val="en-US" w:eastAsia="zh-CN"/>
                    </w:rPr>
                  </w:pPr>
                  <w:r>
                    <w:rPr>
                      <w:b/>
                      <w:bCs/>
                      <w:color w:val="auto"/>
                      <w:sz w:val="18"/>
                      <w:szCs w:val="18"/>
                      <w:highlight w:val="none"/>
                    </w:rPr>
                    <w:t>其他</w:t>
                  </w:r>
                </w:p>
              </w:tc>
            </w:tr>
          </w:tbl>
          <w:p w14:paraId="4C9A8CDF">
            <w:pPr>
              <w:keepNext w:val="0"/>
              <w:keepLines w:val="0"/>
              <w:pageBreakBefore w:val="0"/>
              <w:widowControl w:val="0"/>
              <w:kinsoku/>
              <w:wordWrap w:val="0"/>
              <w:overflowPunct/>
              <w:topLinePunct w:val="0"/>
              <w:autoSpaceDE/>
              <w:autoSpaceDN/>
              <w:bidi w:val="0"/>
              <w:adjustRightInd w:val="0"/>
              <w:snapToGrid/>
              <w:spacing w:before="157" w:beforeLines="50" w:line="360" w:lineRule="auto"/>
              <w:ind w:firstLine="420" w:firstLineChars="200"/>
              <w:jc w:val="left"/>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③排放口规范化管理</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各污染源排放口应设置专项图标，执行《环境图形标准排污口（源）》</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GB15563.1-1995</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，要求各排污口（源）提示标志形状采用正方形边框，背景颜色采用绿色，图形颜色采用白色。采样口的设置应符合《污染源监测技术规范》、《排污单位污染物排放口二维码标识技术规范》（HJ 1297-2023）</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环境保护图形标志 固体废物贮存（处置）场</w:t>
            </w:r>
            <w:r>
              <w:rPr>
                <w:rFonts w:hint="eastAsia" w:ascii="Times New Roman" w:hAnsi="Times New Roman" w:eastAsia="宋体" w:cs="Times New Roman"/>
                <w:color w:val="auto"/>
                <w:sz w:val="21"/>
                <w:szCs w:val="21"/>
                <w:highlight w:val="none"/>
              </w:rPr>
              <w:t>》（GB15562.2-1995）及其修改单</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《危险废物识别标志设置技术规范》（HJ1276-2022）</w:t>
            </w:r>
            <w:r>
              <w:rPr>
                <w:rFonts w:hint="eastAsia" w:ascii="Times New Roman" w:hAnsi="Times New Roman" w:eastAsia="宋体" w:cs="Times New Roman"/>
                <w:color w:val="auto"/>
                <w:sz w:val="21"/>
                <w:szCs w:val="21"/>
                <w:highlight w:val="none"/>
              </w:rPr>
              <w:t>和国家环保总局《排污口规范化整治要求</w:t>
            </w:r>
            <w:r>
              <w:rPr>
                <w:rFonts w:hint="eastAsia" w:ascii="Times New Roman" w:hAnsi="Times New Roman" w:eastAsia="宋体" w:cs="Times New Roman"/>
                <w:color w:val="auto"/>
                <w:sz w:val="21"/>
                <w:szCs w:val="21"/>
                <w:highlight w:val="none"/>
                <w:lang w:eastAsia="zh-CN"/>
              </w:rPr>
              <w:t>（试行）》</w:t>
            </w:r>
            <w:r>
              <w:rPr>
                <w:rFonts w:hint="eastAsia" w:ascii="Times New Roman" w:hAnsi="Times New Roman" w:eastAsia="宋体" w:cs="Times New Roman"/>
                <w:color w:val="auto"/>
                <w:sz w:val="21"/>
                <w:szCs w:val="21"/>
                <w:highlight w:val="none"/>
              </w:rPr>
              <w:t>的技术要求并便于采样监测。标志牌应设在与之功能相应的醒目处，并保持清晰、完整。各排污口（源）标志牌设置，详见表5-2。</w:t>
            </w:r>
          </w:p>
          <w:p w14:paraId="5105DA85">
            <w:pPr>
              <w:keepNext w:val="0"/>
              <w:keepLines w:val="0"/>
              <w:pageBreakBefore w:val="0"/>
              <w:widowControl w:val="0"/>
              <w:kinsoku/>
              <w:wordWrap w:val="0"/>
              <w:overflowPunct/>
              <w:topLinePunct w:val="0"/>
              <w:autoSpaceDE/>
              <w:autoSpaceDN/>
              <w:bidi w:val="0"/>
              <w:adjustRightInd w:val="0"/>
              <w:snapToGrid/>
              <w:spacing w:line="240" w:lineRule="auto"/>
              <w:ind w:firstLine="422" w:firstLineChars="200"/>
              <w:jc w:val="center"/>
              <w:textAlignment w:val="auto"/>
              <w:rPr>
                <w:b/>
                <w:bCs/>
                <w:color w:val="auto"/>
                <w:sz w:val="24"/>
                <w:szCs w:val="24"/>
                <w:highlight w:val="none"/>
              </w:rPr>
            </w:pPr>
            <w:r>
              <w:rPr>
                <w:b/>
                <w:bCs/>
                <w:color w:val="auto"/>
                <w:sz w:val="21"/>
                <w:szCs w:val="21"/>
                <w:highlight w:val="none"/>
              </w:rPr>
              <w:t>表5</w:t>
            </w:r>
            <w:r>
              <w:rPr>
                <w:rFonts w:hint="eastAsia"/>
                <w:b/>
                <w:bCs/>
                <w:color w:val="auto"/>
                <w:sz w:val="21"/>
                <w:szCs w:val="21"/>
                <w:highlight w:val="none"/>
              </w:rPr>
              <w:t>-2</w:t>
            </w:r>
            <w:r>
              <w:rPr>
                <w:b/>
                <w:bCs/>
                <w:color w:val="auto"/>
                <w:sz w:val="21"/>
                <w:szCs w:val="21"/>
                <w:highlight w:val="none"/>
              </w:rPr>
              <w:t xml:space="preserve">  各排污口（源）标志牌设置示意图</w:t>
            </w:r>
          </w:p>
          <w:tbl>
            <w:tblPr>
              <w:tblStyle w:val="29"/>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73"/>
              <w:gridCol w:w="1296"/>
              <w:gridCol w:w="1308"/>
              <w:gridCol w:w="1285"/>
              <w:gridCol w:w="1374"/>
              <w:gridCol w:w="1319"/>
            </w:tblGrid>
            <w:tr w14:paraId="1535174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shd w:val="clear" w:color="auto" w:fill="FFFFFF"/>
                  <w:noWrap w:val="0"/>
                  <w:vAlign w:val="center"/>
                </w:tcPr>
                <w:p w14:paraId="1FE11E96">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b/>
                      <w:bCs/>
                      <w:color w:val="auto"/>
                      <w:sz w:val="18"/>
                      <w:szCs w:val="18"/>
                      <w:highlight w:val="none"/>
                    </w:rPr>
                  </w:pPr>
                  <w:r>
                    <w:rPr>
                      <w:rFonts w:hint="eastAsia"/>
                      <w:b/>
                      <w:bCs/>
                      <w:color w:val="auto"/>
                      <w:sz w:val="18"/>
                      <w:szCs w:val="18"/>
                      <w:highlight w:val="none"/>
                    </w:rPr>
                    <w:t>名称</w:t>
                  </w:r>
                </w:p>
              </w:tc>
              <w:tc>
                <w:tcPr>
                  <w:tcW w:w="1339" w:type="dxa"/>
                  <w:tcBorders>
                    <w:tl2br w:val="nil"/>
                    <w:tr2bl w:val="nil"/>
                  </w:tcBorders>
                  <w:shd w:val="clear" w:color="auto" w:fill="FFFFFF"/>
                  <w:noWrap w:val="0"/>
                  <w:vAlign w:val="center"/>
                </w:tcPr>
                <w:p w14:paraId="29B2BC69">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b/>
                      <w:bCs/>
                      <w:color w:val="auto"/>
                      <w:sz w:val="18"/>
                      <w:szCs w:val="18"/>
                      <w:highlight w:val="none"/>
                    </w:rPr>
                  </w:pPr>
                  <w:r>
                    <w:rPr>
                      <w:b/>
                      <w:bCs/>
                      <w:color w:val="auto"/>
                      <w:sz w:val="18"/>
                      <w:szCs w:val="18"/>
                      <w:highlight w:val="none"/>
                    </w:rPr>
                    <w:t>污水排放口</w:t>
                  </w:r>
                </w:p>
              </w:tc>
              <w:tc>
                <w:tcPr>
                  <w:tcW w:w="1350" w:type="dxa"/>
                  <w:tcBorders>
                    <w:tl2br w:val="nil"/>
                    <w:tr2bl w:val="nil"/>
                  </w:tcBorders>
                  <w:shd w:val="clear" w:color="auto" w:fill="FFFFFF"/>
                  <w:noWrap w:val="0"/>
                  <w:vAlign w:val="center"/>
                </w:tcPr>
                <w:p w14:paraId="0D12C2C5">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b/>
                      <w:bCs/>
                      <w:color w:val="auto"/>
                      <w:sz w:val="18"/>
                      <w:szCs w:val="18"/>
                      <w:highlight w:val="none"/>
                    </w:rPr>
                  </w:pPr>
                  <w:r>
                    <w:rPr>
                      <w:b/>
                      <w:bCs/>
                      <w:color w:val="auto"/>
                      <w:sz w:val="18"/>
                      <w:szCs w:val="18"/>
                      <w:highlight w:val="none"/>
                    </w:rPr>
                    <w:t>噪声排放源</w:t>
                  </w:r>
                </w:p>
              </w:tc>
              <w:tc>
                <w:tcPr>
                  <w:tcW w:w="1327" w:type="dxa"/>
                  <w:tcBorders>
                    <w:tl2br w:val="nil"/>
                    <w:tr2bl w:val="nil"/>
                  </w:tcBorders>
                  <w:shd w:val="clear" w:color="auto" w:fill="FFFFFF"/>
                  <w:noWrap w:val="0"/>
                  <w:vAlign w:val="center"/>
                </w:tcPr>
                <w:p w14:paraId="1655883F">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b/>
                      <w:bCs/>
                      <w:color w:val="auto"/>
                      <w:sz w:val="18"/>
                      <w:szCs w:val="18"/>
                      <w:highlight w:val="none"/>
                    </w:rPr>
                  </w:pPr>
                  <w:r>
                    <w:rPr>
                      <w:b/>
                      <w:bCs/>
                      <w:color w:val="auto"/>
                      <w:sz w:val="18"/>
                      <w:szCs w:val="18"/>
                      <w:highlight w:val="none"/>
                    </w:rPr>
                    <w:t>废气排放口</w:t>
                  </w:r>
                </w:p>
              </w:tc>
              <w:tc>
                <w:tcPr>
                  <w:tcW w:w="1419" w:type="dxa"/>
                  <w:tcBorders>
                    <w:tl2br w:val="nil"/>
                    <w:tr2bl w:val="nil"/>
                  </w:tcBorders>
                  <w:shd w:val="clear" w:color="auto" w:fill="FFFFFF"/>
                  <w:noWrap w:val="0"/>
                  <w:vAlign w:val="center"/>
                </w:tcPr>
                <w:p w14:paraId="1D7B9CB1">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b/>
                      <w:bCs/>
                      <w:color w:val="auto"/>
                      <w:sz w:val="18"/>
                      <w:szCs w:val="18"/>
                      <w:highlight w:val="none"/>
                    </w:rPr>
                  </w:pPr>
                  <w:r>
                    <w:rPr>
                      <w:rFonts w:hint="eastAsia"/>
                      <w:b/>
                      <w:bCs/>
                      <w:color w:val="auto"/>
                      <w:sz w:val="18"/>
                      <w:szCs w:val="18"/>
                      <w:highlight w:val="none"/>
                    </w:rPr>
                    <w:t>一般</w:t>
                  </w:r>
                  <w:r>
                    <w:rPr>
                      <w:b/>
                      <w:bCs/>
                      <w:color w:val="auto"/>
                      <w:sz w:val="18"/>
                      <w:szCs w:val="18"/>
                      <w:highlight w:val="none"/>
                    </w:rPr>
                    <w:t>固体废物</w:t>
                  </w:r>
                </w:p>
              </w:tc>
              <w:tc>
                <w:tcPr>
                  <w:tcW w:w="1363" w:type="dxa"/>
                  <w:tcBorders>
                    <w:tl2br w:val="nil"/>
                    <w:tr2bl w:val="nil"/>
                  </w:tcBorders>
                  <w:shd w:val="clear" w:color="auto" w:fill="FFFFFF"/>
                  <w:noWrap w:val="0"/>
                  <w:vAlign w:val="center"/>
                </w:tcPr>
                <w:p w14:paraId="0D418864">
                  <w:pPr>
                    <w:pStyle w:val="125"/>
                    <w:keepNext w:val="0"/>
                    <w:keepLines w:val="0"/>
                    <w:pageBreakBefore w:val="0"/>
                    <w:widowControl/>
                    <w:tabs>
                      <w:tab w:val="left" w:pos="0"/>
                    </w:tabs>
                    <w:kinsoku/>
                    <w:wordWrap w:val="0"/>
                    <w:overflowPunct/>
                    <w:topLinePunct w:val="0"/>
                    <w:autoSpaceDE/>
                    <w:autoSpaceDN/>
                    <w:bidi w:val="0"/>
                    <w:spacing w:line="240" w:lineRule="auto"/>
                    <w:ind w:firstLine="0" w:firstLineChars="0"/>
                    <w:jc w:val="center"/>
                    <w:textAlignment w:val="auto"/>
                    <w:rPr>
                      <w:b/>
                      <w:bCs/>
                      <w:color w:val="auto"/>
                      <w:sz w:val="18"/>
                      <w:szCs w:val="18"/>
                      <w:highlight w:val="none"/>
                    </w:rPr>
                  </w:pPr>
                  <w:r>
                    <w:rPr>
                      <w:rFonts w:hint="eastAsia"/>
                      <w:b/>
                      <w:bCs/>
                      <w:color w:val="auto"/>
                      <w:sz w:val="18"/>
                      <w:szCs w:val="18"/>
                      <w:highlight w:val="none"/>
                    </w:rPr>
                    <w:t>危险废物</w:t>
                  </w:r>
                </w:p>
              </w:tc>
            </w:tr>
            <w:tr w14:paraId="298D2F2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shd w:val="clear" w:color="auto" w:fill="FFFFFF"/>
                  <w:noWrap w:val="0"/>
                  <w:vAlign w:val="center"/>
                </w:tcPr>
                <w:p w14:paraId="68816AE9">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图形符号</w:t>
                  </w:r>
                </w:p>
              </w:tc>
              <w:tc>
                <w:tcPr>
                  <w:tcW w:w="1339" w:type="dxa"/>
                  <w:tcBorders>
                    <w:tl2br w:val="nil"/>
                    <w:tr2bl w:val="nil"/>
                  </w:tcBorders>
                  <w:shd w:val="clear" w:color="auto" w:fill="FFFFFF"/>
                  <w:noWrap w:val="0"/>
                  <w:vAlign w:val="center"/>
                </w:tcPr>
                <w:p w14:paraId="0B2218A3">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drawing>
                      <wp:anchor distT="0" distB="0" distL="114300" distR="114300" simplePos="0" relativeHeight="251667456" behindDoc="0" locked="0" layoutInCell="1" allowOverlap="1">
                        <wp:simplePos x="0" y="0"/>
                        <wp:positionH relativeFrom="column">
                          <wp:posOffset>20955</wp:posOffset>
                        </wp:positionH>
                        <wp:positionV relativeFrom="page">
                          <wp:posOffset>105410</wp:posOffset>
                        </wp:positionV>
                        <wp:extent cx="743585" cy="695960"/>
                        <wp:effectExtent l="0" t="0" r="18415" b="8890"/>
                        <wp:wrapSquare wrapText="bothSides"/>
                        <wp:docPr id="255" name="图片 8"/>
                        <wp:cNvGraphicFramePr/>
                        <a:graphic xmlns:a="http://schemas.openxmlformats.org/drawingml/2006/main">
                          <a:graphicData uri="http://schemas.openxmlformats.org/drawingml/2006/picture">
                            <pic:pic xmlns:pic="http://schemas.openxmlformats.org/drawingml/2006/picture">
                              <pic:nvPicPr>
                                <pic:cNvPr id="255" name="图片 8"/>
                                <pic:cNvPicPr/>
                              </pic:nvPicPr>
                              <pic:blipFill>
                                <a:blip r:embed="rId22"/>
                                <a:stretch>
                                  <a:fillRect/>
                                </a:stretch>
                              </pic:blipFill>
                              <pic:spPr>
                                <a:xfrm>
                                  <a:off x="0" y="0"/>
                                  <a:ext cx="743585" cy="695960"/>
                                </a:xfrm>
                                <a:prstGeom prst="rect">
                                  <a:avLst/>
                                </a:prstGeom>
                                <a:noFill/>
                                <a:ln>
                                  <a:noFill/>
                                </a:ln>
                              </pic:spPr>
                            </pic:pic>
                          </a:graphicData>
                        </a:graphic>
                      </wp:anchor>
                    </w:drawing>
                  </w:r>
                </w:p>
              </w:tc>
              <w:tc>
                <w:tcPr>
                  <w:tcW w:w="1350" w:type="dxa"/>
                  <w:tcBorders>
                    <w:tl2br w:val="nil"/>
                    <w:tr2bl w:val="nil"/>
                  </w:tcBorders>
                  <w:shd w:val="clear" w:color="auto" w:fill="FFFFFF"/>
                  <w:noWrap w:val="0"/>
                  <w:vAlign w:val="center"/>
                </w:tcPr>
                <w:p w14:paraId="24339D8C">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drawing>
                      <wp:inline distT="0" distB="0" distL="114300" distR="114300">
                        <wp:extent cx="715010" cy="704850"/>
                        <wp:effectExtent l="0" t="0" r="8890" b="0"/>
                        <wp:docPr id="256" name="图片 6"/>
                        <wp:cNvGraphicFramePr/>
                        <a:graphic xmlns:a="http://schemas.openxmlformats.org/drawingml/2006/main">
                          <a:graphicData uri="http://schemas.openxmlformats.org/drawingml/2006/picture">
                            <pic:pic xmlns:pic="http://schemas.openxmlformats.org/drawingml/2006/picture">
                              <pic:nvPicPr>
                                <pic:cNvPr id="256" name="图片 6"/>
                                <pic:cNvPicPr/>
                              </pic:nvPicPr>
                              <pic:blipFill>
                                <a:blip r:embed="rId23"/>
                                <a:stretch>
                                  <a:fillRect/>
                                </a:stretch>
                              </pic:blipFill>
                              <pic:spPr>
                                <a:xfrm>
                                  <a:off x="0" y="0"/>
                                  <a:ext cx="715010" cy="704850"/>
                                </a:xfrm>
                                <a:prstGeom prst="rect">
                                  <a:avLst/>
                                </a:prstGeom>
                                <a:noFill/>
                                <a:ln>
                                  <a:noFill/>
                                </a:ln>
                              </pic:spPr>
                            </pic:pic>
                          </a:graphicData>
                        </a:graphic>
                      </wp:inline>
                    </w:drawing>
                  </w:r>
                </w:p>
              </w:tc>
              <w:tc>
                <w:tcPr>
                  <w:tcW w:w="1327" w:type="dxa"/>
                  <w:tcBorders>
                    <w:tl2br w:val="nil"/>
                    <w:tr2bl w:val="nil"/>
                  </w:tcBorders>
                  <w:shd w:val="clear" w:color="auto" w:fill="FFFFFF"/>
                  <w:noWrap w:val="0"/>
                  <w:vAlign w:val="center"/>
                </w:tcPr>
                <w:p w14:paraId="39B40422">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drawing>
                      <wp:anchor distT="0" distB="0" distL="114300" distR="114300" simplePos="0" relativeHeight="251668480" behindDoc="0" locked="0" layoutInCell="1" allowOverlap="1">
                        <wp:simplePos x="0" y="0"/>
                        <wp:positionH relativeFrom="column">
                          <wp:posOffset>-24130</wp:posOffset>
                        </wp:positionH>
                        <wp:positionV relativeFrom="page">
                          <wp:posOffset>107315</wp:posOffset>
                        </wp:positionV>
                        <wp:extent cx="771525" cy="668655"/>
                        <wp:effectExtent l="0" t="0" r="9525" b="17145"/>
                        <wp:wrapSquare wrapText="bothSides"/>
                        <wp:docPr id="257" name="图片 9"/>
                        <wp:cNvGraphicFramePr/>
                        <a:graphic xmlns:a="http://schemas.openxmlformats.org/drawingml/2006/main">
                          <a:graphicData uri="http://schemas.openxmlformats.org/drawingml/2006/picture">
                            <pic:pic xmlns:pic="http://schemas.openxmlformats.org/drawingml/2006/picture">
                              <pic:nvPicPr>
                                <pic:cNvPr id="257" name="图片 9"/>
                                <pic:cNvPicPr/>
                              </pic:nvPicPr>
                              <pic:blipFill>
                                <a:blip r:embed="rId24"/>
                                <a:stretch>
                                  <a:fillRect/>
                                </a:stretch>
                              </pic:blipFill>
                              <pic:spPr>
                                <a:xfrm>
                                  <a:off x="0" y="0"/>
                                  <a:ext cx="771525" cy="668655"/>
                                </a:xfrm>
                                <a:prstGeom prst="rect">
                                  <a:avLst/>
                                </a:prstGeom>
                                <a:noFill/>
                                <a:ln>
                                  <a:noFill/>
                                </a:ln>
                              </pic:spPr>
                            </pic:pic>
                          </a:graphicData>
                        </a:graphic>
                      </wp:anchor>
                    </w:drawing>
                  </w:r>
                </w:p>
              </w:tc>
              <w:tc>
                <w:tcPr>
                  <w:tcW w:w="1419" w:type="dxa"/>
                  <w:tcBorders>
                    <w:tl2br w:val="nil"/>
                    <w:tr2bl w:val="nil"/>
                  </w:tcBorders>
                  <w:shd w:val="clear" w:color="auto" w:fill="FFFFFF"/>
                  <w:noWrap w:val="0"/>
                  <w:vAlign w:val="center"/>
                </w:tcPr>
                <w:p w14:paraId="64A14E6B">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rFonts w:hint="eastAsia"/>
                      <w:color w:val="auto"/>
                      <w:sz w:val="18"/>
                      <w:szCs w:val="18"/>
                      <w:highlight w:val="none"/>
                    </w:rPr>
                  </w:pPr>
                  <w:r>
                    <w:rPr>
                      <w:rFonts w:hint="eastAsia"/>
                      <w:color w:val="auto"/>
                      <w:sz w:val="18"/>
                      <w:szCs w:val="18"/>
                      <w:highlight w:val="none"/>
                    </w:rPr>
                    <w:drawing>
                      <wp:inline distT="0" distB="0" distL="114300" distR="114300">
                        <wp:extent cx="732155" cy="725170"/>
                        <wp:effectExtent l="0" t="0" r="10795" b="17780"/>
                        <wp:docPr id="258" name="图片 7" descr="170597092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7" descr="1705970922416"/>
                                <pic:cNvPicPr>
                                  <a:picLocks noChangeAspect="1"/>
                                </pic:cNvPicPr>
                              </pic:nvPicPr>
                              <pic:blipFill>
                                <a:blip r:embed="rId25"/>
                                <a:stretch>
                                  <a:fillRect/>
                                </a:stretch>
                              </pic:blipFill>
                              <pic:spPr>
                                <a:xfrm>
                                  <a:off x="0" y="0"/>
                                  <a:ext cx="732155" cy="725170"/>
                                </a:xfrm>
                                <a:prstGeom prst="rect">
                                  <a:avLst/>
                                </a:prstGeom>
                                <a:noFill/>
                                <a:ln>
                                  <a:noFill/>
                                </a:ln>
                              </pic:spPr>
                            </pic:pic>
                          </a:graphicData>
                        </a:graphic>
                      </wp:inline>
                    </w:drawing>
                  </w:r>
                </w:p>
              </w:tc>
              <w:tc>
                <w:tcPr>
                  <w:tcW w:w="1363" w:type="dxa"/>
                  <w:tcBorders>
                    <w:tl2br w:val="nil"/>
                    <w:tr2bl w:val="nil"/>
                  </w:tcBorders>
                  <w:shd w:val="clear" w:color="auto" w:fill="FFFFFF"/>
                  <w:noWrap w:val="0"/>
                  <w:vAlign w:val="center"/>
                </w:tcPr>
                <w:p w14:paraId="75AEA3E3">
                  <w:pPr>
                    <w:pStyle w:val="125"/>
                    <w:keepNext w:val="0"/>
                    <w:keepLines w:val="0"/>
                    <w:pageBreakBefore w:val="0"/>
                    <w:widowControl/>
                    <w:tabs>
                      <w:tab w:val="left" w:pos="0"/>
                    </w:tabs>
                    <w:kinsoku/>
                    <w:wordWrap w:val="0"/>
                    <w:overflowPunct/>
                    <w:topLinePunct w:val="0"/>
                    <w:autoSpaceDE/>
                    <w:autoSpaceDN/>
                    <w:bidi w:val="0"/>
                    <w:spacing w:line="240" w:lineRule="auto"/>
                    <w:ind w:firstLine="0" w:firstLineChars="0"/>
                    <w:jc w:val="center"/>
                    <w:textAlignment w:val="auto"/>
                    <w:rPr>
                      <w:rFonts w:hint="eastAsia"/>
                      <w:color w:val="auto"/>
                      <w:sz w:val="18"/>
                      <w:szCs w:val="18"/>
                      <w:highlight w:val="none"/>
                    </w:rPr>
                  </w:pPr>
                  <w:r>
                    <w:rPr>
                      <w:rFonts w:hint="eastAsia"/>
                      <w:color w:val="auto"/>
                      <w:sz w:val="18"/>
                      <w:szCs w:val="18"/>
                      <w:highlight w:val="none"/>
                    </w:rPr>
                    <w:drawing>
                      <wp:inline distT="0" distB="0" distL="114300" distR="114300">
                        <wp:extent cx="720090" cy="661035"/>
                        <wp:effectExtent l="0" t="0" r="3810" b="5715"/>
                        <wp:docPr id="275" name="图片 8" descr="17059709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8" descr="1705970940132"/>
                                <pic:cNvPicPr>
                                  <a:picLocks noChangeAspect="1"/>
                                </pic:cNvPicPr>
                              </pic:nvPicPr>
                              <pic:blipFill>
                                <a:blip r:embed="rId26"/>
                                <a:stretch>
                                  <a:fillRect/>
                                </a:stretch>
                              </pic:blipFill>
                              <pic:spPr>
                                <a:xfrm>
                                  <a:off x="0" y="0"/>
                                  <a:ext cx="720090" cy="661035"/>
                                </a:xfrm>
                                <a:prstGeom prst="rect">
                                  <a:avLst/>
                                </a:prstGeom>
                                <a:noFill/>
                                <a:ln>
                                  <a:noFill/>
                                </a:ln>
                              </pic:spPr>
                            </pic:pic>
                          </a:graphicData>
                        </a:graphic>
                      </wp:inline>
                    </w:drawing>
                  </w:r>
                </w:p>
              </w:tc>
            </w:tr>
            <w:tr w14:paraId="7C70B4E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shd w:val="clear" w:color="auto" w:fill="FFFFFF"/>
                  <w:noWrap w:val="0"/>
                  <w:vAlign w:val="center"/>
                </w:tcPr>
                <w:p w14:paraId="06648248">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rFonts w:hint="eastAsia"/>
                      <w:color w:val="auto"/>
                      <w:sz w:val="18"/>
                      <w:szCs w:val="18"/>
                      <w:highlight w:val="none"/>
                    </w:rPr>
                  </w:pPr>
                  <w:r>
                    <w:rPr>
                      <w:rFonts w:hint="eastAsia"/>
                      <w:color w:val="auto"/>
                      <w:sz w:val="18"/>
                      <w:szCs w:val="18"/>
                      <w:highlight w:val="none"/>
                    </w:rPr>
                    <w:t>功能</w:t>
                  </w:r>
                </w:p>
              </w:tc>
              <w:tc>
                <w:tcPr>
                  <w:tcW w:w="1339" w:type="dxa"/>
                  <w:tcBorders>
                    <w:tl2br w:val="nil"/>
                    <w:tr2bl w:val="nil"/>
                  </w:tcBorders>
                  <w:shd w:val="clear" w:color="auto" w:fill="FFFFFF"/>
                  <w:noWrap w:val="0"/>
                  <w:vAlign w:val="center"/>
                </w:tcPr>
                <w:p w14:paraId="2BA591AC">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rFonts w:hint="eastAsia"/>
                      <w:color w:val="auto"/>
                      <w:sz w:val="18"/>
                      <w:szCs w:val="18"/>
                      <w:highlight w:val="none"/>
                    </w:rPr>
                    <w:t>表示污水向水体排放</w:t>
                  </w:r>
                </w:p>
              </w:tc>
              <w:tc>
                <w:tcPr>
                  <w:tcW w:w="1350" w:type="dxa"/>
                  <w:tcBorders>
                    <w:tl2br w:val="nil"/>
                    <w:tr2bl w:val="nil"/>
                  </w:tcBorders>
                  <w:shd w:val="clear" w:color="auto" w:fill="FFFFFF"/>
                  <w:noWrap w:val="0"/>
                  <w:vAlign w:val="center"/>
                </w:tcPr>
                <w:p w14:paraId="1D324F0F">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rFonts w:hint="eastAsia"/>
                      <w:color w:val="auto"/>
                      <w:sz w:val="18"/>
                      <w:szCs w:val="18"/>
                      <w:highlight w:val="none"/>
                    </w:rPr>
                    <w:t>表示噪声向外环境排放</w:t>
                  </w:r>
                </w:p>
              </w:tc>
              <w:tc>
                <w:tcPr>
                  <w:tcW w:w="1327" w:type="dxa"/>
                  <w:tcBorders>
                    <w:tl2br w:val="nil"/>
                    <w:tr2bl w:val="nil"/>
                  </w:tcBorders>
                  <w:shd w:val="clear" w:color="auto" w:fill="FFFFFF"/>
                  <w:noWrap w:val="0"/>
                  <w:vAlign w:val="center"/>
                </w:tcPr>
                <w:p w14:paraId="382FA0D2">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rFonts w:hint="eastAsia"/>
                      <w:color w:val="auto"/>
                      <w:sz w:val="18"/>
                      <w:szCs w:val="18"/>
                      <w:highlight w:val="none"/>
                    </w:rPr>
                    <w:t>表示废气向大气环境排放</w:t>
                  </w:r>
                </w:p>
              </w:tc>
              <w:tc>
                <w:tcPr>
                  <w:tcW w:w="1419" w:type="dxa"/>
                  <w:tcBorders>
                    <w:tl2br w:val="nil"/>
                    <w:tr2bl w:val="nil"/>
                  </w:tcBorders>
                  <w:shd w:val="clear" w:color="auto" w:fill="FFFFFF"/>
                  <w:noWrap w:val="0"/>
                  <w:vAlign w:val="center"/>
                </w:tcPr>
                <w:p w14:paraId="7D507299">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rFonts w:hint="eastAsia"/>
                      <w:color w:val="auto"/>
                      <w:sz w:val="18"/>
                      <w:szCs w:val="18"/>
                      <w:highlight w:val="none"/>
                    </w:rPr>
                    <w:t>表示一般固体废物贮存、处置场</w:t>
                  </w:r>
                </w:p>
              </w:tc>
              <w:tc>
                <w:tcPr>
                  <w:tcW w:w="1363" w:type="dxa"/>
                  <w:tcBorders>
                    <w:tl2br w:val="nil"/>
                    <w:tr2bl w:val="nil"/>
                  </w:tcBorders>
                  <w:shd w:val="clear" w:color="auto" w:fill="FFFFFF"/>
                  <w:noWrap w:val="0"/>
                  <w:vAlign w:val="center"/>
                </w:tcPr>
                <w:p w14:paraId="3475788C">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rFonts w:hint="eastAsia"/>
                      <w:color w:val="auto"/>
                      <w:sz w:val="18"/>
                      <w:szCs w:val="18"/>
                      <w:highlight w:val="none"/>
                    </w:rPr>
                    <w:t>表示危险固体废物贮存、处置场</w:t>
                  </w:r>
                </w:p>
              </w:tc>
            </w:tr>
            <w:tr w14:paraId="0D49B6E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shd w:val="clear" w:color="auto" w:fill="FFFFFF"/>
                  <w:noWrap w:val="0"/>
                  <w:vAlign w:val="center"/>
                </w:tcPr>
                <w:p w14:paraId="658A5588">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形状</w:t>
                  </w:r>
                </w:p>
              </w:tc>
              <w:tc>
                <w:tcPr>
                  <w:tcW w:w="1339" w:type="dxa"/>
                  <w:tcBorders>
                    <w:tl2br w:val="nil"/>
                    <w:tr2bl w:val="nil"/>
                  </w:tcBorders>
                  <w:shd w:val="clear" w:color="auto" w:fill="FFFFFF"/>
                  <w:noWrap w:val="0"/>
                  <w:vAlign w:val="center"/>
                </w:tcPr>
                <w:p w14:paraId="45B02F19">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正方形边框</w:t>
                  </w:r>
                </w:p>
              </w:tc>
              <w:tc>
                <w:tcPr>
                  <w:tcW w:w="1350" w:type="dxa"/>
                  <w:tcBorders>
                    <w:tl2br w:val="nil"/>
                    <w:tr2bl w:val="nil"/>
                  </w:tcBorders>
                  <w:shd w:val="clear" w:color="auto" w:fill="FFFFFF"/>
                  <w:noWrap w:val="0"/>
                  <w:vAlign w:val="center"/>
                </w:tcPr>
                <w:p w14:paraId="2E427224">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正方形边框</w:t>
                  </w:r>
                </w:p>
              </w:tc>
              <w:tc>
                <w:tcPr>
                  <w:tcW w:w="1327" w:type="dxa"/>
                  <w:tcBorders>
                    <w:tl2br w:val="nil"/>
                    <w:tr2bl w:val="nil"/>
                  </w:tcBorders>
                  <w:shd w:val="clear" w:color="auto" w:fill="FFFFFF"/>
                  <w:noWrap w:val="0"/>
                  <w:vAlign w:val="center"/>
                </w:tcPr>
                <w:p w14:paraId="124DFB4C">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正方形边框</w:t>
                  </w:r>
                </w:p>
              </w:tc>
              <w:tc>
                <w:tcPr>
                  <w:tcW w:w="1419" w:type="dxa"/>
                  <w:tcBorders>
                    <w:tl2br w:val="nil"/>
                    <w:tr2bl w:val="nil"/>
                  </w:tcBorders>
                  <w:shd w:val="clear" w:color="auto" w:fill="FFFFFF"/>
                  <w:noWrap w:val="0"/>
                  <w:vAlign w:val="center"/>
                </w:tcPr>
                <w:p w14:paraId="6E8A05A3">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三角形边框</w:t>
                  </w:r>
                </w:p>
              </w:tc>
              <w:tc>
                <w:tcPr>
                  <w:tcW w:w="1363" w:type="dxa"/>
                  <w:tcBorders>
                    <w:tl2br w:val="nil"/>
                    <w:tr2bl w:val="nil"/>
                  </w:tcBorders>
                  <w:shd w:val="clear" w:color="auto" w:fill="FFFFFF"/>
                  <w:noWrap w:val="0"/>
                  <w:vAlign w:val="center"/>
                </w:tcPr>
                <w:p w14:paraId="574BB6C8">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三角形边框</w:t>
                  </w:r>
                </w:p>
              </w:tc>
            </w:tr>
            <w:tr w14:paraId="4BFFA69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shd w:val="clear" w:color="auto" w:fill="FFFFFF"/>
                  <w:noWrap w:val="0"/>
                  <w:vAlign w:val="center"/>
                </w:tcPr>
                <w:p w14:paraId="76DFE6FD">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背景颜色</w:t>
                  </w:r>
                </w:p>
              </w:tc>
              <w:tc>
                <w:tcPr>
                  <w:tcW w:w="1339" w:type="dxa"/>
                  <w:tcBorders>
                    <w:tl2br w:val="nil"/>
                    <w:tr2bl w:val="nil"/>
                  </w:tcBorders>
                  <w:shd w:val="clear" w:color="auto" w:fill="FFFFFF"/>
                  <w:noWrap w:val="0"/>
                  <w:vAlign w:val="center"/>
                </w:tcPr>
                <w:p w14:paraId="07303C8C">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绿色</w:t>
                  </w:r>
                </w:p>
              </w:tc>
              <w:tc>
                <w:tcPr>
                  <w:tcW w:w="1350" w:type="dxa"/>
                  <w:tcBorders>
                    <w:tl2br w:val="nil"/>
                    <w:tr2bl w:val="nil"/>
                  </w:tcBorders>
                  <w:shd w:val="clear" w:color="auto" w:fill="FFFFFF"/>
                  <w:noWrap w:val="0"/>
                  <w:vAlign w:val="center"/>
                </w:tcPr>
                <w:p w14:paraId="5330BAA5">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绿色</w:t>
                  </w:r>
                </w:p>
              </w:tc>
              <w:tc>
                <w:tcPr>
                  <w:tcW w:w="1327" w:type="dxa"/>
                  <w:tcBorders>
                    <w:tl2br w:val="nil"/>
                    <w:tr2bl w:val="nil"/>
                  </w:tcBorders>
                  <w:shd w:val="clear" w:color="auto" w:fill="FFFFFF"/>
                  <w:noWrap w:val="0"/>
                  <w:vAlign w:val="center"/>
                </w:tcPr>
                <w:p w14:paraId="58F5E23F">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绿色</w:t>
                  </w:r>
                </w:p>
              </w:tc>
              <w:tc>
                <w:tcPr>
                  <w:tcW w:w="1419" w:type="dxa"/>
                  <w:tcBorders>
                    <w:tl2br w:val="nil"/>
                    <w:tr2bl w:val="nil"/>
                  </w:tcBorders>
                  <w:shd w:val="clear" w:color="auto" w:fill="FFFFFF"/>
                  <w:noWrap w:val="0"/>
                  <w:vAlign w:val="center"/>
                </w:tcPr>
                <w:p w14:paraId="511775D4">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绿色</w:t>
                  </w:r>
                </w:p>
              </w:tc>
              <w:tc>
                <w:tcPr>
                  <w:tcW w:w="1363" w:type="dxa"/>
                  <w:tcBorders>
                    <w:tl2br w:val="nil"/>
                    <w:tr2bl w:val="nil"/>
                  </w:tcBorders>
                  <w:shd w:val="clear" w:color="auto" w:fill="FFFFFF"/>
                  <w:noWrap w:val="0"/>
                  <w:vAlign w:val="center"/>
                </w:tcPr>
                <w:p w14:paraId="24D98E3C">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黄色</w:t>
                  </w:r>
                </w:p>
              </w:tc>
            </w:tr>
            <w:tr w14:paraId="2243DE0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shd w:val="clear" w:color="auto" w:fill="FFFFFF"/>
                  <w:noWrap w:val="0"/>
                  <w:vAlign w:val="center"/>
                </w:tcPr>
                <w:p w14:paraId="27407838">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图形颜色</w:t>
                  </w:r>
                </w:p>
              </w:tc>
              <w:tc>
                <w:tcPr>
                  <w:tcW w:w="1339" w:type="dxa"/>
                  <w:tcBorders>
                    <w:tl2br w:val="nil"/>
                    <w:tr2bl w:val="nil"/>
                  </w:tcBorders>
                  <w:shd w:val="clear" w:color="auto" w:fill="FFFFFF"/>
                  <w:noWrap w:val="0"/>
                  <w:vAlign w:val="center"/>
                </w:tcPr>
                <w:p w14:paraId="576CBF30">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白色</w:t>
                  </w:r>
                </w:p>
              </w:tc>
              <w:tc>
                <w:tcPr>
                  <w:tcW w:w="1350" w:type="dxa"/>
                  <w:tcBorders>
                    <w:tl2br w:val="nil"/>
                    <w:tr2bl w:val="nil"/>
                  </w:tcBorders>
                  <w:shd w:val="clear" w:color="auto" w:fill="FFFFFF"/>
                  <w:noWrap w:val="0"/>
                  <w:vAlign w:val="center"/>
                </w:tcPr>
                <w:p w14:paraId="6856D1DC">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白色</w:t>
                  </w:r>
                </w:p>
              </w:tc>
              <w:tc>
                <w:tcPr>
                  <w:tcW w:w="1327" w:type="dxa"/>
                  <w:tcBorders>
                    <w:tl2br w:val="nil"/>
                    <w:tr2bl w:val="nil"/>
                  </w:tcBorders>
                  <w:shd w:val="clear" w:color="auto" w:fill="FFFFFF"/>
                  <w:noWrap w:val="0"/>
                  <w:vAlign w:val="center"/>
                </w:tcPr>
                <w:p w14:paraId="58BDE821">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白色</w:t>
                  </w:r>
                </w:p>
              </w:tc>
              <w:tc>
                <w:tcPr>
                  <w:tcW w:w="1419" w:type="dxa"/>
                  <w:tcBorders>
                    <w:tl2br w:val="nil"/>
                    <w:tr2bl w:val="nil"/>
                  </w:tcBorders>
                  <w:shd w:val="clear" w:color="auto" w:fill="FFFFFF"/>
                  <w:noWrap w:val="0"/>
                  <w:vAlign w:val="center"/>
                </w:tcPr>
                <w:p w14:paraId="28BB8131">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白色</w:t>
                  </w:r>
                </w:p>
              </w:tc>
              <w:tc>
                <w:tcPr>
                  <w:tcW w:w="1363" w:type="dxa"/>
                  <w:tcBorders>
                    <w:tl2br w:val="nil"/>
                    <w:tr2bl w:val="nil"/>
                  </w:tcBorders>
                  <w:shd w:val="clear" w:color="auto" w:fill="FFFFFF"/>
                  <w:noWrap w:val="0"/>
                  <w:vAlign w:val="center"/>
                </w:tcPr>
                <w:p w14:paraId="0CAE7EFD">
                  <w:pPr>
                    <w:keepNext w:val="0"/>
                    <w:keepLines w:val="0"/>
                    <w:pageBreakBefore w:val="0"/>
                    <w:widowControl/>
                    <w:kinsoku/>
                    <w:wordWrap w:val="0"/>
                    <w:overflowPunct/>
                    <w:topLinePunct w:val="0"/>
                    <w:autoSpaceDE/>
                    <w:autoSpaceDN/>
                    <w:bidi w:val="0"/>
                    <w:spacing w:line="240" w:lineRule="auto"/>
                    <w:ind w:firstLine="0" w:firstLineChars="0"/>
                    <w:jc w:val="center"/>
                    <w:textAlignment w:val="auto"/>
                    <w:rPr>
                      <w:color w:val="auto"/>
                      <w:sz w:val="18"/>
                      <w:szCs w:val="18"/>
                      <w:highlight w:val="none"/>
                    </w:rPr>
                  </w:pPr>
                  <w:r>
                    <w:rPr>
                      <w:color w:val="auto"/>
                      <w:sz w:val="18"/>
                      <w:szCs w:val="18"/>
                      <w:highlight w:val="none"/>
                    </w:rPr>
                    <w:t>黑色</w:t>
                  </w:r>
                </w:p>
              </w:tc>
            </w:tr>
          </w:tbl>
          <w:p w14:paraId="01D01112">
            <w:pPr>
              <w:keepNext w:val="0"/>
              <w:keepLines w:val="0"/>
              <w:pageBreakBefore w:val="0"/>
              <w:kinsoku/>
              <w:wordWrap/>
              <w:overflowPunct/>
              <w:topLinePunct w:val="0"/>
              <w:autoSpaceDE/>
              <w:autoSpaceDN/>
              <w:bidi w:val="0"/>
              <w:adjustRightInd w:val="0"/>
              <w:snapToGrid w:val="0"/>
              <w:spacing w:before="120" w:beforeLines="50" w:line="356" w:lineRule="auto"/>
              <w:ind w:firstLine="422" w:firstLineChars="200"/>
              <w:textAlignment w:val="auto"/>
              <w:rPr>
                <w:rFonts w:hint="eastAsia" w:ascii="Times New Roman" w:hAnsi="Times New Roman" w:eastAsia="宋体" w:cs="Times New Roman"/>
                <w:color w:val="auto"/>
                <w:spacing w:val="0"/>
                <w:kern w:val="0"/>
                <w:position w:val="0"/>
                <w:sz w:val="21"/>
                <w:szCs w:val="21"/>
                <w:highlight w:val="none"/>
                <w:lang w:bidi="ar"/>
              </w:rPr>
            </w:pPr>
            <w:r>
              <w:rPr>
                <w:rFonts w:ascii="Times New Roman" w:hAnsi="Times New Roman" w:eastAsia="宋体" w:cs="Times New Roman"/>
                <w:b/>
                <w:color w:val="auto"/>
                <w:spacing w:val="0"/>
                <w:kern w:val="0"/>
                <w:position w:val="0"/>
                <w:sz w:val="21"/>
                <w:szCs w:val="21"/>
                <w:highlight w:val="none"/>
                <w:lang w:bidi="ar"/>
              </w:rPr>
              <w:t>（</w:t>
            </w:r>
            <w:r>
              <w:rPr>
                <w:rFonts w:hint="eastAsia" w:ascii="Times New Roman" w:hAnsi="Times New Roman" w:eastAsia="宋体" w:cs="Times New Roman"/>
                <w:b/>
                <w:color w:val="auto"/>
                <w:spacing w:val="0"/>
                <w:kern w:val="0"/>
                <w:position w:val="0"/>
                <w:sz w:val="21"/>
                <w:szCs w:val="21"/>
                <w:highlight w:val="none"/>
                <w:lang w:bidi="ar"/>
              </w:rPr>
              <w:t>3</w:t>
            </w:r>
            <w:r>
              <w:rPr>
                <w:rFonts w:ascii="Times New Roman" w:hAnsi="Times New Roman" w:eastAsia="宋体" w:cs="Times New Roman"/>
                <w:b/>
                <w:color w:val="auto"/>
                <w:spacing w:val="0"/>
                <w:kern w:val="0"/>
                <w:position w:val="0"/>
                <w:sz w:val="21"/>
                <w:szCs w:val="21"/>
                <w:highlight w:val="none"/>
                <w:lang w:bidi="ar"/>
              </w:rPr>
              <w:t>）</w:t>
            </w:r>
            <w:r>
              <w:rPr>
                <w:rFonts w:hint="eastAsia" w:ascii="Times New Roman" w:hAnsi="Times New Roman" w:eastAsia="宋体" w:cs="Times New Roman"/>
                <w:b/>
                <w:bCs/>
                <w:color w:val="auto"/>
                <w:spacing w:val="0"/>
                <w:position w:val="0"/>
                <w:sz w:val="21"/>
                <w:szCs w:val="21"/>
                <w:highlight w:val="none"/>
              </w:rPr>
              <w:t>自主竣工环保验收</w:t>
            </w:r>
          </w:p>
          <w:p w14:paraId="550F92BB">
            <w:pPr>
              <w:keepNext w:val="0"/>
              <w:keepLines w:val="0"/>
              <w:pageBreakBefore w:val="0"/>
              <w:widowControl/>
              <w:kinsoku/>
              <w:wordWrap/>
              <w:overflowPunct/>
              <w:topLinePunct w:val="0"/>
              <w:autoSpaceDE/>
              <w:autoSpaceDN/>
              <w:bidi w:val="0"/>
              <w:spacing w:line="356" w:lineRule="auto"/>
              <w:ind w:firstLine="420" w:firstLineChars="200"/>
              <w:jc w:val="left"/>
              <w:textAlignment w:val="auto"/>
              <w:rPr>
                <w:rFonts w:hint="eastAsia" w:ascii="Times New Roman" w:hAnsi="Times New Roman" w:eastAsia="宋体" w:cs="Times New Roman"/>
                <w:b/>
                <w:bCs/>
                <w:color w:val="auto"/>
                <w:spacing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lang w:bidi="ar"/>
              </w:rPr>
              <w:t>根据《建设项目竣工环境保护验收暂行办法》建设项目竣工后，建设单位应当如实查验、监测、记载建设项目环境保护设施的建设和调试情况，编制验收监测（调查）报告，完成自主验收后方可投产。</w:t>
            </w:r>
          </w:p>
          <w:p w14:paraId="1F4FD2CE">
            <w:pPr>
              <w:keepNext w:val="0"/>
              <w:keepLines w:val="0"/>
              <w:pageBreakBefore w:val="0"/>
              <w:widowControl/>
              <w:kinsoku/>
              <w:wordWrap/>
              <w:overflowPunct/>
              <w:topLinePunct w:val="0"/>
              <w:autoSpaceDE/>
              <w:autoSpaceDN/>
              <w:bidi w:val="0"/>
              <w:spacing w:line="356" w:lineRule="auto"/>
              <w:ind w:firstLine="422" w:firstLineChars="200"/>
              <w:jc w:val="left"/>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b/>
                <w:color w:val="auto"/>
                <w:spacing w:val="0"/>
                <w:kern w:val="0"/>
                <w:position w:val="0"/>
                <w:sz w:val="21"/>
                <w:szCs w:val="21"/>
                <w:highlight w:val="none"/>
                <w:lang w:bidi="ar"/>
              </w:rPr>
              <w:t>（4）</w:t>
            </w:r>
            <w:r>
              <w:rPr>
                <w:rFonts w:ascii="Times New Roman" w:hAnsi="Times New Roman" w:eastAsia="宋体" w:cs="Times New Roman"/>
                <w:b/>
                <w:color w:val="auto"/>
                <w:spacing w:val="0"/>
                <w:kern w:val="0"/>
                <w:position w:val="0"/>
                <w:sz w:val="21"/>
                <w:szCs w:val="21"/>
                <w:highlight w:val="none"/>
                <w:lang w:bidi="ar"/>
              </w:rPr>
              <w:t xml:space="preserve">信息公示 </w:t>
            </w:r>
          </w:p>
          <w:p w14:paraId="3A2A9DEC">
            <w:pPr>
              <w:keepNext w:val="0"/>
              <w:keepLines w:val="0"/>
              <w:pageBreakBefore w:val="0"/>
              <w:widowControl/>
              <w:kinsoku/>
              <w:wordWrap/>
              <w:overflowPunct/>
              <w:topLinePunct w:val="0"/>
              <w:autoSpaceDE/>
              <w:autoSpaceDN/>
              <w:bidi w:val="0"/>
              <w:spacing w:line="356" w:lineRule="auto"/>
              <w:ind w:firstLine="420" w:firstLineChars="200"/>
              <w:textAlignment w:val="auto"/>
              <w:rPr>
                <w:rFonts w:hint="eastAsia" w:ascii="Times New Roman" w:hAnsi="Times New Roman" w:eastAsia="宋体" w:cs="Times New Roman"/>
                <w:color w:val="auto"/>
                <w:spacing w:val="0"/>
                <w:kern w:val="0"/>
                <w:position w:val="0"/>
                <w:sz w:val="21"/>
                <w:szCs w:val="21"/>
                <w:highlight w:val="none"/>
                <w:lang w:bidi="ar"/>
              </w:rPr>
            </w:pPr>
            <w:r>
              <w:rPr>
                <w:rFonts w:hint="eastAsia" w:ascii="Times New Roman" w:hAnsi="Times New Roman" w:eastAsia="宋体" w:cs="Times New Roman"/>
                <w:color w:val="auto"/>
                <w:spacing w:val="0"/>
                <w:kern w:val="0"/>
                <w:position w:val="0"/>
                <w:sz w:val="21"/>
                <w:szCs w:val="21"/>
                <w:highlight w:val="none"/>
                <w:lang w:bidi="ar"/>
              </w:rPr>
              <w:t>根据《福建省环保厅关于做好建设项目环境影响评价信息公开工作的通知》（闽环评函</w:t>
            </w:r>
            <w:r>
              <w:rPr>
                <w:rFonts w:ascii="Times New Roman" w:hAnsi="Times New Roman" w:eastAsia="宋体" w:cs="Times New Roman"/>
                <w:color w:val="auto"/>
                <w:spacing w:val="0"/>
                <w:kern w:val="0"/>
                <w:position w:val="0"/>
                <w:sz w:val="21"/>
                <w:szCs w:val="21"/>
                <w:highlight w:val="none"/>
                <w:lang w:bidi="ar"/>
              </w:rPr>
              <w:t>[2016]94</w:t>
            </w:r>
            <w:r>
              <w:rPr>
                <w:rFonts w:hint="eastAsia" w:ascii="Times New Roman" w:hAnsi="Times New Roman" w:eastAsia="宋体" w:cs="Times New Roman"/>
                <w:color w:val="auto"/>
                <w:spacing w:val="0"/>
                <w:kern w:val="0"/>
                <w:position w:val="0"/>
                <w:sz w:val="21"/>
                <w:szCs w:val="21"/>
                <w:highlight w:val="none"/>
                <w:lang w:bidi="ar"/>
              </w:rPr>
              <w:t>号），为进一步做好我省环境影响评价信息公开工作，更好地保障公众对项目建设环境影响的知情权、参与权和监督权，推进环评</w:t>
            </w:r>
            <w:r>
              <w:rPr>
                <w:rFonts w:hint="eastAsia" w:ascii="Times New Roman" w:hAnsi="Times New Roman" w:eastAsia="宋体" w:cs="Times New Roman"/>
                <w:color w:val="auto"/>
                <w:spacing w:val="0"/>
                <w:kern w:val="0"/>
                <w:position w:val="0"/>
                <w:sz w:val="21"/>
                <w:szCs w:val="21"/>
                <w:highlight w:val="none"/>
                <w:lang w:eastAsia="zh-CN" w:bidi="ar"/>
              </w:rPr>
              <w:t>“</w:t>
            </w:r>
            <w:r>
              <w:rPr>
                <w:rFonts w:hint="eastAsia" w:ascii="Times New Roman" w:hAnsi="Times New Roman" w:eastAsia="宋体" w:cs="Times New Roman"/>
                <w:color w:val="auto"/>
                <w:spacing w:val="0"/>
                <w:kern w:val="0"/>
                <w:position w:val="0"/>
                <w:sz w:val="21"/>
                <w:szCs w:val="21"/>
                <w:highlight w:val="none"/>
                <w:lang w:bidi="ar"/>
              </w:rPr>
              <w:t>阳光审批</w:t>
            </w:r>
            <w:r>
              <w:rPr>
                <w:rFonts w:hint="eastAsia" w:ascii="Times New Roman" w:hAnsi="Times New Roman" w:eastAsia="宋体" w:cs="Times New Roman"/>
                <w:color w:val="auto"/>
                <w:spacing w:val="0"/>
                <w:kern w:val="0"/>
                <w:position w:val="0"/>
                <w:sz w:val="21"/>
                <w:szCs w:val="21"/>
                <w:highlight w:val="none"/>
                <w:lang w:eastAsia="zh-CN" w:bidi="ar"/>
              </w:rPr>
              <w:t>”</w:t>
            </w:r>
            <w:r>
              <w:rPr>
                <w:rFonts w:hint="eastAsia" w:ascii="Times New Roman" w:hAnsi="Times New Roman" w:eastAsia="宋体" w:cs="Times New Roman"/>
                <w:color w:val="auto"/>
                <w:spacing w:val="0"/>
                <w:kern w:val="0"/>
                <w:position w:val="0"/>
                <w:sz w:val="21"/>
                <w:szCs w:val="21"/>
                <w:highlight w:val="none"/>
                <w:lang w:bidi="ar"/>
              </w:rPr>
              <w:t>。</w:t>
            </w:r>
          </w:p>
          <w:p w14:paraId="2CD33F06">
            <w:pPr>
              <w:keepNext w:val="0"/>
              <w:keepLines w:val="0"/>
              <w:pageBreakBefore w:val="0"/>
              <w:widowControl/>
              <w:kinsoku/>
              <w:wordWrap/>
              <w:overflowPunct/>
              <w:topLinePunct w:val="0"/>
              <w:autoSpaceDE/>
              <w:autoSpaceDN/>
              <w:bidi w:val="0"/>
              <w:spacing w:line="356" w:lineRule="auto"/>
              <w:ind w:firstLine="420" w:firstLineChars="200"/>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kern w:val="0"/>
                <w:position w:val="0"/>
                <w:sz w:val="21"/>
                <w:szCs w:val="21"/>
                <w:highlight w:val="none"/>
                <w:lang w:bidi="ar"/>
              </w:rPr>
              <w:t>建设单位委托本单位编制环评报告表的同时，于202</w:t>
            </w:r>
            <w:r>
              <w:rPr>
                <w:rFonts w:hint="eastAsia" w:cs="Times New Roman"/>
                <w:color w:val="auto"/>
                <w:spacing w:val="0"/>
                <w:kern w:val="0"/>
                <w:position w:val="0"/>
                <w:sz w:val="21"/>
                <w:szCs w:val="21"/>
                <w:highlight w:val="none"/>
                <w:lang w:val="en-US" w:eastAsia="zh-CN" w:bidi="ar"/>
              </w:rPr>
              <w:t>6</w:t>
            </w:r>
            <w:r>
              <w:rPr>
                <w:rFonts w:ascii="Times New Roman" w:hAnsi="Times New Roman" w:eastAsia="宋体" w:cs="Times New Roman"/>
                <w:color w:val="auto"/>
                <w:spacing w:val="0"/>
                <w:kern w:val="0"/>
                <w:position w:val="0"/>
                <w:sz w:val="21"/>
                <w:szCs w:val="21"/>
                <w:highlight w:val="none"/>
                <w:lang w:bidi="ar"/>
              </w:rPr>
              <w:t>年</w:t>
            </w:r>
            <w:r>
              <w:rPr>
                <w:rFonts w:hint="eastAsia" w:cs="Times New Roman"/>
                <w:color w:val="auto"/>
                <w:spacing w:val="0"/>
                <w:kern w:val="0"/>
                <w:position w:val="0"/>
                <w:sz w:val="21"/>
                <w:szCs w:val="21"/>
                <w:highlight w:val="none"/>
                <w:lang w:val="en-US" w:eastAsia="zh-CN" w:bidi="ar"/>
              </w:rPr>
              <w:t>4</w:t>
            </w:r>
            <w:r>
              <w:rPr>
                <w:rFonts w:ascii="Times New Roman" w:hAnsi="Times New Roman" w:eastAsia="宋体" w:cs="Times New Roman"/>
                <w:color w:val="auto"/>
                <w:spacing w:val="0"/>
                <w:kern w:val="0"/>
                <w:position w:val="0"/>
                <w:sz w:val="21"/>
                <w:szCs w:val="21"/>
                <w:highlight w:val="none"/>
                <w:lang w:bidi="ar"/>
              </w:rPr>
              <w:t>月</w:t>
            </w:r>
            <w:r>
              <w:rPr>
                <w:rFonts w:hint="eastAsia" w:cs="Times New Roman"/>
                <w:color w:val="auto"/>
                <w:spacing w:val="0"/>
                <w:kern w:val="0"/>
                <w:position w:val="0"/>
                <w:sz w:val="21"/>
                <w:szCs w:val="21"/>
                <w:highlight w:val="none"/>
                <w:lang w:val="en-US" w:eastAsia="zh-CN" w:bidi="ar"/>
              </w:rPr>
              <w:t>25</w:t>
            </w:r>
            <w:r>
              <w:rPr>
                <w:rFonts w:ascii="Times New Roman" w:hAnsi="Times New Roman" w:eastAsia="宋体" w:cs="Times New Roman"/>
                <w:color w:val="auto"/>
                <w:spacing w:val="0"/>
                <w:kern w:val="0"/>
                <w:position w:val="0"/>
                <w:sz w:val="21"/>
                <w:szCs w:val="21"/>
                <w:highlight w:val="none"/>
                <w:lang w:bidi="ar"/>
              </w:rPr>
              <w:t>日在福建省环保网站（</w:t>
            </w:r>
            <w:r>
              <w:rPr>
                <w:rFonts w:hint="eastAsia" w:ascii="Times New Roman" w:hAnsi="Times New Roman" w:eastAsia="宋体" w:cs="Times New Roman"/>
                <w:color w:val="auto"/>
                <w:spacing w:val="0"/>
                <w:kern w:val="0"/>
                <w:position w:val="0"/>
                <w:sz w:val="21"/>
                <w:szCs w:val="21"/>
                <w:highlight w:val="none"/>
                <w:lang w:bidi="ar"/>
              </w:rPr>
              <w:t>https://www.fjhb.org/huanping/yici/46360.html</w:t>
            </w:r>
            <w:r>
              <w:rPr>
                <w:rFonts w:ascii="Times New Roman" w:hAnsi="Times New Roman" w:eastAsia="宋体" w:cs="Times New Roman"/>
                <w:color w:val="auto"/>
                <w:spacing w:val="0"/>
                <w:kern w:val="0"/>
                <w:position w:val="0"/>
                <w:sz w:val="21"/>
                <w:szCs w:val="21"/>
                <w:highlight w:val="none"/>
                <w:lang w:bidi="ar"/>
              </w:rPr>
              <w:t>）进行了项目环境影响评价信息第一次公示</w:t>
            </w:r>
            <w:r>
              <w:rPr>
                <w:rFonts w:hint="eastAsia" w:ascii="Times New Roman" w:hAnsi="Times New Roman" w:eastAsia="宋体" w:cs="Times New Roman"/>
                <w:color w:val="auto"/>
                <w:spacing w:val="0"/>
                <w:kern w:val="0"/>
                <w:position w:val="0"/>
                <w:sz w:val="21"/>
                <w:szCs w:val="21"/>
                <w:highlight w:val="none"/>
                <w:lang w:bidi="ar"/>
              </w:rPr>
              <w:t>（详见附件</w:t>
            </w:r>
            <w:r>
              <w:rPr>
                <w:rFonts w:hint="eastAsia" w:cs="Times New Roman"/>
                <w:color w:val="auto"/>
                <w:spacing w:val="0"/>
                <w:kern w:val="0"/>
                <w:position w:val="0"/>
                <w:sz w:val="21"/>
                <w:szCs w:val="21"/>
                <w:highlight w:val="none"/>
                <w:lang w:val="en-US" w:eastAsia="zh-CN" w:bidi="ar"/>
              </w:rPr>
              <w:t>17</w:t>
            </w:r>
            <w:r>
              <w:rPr>
                <w:rFonts w:hint="eastAsia" w:ascii="Times New Roman" w:hAnsi="Times New Roman" w:eastAsia="宋体" w:cs="Times New Roman"/>
                <w:color w:val="auto"/>
                <w:spacing w:val="0"/>
                <w:kern w:val="0"/>
                <w:position w:val="0"/>
                <w:sz w:val="21"/>
                <w:szCs w:val="21"/>
                <w:highlight w:val="none"/>
                <w:lang w:bidi="ar"/>
              </w:rPr>
              <w:t>）</w:t>
            </w:r>
            <w:r>
              <w:rPr>
                <w:rFonts w:ascii="Times New Roman" w:hAnsi="Times New Roman" w:eastAsia="宋体" w:cs="Times New Roman"/>
                <w:color w:val="auto"/>
                <w:spacing w:val="0"/>
                <w:kern w:val="0"/>
                <w:position w:val="0"/>
                <w:sz w:val="21"/>
                <w:szCs w:val="21"/>
                <w:highlight w:val="none"/>
                <w:lang w:bidi="ar"/>
              </w:rPr>
              <w:t xml:space="preserve">。项目公示期间，未收到相关群众的反馈信息。 </w:t>
            </w:r>
          </w:p>
          <w:p w14:paraId="663ABD04">
            <w:pPr>
              <w:keepNext w:val="0"/>
              <w:keepLines w:val="0"/>
              <w:pageBreakBefore w:val="0"/>
              <w:widowControl/>
              <w:kinsoku/>
              <w:wordWrap/>
              <w:overflowPunct/>
              <w:topLinePunct w:val="0"/>
              <w:autoSpaceDE/>
              <w:autoSpaceDN/>
              <w:bidi w:val="0"/>
              <w:spacing w:line="356" w:lineRule="auto"/>
              <w:ind w:firstLine="420" w:firstLineChars="200"/>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kern w:val="0"/>
                <w:position w:val="0"/>
                <w:sz w:val="21"/>
                <w:szCs w:val="21"/>
                <w:highlight w:val="none"/>
                <w:lang w:bidi="ar"/>
              </w:rPr>
              <w:t>于202</w:t>
            </w:r>
            <w:r>
              <w:rPr>
                <w:rFonts w:hint="eastAsia" w:ascii="Times New Roman" w:hAnsi="Times New Roman" w:eastAsia="宋体" w:cs="Times New Roman"/>
                <w:color w:val="auto"/>
                <w:spacing w:val="0"/>
                <w:kern w:val="0"/>
                <w:position w:val="0"/>
                <w:sz w:val="21"/>
                <w:szCs w:val="21"/>
                <w:highlight w:val="none"/>
                <w:lang w:val="en-US" w:eastAsia="zh-CN" w:bidi="ar"/>
              </w:rPr>
              <w:t>5</w:t>
            </w:r>
            <w:r>
              <w:rPr>
                <w:rFonts w:ascii="Times New Roman" w:hAnsi="Times New Roman" w:eastAsia="宋体" w:cs="Times New Roman"/>
                <w:color w:val="auto"/>
                <w:spacing w:val="0"/>
                <w:kern w:val="0"/>
                <w:position w:val="0"/>
                <w:sz w:val="21"/>
                <w:szCs w:val="21"/>
                <w:highlight w:val="none"/>
                <w:lang w:bidi="ar"/>
              </w:rPr>
              <w:t>年</w:t>
            </w:r>
            <w:r>
              <w:rPr>
                <w:rFonts w:hint="eastAsia" w:cs="Times New Roman"/>
                <w:color w:val="auto"/>
                <w:spacing w:val="0"/>
                <w:kern w:val="0"/>
                <w:position w:val="0"/>
                <w:sz w:val="21"/>
                <w:szCs w:val="21"/>
                <w:highlight w:val="none"/>
                <w:lang w:val="en-US" w:eastAsia="zh-CN" w:bidi="ar"/>
              </w:rPr>
              <w:t>5</w:t>
            </w:r>
            <w:r>
              <w:rPr>
                <w:rFonts w:ascii="Times New Roman" w:hAnsi="Times New Roman" w:eastAsia="宋体" w:cs="Times New Roman"/>
                <w:color w:val="auto"/>
                <w:spacing w:val="0"/>
                <w:kern w:val="0"/>
                <w:position w:val="0"/>
                <w:sz w:val="21"/>
                <w:szCs w:val="21"/>
                <w:highlight w:val="none"/>
                <w:lang w:bidi="ar"/>
              </w:rPr>
              <w:t>月</w:t>
            </w:r>
            <w:r>
              <w:rPr>
                <w:rFonts w:hint="eastAsia" w:cs="Times New Roman"/>
                <w:color w:val="auto"/>
                <w:spacing w:val="0"/>
                <w:kern w:val="0"/>
                <w:position w:val="0"/>
                <w:sz w:val="21"/>
                <w:szCs w:val="21"/>
                <w:highlight w:val="none"/>
                <w:lang w:val="en-US" w:eastAsia="zh-CN" w:bidi="ar"/>
              </w:rPr>
              <w:t>6</w:t>
            </w:r>
            <w:r>
              <w:rPr>
                <w:rFonts w:ascii="Times New Roman" w:hAnsi="Times New Roman" w:eastAsia="宋体" w:cs="Times New Roman"/>
                <w:color w:val="auto"/>
                <w:spacing w:val="0"/>
                <w:kern w:val="0"/>
                <w:position w:val="0"/>
                <w:sz w:val="21"/>
                <w:szCs w:val="21"/>
                <w:highlight w:val="none"/>
                <w:lang w:bidi="ar"/>
              </w:rPr>
              <w:t>日，本项目环境影响评价报告编制工作基本完成，建设单位在福建省环保网站（</w:t>
            </w:r>
            <w:r>
              <w:rPr>
                <w:rFonts w:hint="eastAsia" w:ascii="Times New Roman" w:hAnsi="Times New Roman" w:eastAsia="宋体" w:cs="Times New Roman"/>
                <w:color w:val="auto"/>
                <w:spacing w:val="0"/>
                <w:kern w:val="0"/>
                <w:position w:val="0"/>
                <w:sz w:val="21"/>
                <w:szCs w:val="21"/>
                <w:highlight w:val="none"/>
                <w:lang w:bidi="ar"/>
              </w:rPr>
              <w:t>https://www.fjhb.org/huanping/erci/46486.html</w:t>
            </w:r>
            <w:r>
              <w:rPr>
                <w:rFonts w:ascii="Times New Roman" w:hAnsi="Times New Roman" w:eastAsia="宋体" w:cs="Times New Roman"/>
                <w:color w:val="auto"/>
                <w:spacing w:val="0"/>
                <w:kern w:val="0"/>
                <w:position w:val="0"/>
                <w:sz w:val="21"/>
                <w:szCs w:val="21"/>
                <w:highlight w:val="none"/>
                <w:lang w:bidi="ar"/>
              </w:rPr>
              <w:t>）进行了项</w:t>
            </w:r>
            <w:r>
              <w:rPr>
                <w:rFonts w:hint="eastAsia" w:ascii="Times New Roman" w:hAnsi="Times New Roman" w:eastAsia="宋体" w:cs="Times New Roman"/>
                <w:color w:val="auto"/>
                <w:spacing w:val="0"/>
                <w:kern w:val="0"/>
                <w:position w:val="0"/>
                <w:sz w:val="21"/>
                <w:szCs w:val="21"/>
                <w:highlight w:val="none"/>
                <w:lang w:bidi="ar"/>
              </w:rPr>
              <w:t>目环境影响评价信息第二次公示和全文公示（详见附件</w:t>
            </w:r>
            <w:r>
              <w:rPr>
                <w:rFonts w:hint="eastAsia" w:ascii="Times New Roman" w:hAnsi="Times New Roman" w:eastAsia="宋体" w:cs="Times New Roman"/>
                <w:color w:val="auto"/>
                <w:spacing w:val="0"/>
                <w:kern w:val="0"/>
                <w:position w:val="0"/>
                <w:sz w:val="21"/>
                <w:szCs w:val="21"/>
                <w:highlight w:val="none"/>
                <w:lang w:val="en-US" w:eastAsia="zh-CN" w:bidi="ar"/>
              </w:rPr>
              <w:t>1</w:t>
            </w:r>
            <w:r>
              <w:rPr>
                <w:rFonts w:hint="eastAsia" w:cs="Times New Roman"/>
                <w:color w:val="auto"/>
                <w:spacing w:val="0"/>
                <w:kern w:val="0"/>
                <w:position w:val="0"/>
                <w:sz w:val="21"/>
                <w:szCs w:val="21"/>
                <w:highlight w:val="none"/>
                <w:lang w:val="en-US" w:eastAsia="zh-CN" w:bidi="ar"/>
              </w:rPr>
              <w:t>7</w:t>
            </w:r>
            <w:r>
              <w:rPr>
                <w:rFonts w:hint="eastAsia" w:ascii="Times New Roman" w:hAnsi="Times New Roman" w:eastAsia="宋体" w:cs="Times New Roman"/>
                <w:color w:val="auto"/>
                <w:spacing w:val="0"/>
                <w:kern w:val="0"/>
                <w:position w:val="0"/>
                <w:sz w:val="21"/>
                <w:szCs w:val="21"/>
                <w:highlight w:val="none"/>
                <w:lang w:bidi="ar"/>
              </w:rPr>
              <w:t xml:space="preserve">），主要公示项目概要、主要环境影响及防治措施以及公众提出意见的主要方式等内容，并把环境影响报告表全文进行公示。项目公示期间，未收到相关群众的反馈信息。 </w:t>
            </w:r>
          </w:p>
          <w:p w14:paraId="28B01FD7">
            <w:pPr>
              <w:keepNext w:val="0"/>
              <w:keepLines w:val="0"/>
              <w:pageBreakBefore w:val="0"/>
              <w:widowControl/>
              <w:kinsoku/>
              <w:wordWrap/>
              <w:overflowPunct/>
              <w:topLinePunct w:val="0"/>
              <w:autoSpaceDE/>
              <w:autoSpaceDN/>
              <w:bidi w:val="0"/>
              <w:spacing w:line="356" w:lineRule="auto"/>
              <w:ind w:firstLine="420" w:firstLineChars="200"/>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lang w:bidi="ar"/>
              </w:rPr>
              <w:t xml:space="preserve">建设过程中，企业应重视以下信息的公开公示： </w:t>
            </w:r>
          </w:p>
          <w:p w14:paraId="299DD291">
            <w:pPr>
              <w:keepNext w:val="0"/>
              <w:keepLines w:val="0"/>
              <w:pageBreakBefore w:val="0"/>
              <w:widowControl/>
              <w:kinsoku/>
              <w:wordWrap/>
              <w:overflowPunct/>
              <w:topLinePunct w:val="0"/>
              <w:autoSpaceDE/>
              <w:autoSpaceDN/>
              <w:bidi w:val="0"/>
              <w:spacing w:line="356" w:lineRule="auto"/>
              <w:ind w:firstLine="420" w:firstLineChars="200"/>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lang w:bidi="ar"/>
              </w:rPr>
              <w:t xml:space="preserve">建设项目开工建设前，向社会公开建设项目开工日期、工程基本情况、实际选址、拟采取的环境保护措施清单和实施计划等，并确保信息在建设期内处于公开状态。 </w:t>
            </w:r>
          </w:p>
          <w:p w14:paraId="0A5773F6">
            <w:pPr>
              <w:keepNext w:val="0"/>
              <w:keepLines w:val="0"/>
              <w:pageBreakBefore w:val="0"/>
              <w:widowControl/>
              <w:kinsoku/>
              <w:wordWrap/>
              <w:overflowPunct/>
              <w:topLinePunct w:val="0"/>
              <w:autoSpaceDE/>
              <w:autoSpaceDN/>
              <w:bidi w:val="0"/>
              <w:spacing w:line="356" w:lineRule="auto"/>
              <w:ind w:firstLine="420" w:firstLineChars="200"/>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lang w:bidi="ar"/>
              </w:rPr>
              <w:t xml:space="preserve">项目建设工程中，公开建设项目环境保护措施进展情况。 </w:t>
            </w:r>
          </w:p>
          <w:p w14:paraId="72B09E51">
            <w:pPr>
              <w:keepNext w:val="0"/>
              <w:keepLines w:val="0"/>
              <w:pageBreakBefore w:val="0"/>
              <w:widowControl/>
              <w:kinsoku/>
              <w:wordWrap/>
              <w:overflowPunct/>
              <w:topLinePunct w:val="0"/>
              <w:autoSpaceDE/>
              <w:autoSpaceDN/>
              <w:bidi w:val="0"/>
              <w:spacing w:line="356" w:lineRule="auto"/>
              <w:jc w:val="left"/>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kern w:val="0"/>
                <w:position w:val="0"/>
                <w:sz w:val="21"/>
                <w:szCs w:val="21"/>
                <w:highlight w:val="none"/>
                <w:lang w:bidi="ar"/>
              </w:rPr>
              <w:t>项目建成后，应公开建设项目环评提出的各项环境保护设施和措施执行情况、竣工环境保护验收监测和调查结果。对主要因排放污染物对环境产生影响的建设项目，在投入生产或使用后，应定期公开主要污染物排放情况</w:t>
            </w:r>
            <w:r>
              <w:rPr>
                <w:rFonts w:hint="eastAsia" w:ascii="Times New Roman" w:hAnsi="Times New Roman" w:eastAsia="宋体" w:cs="Times New Roman"/>
                <w:color w:val="auto"/>
                <w:spacing w:val="0"/>
                <w:position w:val="0"/>
                <w:sz w:val="21"/>
                <w:szCs w:val="21"/>
                <w:highlight w:val="none"/>
              </w:rPr>
              <w:t>。</w:t>
            </w:r>
          </w:p>
        </w:tc>
      </w:tr>
    </w:tbl>
    <w:p w14:paraId="344BF0B2">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宋体" w:cs="Times New Roman"/>
          <w:b/>
          <w:bCs/>
          <w:snapToGrid w:val="0"/>
          <w:color w:val="auto"/>
          <w:spacing w:val="0"/>
          <w:position w:val="0"/>
          <w:sz w:val="32"/>
          <w:szCs w:val="32"/>
          <w:highlight w:val="none"/>
        </w:rPr>
      </w:pPr>
      <w:r>
        <w:rPr>
          <w:rFonts w:ascii="Times New Roman" w:hAnsi="Times New Roman" w:eastAsia="宋体" w:cs="Times New Roman"/>
          <w:snapToGrid w:val="0"/>
          <w:color w:val="auto"/>
          <w:spacing w:val="0"/>
          <w:position w:val="0"/>
          <w:highlight w:val="none"/>
        </w:rPr>
        <w:br w:type="page"/>
      </w:r>
      <w:bookmarkStart w:id="60" w:name="_Toc22126"/>
      <w:bookmarkStart w:id="61" w:name="_Toc15606"/>
      <w:r>
        <w:rPr>
          <w:rFonts w:hint="eastAsia" w:ascii="Times New Roman" w:hAnsi="Times New Roman" w:eastAsia="宋体" w:cs="Times New Roman"/>
          <w:b/>
          <w:bCs/>
          <w:snapToGrid w:val="0"/>
          <w:color w:val="auto"/>
          <w:spacing w:val="0"/>
          <w:position w:val="0"/>
          <w:sz w:val="32"/>
          <w:szCs w:val="32"/>
          <w:highlight w:val="none"/>
        </w:rPr>
        <w:drawing>
          <wp:anchor distT="0" distB="0" distL="114300" distR="114300" simplePos="0" relativeHeight="251676672" behindDoc="0" locked="0" layoutInCell="1" allowOverlap="1">
            <wp:simplePos x="0" y="0"/>
            <wp:positionH relativeFrom="column">
              <wp:posOffset>1905</wp:posOffset>
            </wp:positionH>
            <wp:positionV relativeFrom="paragraph">
              <wp:posOffset>0</wp:posOffset>
            </wp:positionV>
            <wp:extent cx="6105525" cy="8383270"/>
            <wp:effectExtent l="0" t="0" r="9525" b="17780"/>
            <wp:wrapNone/>
            <wp:docPr id="365" name="图片 365" descr="ff03e7d4c462a0f6f73f5b8c25e75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ff03e7d4c462a0f6f73f5b8c25e759a1"/>
                    <pic:cNvPicPr>
                      <a:picLocks noChangeAspect="1"/>
                    </pic:cNvPicPr>
                  </pic:nvPicPr>
                  <pic:blipFill>
                    <a:blip r:embed="rId27"/>
                    <a:stretch>
                      <a:fillRect/>
                    </a:stretch>
                  </pic:blipFill>
                  <pic:spPr>
                    <a:xfrm>
                      <a:off x="0" y="0"/>
                      <a:ext cx="6105525" cy="8383270"/>
                    </a:xfrm>
                    <a:prstGeom prst="rect">
                      <a:avLst/>
                    </a:prstGeom>
                  </pic:spPr>
                </pic:pic>
              </a:graphicData>
            </a:graphic>
          </wp:anchor>
        </w:drawing>
      </w:r>
      <w:r>
        <w:rPr>
          <w:rFonts w:hint="eastAsia" w:ascii="Times New Roman" w:hAnsi="Times New Roman" w:eastAsia="宋体" w:cs="Times New Roman"/>
          <w:b/>
          <w:bCs/>
          <w:snapToGrid w:val="0"/>
          <w:color w:val="auto"/>
          <w:spacing w:val="0"/>
          <w:position w:val="0"/>
          <w:sz w:val="32"/>
          <w:szCs w:val="32"/>
          <w:highlight w:val="none"/>
        </w:rPr>
        <w:t>六、结论</w:t>
      </w:r>
      <w:bookmarkEnd w:id="60"/>
      <w:bookmarkEnd w:id="61"/>
    </w:p>
    <w:tbl>
      <w:tblPr>
        <w:tblStyle w:val="29"/>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CCC18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66F2CB78">
            <w:pPr>
              <w:widowControl/>
              <w:spacing w:before="120" w:beforeLines="50" w:line="360" w:lineRule="auto"/>
              <w:ind w:firstLine="480" w:firstLineChars="200"/>
              <w:rPr>
                <w:rFonts w:ascii="Times New Roman" w:hAnsi="Times New Roman" w:eastAsia="宋体"/>
                <w:color w:val="auto"/>
                <w:sz w:val="24"/>
                <w:highlight w:val="none"/>
              </w:rPr>
            </w:pPr>
            <w:r>
              <w:rPr>
                <w:rFonts w:hint="eastAsia" w:cs="Times New Roman"/>
                <w:color w:val="auto"/>
                <w:spacing w:val="0"/>
                <w:kern w:val="0"/>
                <w:position w:val="0"/>
                <w:sz w:val="24"/>
                <w:highlight w:val="none"/>
                <w:lang w:eastAsia="zh-CN" w:bidi="ar"/>
              </w:rPr>
              <w:t>福州市搜一家具有限公司年产木质屏风4800个迁建项目选址于</w:t>
            </w:r>
            <w:r>
              <w:rPr>
                <w:rFonts w:hint="eastAsia" w:cs="Times New Roman"/>
                <w:color w:val="auto"/>
                <w:spacing w:val="0"/>
                <w:kern w:val="0"/>
                <w:position w:val="0"/>
                <w:sz w:val="24"/>
                <w:highlight w:val="none"/>
                <w:lang w:val="en-US" w:eastAsia="zh-CN" w:bidi="ar"/>
              </w:rPr>
              <w:t>福建省福州市闽侯县荆溪镇长龙三路23、25号（福建省奥德瑞电子科技有限公司5#厂房二层）</w:t>
            </w:r>
            <w:r>
              <w:rPr>
                <w:rFonts w:hint="eastAsia" w:ascii="Times New Roman" w:hAnsi="Times New Roman" w:eastAsia="宋体" w:cs="Times New Roman"/>
                <w:color w:val="auto"/>
                <w:spacing w:val="0"/>
                <w:kern w:val="0"/>
                <w:position w:val="0"/>
                <w:sz w:val="24"/>
                <w:szCs w:val="24"/>
                <w:highlight w:val="none"/>
                <w:lang w:bidi="ar"/>
              </w:rPr>
              <w:t>。</w:t>
            </w:r>
            <w:r>
              <w:rPr>
                <w:rFonts w:ascii="Times New Roman" w:hAnsi="Times New Roman" w:eastAsia="宋体" w:cs="Times New Roman"/>
                <w:color w:val="auto"/>
                <w:spacing w:val="0"/>
                <w:sz w:val="24"/>
                <w:szCs w:val="24"/>
                <w:highlight w:val="none"/>
              </w:rPr>
              <w:t>项目符合国家产业政策</w:t>
            </w:r>
            <w:r>
              <w:rPr>
                <w:rFonts w:hint="eastAsia" w:ascii="Times New Roman" w:hAnsi="Times New Roman" w:eastAsia="宋体" w:cs="Times New Roman"/>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符合</w:t>
            </w:r>
            <w:r>
              <w:rPr>
                <w:rFonts w:hint="eastAsia" w:ascii="Times New Roman" w:hAnsi="Times New Roman" w:eastAsia="宋体" w:cs="Times New Roman"/>
                <w:color w:val="auto"/>
                <w:spacing w:val="0"/>
                <w:sz w:val="24"/>
                <w:szCs w:val="24"/>
                <w:highlight w:val="none"/>
                <w:lang w:eastAsia="zh-CN"/>
              </w:rPr>
              <w:t>区域</w:t>
            </w:r>
            <w:r>
              <w:rPr>
                <w:rFonts w:hint="eastAsia" w:ascii="Times New Roman" w:hAnsi="Times New Roman" w:eastAsia="宋体" w:cs="Times New Roman"/>
                <w:color w:val="auto"/>
                <w:spacing w:val="0"/>
                <w:sz w:val="24"/>
                <w:szCs w:val="24"/>
                <w:highlight w:val="none"/>
              </w:rPr>
              <w:t>总体规划</w:t>
            </w:r>
            <w:r>
              <w:rPr>
                <w:rFonts w:ascii="Times New Roman" w:hAnsi="Times New Roman" w:eastAsia="宋体" w:cs="Times New Roman"/>
                <w:color w:val="auto"/>
                <w:spacing w:val="0"/>
                <w:sz w:val="24"/>
                <w:szCs w:val="24"/>
                <w:highlight w:val="none"/>
              </w:rPr>
              <w:t>；</w:t>
            </w:r>
            <w:r>
              <w:rPr>
                <w:rFonts w:hint="eastAsia" w:ascii="Times New Roman" w:hAnsi="Times New Roman" w:eastAsia="宋体" w:cs="宋体"/>
                <w:color w:val="auto"/>
                <w:kern w:val="0"/>
                <w:sz w:val="24"/>
                <w:highlight w:val="none"/>
                <w:lang w:bidi="ar"/>
              </w:rPr>
              <w:t>项目所在区域环境质量现状均满足相关环境质量标准和环境功能区划要求，项目建设符合生态环境分区管控</w:t>
            </w:r>
            <w:r>
              <w:rPr>
                <w:rFonts w:hint="eastAsia" w:ascii="Times New Roman" w:hAnsi="Times New Roman" w:eastAsia="宋体" w:cs="宋体"/>
                <w:color w:val="auto"/>
                <w:kern w:val="0"/>
                <w:sz w:val="24"/>
                <w:highlight w:val="none"/>
                <w:lang w:val="en-US" w:eastAsia="zh-CN" w:bidi="ar"/>
              </w:rPr>
              <w:t>要求</w:t>
            </w:r>
            <w:r>
              <w:rPr>
                <w:rFonts w:hint="eastAsia" w:ascii="Times New Roman" w:hAnsi="Times New Roman" w:eastAsia="宋体" w:cs="宋体"/>
                <w:color w:val="auto"/>
                <w:kern w:val="0"/>
                <w:sz w:val="24"/>
                <w:highlight w:val="none"/>
                <w:lang w:bidi="ar"/>
              </w:rPr>
              <w:t xml:space="preserve">，符合用地规划，与周围环境相容，与生态功能区划相符。 </w:t>
            </w:r>
          </w:p>
          <w:p w14:paraId="2FB9159E">
            <w:pPr>
              <w:widowControl/>
              <w:spacing w:line="360" w:lineRule="auto"/>
              <w:ind w:firstLine="480" w:firstLineChars="200"/>
              <w:rPr>
                <w:rFonts w:hint="eastAsia" w:ascii="Times New Roman" w:hAnsi="Times New Roman" w:eastAsia="宋体" w:cs="Times New Roman"/>
                <w:color w:val="auto"/>
                <w:spacing w:val="0"/>
                <w:position w:val="0"/>
                <w:sz w:val="24"/>
                <w:highlight w:val="none"/>
              </w:rPr>
            </w:pPr>
            <w:r>
              <w:rPr>
                <w:rFonts w:hint="eastAsia" w:ascii="Times New Roman" w:hAnsi="Times New Roman" w:eastAsia="宋体" w:cs="宋体"/>
                <w:color w:val="auto"/>
                <w:kern w:val="0"/>
                <w:sz w:val="24"/>
                <w:highlight w:val="none"/>
                <w:lang w:bidi="ar"/>
              </w:rPr>
              <w:t>本项目建设获得良好的经济效益、社会效益。项目建成后，在认真落实本报告表中提出的污染防治措施并保证其正常运行</w:t>
            </w:r>
            <w:r>
              <w:rPr>
                <w:rFonts w:hint="eastAsia" w:cs="宋体"/>
                <w:color w:val="auto"/>
                <w:kern w:val="0"/>
                <w:sz w:val="24"/>
                <w:highlight w:val="none"/>
                <w:lang w:eastAsia="zh-CN" w:bidi="ar"/>
              </w:rPr>
              <w:t>，在</w:t>
            </w:r>
            <w:r>
              <w:rPr>
                <w:rFonts w:hint="eastAsia" w:ascii="Times New Roman" w:hAnsi="Times New Roman" w:eastAsia="宋体" w:cs="宋体"/>
                <w:color w:val="auto"/>
                <w:kern w:val="0"/>
                <w:sz w:val="24"/>
                <w:highlight w:val="none"/>
                <w:lang w:bidi="ar"/>
              </w:rPr>
              <w:t>落实本报告表提出的环境管理要求及监测计划的条件下，项目产生的污染物均可达标排放，对周边的水、大气、噪声、固体环境的影响较小，项目运营期能满足区域水、大气、声环境质量目标要求，对周边环境的影响是可以接受的，从环境保护的角度分析，项目的建设是可行的</w:t>
            </w:r>
            <w:r>
              <w:rPr>
                <w:rFonts w:hint="eastAsia" w:ascii="Times New Roman" w:hAnsi="Times New Roman" w:eastAsia="宋体" w:cs="Times New Roman"/>
                <w:color w:val="auto"/>
                <w:spacing w:val="0"/>
                <w:position w:val="0"/>
                <w:sz w:val="24"/>
                <w:highlight w:val="none"/>
              </w:rPr>
              <w:t>。</w:t>
            </w:r>
          </w:p>
          <w:p w14:paraId="6CD00984">
            <w:pPr>
              <w:widowControl w:val="0"/>
              <w:spacing w:line="600" w:lineRule="exact"/>
              <w:ind w:firstLine="3352" w:firstLineChars="1590"/>
              <w:jc w:val="right"/>
              <w:rPr>
                <w:rFonts w:hint="eastAsia" w:ascii="Times New Roman" w:hAnsi="Times New Roman" w:eastAsia="宋体" w:cs="Times New Roman"/>
                <w:b/>
                <w:bCs/>
                <w:color w:val="auto"/>
                <w:spacing w:val="0"/>
                <w:position w:val="0"/>
                <w:highlight w:val="none"/>
                <w:lang w:eastAsia="zh-CN"/>
              </w:rPr>
            </w:pPr>
          </w:p>
          <w:p w14:paraId="7AB2FF85">
            <w:pPr>
              <w:pStyle w:val="27"/>
              <w:rPr>
                <w:rFonts w:hint="eastAsia" w:ascii="Times New Roman" w:hAnsi="Times New Roman" w:eastAsia="宋体" w:cs="Times New Roman"/>
                <w:color w:val="auto"/>
                <w:spacing w:val="0"/>
                <w:highlight w:val="none"/>
                <w:lang w:eastAsia="zh-CN"/>
              </w:rPr>
            </w:pPr>
          </w:p>
          <w:p w14:paraId="626773F2">
            <w:pPr>
              <w:pStyle w:val="13"/>
              <w:rPr>
                <w:rFonts w:hint="eastAsia" w:ascii="Times New Roman" w:hAnsi="Times New Roman" w:eastAsia="宋体" w:cs="Times New Roman"/>
                <w:b/>
                <w:bCs/>
                <w:color w:val="auto"/>
                <w:spacing w:val="0"/>
                <w:position w:val="0"/>
                <w:highlight w:val="none"/>
                <w:lang w:eastAsia="zh-CN"/>
              </w:rPr>
            </w:pPr>
          </w:p>
          <w:p w14:paraId="3E314131">
            <w:pPr>
              <w:rPr>
                <w:rFonts w:hint="eastAsia" w:ascii="Times New Roman" w:hAnsi="Times New Roman" w:eastAsia="宋体" w:cs="Times New Roman"/>
                <w:color w:val="auto"/>
                <w:spacing w:val="0"/>
                <w:position w:val="0"/>
                <w:highlight w:val="none"/>
                <w:lang w:eastAsia="zh-CN"/>
              </w:rPr>
            </w:pPr>
          </w:p>
          <w:p w14:paraId="1EC44A2E">
            <w:pPr>
              <w:keepNext w:val="0"/>
              <w:keepLines w:val="0"/>
              <w:pageBreakBefore w:val="0"/>
              <w:widowControl w:val="0"/>
              <w:kinsoku/>
              <w:overflowPunct/>
              <w:topLinePunct w:val="0"/>
              <w:autoSpaceDE/>
              <w:autoSpaceDN/>
              <w:bidi w:val="0"/>
              <w:adjustRightInd/>
              <w:snapToGrid/>
              <w:spacing w:line="240" w:lineRule="auto"/>
              <w:jc w:val="right"/>
              <w:textAlignment w:val="auto"/>
              <w:rPr>
                <w:rFonts w:hint="eastAsia" w:ascii="Times New Roman" w:hAnsi="Times New Roman" w:eastAsia="宋体" w:cs="Times New Roman"/>
                <w:b/>
                <w:bCs/>
                <w:color w:val="auto"/>
                <w:spacing w:val="0"/>
                <w:position w:val="0"/>
                <w:sz w:val="28"/>
                <w:szCs w:val="28"/>
                <w:highlight w:val="none"/>
                <w:lang w:eastAsia="zh-CN"/>
              </w:rPr>
            </w:pPr>
            <w:r>
              <w:rPr>
                <w:rFonts w:hint="eastAsia" w:cs="Times New Roman"/>
                <w:b/>
                <w:bCs/>
                <w:color w:val="auto"/>
                <w:spacing w:val="0"/>
                <w:position w:val="0"/>
                <w:sz w:val="28"/>
                <w:szCs w:val="28"/>
                <w:highlight w:val="none"/>
                <w:lang w:val="en-US" w:eastAsia="zh-CN"/>
              </w:rPr>
              <w:t>编辑单位：</w:t>
            </w:r>
            <w:r>
              <w:rPr>
                <w:rFonts w:hint="eastAsia" w:cs="Times New Roman"/>
                <w:b/>
                <w:bCs/>
                <w:color w:val="auto"/>
                <w:spacing w:val="0"/>
                <w:position w:val="0"/>
                <w:sz w:val="28"/>
                <w:szCs w:val="28"/>
                <w:highlight w:val="none"/>
                <w:lang w:eastAsia="zh-CN"/>
              </w:rPr>
              <w:t xml:space="preserve">福建省泉州清丽环保有限公司 </w:t>
            </w:r>
          </w:p>
          <w:p w14:paraId="195ADF80">
            <w:pPr>
              <w:pStyle w:val="37"/>
              <w:keepNext w:val="0"/>
              <w:keepLines w:val="0"/>
              <w:pageBreakBefore w:val="0"/>
              <w:widowControl w:val="0"/>
              <w:kinsoku/>
              <w:overflowPunct/>
              <w:topLinePunct w:val="0"/>
              <w:autoSpaceDE/>
              <w:autoSpaceDN/>
              <w:bidi w:val="0"/>
              <w:adjustRightInd/>
              <w:snapToGrid/>
              <w:spacing w:line="240" w:lineRule="auto"/>
              <w:textAlignment w:val="auto"/>
              <w:rPr>
                <w:rFonts w:hint="eastAsia"/>
                <w:color w:val="auto"/>
                <w:highlight w:val="none"/>
              </w:rPr>
            </w:pPr>
          </w:p>
          <w:p w14:paraId="6CCED3FE">
            <w:pPr>
              <w:keepNext w:val="0"/>
              <w:keepLines w:val="0"/>
              <w:pageBreakBefore w:val="0"/>
              <w:widowControl w:val="0"/>
              <w:kinsoku/>
              <w:wordWrap w:val="0"/>
              <w:overflowPunct/>
              <w:topLinePunct w:val="0"/>
              <w:autoSpaceDE/>
              <w:autoSpaceDN/>
              <w:bidi w:val="0"/>
              <w:adjustRightInd/>
              <w:snapToGrid/>
              <w:spacing w:line="240" w:lineRule="auto"/>
              <w:jc w:val="right"/>
              <w:textAlignment w:val="auto"/>
              <w:rPr>
                <w:rFonts w:hint="default" w:ascii="Times New Roman" w:hAnsi="Times New Roman" w:eastAsia="宋体" w:cs="Times New Roman"/>
                <w:color w:val="auto"/>
                <w:spacing w:val="0"/>
                <w:position w:val="0"/>
                <w:sz w:val="24"/>
                <w:highlight w:val="none"/>
                <w:lang w:val="en-US" w:eastAsia="zh-CN"/>
              </w:rPr>
            </w:pPr>
            <w:r>
              <w:rPr>
                <w:rFonts w:hint="eastAsia" w:ascii="Times New Roman" w:hAnsi="Times New Roman" w:eastAsia="宋体" w:cs="Times New Roman"/>
                <w:b/>
                <w:color w:val="auto"/>
                <w:spacing w:val="0"/>
                <w:position w:val="0"/>
                <w:sz w:val="28"/>
                <w:szCs w:val="28"/>
                <w:highlight w:val="none"/>
              </w:rPr>
              <w:t xml:space="preserve">                            </w:t>
            </w:r>
            <w:r>
              <w:rPr>
                <w:rFonts w:hint="eastAsia" w:cs="Times New Roman"/>
                <w:b/>
                <w:color w:val="auto"/>
                <w:spacing w:val="0"/>
                <w:position w:val="0"/>
                <w:sz w:val="28"/>
                <w:szCs w:val="28"/>
                <w:highlight w:val="none"/>
                <w:lang w:val="en-US" w:eastAsia="zh-CN"/>
              </w:rPr>
              <w:t>编辑时间：</w:t>
            </w:r>
            <w:r>
              <w:rPr>
                <w:rFonts w:hint="eastAsia" w:ascii="Times New Roman" w:hAnsi="Times New Roman" w:eastAsia="宋体" w:cs="Times New Roman"/>
                <w:b/>
                <w:color w:val="auto"/>
                <w:spacing w:val="0"/>
                <w:position w:val="0"/>
                <w:sz w:val="28"/>
                <w:szCs w:val="28"/>
                <w:highlight w:val="none"/>
              </w:rPr>
              <w:t xml:space="preserve"> 202</w:t>
            </w:r>
            <w:r>
              <w:rPr>
                <w:rFonts w:hint="eastAsia" w:cs="Times New Roman"/>
                <w:b/>
                <w:color w:val="auto"/>
                <w:spacing w:val="0"/>
                <w:position w:val="0"/>
                <w:sz w:val="28"/>
                <w:szCs w:val="28"/>
                <w:highlight w:val="none"/>
                <w:lang w:val="en-US" w:eastAsia="zh-CN"/>
              </w:rPr>
              <w:t>6</w:t>
            </w:r>
            <w:r>
              <w:rPr>
                <w:rFonts w:hint="eastAsia" w:ascii="Times New Roman" w:hAnsi="Times New Roman" w:eastAsia="宋体" w:cs="Times New Roman"/>
                <w:b/>
                <w:color w:val="auto"/>
                <w:spacing w:val="0"/>
                <w:position w:val="0"/>
                <w:sz w:val="28"/>
                <w:szCs w:val="28"/>
                <w:highlight w:val="none"/>
              </w:rPr>
              <w:t>年</w:t>
            </w:r>
            <w:r>
              <w:rPr>
                <w:rFonts w:hint="eastAsia" w:cs="Times New Roman"/>
                <w:b/>
                <w:color w:val="auto"/>
                <w:spacing w:val="0"/>
                <w:position w:val="0"/>
                <w:sz w:val="28"/>
                <w:szCs w:val="28"/>
                <w:highlight w:val="none"/>
                <w:lang w:val="en-US" w:eastAsia="zh-CN"/>
              </w:rPr>
              <w:t>7</w:t>
            </w:r>
            <w:r>
              <w:rPr>
                <w:rFonts w:hint="eastAsia" w:ascii="Times New Roman" w:hAnsi="Times New Roman" w:eastAsia="宋体" w:cs="Times New Roman"/>
                <w:b/>
                <w:color w:val="auto"/>
                <w:spacing w:val="0"/>
                <w:position w:val="0"/>
                <w:sz w:val="28"/>
                <w:szCs w:val="28"/>
                <w:highlight w:val="none"/>
              </w:rPr>
              <w:t>月</w:t>
            </w:r>
            <w:r>
              <w:rPr>
                <w:rFonts w:hint="eastAsia" w:ascii="Times New Roman" w:hAnsi="Times New Roman" w:eastAsia="宋体" w:cs="Times New Roman"/>
                <w:b/>
                <w:color w:val="auto"/>
                <w:spacing w:val="0"/>
                <w:position w:val="0"/>
                <w:sz w:val="24"/>
                <w:szCs w:val="24"/>
                <w:highlight w:val="none"/>
                <w:lang w:val="en-US" w:eastAsia="zh-CN"/>
              </w:rPr>
              <w:t xml:space="preserve">       </w:t>
            </w:r>
          </w:p>
        </w:tc>
      </w:tr>
    </w:tbl>
    <w:p w14:paraId="760F08B0">
      <w:pPr>
        <w:rPr>
          <w:rFonts w:ascii="Times New Roman" w:hAnsi="Times New Roman" w:eastAsia="宋体" w:cs="Times New Roman"/>
          <w:color w:val="auto"/>
          <w:spacing w:val="0"/>
          <w:position w:val="0"/>
          <w:highlight w:val="none"/>
        </w:rPr>
        <w:sectPr>
          <w:headerReference r:id="rId11" w:type="default"/>
          <w:pgSz w:w="11905" w:h="16838"/>
          <w:pgMar w:top="1134" w:right="1134" w:bottom="1134" w:left="1134"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5B8D22E0">
      <w:pPr>
        <w:pStyle w:val="24"/>
        <w:adjustRightInd w:val="0"/>
        <w:snapToGrid w:val="0"/>
        <w:spacing w:before="0" w:beforeAutospacing="0" w:after="0" w:afterAutospacing="0" w:line="360" w:lineRule="auto"/>
        <w:outlineLvl w:val="0"/>
        <w:rPr>
          <w:rFonts w:ascii="Times New Roman" w:hAnsi="Times New Roman" w:eastAsia="宋体" w:cs="Times New Roman"/>
          <w:b/>
          <w:bCs/>
          <w:snapToGrid w:val="0"/>
          <w:color w:val="auto"/>
          <w:spacing w:val="0"/>
          <w:position w:val="0"/>
          <w:sz w:val="32"/>
          <w:szCs w:val="32"/>
          <w:highlight w:val="none"/>
        </w:rPr>
      </w:pPr>
      <w:bookmarkStart w:id="62" w:name="_Toc12295"/>
      <w:bookmarkStart w:id="63" w:name="_Toc14800"/>
      <w:bookmarkStart w:id="64" w:name="_Toc3362"/>
      <w:r>
        <w:rPr>
          <w:rFonts w:hint="eastAsia" w:ascii="Times New Roman" w:hAnsi="Times New Roman" w:eastAsia="宋体" w:cs="Times New Roman"/>
          <w:b/>
          <w:bCs/>
          <w:snapToGrid w:val="0"/>
          <w:color w:val="auto"/>
          <w:spacing w:val="0"/>
          <w:position w:val="0"/>
          <w:sz w:val="32"/>
          <w:szCs w:val="32"/>
          <w:highlight w:val="none"/>
        </w:rPr>
        <w:t>附表</w:t>
      </w:r>
      <w:bookmarkEnd w:id="62"/>
      <w:bookmarkEnd w:id="63"/>
      <w:bookmarkEnd w:id="64"/>
    </w:p>
    <w:p w14:paraId="11EEFAB4">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Times New Roman" w:hAnsi="Times New Roman" w:eastAsia="宋体" w:cs="Times New Roman"/>
          <w:b/>
          <w:bCs/>
          <w:snapToGrid w:val="0"/>
          <w:color w:val="auto"/>
          <w:spacing w:val="0"/>
          <w:position w:val="0"/>
          <w:sz w:val="38"/>
          <w:szCs w:val="38"/>
          <w:highlight w:val="none"/>
        </w:rPr>
      </w:pPr>
      <w:bookmarkStart w:id="65" w:name="_Toc4680"/>
      <w:bookmarkStart w:id="66" w:name="_Toc3097"/>
      <w:r>
        <w:rPr>
          <w:rFonts w:hint="eastAsia" w:ascii="Times New Roman" w:hAnsi="Times New Roman" w:eastAsia="宋体" w:cs="Times New Roman"/>
          <w:b/>
          <w:bCs/>
          <w:snapToGrid w:val="0"/>
          <w:color w:val="auto"/>
          <w:spacing w:val="0"/>
          <w:position w:val="0"/>
          <w:sz w:val="38"/>
          <w:szCs w:val="38"/>
          <w:highlight w:val="none"/>
        </w:rPr>
        <w:t>建设项目污染物排放量汇总表</w:t>
      </w:r>
      <w:bookmarkEnd w:id="65"/>
      <w:bookmarkEnd w:id="66"/>
    </w:p>
    <w:tbl>
      <w:tblPr>
        <w:tblStyle w:val="29"/>
        <w:tblW w:w="507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2333"/>
        <w:gridCol w:w="1732"/>
        <w:gridCol w:w="1357"/>
        <w:gridCol w:w="1854"/>
        <w:gridCol w:w="1739"/>
        <w:gridCol w:w="1739"/>
        <w:gridCol w:w="1740"/>
        <w:gridCol w:w="1155"/>
      </w:tblGrid>
      <w:tr w14:paraId="0A5BA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tcBorders>
              <w:tl2br w:val="single" w:color="auto" w:sz="4" w:space="0"/>
            </w:tcBorders>
            <w:tcMar>
              <w:left w:w="28" w:type="dxa"/>
              <w:right w:w="28" w:type="dxa"/>
            </w:tcMar>
            <w:vAlign w:val="center"/>
          </w:tcPr>
          <w:p w14:paraId="4A00D73C">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      </w:t>
            </w:r>
            <w:r>
              <w:rPr>
                <w:rFonts w:hint="default" w:ascii="Times New Roman" w:hAnsi="Times New Roman" w:eastAsia="宋体" w:cs="Times New Roman"/>
                <w:snapToGrid w:val="0"/>
                <w:color w:val="auto"/>
                <w:spacing w:val="0"/>
                <w:kern w:val="21"/>
                <w:position w:val="0"/>
                <w:sz w:val="21"/>
                <w:szCs w:val="21"/>
                <w:highlight w:val="none"/>
                <w:lang w:val="en-US" w:eastAsia="zh-CN"/>
              </w:rPr>
              <w:t>项目</w:t>
            </w:r>
          </w:p>
          <w:p w14:paraId="1F8A504D">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分类</w:t>
            </w: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  </w:t>
            </w:r>
          </w:p>
        </w:tc>
        <w:tc>
          <w:tcPr>
            <w:tcW w:w="2333" w:type="dxa"/>
            <w:tcMar>
              <w:left w:w="28" w:type="dxa"/>
              <w:right w:w="28" w:type="dxa"/>
            </w:tcMar>
            <w:vAlign w:val="center"/>
          </w:tcPr>
          <w:p w14:paraId="59C9A4E5">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污染物名称</w:t>
            </w:r>
          </w:p>
        </w:tc>
        <w:tc>
          <w:tcPr>
            <w:tcW w:w="1732" w:type="dxa"/>
            <w:tcMar>
              <w:left w:w="28" w:type="dxa"/>
              <w:right w:w="28" w:type="dxa"/>
            </w:tcMar>
            <w:vAlign w:val="center"/>
          </w:tcPr>
          <w:p w14:paraId="4189861C">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现有工程排放量（固体废物产生量）</w: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begin"/>
            </w:r>
            <w:r>
              <w:rPr>
                <w:rFonts w:hint="default" w:ascii="Times New Roman" w:hAnsi="Times New Roman" w:eastAsia="宋体" w:cs="Times New Roman"/>
                <w:snapToGrid w:val="0"/>
                <w:color w:val="auto"/>
                <w:spacing w:val="0"/>
                <w:kern w:val="21"/>
                <w:position w:val="0"/>
                <w:sz w:val="21"/>
                <w:szCs w:val="21"/>
                <w:highlight w:val="none"/>
                <w:lang w:val="en-US" w:eastAsia="zh-CN"/>
              </w:rPr>
              <w:instrText xml:space="preserve"> = 1 \* GB3 \* MERGEFORMAT </w:instrTex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separate"/>
            </w:r>
            <w:r>
              <w:rPr>
                <w:rFonts w:hint="default" w:ascii="Times New Roman" w:hAnsi="Times New Roman" w:eastAsia="宋体" w:cs="Times New Roman"/>
                <w:snapToGrid w:val="0"/>
                <w:color w:val="auto"/>
                <w:spacing w:val="0"/>
                <w:kern w:val="21"/>
                <w:position w:val="0"/>
                <w:sz w:val="21"/>
                <w:szCs w:val="21"/>
                <w:highlight w:val="none"/>
                <w:lang w:val="en-US" w:eastAsia="zh-CN"/>
              </w:rPr>
              <w:t>①</w: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end"/>
            </w:r>
          </w:p>
        </w:tc>
        <w:tc>
          <w:tcPr>
            <w:tcW w:w="1357" w:type="dxa"/>
            <w:tcMar>
              <w:left w:w="28" w:type="dxa"/>
              <w:right w:w="28" w:type="dxa"/>
            </w:tcMar>
            <w:vAlign w:val="center"/>
          </w:tcPr>
          <w:p w14:paraId="1D055151">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现有工程许可排放量</w: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begin"/>
            </w:r>
            <w:r>
              <w:rPr>
                <w:rFonts w:hint="default" w:ascii="Times New Roman" w:hAnsi="Times New Roman" w:eastAsia="宋体" w:cs="Times New Roman"/>
                <w:snapToGrid w:val="0"/>
                <w:color w:val="auto"/>
                <w:spacing w:val="0"/>
                <w:kern w:val="21"/>
                <w:position w:val="0"/>
                <w:sz w:val="21"/>
                <w:szCs w:val="21"/>
                <w:highlight w:val="none"/>
                <w:lang w:val="en-US" w:eastAsia="zh-CN"/>
              </w:rPr>
              <w:instrText xml:space="preserve"> = 2 \* GB3 \* MERGEFORMAT </w:instrTex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separate"/>
            </w:r>
            <w:r>
              <w:rPr>
                <w:rFonts w:hint="default" w:ascii="Times New Roman" w:hAnsi="Times New Roman" w:eastAsia="宋体" w:cs="Times New Roman"/>
                <w:snapToGrid w:val="0"/>
                <w:color w:val="auto"/>
                <w:spacing w:val="0"/>
                <w:kern w:val="21"/>
                <w:position w:val="0"/>
                <w:sz w:val="21"/>
                <w:szCs w:val="21"/>
                <w:highlight w:val="none"/>
                <w:lang w:val="en-US" w:eastAsia="zh-CN"/>
              </w:rPr>
              <w:t>②</w: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end"/>
            </w:r>
          </w:p>
        </w:tc>
        <w:tc>
          <w:tcPr>
            <w:tcW w:w="1854" w:type="dxa"/>
            <w:tcMar>
              <w:left w:w="28" w:type="dxa"/>
              <w:right w:w="28" w:type="dxa"/>
            </w:tcMar>
            <w:vAlign w:val="center"/>
          </w:tcPr>
          <w:p w14:paraId="7DD4C59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在建工程排放量（固体废物产生量）</w: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begin"/>
            </w:r>
            <w:r>
              <w:rPr>
                <w:rFonts w:hint="default" w:ascii="Times New Roman" w:hAnsi="Times New Roman" w:eastAsia="宋体" w:cs="Times New Roman"/>
                <w:snapToGrid w:val="0"/>
                <w:color w:val="auto"/>
                <w:spacing w:val="0"/>
                <w:kern w:val="21"/>
                <w:position w:val="0"/>
                <w:sz w:val="21"/>
                <w:szCs w:val="21"/>
                <w:highlight w:val="none"/>
                <w:lang w:val="en-US" w:eastAsia="zh-CN"/>
              </w:rPr>
              <w:instrText xml:space="preserve"> = 3 \* GB3 \* MERGEFORMAT </w:instrTex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separate"/>
            </w:r>
            <w:r>
              <w:rPr>
                <w:rFonts w:hint="default" w:ascii="Times New Roman" w:hAnsi="Times New Roman" w:eastAsia="宋体" w:cs="Times New Roman"/>
                <w:snapToGrid w:val="0"/>
                <w:color w:val="auto"/>
                <w:spacing w:val="0"/>
                <w:kern w:val="21"/>
                <w:position w:val="0"/>
                <w:sz w:val="21"/>
                <w:szCs w:val="21"/>
                <w:highlight w:val="none"/>
                <w:lang w:val="en-US" w:eastAsia="zh-CN"/>
              </w:rPr>
              <w:t>③</w: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end"/>
            </w:r>
          </w:p>
        </w:tc>
        <w:tc>
          <w:tcPr>
            <w:tcW w:w="1739" w:type="dxa"/>
            <w:tcMar>
              <w:left w:w="28" w:type="dxa"/>
              <w:right w:w="28" w:type="dxa"/>
            </w:tcMar>
            <w:vAlign w:val="center"/>
          </w:tcPr>
          <w:p w14:paraId="67CE72FA">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本项目排放量（固体废物产生量）</w: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begin"/>
            </w:r>
            <w:r>
              <w:rPr>
                <w:rFonts w:hint="default" w:ascii="Times New Roman" w:hAnsi="Times New Roman" w:eastAsia="宋体" w:cs="Times New Roman"/>
                <w:snapToGrid w:val="0"/>
                <w:color w:val="auto"/>
                <w:spacing w:val="0"/>
                <w:kern w:val="21"/>
                <w:position w:val="0"/>
                <w:sz w:val="21"/>
                <w:szCs w:val="21"/>
                <w:highlight w:val="none"/>
                <w:lang w:val="en-US" w:eastAsia="zh-CN"/>
              </w:rPr>
              <w:instrText xml:space="preserve"> = 4 \* GB3 \* MERGEFORMAT </w:instrTex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separate"/>
            </w:r>
            <w:r>
              <w:rPr>
                <w:rFonts w:hint="default" w:ascii="Times New Roman" w:hAnsi="Times New Roman" w:eastAsia="宋体" w:cs="Times New Roman"/>
                <w:snapToGrid w:val="0"/>
                <w:color w:val="auto"/>
                <w:spacing w:val="0"/>
                <w:kern w:val="21"/>
                <w:position w:val="0"/>
                <w:sz w:val="21"/>
                <w:szCs w:val="21"/>
                <w:highlight w:val="none"/>
                <w:lang w:val="en-US" w:eastAsia="zh-CN"/>
              </w:rPr>
              <w:t>④</w: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end"/>
            </w:r>
          </w:p>
        </w:tc>
        <w:tc>
          <w:tcPr>
            <w:tcW w:w="1739" w:type="dxa"/>
            <w:tcMar>
              <w:left w:w="28" w:type="dxa"/>
              <w:right w:w="28" w:type="dxa"/>
            </w:tcMar>
            <w:vAlign w:val="center"/>
          </w:tcPr>
          <w:p w14:paraId="1B005BAA">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以新带老削减量</w:t>
            </w:r>
          </w:p>
          <w:p w14:paraId="0D177CF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（新建项目不填）</w: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begin"/>
            </w:r>
            <w:r>
              <w:rPr>
                <w:rFonts w:hint="default" w:ascii="Times New Roman" w:hAnsi="Times New Roman" w:eastAsia="宋体" w:cs="Times New Roman"/>
                <w:snapToGrid w:val="0"/>
                <w:color w:val="auto"/>
                <w:spacing w:val="0"/>
                <w:kern w:val="21"/>
                <w:position w:val="0"/>
                <w:sz w:val="21"/>
                <w:szCs w:val="21"/>
                <w:highlight w:val="none"/>
                <w:lang w:val="en-US" w:eastAsia="zh-CN"/>
              </w:rPr>
              <w:instrText xml:space="preserve"> = 5 \* GB3 \* MERGEFORMAT </w:instrTex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separate"/>
            </w:r>
            <w:r>
              <w:rPr>
                <w:rFonts w:hint="default" w:ascii="Times New Roman" w:hAnsi="Times New Roman" w:eastAsia="宋体" w:cs="Times New Roman"/>
                <w:snapToGrid w:val="0"/>
                <w:color w:val="auto"/>
                <w:spacing w:val="0"/>
                <w:kern w:val="21"/>
                <w:position w:val="0"/>
                <w:sz w:val="21"/>
                <w:szCs w:val="21"/>
                <w:highlight w:val="none"/>
                <w:lang w:val="en-US" w:eastAsia="zh-CN"/>
              </w:rPr>
              <w:t>⑤</w: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end"/>
            </w:r>
          </w:p>
        </w:tc>
        <w:tc>
          <w:tcPr>
            <w:tcW w:w="1740" w:type="dxa"/>
            <w:tcMar>
              <w:left w:w="28" w:type="dxa"/>
              <w:right w:w="28" w:type="dxa"/>
            </w:tcMar>
            <w:vAlign w:val="center"/>
          </w:tcPr>
          <w:p w14:paraId="4A7CEEEF">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本项目建成后全厂排放量（固体废物产生量）</w: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begin"/>
            </w:r>
            <w:r>
              <w:rPr>
                <w:rFonts w:hint="default" w:ascii="Times New Roman" w:hAnsi="Times New Roman" w:eastAsia="宋体" w:cs="Times New Roman"/>
                <w:snapToGrid w:val="0"/>
                <w:color w:val="auto"/>
                <w:spacing w:val="0"/>
                <w:kern w:val="21"/>
                <w:position w:val="0"/>
                <w:sz w:val="21"/>
                <w:szCs w:val="21"/>
                <w:highlight w:val="none"/>
                <w:lang w:val="en-US" w:eastAsia="zh-CN"/>
              </w:rPr>
              <w:instrText xml:space="preserve"> = 6 \* GB3 \* MERGEFORMAT </w:instrTex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separate"/>
            </w:r>
            <w:r>
              <w:rPr>
                <w:rFonts w:hint="default" w:ascii="Times New Roman" w:hAnsi="Times New Roman" w:eastAsia="宋体" w:cs="Times New Roman"/>
                <w:snapToGrid w:val="0"/>
                <w:color w:val="auto"/>
                <w:spacing w:val="0"/>
                <w:kern w:val="21"/>
                <w:position w:val="0"/>
                <w:sz w:val="21"/>
                <w:szCs w:val="21"/>
                <w:highlight w:val="none"/>
                <w:lang w:val="en-US" w:eastAsia="zh-CN"/>
              </w:rPr>
              <w:t>⑥</w: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end"/>
            </w:r>
          </w:p>
        </w:tc>
        <w:tc>
          <w:tcPr>
            <w:tcW w:w="1155" w:type="dxa"/>
            <w:tcMar>
              <w:left w:w="28" w:type="dxa"/>
              <w:right w:w="28" w:type="dxa"/>
            </w:tcMar>
            <w:vAlign w:val="center"/>
          </w:tcPr>
          <w:p w14:paraId="06206391">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变化量</w:t>
            </w:r>
          </w:p>
          <w:p w14:paraId="65E2AD81">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begin"/>
            </w:r>
            <w:r>
              <w:rPr>
                <w:rFonts w:hint="default" w:ascii="Times New Roman" w:hAnsi="Times New Roman" w:eastAsia="宋体" w:cs="Times New Roman"/>
                <w:snapToGrid w:val="0"/>
                <w:color w:val="auto"/>
                <w:spacing w:val="0"/>
                <w:kern w:val="21"/>
                <w:position w:val="0"/>
                <w:sz w:val="21"/>
                <w:szCs w:val="21"/>
                <w:highlight w:val="none"/>
                <w:lang w:val="en-US" w:eastAsia="zh-CN"/>
              </w:rPr>
              <w:instrText xml:space="preserve"> = 7 \* GB3 \* MERGEFORMAT </w:instrTex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separate"/>
            </w:r>
            <w:r>
              <w:rPr>
                <w:rFonts w:hint="default" w:ascii="Times New Roman" w:hAnsi="Times New Roman" w:eastAsia="宋体" w:cs="Times New Roman"/>
                <w:snapToGrid w:val="0"/>
                <w:color w:val="auto"/>
                <w:spacing w:val="0"/>
                <w:kern w:val="21"/>
                <w:position w:val="0"/>
                <w:sz w:val="21"/>
                <w:szCs w:val="21"/>
                <w:highlight w:val="none"/>
                <w:lang w:val="en-US" w:eastAsia="zh-CN"/>
              </w:rPr>
              <w:t>⑦</w:t>
            </w:r>
            <w:r>
              <w:rPr>
                <w:rFonts w:hint="default" w:ascii="Times New Roman" w:hAnsi="Times New Roman" w:eastAsia="宋体" w:cs="Times New Roman"/>
                <w:snapToGrid w:val="0"/>
                <w:color w:val="auto"/>
                <w:spacing w:val="0"/>
                <w:kern w:val="21"/>
                <w:position w:val="0"/>
                <w:sz w:val="21"/>
                <w:szCs w:val="21"/>
                <w:highlight w:val="none"/>
                <w:lang w:val="en-US" w:eastAsia="zh-CN"/>
              </w:rPr>
              <w:fldChar w:fldCharType="end"/>
            </w:r>
          </w:p>
        </w:tc>
      </w:tr>
      <w:tr w14:paraId="690867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restart"/>
            <w:tcMar>
              <w:left w:w="28" w:type="dxa"/>
              <w:right w:w="28" w:type="dxa"/>
            </w:tcMar>
            <w:vAlign w:val="center"/>
          </w:tcPr>
          <w:p w14:paraId="4C38C03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废气</w:t>
            </w:r>
          </w:p>
        </w:tc>
        <w:tc>
          <w:tcPr>
            <w:tcW w:w="2333" w:type="dxa"/>
            <w:tcMar>
              <w:left w:w="28" w:type="dxa"/>
              <w:right w:w="28" w:type="dxa"/>
            </w:tcMar>
            <w:vAlign w:val="center"/>
          </w:tcPr>
          <w:p w14:paraId="3DADA4A3">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风机风量 </w:t>
            </w:r>
            <w:r>
              <w:rPr>
                <w:rFonts w:hint="eastAsia" w:ascii="Times New Roman" w:cs="Times New Roman"/>
                <w:snapToGrid w:val="0"/>
                <w:color w:val="auto"/>
                <w:spacing w:val="0"/>
                <w:kern w:val="21"/>
                <w:position w:val="0"/>
                <w:sz w:val="21"/>
                <w:szCs w:val="21"/>
                <w:highlight w:val="none"/>
                <w:lang w:val="en-US" w:eastAsia="zh-CN"/>
              </w:rPr>
              <w:t>万</w:t>
            </w:r>
            <w:r>
              <w:rPr>
                <w:rFonts w:hint="eastAsia" w:ascii="Times New Roman" w:hAnsi="Times New Roman" w:eastAsia="宋体" w:cs="Times New Roman"/>
                <w:snapToGrid w:val="0"/>
                <w:color w:val="auto"/>
                <w:spacing w:val="0"/>
                <w:kern w:val="21"/>
                <w:position w:val="0"/>
                <w:sz w:val="21"/>
                <w:szCs w:val="21"/>
                <w:highlight w:val="none"/>
                <w:lang w:val="en-US" w:eastAsia="zh-CN"/>
              </w:rPr>
              <w:t>m</w:t>
            </w:r>
            <w:r>
              <w:rPr>
                <w:rFonts w:hint="eastAsia" w:ascii="Times New Roman" w:hAnsi="Times New Roman" w:eastAsia="宋体" w:cs="Times New Roman"/>
                <w:snapToGrid w:val="0"/>
                <w:color w:val="auto"/>
                <w:spacing w:val="0"/>
                <w:kern w:val="21"/>
                <w:position w:val="0"/>
                <w:sz w:val="21"/>
                <w:szCs w:val="21"/>
                <w:highlight w:val="none"/>
                <w:vertAlign w:val="superscript"/>
                <w:lang w:val="en-US" w:eastAsia="zh-CN"/>
              </w:rPr>
              <w:t>3</w:t>
            </w:r>
            <w:r>
              <w:rPr>
                <w:rFonts w:hint="eastAsia" w:ascii="Times New Roman" w:hAnsi="Times New Roman" w:eastAsia="宋体" w:cs="Times New Roman"/>
                <w:snapToGrid w:val="0"/>
                <w:color w:val="auto"/>
                <w:spacing w:val="0"/>
                <w:kern w:val="21"/>
                <w:position w:val="0"/>
                <w:sz w:val="21"/>
                <w:szCs w:val="21"/>
                <w:highlight w:val="none"/>
                <w:lang w:val="en-US" w:eastAsia="zh-CN"/>
              </w:rPr>
              <w:t>/</w:t>
            </w:r>
            <w:r>
              <w:rPr>
                <w:rFonts w:hint="eastAsia" w:ascii="Times New Roman" w:cs="Times New Roman"/>
                <w:snapToGrid w:val="0"/>
                <w:color w:val="auto"/>
                <w:spacing w:val="0"/>
                <w:kern w:val="21"/>
                <w:position w:val="0"/>
                <w:sz w:val="21"/>
                <w:szCs w:val="21"/>
                <w:highlight w:val="none"/>
                <w:lang w:val="en-US" w:eastAsia="zh-CN"/>
              </w:rPr>
              <w:t>a</w:t>
            </w:r>
          </w:p>
        </w:tc>
        <w:tc>
          <w:tcPr>
            <w:tcW w:w="1732" w:type="dxa"/>
            <w:tcMar>
              <w:left w:w="28" w:type="dxa"/>
              <w:right w:w="28" w:type="dxa"/>
            </w:tcMar>
            <w:vAlign w:val="center"/>
          </w:tcPr>
          <w:p w14:paraId="2D50CE6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cs="Times New Roman"/>
                <w:snapToGrid w:val="0"/>
                <w:color w:val="auto"/>
                <w:spacing w:val="0"/>
                <w:kern w:val="21"/>
                <w:position w:val="0"/>
                <w:sz w:val="21"/>
                <w:szCs w:val="21"/>
                <w:highlight w:val="none"/>
                <w:lang w:val="en-US" w:eastAsia="zh-CN"/>
              </w:rPr>
              <w:t>7200</w:t>
            </w:r>
          </w:p>
        </w:tc>
        <w:tc>
          <w:tcPr>
            <w:tcW w:w="1357" w:type="dxa"/>
            <w:tcMar>
              <w:left w:w="28" w:type="dxa"/>
              <w:right w:w="28" w:type="dxa"/>
            </w:tcMar>
            <w:vAlign w:val="center"/>
          </w:tcPr>
          <w:p w14:paraId="73198CC5">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cs="Times New Roman"/>
                <w:snapToGrid w:val="0"/>
                <w:color w:val="auto"/>
                <w:spacing w:val="0"/>
                <w:kern w:val="21"/>
                <w:position w:val="0"/>
                <w:sz w:val="21"/>
                <w:szCs w:val="21"/>
                <w:highlight w:val="none"/>
                <w:lang w:val="en-US" w:eastAsia="zh-CN"/>
              </w:rPr>
              <w:t>7200</w:t>
            </w:r>
          </w:p>
        </w:tc>
        <w:tc>
          <w:tcPr>
            <w:tcW w:w="1854" w:type="dxa"/>
            <w:tcMar>
              <w:left w:w="28" w:type="dxa"/>
              <w:right w:w="28" w:type="dxa"/>
            </w:tcMar>
            <w:vAlign w:val="center"/>
          </w:tcPr>
          <w:p w14:paraId="46BF5AE8">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6E21DF3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739" w:type="dxa"/>
            <w:tcMar>
              <w:left w:w="28" w:type="dxa"/>
              <w:right w:w="28" w:type="dxa"/>
            </w:tcMar>
            <w:vAlign w:val="center"/>
          </w:tcPr>
          <w:p w14:paraId="4B3BA75D">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3BB91C89">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cs="Times New Roman"/>
                <w:snapToGrid w:val="0"/>
                <w:color w:val="auto"/>
                <w:spacing w:val="0"/>
                <w:kern w:val="21"/>
                <w:position w:val="0"/>
                <w:sz w:val="21"/>
                <w:szCs w:val="21"/>
                <w:highlight w:val="none"/>
                <w:lang w:val="en-US" w:eastAsia="zh-CN"/>
              </w:rPr>
              <w:t>7200</w:t>
            </w:r>
          </w:p>
        </w:tc>
        <w:tc>
          <w:tcPr>
            <w:tcW w:w="1155" w:type="dxa"/>
            <w:shd w:val="clear" w:color="auto" w:fill="auto"/>
            <w:tcMar>
              <w:left w:w="28" w:type="dxa"/>
              <w:right w:w="28" w:type="dxa"/>
            </w:tcMar>
            <w:vAlign w:val="center"/>
          </w:tcPr>
          <w:p w14:paraId="645ECAC7">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r>
      <w:tr w14:paraId="4C557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7AF87943">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p>
        </w:tc>
        <w:tc>
          <w:tcPr>
            <w:tcW w:w="2333" w:type="dxa"/>
            <w:tcMar>
              <w:left w:w="28" w:type="dxa"/>
              <w:right w:w="28" w:type="dxa"/>
            </w:tcMar>
            <w:vAlign w:val="center"/>
          </w:tcPr>
          <w:p w14:paraId="5C66C7D4">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甲苯</w:t>
            </w: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tcMar>
              <w:left w:w="28" w:type="dxa"/>
              <w:right w:w="28" w:type="dxa"/>
            </w:tcMar>
            <w:vAlign w:val="center"/>
          </w:tcPr>
          <w:p w14:paraId="5A021D4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0.018</w:t>
            </w:r>
          </w:p>
        </w:tc>
        <w:tc>
          <w:tcPr>
            <w:tcW w:w="1357" w:type="dxa"/>
            <w:tcMar>
              <w:left w:w="28" w:type="dxa"/>
              <w:right w:w="28" w:type="dxa"/>
            </w:tcMar>
            <w:vAlign w:val="center"/>
          </w:tcPr>
          <w:p w14:paraId="038C3D9E">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0.018</w:t>
            </w:r>
          </w:p>
        </w:tc>
        <w:tc>
          <w:tcPr>
            <w:tcW w:w="1854" w:type="dxa"/>
            <w:tcMar>
              <w:left w:w="28" w:type="dxa"/>
              <w:right w:w="28" w:type="dxa"/>
            </w:tcMar>
            <w:vAlign w:val="center"/>
          </w:tcPr>
          <w:p w14:paraId="21BA75DF">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13D7DB63">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739" w:type="dxa"/>
            <w:tcMar>
              <w:left w:w="28" w:type="dxa"/>
              <w:right w:w="28" w:type="dxa"/>
            </w:tcMar>
            <w:vAlign w:val="center"/>
          </w:tcPr>
          <w:p w14:paraId="729B8AD8">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401F175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155" w:type="dxa"/>
            <w:shd w:val="clear" w:color="auto" w:fill="auto"/>
            <w:tcMar>
              <w:left w:w="28" w:type="dxa"/>
              <w:right w:w="28" w:type="dxa"/>
            </w:tcMar>
            <w:vAlign w:val="center"/>
          </w:tcPr>
          <w:p w14:paraId="13DF4BB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-0.018</w:t>
            </w:r>
          </w:p>
        </w:tc>
      </w:tr>
      <w:tr w14:paraId="56355E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45DCD893">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p>
        </w:tc>
        <w:tc>
          <w:tcPr>
            <w:tcW w:w="2333" w:type="dxa"/>
            <w:tcMar>
              <w:left w:w="28" w:type="dxa"/>
              <w:right w:w="28" w:type="dxa"/>
            </w:tcMar>
            <w:vAlign w:val="center"/>
          </w:tcPr>
          <w:p w14:paraId="1C9E3AC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二甲苯 t/a</w:t>
            </w:r>
          </w:p>
        </w:tc>
        <w:tc>
          <w:tcPr>
            <w:tcW w:w="1732" w:type="dxa"/>
            <w:tcMar>
              <w:left w:w="28" w:type="dxa"/>
              <w:right w:w="28" w:type="dxa"/>
            </w:tcMar>
            <w:vAlign w:val="center"/>
          </w:tcPr>
          <w:p w14:paraId="0AD26024">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0.038</w:t>
            </w:r>
          </w:p>
        </w:tc>
        <w:tc>
          <w:tcPr>
            <w:tcW w:w="1357" w:type="dxa"/>
            <w:tcMar>
              <w:left w:w="28" w:type="dxa"/>
              <w:right w:w="28" w:type="dxa"/>
            </w:tcMar>
            <w:vAlign w:val="center"/>
          </w:tcPr>
          <w:p w14:paraId="4B77CE7E">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0.038</w:t>
            </w:r>
          </w:p>
        </w:tc>
        <w:tc>
          <w:tcPr>
            <w:tcW w:w="1854" w:type="dxa"/>
            <w:tcMar>
              <w:left w:w="28" w:type="dxa"/>
              <w:right w:w="28" w:type="dxa"/>
            </w:tcMar>
            <w:vAlign w:val="center"/>
          </w:tcPr>
          <w:p w14:paraId="2BBD36BE">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2ED6A97D">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0.0074</w:t>
            </w:r>
          </w:p>
        </w:tc>
        <w:tc>
          <w:tcPr>
            <w:tcW w:w="1739" w:type="dxa"/>
            <w:tcMar>
              <w:left w:w="28" w:type="dxa"/>
              <w:right w:w="28" w:type="dxa"/>
            </w:tcMar>
            <w:vAlign w:val="center"/>
          </w:tcPr>
          <w:p w14:paraId="12D5084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25010963">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0.0454</w:t>
            </w:r>
          </w:p>
        </w:tc>
        <w:tc>
          <w:tcPr>
            <w:tcW w:w="1155" w:type="dxa"/>
            <w:shd w:val="clear" w:color="auto" w:fill="auto"/>
            <w:tcMar>
              <w:left w:w="28" w:type="dxa"/>
              <w:right w:w="28" w:type="dxa"/>
            </w:tcMar>
            <w:vAlign w:val="center"/>
          </w:tcPr>
          <w:p w14:paraId="026A7FA4">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+0.0074</w:t>
            </w:r>
          </w:p>
        </w:tc>
      </w:tr>
      <w:tr w14:paraId="2DCDD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1DE019CF">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p>
        </w:tc>
        <w:tc>
          <w:tcPr>
            <w:tcW w:w="2333" w:type="dxa"/>
            <w:shd w:val="clear" w:color="auto" w:fill="auto"/>
            <w:tcMar>
              <w:left w:w="28" w:type="dxa"/>
              <w:right w:w="28" w:type="dxa"/>
            </w:tcMar>
            <w:vAlign w:val="center"/>
          </w:tcPr>
          <w:p w14:paraId="702DDD9C">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苯系物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shd w:val="clear" w:color="auto" w:fill="auto"/>
            <w:tcMar>
              <w:left w:w="28" w:type="dxa"/>
              <w:right w:w="28" w:type="dxa"/>
            </w:tcMar>
            <w:vAlign w:val="center"/>
          </w:tcPr>
          <w:p w14:paraId="5F97D40E">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cs="Times New Roman"/>
                <w:snapToGrid w:val="0"/>
                <w:color w:val="auto"/>
                <w:spacing w:val="0"/>
                <w:kern w:val="21"/>
                <w:position w:val="0"/>
                <w:sz w:val="21"/>
                <w:szCs w:val="21"/>
                <w:highlight w:val="none"/>
                <w:lang w:val="en-US" w:eastAsia="zh-CN"/>
              </w:rPr>
              <w:t>-</w:t>
            </w:r>
          </w:p>
        </w:tc>
        <w:tc>
          <w:tcPr>
            <w:tcW w:w="1357" w:type="dxa"/>
            <w:tcMar>
              <w:left w:w="28" w:type="dxa"/>
              <w:right w:w="28" w:type="dxa"/>
            </w:tcMar>
            <w:vAlign w:val="center"/>
          </w:tcPr>
          <w:p w14:paraId="00358DB1">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cs="Times New Roman"/>
                <w:snapToGrid w:val="0"/>
                <w:color w:val="auto"/>
                <w:spacing w:val="0"/>
                <w:kern w:val="21"/>
                <w:position w:val="0"/>
                <w:sz w:val="21"/>
                <w:szCs w:val="21"/>
                <w:highlight w:val="none"/>
                <w:lang w:val="en-US" w:eastAsia="zh-CN"/>
              </w:rPr>
              <w:t>-</w:t>
            </w:r>
          </w:p>
        </w:tc>
        <w:tc>
          <w:tcPr>
            <w:tcW w:w="1854" w:type="dxa"/>
            <w:tcMar>
              <w:left w:w="28" w:type="dxa"/>
              <w:right w:w="28" w:type="dxa"/>
            </w:tcMar>
            <w:vAlign w:val="center"/>
          </w:tcPr>
          <w:p w14:paraId="6CDF48D8">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27F4507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r>
              <w:rPr>
                <w:rFonts w:hint="eastAsia" w:ascii="Times New Roman" w:cs="Times New Roman"/>
                <w:snapToGrid w:val="0"/>
                <w:color w:val="auto"/>
                <w:spacing w:val="0"/>
                <w:kern w:val="21"/>
                <w:position w:val="0"/>
                <w:sz w:val="21"/>
                <w:szCs w:val="21"/>
                <w:highlight w:val="none"/>
                <w:lang w:val="en-US" w:eastAsia="zh-CN"/>
              </w:rPr>
              <w:t>121</w:t>
            </w:r>
          </w:p>
        </w:tc>
        <w:tc>
          <w:tcPr>
            <w:tcW w:w="1739" w:type="dxa"/>
            <w:tcMar>
              <w:left w:w="28" w:type="dxa"/>
              <w:right w:w="28" w:type="dxa"/>
            </w:tcMar>
            <w:vAlign w:val="center"/>
          </w:tcPr>
          <w:p w14:paraId="48C4F0B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767A800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0.121</w:t>
            </w:r>
          </w:p>
        </w:tc>
        <w:tc>
          <w:tcPr>
            <w:tcW w:w="1155" w:type="dxa"/>
            <w:shd w:val="clear" w:color="auto" w:fill="auto"/>
            <w:tcMar>
              <w:left w:w="28" w:type="dxa"/>
              <w:right w:w="28" w:type="dxa"/>
            </w:tcMar>
            <w:vAlign w:val="center"/>
          </w:tcPr>
          <w:p w14:paraId="0EAAA6C9">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+0.121</w:t>
            </w:r>
          </w:p>
        </w:tc>
      </w:tr>
      <w:tr w14:paraId="3BF8F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2B28FCE9">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p>
        </w:tc>
        <w:tc>
          <w:tcPr>
            <w:tcW w:w="2333" w:type="dxa"/>
            <w:shd w:val="clear" w:color="auto" w:fill="auto"/>
            <w:tcMar>
              <w:left w:w="28" w:type="dxa"/>
              <w:right w:w="28" w:type="dxa"/>
            </w:tcMar>
            <w:vAlign w:val="center"/>
          </w:tcPr>
          <w:p w14:paraId="6FCBBDA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乙酸乙酯与乙酸丁酯合计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shd w:val="clear" w:color="auto" w:fill="auto"/>
            <w:tcMar>
              <w:left w:w="28" w:type="dxa"/>
              <w:right w:w="28" w:type="dxa"/>
            </w:tcMar>
            <w:vAlign w:val="center"/>
          </w:tcPr>
          <w:p w14:paraId="27EC7C25">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cs="Times New Roman"/>
                <w:snapToGrid w:val="0"/>
                <w:color w:val="auto"/>
                <w:spacing w:val="0"/>
                <w:kern w:val="21"/>
                <w:position w:val="0"/>
                <w:sz w:val="21"/>
                <w:szCs w:val="21"/>
                <w:highlight w:val="none"/>
                <w:lang w:val="en-US" w:eastAsia="zh-CN"/>
              </w:rPr>
              <w:t>-</w:t>
            </w:r>
          </w:p>
        </w:tc>
        <w:tc>
          <w:tcPr>
            <w:tcW w:w="1357" w:type="dxa"/>
            <w:shd w:val="clear" w:color="auto" w:fill="auto"/>
            <w:tcMar>
              <w:left w:w="28" w:type="dxa"/>
              <w:right w:w="28" w:type="dxa"/>
            </w:tcMar>
            <w:vAlign w:val="center"/>
          </w:tcPr>
          <w:p w14:paraId="7E52AF95">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cs="Times New Roman"/>
                <w:snapToGrid w:val="0"/>
                <w:color w:val="auto"/>
                <w:spacing w:val="0"/>
                <w:kern w:val="21"/>
                <w:position w:val="0"/>
                <w:sz w:val="21"/>
                <w:szCs w:val="21"/>
                <w:highlight w:val="none"/>
                <w:lang w:val="en-US" w:eastAsia="zh-CN"/>
              </w:rPr>
              <w:t>-</w:t>
            </w:r>
          </w:p>
        </w:tc>
        <w:tc>
          <w:tcPr>
            <w:tcW w:w="1854" w:type="dxa"/>
            <w:shd w:val="clear" w:color="auto" w:fill="auto"/>
            <w:tcMar>
              <w:left w:w="28" w:type="dxa"/>
              <w:right w:w="28" w:type="dxa"/>
            </w:tcMar>
            <w:vAlign w:val="center"/>
          </w:tcPr>
          <w:p w14:paraId="7FEAE45E">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shd w:val="clear" w:color="auto" w:fill="auto"/>
            <w:tcMar>
              <w:left w:w="28" w:type="dxa"/>
              <w:right w:w="28" w:type="dxa"/>
            </w:tcMar>
            <w:vAlign w:val="center"/>
          </w:tcPr>
          <w:p w14:paraId="6DBE25D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0.2386</w:t>
            </w:r>
          </w:p>
        </w:tc>
        <w:tc>
          <w:tcPr>
            <w:tcW w:w="1739" w:type="dxa"/>
            <w:shd w:val="clear" w:color="auto" w:fill="auto"/>
            <w:tcMar>
              <w:left w:w="28" w:type="dxa"/>
              <w:right w:w="28" w:type="dxa"/>
            </w:tcMar>
            <w:vAlign w:val="center"/>
          </w:tcPr>
          <w:p w14:paraId="42982CE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4B01F8F7">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0.2386</w:t>
            </w:r>
          </w:p>
        </w:tc>
        <w:tc>
          <w:tcPr>
            <w:tcW w:w="1155" w:type="dxa"/>
            <w:shd w:val="clear" w:color="auto" w:fill="auto"/>
            <w:tcMar>
              <w:left w:w="28" w:type="dxa"/>
              <w:right w:w="28" w:type="dxa"/>
            </w:tcMar>
            <w:vAlign w:val="center"/>
          </w:tcPr>
          <w:p w14:paraId="748ECB28">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+0.2386</w:t>
            </w:r>
          </w:p>
        </w:tc>
      </w:tr>
      <w:tr w14:paraId="2FAC5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6A6097D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p>
        </w:tc>
        <w:tc>
          <w:tcPr>
            <w:tcW w:w="2333" w:type="dxa"/>
            <w:shd w:val="clear" w:color="auto" w:fill="auto"/>
            <w:tcMar>
              <w:left w:w="28" w:type="dxa"/>
              <w:right w:w="28" w:type="dxa"/>
            </w:tcMar>
            <w:vAlign w:val="center"/>
          </w:tcPr>
          <w:p w14:paraId="4BEBA99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非甲烷总烃</w:t>
            </w: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shd w:val="clear" w:color="auto" w:fill="auto"/>
            <w:tcMar>
              <w:left w:w="28" w:type="dxa"/>
              <w:right w:w="28" w:type="dxa"/>
            </w:tcMar>
            <w:vAlign w:val="center"/>
          </w:tcPr>
          <w:p w14:paraId="6641990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0.3876</w:t>
            </w:r>
          </w:p>
        </w:tc>
        <w:tc>
          <w:tcPr>
            <w:tcW w:w="1357" w:type="dxa"/>
            <w:shd w:val="clear" w:color="auto" w:fill="auto"/>
            <w:tcMar>
              <w:left w:w="28" w:type="dxa"/>
              <w:right w:w="28" w:type="dxa"/>
            </w:tcMar>
            <w:vAlign w:val="center"/>
          </w:tcPr>
          <w:p w14:paraId="5860352D">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0.3876</w:t>
            </w:r>
          </w:p>
        </w:tc>
        <w:tc>
          <w:tcPr>
            <w:tcW w:w="1854" w:type="dxa"/>
            <w:shd w:val="clear" w:color="auto" w:fill="auto"/>
            <w:tcMar>
              <w:left w:w="28" w:type="dxa"/>
              <w:right w:w="28" w:type="dxa"/>
            </w:tcMar>
            <w:vAlign w:val="center"/>
          </w:tcPr>
          <w:p w14:paraId="31BB877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shd w:val="clear" w:color="auto" w:fill="auto"/>
            <w:tcMar>
              <w:left w:w="28" w:type="dxa"/>
              <w:right w:w="28" w:type="dxa"/>
            </w:tcMar>
            <w:vAlign w:val="center"/>
          </w:tcPr>
          <w:p w14:paraId="282C95DD">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0.0475</w:t>
            </w:r>
          </w:p>
        </w:tc>
        <w:tc>
          <w:tcPr>
            <w:tcW w:w="1739" w:type="dxa"/>
            <w:shd w:val="clear" w:color="auto" w:fill="auto"/>
            <w:tcMar>
              <w:left w:w="28" w:type="dxa"/>
              <w:right w:w="28" w:type="dxa"/>
            </w:tcMar>
            <w:vAlign w:val="center"/>
          </w:tcPr>
          <w:p w14:paraId="1309A3C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4A239DF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0.4351</w:t>
            </w:r>
          </w:p>
        </w:tc>
        <w:tc>
          <w:tcPr>
            <w:tcW w:w="1155" w:type="dxa"/>
            <w:shd w:val="clear" w:color="auto" w:fill="auto"/>
            <w:tcMar>
              <w:left w:w="28" w:type="dxa"/>
              <w:right w:w="28" w:type="dxa"/>
            </w:tcMar>
            <w:vAlign w:val="center"/>
          </w:tcPr>
          <w:p w14:paraId="1E1B6B4E">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+0.0475</w:t>
            </w:r>
          </w:p>
        </w:tc>
      </w:tr>
      <w:tr w14:paraId="500BC0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0BC6D13C">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p>
        </w:tc>
        <w:tc>
          <w:tcPr>
            <w:tcW w:w="2333" w:type="dxa"/>
            <w:tcMar>
              <w:left w:w="28" w:type="dxa"/>
              <w:right w:w="28" w:type="dxa"/>
            </w:tcMar>
            <w:vAlign w:val="center"/>
          </w:tcPr>
          <w:p w14:paraId="124831DA">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漆雾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tcMar>
              <w:left w:w="28" w:type="dxa"/>
              <w:right w:w="28" w:type="dxa"/>
            </w:tcMar>
            <w:vAlign w:val="center"/>
          </w:tcPr>
          <w:p w14:paraId="3272EA0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0.06</w:t>
            </w:r>
          </w:p>
        </w:tc>
        <w:tc>
          <w:tcPr>
            <w:tcW w:w="1357" w:type="dxa"/>
            <w:tcMar>
              <w:left w:w="28" w:type="dxa"/>
              <w:right w:w="28" w:type="dxa"/>
            </w:tcMar>
            <w:vAlign w:val="center"/>
          </w:tcPr>
          <w:p w14:paraId="45862F87">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0.06</w:t>
            </w:r>
          </w:p>
        </w:tc>
        <w:tc>
          <w:tcPr>
            <w:tcW w:w="1854" w:type="dxa"/>
            <w:tcMar>
              <w:left w:w="28" w:type="dxa"/>
              <w:right w:w="28" w:type="dxa"/>
            </w:tcMar>
            <w:vAlign w:val="center"/>
          </w:tcPr>
          <w:p w14:paraId="6A62C70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4BD3F1F5">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0.1702</w:t>
            </w:r>
          </w:p>
        </w:tc>
        <w:tc>
          <w:tcPr>
            <w:tcW w:w="1739" w:type="dxa"/>
            <w:tcMar>
              <w:left w:w="28" w:type="dxa"/>
              <w:right w:w="28" w:type="dxa"/>
            </w:tcMar>
            <w:vAlign w:val="center"/>
          </w:tcPr>
          <w:p w14:paraId="542793A3">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2D4AF077">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0.2302</w:t>
            </w:r>
          </w:p>
        </w:tc>
        <w:tc>
          <w:tcPr>
            <w:tcW w:w="1155" w:type="dxa"/>
            <w:shd w:val="clear" w:color="auto" w:fill="auto"/>
            <w:tcMar>
              <w:left w:w="28" w:type="dxa"/>
              <w:right w:w="28" w:type="dxa"/>
            </w:tcMar>
            <w:vAlign w:val="center"/>
          </w:tcPr>
          <w:p w14:paraId="708B0B73">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+0.1702</w:t>
            </w:r>
          </w:p>
        </w:tc>
      </w:tr>
      <w:tr w14:paraId="343A9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restart"/>
            <w:tcMar>
              <w:left w:w="28" w:type="dxa"/>
              <w:right w:w="28" w:type="dxa"/>
            </w:tcMar>
            <w:vAlign w:val="center"/>
          </w:tcPr>
          <w:p w14:paraId="6658AB01">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废水</w:t>
            </w:r>
          </w:p>
        </w:tc>
        <w:tc>
          <w:tcPr>
            <w:tcW w:w="2333" w:type="dxa"/>
            <w:tcMar>
              <w:left w:w="28" w:type="dxa"/>
              <w:right w:w="28" w:type="dxa"/>
            </w:tcMar>
            <w:vAlign w:val="center"/>
          </w:tcPr>
          <w:p w14:paraId="57250D7A">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COD</w:t>
            </w: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Cr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tcMar>
              <w:left w:w="28" w:type="dxa"/>
              <w:right w:w="28" w:type="dxa"/>
            </w:tcMar>
            <w:vAlign w:val="center"/>
          </w:tcPr>
          <w:p w14:paraId="5E3E0693">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0.012</w:t>
            </w:r>
          </w:p>
        </w:tc>
        <w:tc>
          <w:tcPr>
            <w:tcW w:w="1357" w:type="dxa"/>
            <w:tcMar>
              <w:left w:w="28" w:type="dxa"/>
              <w:right w:w="28" w:type="dxa"/>
            </w:tcMar>
            <w:vAlign w:val="center"/>
          </w:tcPr>
          <w:p w14:paraId="5A7617EE">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0.012</w:t>
            </w:r>
          </w:p>
        </w:tc>
        <w:tc>
          <w:tcPr>
            <w:tcW w:w="1854" w:type="dxa"/>
            <w:tcMar>
              <w:left w:w="28" w:type="dxa"/>
              <w:right w:w="28" w:type="dxa"/>
            </w:tcMar>
            <w:vAlign w:val="center"/>
          </w:tcPr>
          <w:p w14:paraId="5E36AD75">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11488784">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739" w:type="dxa"/>
            <w:tcMar>
              <w:left w:w="28" w:type="dxa"/>
              <w:right w:w="28" w:type="dxa"/>
            </w:tcMar>
            <w:vAlign w:val="center"/>
          </w:tcPr>
          <w:p w14:paraId="7E5E32DD">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3B258D67">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0.012</w:t>
            </w:r>
          </w:p>
        </w:tc>
        <w:tc>
          <w:tcPr>
            <w:tcW w:w="1155" w:type="dxa"/>
            <w:tcMar>
              <w:left w:w="28" w:type="dxa"/>
              <w:right w:w="28" w:type="dxa"/>
            </w:tcMar>
            <w:vAlign w:val="center"/>
          </w:tcPr>
          <w:p w14:paraId="58202FD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r>
      <w:tr w14:paraId="744AA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3678801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p>
        </w:tc>
        <w:tc>
          <w:tcPr>
            <w:tcW w:w="2333" w:type="dxa"/>
            <w:tcMar>
              <w:left w:w="28" w:type="dxa"/>
              <w:right w:w="28" w:type="dxa"/>
            </w:tcMar>
            <w:vAlign w:val="center"/>
          </w:tcPr>
          <w:p w14:paraId="78E33BC4">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氨氮</w:t>
            </w: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tcMar>
              <w:left w:w="28" w:type="dxa"/>
              <w:right w:w="28" w:type="dxa"/>
            </w:tcMar>
            <w:vAlign w:val="center"/>
          </w:tcPr>
          <w:p w14:paraId="0935B41F">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0.0012</w:t>
            </w:r>
          </w:p>
        </w:tc>
        <w:tc>
          <w:tcPr>
            <w:tcW w:w="1357" w:type="dxa"/>
            <w:tcMar>
              <w:left w:w="28" w:type="dxa"/>
              <w:right w:w="28" w:type="dxa"/>
            </w:tcMar>
            <w:vAlign w:val="center"/>
          </w:tcPr>
          <w:p w14:paraId="5D7B3AB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0.0012</w:t>
            </w:r>
          </w:p>
        </w:tc>
        <w:tc>
          <w:tcPr>
            <w:tcW w:w="1854" w:type="dxa"/>
            <w:tcMar>
              <w:left w:w="28" w:type="dxa"/>
              <w:right w:w="28" w:type="dxa"/>
            </w:tcMar>
            <w:vAlign w:val="center"/>
          </w:tcPr>
          <w:p w14:paraId="664147CC">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02A718C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739" w:type="dxa"/>
            <w:tcMar>
              <w:left w:w="28" w:type="dxa"/>
              <w:right w:w="28" w:type="dxa"/>
            </w:tcMar>
            <w:vAlign w:val="center"/>
          </w:tcPr>
          <w:p w14:paraId="5FB80CA8">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36C917B4">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0.0012（0.0019）</w:t>
            </w:r>
          </w:p>
        </w:tc>
        <w:tc>
          <w:tcPr>
            <w:tcW w:w="1155" w:type="dxa"/>
            <w:tcMar>
              <w:left w:w="28" w:type="dxa"/>
              <w:right w:w="28" w:type="dxa"/>
            </w:tcMar>
            <w:vAlign w:val="center"/>
          </w:tcPr>
          <w:p w14:paraId="20641855">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r>
      <w:tr w14:paraId="57716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restart"/>
            <w:tcMar>
              <w:left w:w="28" w:type="dxa"/>
              <w:right w:w="28" w:type="dxa"/>
            </w:tcMar>
            <w:vAlign w:val="center"/>
          </w:tcPr>
          <w:p w14:paraId="776536E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一般工业</w:t>
            </w:r>
          </w:p>
          <w:p w14:paraId="5D3E2E54">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固体废物</w:t>
            </w:r>
          </w:p>
        </w:tc>
        <w:tc>
          <w:tcPr>
            <w:tcW w:w="2333" w:type="dxa"/>
            <w:tcMar>
              <w:left w:w="28" w:type="dxa"/>
              <w:right w:w="28" w:type="dxa"/>
            </w:tcMar>
            <w:vAlign w:val="center"/>
          </w:tcPr>
          <w:p w14:paraId="1F45B6CA">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废包装材料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tcMar>
              <w:left w:w="28" w:type="dxa"/>
              <w:right w:w="28" w:type="dxa"/>
            </w:tcMar>
            <w:vAlign w:val="center"/>
          </w:tcPr>
          <w:p w14:paraId="2CC5F86A">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0.8</w:t>
            </w:r>
          </w:p>
        </w:tc>
        <w:tc>
          <w:tcPr>
            <w:tcW w:w="1357" w:type="dxa"/>
            <w:tcMar>
              <w:left w:w="28" w:type="dxa"/>
              <w:right w:w="28" w:type="dxa"/>
            </w:tcMar>
            <w:vAlign w:val="center"/>
          </w:tcPr>
          <w:p w14:paraId="1860C25A">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0.8</w:t>
            </w:r>
          </w:p>
        </w:tc>
        <w:tc>
          <w:tcPr>
            <w:tcW w:w="1854" w:type="dxa"/>
            <w:tcMar>
              <w:left w:w="28" w:type="dxa"/>
              <w:right w:w="28" w:type="dxa"/>
            </w:tcMar>
            <w:vAlign w:val="center"/>
          </w:tcPr>
          <w:p w14:paraId="63563B34">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3521789C">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739" w:type="dxa"/>
            <w:tcMar>
              <w:left w:w="28" w:type="dxa"/>
              <w:right w:w="28" w:type="dxa"/>
            </w:tcMar>
            <w:vAlign w:val="center"/>
          </w:tcPr>
          <w:p w14:paraId="7EC4BDC8">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6F465FB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0.013</w:t>
            </w:r>
          </w:p>
        </w:tc>
        <w:tc>
          <w:tcPr>
            <w:tcW w:w="1155" w:type="dxa"/>
            <w:shd w:val="clear" w:color="auto" w:fill="auto"/>
            <w:tcMar>
              <w:left w:w="28" w:type="dxa"/>
              <w:right w:w="28" w:type="dxa"/>
            </w:tcMar>
            <w:vAlign w:val="center"/>
          </w:tcPr>
          <w:p w14:paraId="578A776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-0.787</w:t>
            </w:r>
          </w:p>
        </w:tc>
      </w:tr>
      <w:tr w14:paraId="7087A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23F2FB0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p>
        </w:tc>
        <w:tc>
          <w:tcPr>
            <w:tcW w:w="2333" w:type="dxa"/>
            <w:tcMar>
              <w:left w:w="28" w:type="dxa"/>
              <w:right w:w="28" w:type="dxa"/>
            </w:tcMar>
            <w:vAlign w:val="center"/>
          </w:tcPr>
          <w:p w14:paraId="36ABCCC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废钉子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tcMar>
              <w:left w:w="28" w:type="dxa"/>
              <w:right w:w="28" w:type="dxa"/>
            </w:tcMar>
            <w:vAlign w:val="center"/>
          </w:tcPr>
          <w:p w14:paraId="110C2153">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0.0001</w:t>
            </w:r>
          </w:p>
        </w:tc>
        <w:tc>
          <w:tcPr>
            <w:tcW w:w="1357" w:type="dxa"/>
            <w:tcMar>
              <w:left w:w="28" w:type="dxa"/>
              <w:right w:w="28" w:type="dxa"/>
            </w:tcMar>
            <w:vAlign w:val="center"/>
          </w:tcPr>
          <w:p w14:paraId="2C170CC9">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0.0001</w:t>
            </w:r>
          </w:p>
        </w:tc>
        <w:tc>
          <w:tcPr>
            <w:tcW w:w="1854" w:type="dxa"/>
            <w:tcMar>
              <w:left w:w="28" w:type="dxa"/>
              <w:right w:w="28" w:type="dxa"/>
            </w:tcMar>
            <w:vAlign w:val="center"/>
          </w:tcPr>
          <w:p w14:paraId="3B9E910D">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1425317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0.0012</w:t>
            </w:r>
          </w:p>
        </w:tc>
        <w:tc>
          <w:tcPr>
            <w:tcW w:w="1739" w:type="dxa"/>
            <w:tcMar>
              <w:left w:w="28" w:type="dxa"/>
              <w:right w:w="28" w:type="dxa"/>
            </w:tcMar>
            <w:vAlign w:val="center"/>
          </w:tcPr>
          <w:p w14:paraId="5EC9DAC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1F34086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0.0013</w:t>
            </w:r>
          </w:p>
        </w:tc>
        <w:tc>
          <w:tcPr>
            <w:tcW w:w="1155" w:type="dxa"/>
            <w:shd w:val="clear" w:color="auto" w:fill="auto"/>
            <w:tcMar>
              <w:left w:w="28" w:type="dxa"/>
              <w:right w:w="28" w:type="dxa"/>
            </w:tcMar>
            <w:vAlign w:val="center"/>
          </w:tcPr>
          <w:p w14:paraId="53329323">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+0.0012</w:t>
            </w:r>
          </w:p>
        </w:tc>
      </w:tr>
      <w:tr w14:paraId="66140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2F15AA57">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p>
        </w:tc>
        <w:tc>
          <w:tcPr>
            <w:tcW w:w="2333" w:type="dxa"/>
            <w:tcMar>
              <w:left w:w="28" w:type="dxa"/>
              <w:right w:w="28" w:type="dxa"/>
            </w:tcMar>
            <w:vAlign w:val="center"/>
          </w:tcPr>
          <w:p w14:paraId="4B54E29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废纱布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tcMar>
              <w:left w:w="28" w:type="dxa"/>
              <w:right w:w="28" w:type="dxa"/>
            </w:tcMar>
            <w:vAlign w:val="center"/>
          </w:tcPr>
          <w:p w14:paraId="5ADE3DFE">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cs="Times New Roman"/>
                <w:snapToGrid w:val="0"/>
                <w:color w:val="auto"/>
                <w:spacing w:val="0"/>
                <w:kern w:val="21"/>
                <w:position w:val="0"/>
                <w:sz w:val="21"/>
                <w:szCs w:val="21"/>
                <w:highlight w:val="none"/>
                <w:lang w:val="en-US" w:eastAsia="zh-CN"/>
              </w:rPr>
              <w:t>-</w:t>
            </w:r>
          </w:p>
        </w:tc>
        <w:tc>
          <w:tcPr>
            <w:tcW w:w="1357" w:type="dxa"/>
            <w:tcMar>
              <w:left w:w="28" w:type="dxa"/>
              <w:right w:w="28" w:type="dxa"/>
            </w:tcMar>
            <w:vAlign w:val="center"/>
          </w:tcPr>
          <w:p w14:paraId="6761F207">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cs="Times New Roman"/>
                <w:snapToGrid w:val="0"/>
                <w:color w:val="auto"/>
                <w:spacing w:val="0"/>
                <w:kern w:val="21"/>
                <w:position w:val="0"/>
                <w:sz w:val="21"/>
                <w:szCs w:val="21"/>
                <w:highlight w:val="none"/>
                <w:lang w:val="en-US" w:eastAsia="zh-CN"/>
              </w:rPr>
              <w:t>-</w:t>
            </w:r>
          </w:p>
        </w:tc>
        <w:tc>
          <w:tcPr>
            <w:tcW w:w="1854" w:type="dxa"/>
            <w:tcMar>
              <w:left w:w="28" w:type="dxa"/>
              <w:right w:w="28" w:type="dxa"/>
            </w:tcMar>
            <w:vAlign w:val="center"/>
          </w:tcPr>
          <w:p w14:paraId="4944CF18">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7DABC021">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0.0001</w:t>
            </w:r>
          </w:p>
        </w:tc>
        <w:tc>
          <w:tcPr>
            <w:tcW w:w="1739" w:type="dxa"/>
            <w:tcMar>
              <w:left w:w="28" w:type="dxa"/>
              <w:right w:w="28" w:type="dxa"/>
            </w:tcMar>
            <w:vAlign w:val="center"/>
          </w:tcPr>
          <w:p w14:paraId="7EE62AB9">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4B8AA66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0.0001</w:t>
            </w:r>
          </w:p>
        </w:tc>
        <w:tc>
          <w:tcPr>
            <w:tcW w:w="1155" w:type="dxa"/>
            <w:shd w:val="clear" w:color="auto" w:fill="auto"/>
            <w:tcMar>
              <w:left w:w="28" w:type="dxa"/>
              <w:right w:w="28" w:type="dxa"/>
            </w:tcMar>
            <w:vAlign w:val="center"/>
          </w:tcPr>
          <w:p w14:paraId="751FBC0C">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+0.0001</w:t>
            </w:r>
          </w:p>
        </w:tc>
      </w:tr>
      <w:tr w14:paraId="14BFC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18DC1FC8">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p>
        </w:tc>
        <w:tc>
          <w:tcPr>
            <w:tcW w:w="2333" w:type="dxa"/>
            <w:tcMar>
              <w:left w:w="28" w:type="dxa"/>
              <w:right w:w="28" w:type="dxa"/>
            </w:tcMar>
            <w:vAlign w:val="center"/>
          </w:tcPr>
          <w:p w14:paraId="43CAC0B5">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废化学品包装物</w:t>
            </w:r>
          </w:p>
          <w:p w14:paraId="7C44F7F1">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 xml:space="preserve">（水性漆）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tcMar>
              <w:left w:w="28" w:type="dxa"/>
              <w:right w:w="28" w:type="dxa"/>
            </w:tcMar>
            <w:vAlign w:val="center"/>
          </w:tcPr>
          <w:p w14:paraId="08C0D17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0.5</w:t>
            </w:r>
          </w:p>
        </w:tc>
        <w:tc>
          <w:tcPr>
            <w:tcW w:w="1357" w:type="dxa"/>
            <w:tcMar>
              <w:left w:w="28" w:type="dxa"/>
              <w:right w:w="28" w:type="dxa"/>
            </w:tcMar>
            <w:vAlign w:val="center"/>
          </w:tcPr>
          <w:p w14:paraId="67FB21BE">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0.5</w:t>
            </w:r>
          </w:p>
        </w:tc>
        <w:tc>
          <w:tcPr>
            <w:tcW w:w="1854" w:type="dxa"/>
            <w:tcMar>
              <w:left w:w="28" w:type="dxa"/>
              <w:right w:w="28" w:type="dxa"/>
            </w:tcMar>
            <w:vAlign w:val="center"/>
          </w:tcPr>
          <w:p w14:paraId="7BA44B7B">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55F80D6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739" w:type="dxa"/>
            <w:tcMar>
              <w:left w:w="28" w:type="dxa"/>
              <w:right w:w="28" w:type="dxa"/>
            </w:tcMar>
            <w:vAlign w:val="center"/>
          </w:tcPr>
          <w:p w14:paraId="6F9792C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354E28F1">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155" w:type="dxa"/>
            <w:shd w:val="clear" w:color="auto" w:fill="auto"/>
            <w:tcMar>
              <w:left w:w="28" w:type="dxa"/>
              <w:right w:w="28" w:type="dxa"/>
            </w:tcMar>
            <w:vAlign w:val="center"/>
          </w:tcPr>
          <w:p w14:paraId="4885EAC9">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-0.5</w:t>
            </w:r>
          </w:p>
        </w:tc>
      </w:tr>
      <w:tr w14:paraId="347688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restart"/>
            <w:tcMar>
              <w:left w:w="28" w:type="dxa"/>
              <w:right w:w="28" w:type="dxa"/>
            </w:tcMar>
            <w:vAlign w:val="center"/>
          </w:tcPr>
          <w:p w14:paraId="1D93809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rPr>
            </w:pPr>
            <w:r>
              <w:rPr>
                <w:rFonts w:hint="default" w:ascii="Times New Roman" w:hAnsi="Times New Roman" w:eastAsia="宋体" w:cs="Times New Roman"/>
                <w:snapToGrid w:val="0"/>
                <w:color w:val="auto"/>
                <w:spacing w:val="0"/>
                <w:kern w:val="21"/>
                <w:position w:val="0"/>
                <w:sz w:val="21"/>
                <w:szCs w:val="21"/>
                <w:highlight w:val="none"/>
              </w:rPr>
              <w:t>危险废物</w:t>
            </w:r>
          </w:p>
        </w:tc>
        <w:tc>
          <w:tcPr>
            <w:tcW w:w="2333" w:type="dxa"/>
            <w:tcMar>
              <w:left w:w="28" w:type="dxa"/>
              <w:right w:w="28" w:type="dxa"/>
            </w:tcMar>
            <w:vAlign w:val="center"/>
          </w:tcPr>
          <w:p w14:paraId="572B6839">
            <w:pPr>
              <w:pStyle w:val="107"/>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napToGrid w:val="0"/>
                <w:color w:val="auto"/>
                <w:spacing w:val="0"/>
                <w:kern w:val="21"/>
                <w:position w:val="0"/>
                <w:sz w:val="21"/>
                <w:szCs w:val="21"/>
                <w:highlight w:val="none"/>
              </w:rPr>
            </w:pPr>
            <w:r>
              <w:rPr>
                <w:rFonts w:hint="eastAsia" w:ascii="Times New Roman" w:hAnsi="Times New Roman" w:eastAsia="宋体" w:cs="Times New Roman"/>
                <w:bCs/>
                <w:color w:val="auto"/>
                <w:spacing w:val="0"/>
                <w:position w:val="0"/>
                <w:sz w:val="21"/>
                <w:szCs w:val="21"/>
                <w:highlight w:val="none"/>
                <w:lang w:val="en-US" w:eastAsia="zh-CN"/>
              </w:rPr>
              <w:t>漆渣</w:t>
            </w:r>
            <w:r>
              <w:rPr>
                <w:rFonts w:hint="eastAsia" w:ascii="Times New Roman" w:hAnsi="Times New Roman" w:eastAsia="宋体" w:cs="Times New Roman"/>
                <w:color w:val="auto"/>
                <w:spacing w:val="0"/>
                <w:position w:val="0"/>
                <w:sz w:val="21"/>
                <w:szCs w:val="21"/>
                <w:highlight w:val="none"/>
                <w:vertAlign w:val="baseline"/>
                <w:lang w:val="en-US" w:eastAsia="zh-CN"/>
              </w:rPr>
              <w:t xml:space="preserve">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tcMar>
              <w:left w:w="28" w:type="dxa"/>
              <w:right w:w="28" w:type="dxa"/>
            </w:tcMar>
            <w:vAlign w:val="center"/>
          </w:tcPr>
          <w:p w14:paraId="277DEC0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1.26</w:t>
            </w:r>
          </w:p>
        </w:tc>
        <w:tc>
          <w:tcPr>
            <w:tcW w:w="1357" w:type="dxa"/>
            <w:tcMar>
              <w:left w:w="28" w:type="dxa"/>
              <w:right w:w="28" w:type="dxa"/>
            </w:tcMar>
            <w:vAlign w:val="center"/>
          </w:tcPr>
          <w:p w14:paraId="413244EC">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1.26</w:t>
            </w:r>
          </w:p>
        </w:tc>
        <w:tc>
          <w:tcPr>
            <w:tcW w:w="1854" w:type="dxa"/>
            <w:tcMar>
              <w:left w:w="28" w:type="dxa"/>
              <w:right w:w="28" w:type="dxa"/>
            </w:tcMar>
            <w:vAlign w:val="center"/>
          </w:tcPr>
          <w:p w14:paraId="33EB65F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317DD54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6.0724</w:t>
            </w:r>
          </w:p>
        </w:tc>
        <w:tc>
          <w:tcPr>
            <w:tcW w:w="1739" w:type="dxa"/>
            <w:tcMar>
              <w:left w:w="28" w:type="dxa"/>
              <w:right w:w="28" w:type="dxa"/>
            </w:tcMar>
            <w:vAlign w:val="center"/>
          </w:tcPr>
          <w:p w14:paraId="419DD668">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5297FCB7">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7.3324</w:t>
            </w:r>
          </w:p>
        </w:tc>
        <w:tc>
          <w:tcPr>
            <w:tcW w:w="1155" w:type="dxa"/>
            <w:shd w:val="clear" w:color="auto" w:fill="auto"/>
            <w:tcMar>
              <w:left w:w="28" w:type="dxa"/>
              <w:right w:w="28" w:type="dxa"/>
            </w:tcMar>
            <w:vAlign w:val="center"/>
          </w:tcPr>
          <w:p w14:paraId="519A40E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+6.0724</w:t>
            </w:r>
          </w:p>
        </w:tc>
      </w:tr>
      <w:tr w14:paraId="66405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21F9024F">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rPr>
            </w:pPr>
          </w:p>
        </w:tc>
        <w:tc>
          <w:tcPr>
            <w:tcW w:w="2333" w:type="dxa"/>
            <w:tcMar>
              <w:left w:w="28" w:type="dxa"/>
              <w:right w:w="28" w:type="dxa"/>
            </w:tcMar>
            <w:vAlign w:val="center"/>
          </w:tcPr>
          <w:p w14:paraId="2439F7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spacing w:val="0"/>
                <w:kern w:val="21"/>
                <w:position w:val="0"/>
                <w:sz w:val="21"/>
                <w:szCs w:val="21"/>
                <w:highlight w:val="none"/>
                <w:lang w:eastAsia="zh-CN"/>
              </w:rPr>
            </w:pPr>
            <w:r>
              <w:rPr>
                <w:rFonts w:hint="eastAsia" w:ascii="Times New Roman" w:hAnsi="Times New Roman" w:eastAsia="宋体" w:cs="Times New Roman"/>
                <w:bCs/>
                <w:color w:val="auto"/>
                <w:spacing w:val="0"/>
                <w:kern w:val="2"/>
                <w:position w:val="0"/>
                <w:sz w:val="21"/>
                <w:szCs w:val="21"/>
                <w:highlight w:val="none"/>
                <w:lang w:val="en-US" w:eastAsia="zh-CN" w:bidi="ar-SA"/>
              </w:rPr>
              <w:t>废活性炭</w:t>
            </w:r>
            <w:r>
              <w:rPr>
                <w:rFonts w:hint="eastAsia" w:ascii="Times New Roman" w:hAnsi="Times New Roman" w:eastAsia="宋体" w:cs="Times New Roman"/>
                <w:color w:val="auto"/>
                <w:spacing w:val="0"/>
                <w:kern w:val="2"/>
                <w:position w:val="0"/>
                <w:sz w:val="21"/>
                <w:szCs w:val="21"/>
                <w:highlight w:val="none"/>
                <w:lang w:val="en-US" w:eastAsia="zh-CN" w:bidi="ar-SA"/>
              </w:rPr>
              <w:t xml:space="preserve">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tcMar>
              <w:left w:w="28" w:type="dxa"/>
              <w:right w:w="28" w:type="dxa"/>
            </w:tcMar>
            <w:vAlign w:val="center"/>
          </w:tcPr>
          <w:p w14:paraId="232023E9">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2.43</w:t>
            </w:r>
          </w:p>
        </w:tc>
        <w:tc>
          <w:tcPr>
            <w:tcW w:w="1357" w:type="dxa"/>
            <w:tcMar>
              <w:left w:w="28" w:type="dxa"/>
              <w:right w:w="28" w:type="dxa"/>
            </w:tcMar>
            <w:vAlign w:val="center"/>
          </w:tcPr>
          <w:p w14:paraId="4338EE28">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2.43</w:t>
            </w:r>
          </w:p>
        </w:tc>
        <w:tc>
          <w:tcPr>
            <w:tcW w:w="1854" w:type="dxa"/>
            <w:tcMar>
              <w:left w:w="28" w:type="dxa"/>
              <w:right w:w="28" w:type="dxa"/>
            </w:tcMar>
            <w:vAlign w:val="center"/>
          </w:tcPr>
          <w:p w14:paraId="51C1716D">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0E64E09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9.9289</w:t>
            </w:r>
          </w:p>
        </w:tc>
        <w:tc>
          <w:tcPr>
            <w:tcW w:w="1739" w:type="dxa"/>
            <w:tcMar>
              <w:left w:w="28" w:type="dxa"/>
              <w:right w:w="28" w:type="dxa"/>
            </w:tcMar>
            <w:vAlign w:val="center"/>
          </w:tcPr>
          <w:p w14:paraId="77F2C19A">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4FEE92C8">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1</w:t>
            </w:r>
            <w:r>
              <w:rPr>
                <w:rFonts w:hint="eastAsia" w:ascii="Times New Roman" w:cs="Times New Roman"/>
                <w:snapToGrid w:val="0"/>
                <w:color w:val="auto"/>
                <w:spacing w:val="0"/>
                <w:kern w:val="21"/>
                <w:position w:val="0"/>
                <w:sz w:val="21"/>
                <w:szCs w:val="21"/>
                <w:highlight w:val="none"/>
                <w:lang w:val="en-US" w:eastAsia="zh-CN"/>
              </w:rPr>
              <w:t>2.3589</w:t>
            </w:r>
          </w:p>
        </w:tc>
        <w:tc>
          <w:tcPr>
            <w:tcW w:w="1155" w:type="dxa"/>
            <w:shd w:val="clear" w:color="auto" w:fill="auto"/>
            <w:tcMar>
              <w:left w:w="28" w:type="dxa"/>
              <w:right w:w="28" w:type="dxa"/>
            </w:tcMar>
            <w:vAlign w:val="center"/>
          </w:tcPr>
          <w:p w14:paraId="121DCF24">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+9.9289</w:t>
            </w:r>
          </w:p>
        </w:tc>
      </w:tr>
      <w:tr w14:paraId="03EB9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4FFD6A5E">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rPr>
            </w:pPr>
          </w:p>
        </w:tc>
        <w:tc>
          <w:tcPr>
            <w:tcW w:w="2333" w:type="dxa"/>
            <w:tcMar>
              <w:left w:w="28" w:type="dxa"/>
              <w:right w:w="28" w:type="dxa"/>
            </w:tcMar>
            <w:vAlign w:val="center"/>
          </w:tcPr>
          <w:p w14:paraId="27AD51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pacing w:val="0"/>
                <w:kern w:val="2"/>
                <w:position w:val="0"/>
                <w:sz w:val="21"/>
                <w:szCs w:val="21"/>
                <w:highlight w:val="none"/>
                <w:lang w:val="en-US" w:eastAsia="zh-CN" w:bidi="ar-SA"/>
              </w:rPr>
            </w:pPr>
            <w:r>
              <w:rPr>
                <w:rFonts w:hint="eastAsia" w:cs="Times New Roman"/>
                <w:bCs/>
                <w:color w:val="auto"/>
                <w:spacing w:val="0"/>
                <w:kern w:val="2"/>
                <w:position w:val="0"/>
                <w:sz w:val="21"/>
                <w:szCs w:val="21"/>
                <w:highlight w:val="none"/>
                <w:lang w:val="en-US" w:eastAsia="zh-CN" w:bidi="ar-SA"/>
              </w:rPr>
              <w:t>废过滤棉 t/a</w:t>
            </w:r>
          </w:p>
        </w:tc>
        <w:tc>
          <w:tcPr>
            <w:tcW w:w="1732" w:type="dxa"/>
            <w:tcMar>
              <w:left w:w="28" w:type="dxa"/>
              <w:right w:w="28" w:type="dxa"/>
            </w:tcMar>
            <w:vAlign w:val="center"/>
          </w:tcPr>
          <w:p w14:paraId="25F009F1">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cs="Times New Roman"/>
                <w:snapToGrid w:val="0"/>
                <w:color w:val="auto"/>
                <w:spacing w:val="0"/>
                <w:kern w:val="21"/>
                <w:position w:val="0"/>
                <w:sz w:val="21"/>
                <w:szCs w:val="21"/>
                <w:highlight w:val="none"/>
                <w:lang w:val="en-US" w:eastAsia="zh-CN"/>
              </w:rPr>
              <w:t>-</w:t>
            </w:r>
          </w:p>
        </w:tc>
        <w:tc>
          <w:tcPr>
            <w:tcW w:w="1357" w:type="dxa"/>
            <w:tcMar>
              <w:left w:w="28" w:type="dxa"/>
              <w:right w:w="28" w:type="dxa"/>
            </w:tcMar>
            <w:vAlign w:val="center"/>
          </w:tcPr>
          <w:p w14:paraId="08595334">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cs="Times New Roman"/>
                <w:snapToGrid w:val="0"/>
                <w:color w:val="auto"/>
                <w:spacing w:val="0"/>
                <w:kern w:val="21"/>
                <w:position w:val="0"/>
                <w:sz w:val="21"/>
                <w:szCs w:val="21"/>
                <w:highlight w:val="none"/>
                <w:lang w:val="en-US" w:eastAsia="zh-CN"/>
              </w:rPr>
              <w:t>-</w:t>
            </w:r>
          </w:p>
        </w:tc>
        <w:tc>
          <w:tcPr>
            <w:tcW w:w="1854" w:type="dxa"/>
            <w:tcMar>
              <w:left w:w="28" w:type="dxa"/>
              <w:right w:w="28" w:type="dxa"/>
            </w:tcMar>
            <w:vAlign w:val="center"/>
          </w:tcPr>
          <w:p w14:paraId="250D094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6B4166A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0.268</w:t>
            </w:r>
          </w:p>
        </w:tc>
        <w:tc>
          <w:tcPr>
            <w:tcW w:w="1739" w:type="dxa"/>
            <w:tcMar>
              <w:left w:w="28" w:type="dxa"/>
              <w:right w:w="28" w:type="dxa"/>
            </w:tcMar>
            <w:vAlign w:val="center"/>
          </w:tcPr>
          <w:p w14:paraId="445EA6EE">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32407405">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0.268</w:t>
            </w:r>
          </w:p>
        </w:tc>
        <w:tc>
          <w:tcPr>
            <w:tcW w:w="1155" w:type="dxa"/>
            <w:shd w:val="clear" w:color="auto" w:fill="auto"/>
            <w:tcMar>
              <w:left w:w="28" w:type="dxa"/>
              <w:right w:w="28" w:type="dxa"/>
            </w:tcMar>
            <w:vAlign w:val="center"/>
          </w:tcPr>
          <w:p w14:paraId="7C0C178E">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+0.268</w:t>
            </w:r>
          </w:p>
        </w:tc>
      </w:tr>
      <w:tr w14:paraId="4BB05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1EE7730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rPr>
            </w:pPr>
          </w:p>
        </w:tc>
        <w:tc>
          <w:tcPr>
            <w:tcW w:w="2333" w:type="dxa"/>
            <w:tcMar>
              <w:left w:w="28" w:type="dxa"/>
              <w:right w:w="28" w:type="dxa"/>
            </w:tcMar>
            <w:vAlign w:val="center"/>
          </w:tcPr>
          <w:p w14:paraId="7A8FB3C0">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vertAlign w:val="baseline"/>
                <w:lang w:val="en-US" w:eastAsia="zh-CN"/>
              </w:rPr>
              <w:t>沉淀污泥</w:t>
            </w:r>
            <w:r>
              <w:rPr>
                <w:rFonts w:hint="eastAsia" w:ascii="Times New Roman" w:hAnsi="Times New Roman" w:eastAsia="宋体" w:cs="Times New Roman"/>
                <w:bCs/>
                <w:color w:val="auto"/>
                <w:spacing w:val="0"/>
                <w:position w:val="0"/>
                <w:sz w:val="21"/>
                <w:szCs w:val="21"/>
                <w:highlight w:val="none"/>
                <w:lang w:val="en-US" w:eastAsia="zh-CN"/>
              </w:rPr>
              <w:t xml:space="preserve">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shd w:val="clear" w:color="auto" w:fill="auto"/>
            <w:tcMar>
              <w:left w:w="28" w:type="dxa"/>
              <w:right w:w="28" w:type="dxa"/>
            </w:tcMar>
            <w:vAlign w:val="center"/>
          </w:tcPr>
          <w:p w14:paraId="5EF38C85">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w:t>
            </w:r>
          </w:p>
        </w:tc>
        <w:tc>
          <w:tcPr>
            <w:tcW w:w="1357" w:type="dxa"/>
            <w:shd w:val="clear" w:color="auto" w:fill="auto"/>
            <w:tcMar>
              <w:left w:w="28" w:type="dxa"/>
              <w:right w:w="28" w:type="dxa"/>
            </w:tcMar>
            <w:vAlign w:val="center"/>
          </w:tcPr>
          <w:p w14:paraId="05AA87BC">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w:t>
            </w:r>
          </w:p>
        </w:tc>
        <w:tc>
          <w:tcPr>
            <w:tcW w:w="1854" w:type="dxa"/>
            <w:shd w:val="clear" w:color="auto" w:fill="auto"/>
            <w:tcMar>
              <w:left w:w="28" w:type="dxa"/>
              <w:right w:w="28" w:type="dxa"/>
            </w:tcMar>
            <w:vAlign w:val="center"/>
          </w:tcPr>
          <w:p w14:paraId="66D4D2C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shd w:val="clear" w:color="auto" w:fill="auto"/>
            <w:tcMar>
              <w:left w:w="28" w:type="dxa"/>
              <w:right w:w="28" w:type="dxa"/>
            </w:tcMar>
            <w:vAlign w:val="center"/>
          </w:tcPr>
          <w:p w14:paraId="24517B45">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739" w:type="dxa"/>
            <w:shd w:val="clear" w:color="auto" w:fill="auto"/>
            <w:tcMar>
              <w:left w:w="28" w:type="dxa"/>
              <w:right w:w="28" w:type="dxa"/>
            </w:tcMar>
            <w:vAlign w:val="center"/>
          </w:tcPr>
          <w:p w14:paraId="184E04C1">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4427312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w:t>
            </w:r>
            <w:r>
              <w:rPr>
                <w:rFonts w:hint="eastAsia" w:ascii="Times New Roman" w:cs="Times New Roman"/>
                <w:snapToGrid w:val="0"/>
                <w:color w:val="auto"/>
                <w:spacing w:val="0"/>
                <w:kern w:val="21"/>
                <w:position w:val="0"/>
                <w:sz w:val="21"/>
                <w:szCs w:val="21"/>
                <w:highlight w:val="none"/>
                <w:lang w:val="en-US" w:eastAsia="zh-CN"/>
              </w:rPr>
              <w:t>545</w:t>
            </w:r>
          </w:p>
        </w:tc>
        <w:tc>
          <w:tcPr>
            <w:tcW w:w="1155" w:type="dxa"/>
            <w:shd w:val="clear" w:color="auto" w:fill="auto"/>
            <w:tcMar>
              <w:left w:w="28" w:type="dxa"/>
              <w:right w:w="28" w:type="dxa"/>
            </w:tcMar>
            <w:vAlign w:val="center"/>
          </w:tcPr>
          <w:p w14:paraId="490310EC">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-0.0</w:t>
            </w:r>
            <w:r>
              <w:rPr>
                <w:rFonts w:hint="eastAsia" w:ascii="Times New Roman" w:cs="Times New Roman"/>
                <w:snapToGrid w:val="0"/>
                <w:color w:val="auto"/>
                <w:spacing w:val="0"/>
                <w:kern w:val="21"/>
                <w:position w:val="0"/>
                <w:sz w:val="21"/>
                <w:szCs w:val="21"/>
                <w:highlight w:val="none"/>
                <w:lang w:val="en-US" w:eastAsia="zh-CN"/>
              </w:rPr>
              <w:t>455</w:t>
            </w:r>
          </w:p>
        </w:tc>
      </w:tr>
      <w:tr w14:paraId="19948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66498BB1">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rPr>
            </w:pPr>
          </w:p>
        </w:tc>
        <w:tc>
          <w:tcPr>
            <w:tcW w:w="2333" w:type="dxa"/>
            <w:tcMar>
              <w:left w:w="28" w:type="dxa"/>
              <w:right w:w="28" w:type="dxa"/>
            </w:tcMar>
            <w:vAlign w:val="center"/>
          </w:tcPr>
          <w:p w14:paraId="6F72ACBE">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pacing w:val="0"/>
                <w:kern w:val="0"/>
                <w:position w:val="0"/>
                <w:sz w:val="21"/>
                <w:szCs w:val="21"/>
                <w:highlight w:val="none"/>
                <w:lang w:val="en-US" w:eastAsia="zh-CN" w:bidi="ar"/>
              </w:rPr>
            </w:pPr>
            <w:r>
              <w:rPr>
                <w:rFonts w:hint="eastAsia" w:ascii="Times New Roman" w:hAnsi="Times New Roman" w:eastAsia="宋体" w:cs="Times New Roman"/>
                <w:bCs/>
                <w:color w:val="auto"/>
                <w:spacing w:val="0"/>
                <w:position w:val="0"/>
                <w:sz w:val="21"/>
                <w:szCs w:val="21"/>
                <w:highlight w:val="none"/>
                <w:lang w:val="en-US" w:eastAsia="zh-CN"/>
              </w:rPr>
              <w:t>水帘气旋废</w:t>
            </w:r>
            <w:r>
              <w:rPr>
                <w:rFonts w:hint="eastAsia" w:cs="Times New Roman"/>
                <w:bCs/>
                <w:color w:val="auto"/>
                <w:spacing w:val="0"/>
                <w:position w:val="0"/>
                <w:sz w:val="21"/>
                <w:szCs w:val="21"/>
                <w:highlight w:val="none"/>
                <w:lang w:val="en-US" w:eastAsia="zh-CN"/>
              </w:rPr>
              <w:t>液</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shd w:val="clear" w:color="auto" w:fill="auto"/>
            <w:tcMar>
              <w:left w:w="28" w:type="dxa"/>
              <w:right w:w="28" w:type="dxa"/>
            </w:tcMar>
            <w:vAlign w:val="center"/>
          </w:tcPr>
          <w:p w14:paraId="5B9EB83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1.5</w:t>
            </w:r>
          </w:p>
        </w:tc>
        <w:tc>
          <w:tcPr>
            <w:tcW w:w="1357" w:type="dxa"/>
            <w:shd w:val="clear" w:color="auto" w:fill="auto"/>
            <w:tcMar>
              <w:left w:w="28" w:type="dxa"/>
              <w:right w:w="28" w:type="dxa"/>
            </w:tcMar>
            <w:vAlign w:val="center"/>
          </w:tcPr>
          <w:p w14:paraId="0A1C9CD1">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1.5</w:t>
            </w:r>
          </w:p>
        </w:tc>
        <w:tc>
          <w:tcPr>
            <w:tcW w:w="1854" w:type="dxa"/>
            <w:shd w:val="clear" w:color="auto" w:fill="auto"/>
            <w:tcMar>
              <w:left w:w="28" w:type="dxa"/>
              <w:right w:w="28" w:type="dxa"/>
            </w:tcMar>
            <w:vAlign w:val="center"/>
          </w:tcPr>
          <w:p w14:paraId="2851D078">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shd w:val="clear" w:color="auto" w:fill="auto"/>
            <w:tcMar>
              <w:left w:w="28" w:type="dxa"/>
              <w:right w:w="28" w:type="dxa"/>
            </w:tcMar>
            <w:vAlign w:val="center"/>
          </w:tcPr>
          <w:p w14:paraId="41589015">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3.792</w:t>
            </w:r>
          </w:p>
        </w:tc>
        <w:tc>
          <w:tcPr>
            <w:tcW w:w="1739" w:type="dxa"/>
            <w:shd w:val="clear" w:color="auto" w:fill="auto"/>
            <w:tcMar>
              <w:left w:w="28" w:type="dxa"/>
              <w:right w:w="28" w:type="dxa"/>
            </w:tcMar>
            <w:vAlign w:val="center"/>
          </w:tcPr>
          <w:p w14:paraId="233EDEB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5A59D6EA">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5.292</w:t>
            </w:r>
          </w:p>
        </w:tc>
        <w:tc>
          <w:tcPr>
            <w:tcW w:w="1155" w:type="dxa"/>
            <w:shd w:val="clear" w:color="auto" w:fill="auto"/>
            <w:tcMar>
              <w:left w:w="28" w:type="dxa"/>
              <w:right w:w="28" w:type="dxa"/>
            </w:tcMar>
            <w:vAlign w:val="center"/>
          </w:tcPr>
          <w:p w14:paraId="1D99AECA">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+3.792</w:t>
            </w:r>
          </w:p>
        </w:tc>
      </w:tr>
      <w:tr w14:paraId="521F5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6AC5709F">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rPr>
            </w:pPr>
          </w:p>
        </w:tc>
        <w:tc>
          <w:tcPr>
            <w:tcW w:w="2333" w:type="dxa"/>
            <w:tcMar>
              <w:left w:w="28" w:type="dxa"/>
              <w:right w:w="28" w:type="dxa"/>
            </w:tcMar>
            <w:vAlign w:val="center"/>
          </w:tcPr>
          <w:p w14:paraId="0416C0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pacing w:val="0"/>
                <w:position w:val="0"/>
                <w:sz w:val="21"/>
                <w:szCs w:val="21"/>
                <w:highlight w:val="none"/>
                <w:lang w:val="en-US" w:eastAsia="zh-CN"/>
              </w:rPr>
            </w:pPr>
            <w:r>
              <w:rPr>
                <w:rFonts w:hint="eastAsia" w:cs="Times New Roman"/>
                <w:bCs/>
                <w:color w:val="auto"/>
                <w:spacing w:val="0"/>
                <w:kern w:val="2"/>
                <w:position w:val="0"/>
                <w:sz w:val="21"/>
                <w:szCs w:val="21"/>
                <w:highlight w:val="none"/>
                <w:lang w:val="en-US" w:eastAsia="zh-CN" w:bidi="ar-SA"/>
              </w:rPr>
              <w:t>喷枪清洗废液</w:t>
            </w:r>
            <w:r>
              <w:rPr>
                <w:rFonts w:hint="eastAsia" w:ascii="Times New Roman" w:hAnsi="Times New Roman" w:eastAsia="宋体" w:cs="Times New Roman"/>
                <w:bCs/>
                <w:color w:val="auto"/>
                <w:spacing w:val="0"/>
                <w:kern w:val="2"/>
                <w:position w:val="0"/>
                <w:sz w:val="21"/>
                <w:szCs w:val="21"/>
                <w:highlight w:val="none"/>
                <w:lang w:val="en-US" w:eastAsia="zh-CN" w:bidi="ar-SA"/>
              </w:rPr>
              <w:t xml:space="preserve">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tcMar>
              <w:left w:w="28" w:type="dxa"/>
              <w:right w:w="28" w:type="dxa"/>
            </w:tcMar>
            <w:vAlign w:val="center"/>
          </w:tcPr>
          <w:p w14:paraId="3D33D58E">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0.3</w:t>
            </w:r>
          </w:p>
        </w:tc>
        <w:tc>
          <w:tcPr>
            <w:tcW w:w="1357" w:type="dxa"/>
            <w:tcMar>
              <w:left w:w="28" w:type="dxa"/>
              <w:right w:w="28" w:type="dxa"/>
            </w:tcMar>
            <w:vAlign w:val="center"/>
          </w:tcPr>
          <w:p w14:paraId="0B525BF5">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0.3</w:t>
            </w:r>
          </w:p>
        </w:tc>
        <w:tc>
          <w:tcPr>
            <w:tcW w:w="1854" w:type="dxa"/>
            <w:tcMar>
              <w:left w:w="28" w:type="dxa"/>
              <w:right w:w="28" w:type="dxa"/>
            </w:tcMar>
            <w:vAlign w:val="center"/>
          </w:tcPr>
          <w:p w14:paraId="3166810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626EEA7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739" w:type="dxa"/>
            <w:tcMar>
              <w:left w:w="28" w:type="dxa"/>
              <w:right w:w="28" w:type="dxa"/>
            </w:tcMar>
            <w:vAlign w:val="center"/>
          </w:tcPr>
          <w:p w14:paraId="40F19F1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default"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0B499973">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0.3</w:t>
            </w:r>
          </w:p>
        </w:tc>
        <w:tc>
          <w:tcPr>
            <w:tcW w:w="1155" w:type="dxa"/>
            <w:shd w:val="clear" w:color="auto" w:fill="auto"/>
            <w:tcMar>
              <w:left w:w="28" w:type="dxa"/>
              <w:right w:w="28" w:type="dxa"/>
            </w:tcMar>
            <w:vAlign w:val="center"/>
          </w:tcPr>
          <w:p w14:paraId="0102E36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r>
      <w:tr w14:paraId="69FD8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7BDDD80D">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rPr>
            </w:pPr>
          </w:p>
        </w:tc>
        <w:tc>
          <w:tcPr>
            <w:tcW w:w="2333" w:type="dxa"/>
            <w:tcMar>
              <w:left w:w="28" w:type="dxa"/>
              <w:right w:w="28" w:type="dxa"/>
            </w:tcMar>
            <w:vAlign w:val="center"/>
          </w:tcPr>
          <w:p w14:paraId="47E13E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spacing w:val="0"/>
                <w:kern w:val="21"/>
                <w:position w:val="0"/>
                <w:sz w:val="21"/>
                <w:szCs w:val="21"/>
                <w:highlight w:val="none"/>
              </w:rPr>
            </w:pPr>
            <w:r>
              <w:rPr>
                <w:rFonts w:hint="eastAsia" w:cs="Times New Roman"/>
                <w:color w:val="auto"/>
                <w:spacing w:val="0"/>
                <w:position w:val="0"/>
                <w:sz w:val="21"/>
                <w:szCs w:val="21"/>
                <w:highlight w:val="none"/>
                <w:vertAlign w:val="baseline"/>
                <w:lang w:val="en-US" w:eastAsia="zh-CN"/>
              </w:rPr>
              <w:t>废化学品包装物</w:t>
            </w:r>
            <w:r>
              <w:rPr>
                <w:rFonts w:hint="eastAsia" w:ascii="Times New Roman" w:hAnsi="Times New Roman" w:eastAsia="宋体" w:cs="Times New Roman"/>
                <w:color w:val="auto"/>
                <w:spacing w:val="0"/>
                <w:position w:val="0"/>
                <w:sz w:val="21"/>
                <w:szCs w:val="21"/>
                <w:highlight w:val="none"/>
                <w:vertAlign w:val="baseline"/>
                <w:lang w:val="en-US" w:eastAsia="zh-CN"/>
              </w:rPr>
              <w:t xml:space="preserve">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tcMar>
              <w:left w:w="28" w:type="dxa"/>
              <w:right w:w="28" w:type="dxa"/>
            </w:tcMar>
            <w:vAlign w:val="center"/>
          </w:tcPr>
          <w:p w14:paraId="15D9516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0.32</w:t>
            </w:r>
          </w:p>
        </w:tc>
        <w:tc>
          <w:tcPr>
            <w:tcW w:w="1357" w:type="dxa"/>
            <w:tcMar>
              <w:left w:w="28" w:type="dxa"/>
              <w:right w:w="28" w:type="dxa"/>
            </w:tcMar>
            <w:vAlign w:val="center"/>
          </w:tcPr>
          <w:p w14:paraId="49B8E6B3">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0.32</w:t>
            </w:r>
          </w:p>
        </w:tc>
        <w:tc>
          <w:tcPr>
            <w:tcW w:w="1854" w:type="dxa"/>
            <w:tcMar>
              <w:left w:w="28" w:type="dxa"/>
              <w:right w:w="28" w:type="dxa"/>
            </w:tcMar>
            <w:vAlign w:val="center"/>
          </w:tcPr>
          <w:p w14:paraId="2F16BBE8">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5110205F">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0.2022</w:t>
            </w:r>
          </w:p>
        </w:tc>
        <w:tc>
          <w:tcPr>
            <w:tcW w:w="1739" w:type="dxa"/>
            <w:tcMar>
              <w:left w:w="28" w:type="dxa"/>
              <w:right w:w="28" w:type="dxa"/>
            </w:tcMar>
            <w:vAlign w:val="center"/>
          </w:tcPr>
          <w:p w14:paraId="301E85B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65C85A3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0.5222</w:t>
            </w:r>
          </w:p>
        </w:tc>
        <w:tc>
          <w:tcPr>
            <w:tcW w:w="1155" w:type="dxa"/>
            <w:shd w:val="clear" w:color="auto" w:fill="auto"/>
            <w:tcMar>
              <w:left w:w="28" w:type="dxa"/>
              <w:right w:w="28" w:type="dxa"/>
            </w:tcMar>
            <w:vAlign w:val="center"/>
          </w:tcPr>
          <w:p w14:paraId="00931EBE">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+0.2022</w:t>
            </w:r>
          </w:p>
        </w:tc>
      </w:tr>
      <w:tr w14:paraId="411FF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0A2EC142">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rPr>
            </w:pPr>
          </w:p>
        </w:tc>
        <w:tc>
          <w:tcPr>
            <w:tcW w:w="2333" w:type="dxa"/>
            <w:tcMar>
              <w:left w:w="28" w:type="dxa"/>
              <w:right w:w="28" w:type="dxa"/>
            </w:tcMar>
            <w:vAlign w:val="center"/>
          </w:tcPr>
          <w:p w14:paraId="412118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废灯管 t/a</w:t>
            </w:r>
          </w:p>
        </w:tc>
        <w:tc>
          <w:tcPr>
            <w:tcW w:w="1732" w:type="dxa"/>
            <w:tcMar>
              <w:left w:w="28" w:type="dxa"/>
              <w:right w:w="28" w:type="dxa"/>
            </w:tcMar>
            <w:vAlign w:val="center"/>
          </w:tcPr>
          <w:p w14:paraId="6DEA0D4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0.15</w:t>
            </w:r>
          </w:p>
        </w:tc>
        <w:tc>
          <w:tcPr>
            <w:tcW w:w="1357" w:type="dxa"/>
            <w:tcMar>
              <w:left w:w="28" w:type="dxa"/>
              <w:right w:w="28" w:type="dxa"/>
            </w:tcMar>
            <w:vAlign w:val="center"/>
          </w:tcPr>
          <w:p w14:paraId="4FBF926A">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0.15</w:t>
            </w:r>
          </w:p>
        </w:tc>
        <w:tc>
          <w:tcPr>
            <w:tcW w:w="1854" w:type="dxa"/>
            <w:tcMar>
              <w:left w:w="28" w:type="dxa"/>
              <w:right w:w="28" w:type="dxa"/>
            </w:tcMar>
            <w:vAlign w:val="center"/>
          </w:tcPr>
          <w:p w14:paraId="58D59ACF">
            <w:pPr>
              <w:pStyle w:val="54"/>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1826433F">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739" w:type="dxa"/>
            <w:tcMar>
              <w:left w:w="28" w:type="dxa"/>
              <w:right w:w="28" w:type="dxa"/>
            </w:tcMar>
            <w:vAlign w:val="center"/>
          </w:tcPr>
          <w:p w14:paraId="515D091C">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554A8D19">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w:t>
            </w:r>
          </w:p>
        </w:tc>
        <w:tc>
          <w:tcPr>
            <w:tcW w:w="1155" w:type="dxa"/>
            <w:shd w:val="clear" w:color="auto" w:fill="auto"/>
            <w:tcMar>
              <w:left w:w="28" w:type="dxa"/>
              <w:right w:w="28" w:type="dxa"/>
            </w:tcMar>
            <w:vAlign w:val="center"/>
          </w:tcPr>
          <w:p w14:paraId="12D7F0E9">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-0.15</w:t>
            </w:r>
          </w:p>
        </w:tc>
      </w:tr>
      <w:tr w14:paraId="6BC5D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5C9F0877">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rPr>
            </w:pPr>
          </w:p>
        </w:tc>
        <w:tc>
          <w:tcPr>
            <w:tcW w:w="2333" w:type="dxa"/>
            <w:tcMar>
              <w:left w:w="28" w:type="dxa"/>
              <w:right w:w="28" w:type="dxa"/>
            </w:tcMar>
            <w:vAlign w:val="center"/>
          </w:tcPr>
          <w:p w14:paraId="59B2C980">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废润滑油 t/a</w:t>
            </w:r>
          </w:p>
        </w:tc>
        <w:tc>
          <w:tcPr>
            <w:tcW w:w="1732" w:type="dxa"/>
            <w:tcMar>
              <w:left w:w="28" w:type="dxa"/>
              <w:right w:w="28" w:type="dxa"/>
            </w:tcMar>
            <w:vAlign w:val="center"/>
          </w:tcPr>
          <w:p w14:paraId="3A3DC4B8">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0.005</w:t>
            </w:r>
          </w:p>
        </w:tc>
        <w:tc>
          <w:tcPr>
            <w:tcW w:w="1357" w:type="dxa"/>
            <w:tcMar>
              <w:left w:w="28" w:type="dxa"/>
              <w:right w:w="28" w:type="dxa"/>
            </w:tcMar>
            <w:vAlign w:val="center"/>
          </w:tcPr>
          <w:p w14:paraId="74BAFA3B">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0.005</w:t>
            </w:r>
          </w:p>
        </w:tc>
        <w:tc>
          <w:tcPr>
            <w:tcW w:w="1854" w:type="dxa"/>
            <w:tcMar>
              <w:left w:w="28" w:type="dxa"/>
              <w:right w:w="28" w:type="dxa"/>
            </w:tcMar>
            <w:vAlign w:val="center"/>
          </w:tcPr>
          <w:p w14:paraId="6D5A2A1F">
            <w:pPr>
              <w:keepNext w:val="0"/>
              <w:keepLines w:val="0"/>
              <w:pageBreakBefore w:val="0"/>
              <w:kinsoku/>
              <w:wordWrap/>
              <w:overflowPunct/>
              <w:topLinePunct w:val="0"/>
              <w:bidi w:val="0"/>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5722F5FF">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0.005</w:t>
            </w:r>
          </w:p>
        </w:tc>
        <w:tc>
          <w:tcPr>
            <w:tcW w:w="1739" w:type="dxa"/>
            <w:tcMar>
              <w:left w:w="28" w:type="dxa"/>
              <w:right w:w="28" w:type="dxa"/>
            </w:tcMar>
            <w:vAlign w:val="center"/>
          </w:tcPr>
          <w:p w14:paraId="1311A628">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40" w:type="dxa"/>
            <w:shd w:val="clear" w:color="auto" w:fill="auto"/>
            <w:tcMar>
              <w:left w:w="28" w:type="dxa"/>
              <w:right w:w="28" w:type="dxa"/>
            </w:tcMar>
            <w:vAlign w:val="center"/>
          </w:tcPr>
          <w:p w14:paraId="4B1908AB">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0.005</w:t>
            </w:r>
          </w:p>
        </w:tc>
        <w:tc>
          <w:tcPr>
            <w:tcW w:w="1155" w:type="dxa"/>
            <w:shd w:val="clear" w:color="auto" w:fill="auto"/>
            <w:tcMar>
              <w:left w:w="28" w:type="dxa"/>
              <w:right w:w="28" w:type="dxa"/>
            </w:tcMar>
            <w:vAlign w:val="center"/>
          </w:tcPr>
          <w:p w14:paraId="19110094">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r>
              <w:rPr>
                <w:rFonts w:hint="eastAsia" w:cs="Times New Roman"/>
                <w:snapToGrid w:val="0"/>
                <w:color w:val="auto"/>
                <w:kern w:val="21"/>
                <w:sz w:val="21"/>
                <w:szCs w:val="21"/>
                <w:highlight w:val="none"/>
                <w:lang w:val="en-US" w:eastAsia="zh-CN"/>
              </w:rPr>
              <w:t>0</w:t>
            </w:r>
          </w:p>
        </w:tc>
      </w:tr>
      <w:tr w14:paraId="7188E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3448247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rPr>
            </w:pPr>
          </w:p>
        </w:tc>
        <w:tc>
          <w:tcPr>
            <w:tcW w:w="2333" w:type="dxa"/>
            <w:tcMar>
              <w:left w:w="28" w:type="dxa"/>
              <w:right w:w="28" w:type="dxa"/>
            </w:tcMar>
            <w:vAlign w:val="center"/>
          </w:tcPr>
          <w:p w14:paraId="320045E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润滑油空桶 t/a</w:t>
            </w:r>
          </w:p>
        </w:tc>
        <w:tc>
          <w:tcPr>
            <w:tcW w:w="1732" w:type="dxa"/>
            <w:tcMar>
              <w:left w:w="28" w:type="dxa"/>
              <w:right w:w="28" w:type="dxa"/>
            </w:tcMar>
            <w:vAlign w:val="center"/>
          </w:tcPr>
          <w:p w14:paraId="27B706BC">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0.004</w:t>
            </w:r>
          </w:p>
        </w:tc>
        <w:tc>
          <w:tcPr>
            <w:tcW w:w="1357" w:type="dxa"/>
            <w:tcMar>
              <w:left w:w="28" w:type="dxa"/>
              <w:right w:w="28" w:type="dxa"/>
            </w:tcMar>
            <w:vAlign w:val="center"/>
          </w:tcPr>
          <w:p w14:paraId="10365CEB">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cs="Times New Roman"/>
                <w:snapToGrid w:val="0"/>
                <w:color w:val="auto"/>
                <w:spacing w:val="0"/>
                <w:kern w:val="21"/>
                <w:position w:val="0"/>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0.004</w:t>
            </w:r>
          </w:p>
        </w:tc>
        <w:tc>
          <w:tcPr>
            <w:tcW w:w="1854" w:type="dxa"/>
            <w:tcMar>
              <w:left w:w="28" w:type="dxa"/>
              <w:right w:w="28" w:type="dxa"/>
            </w:tcMar>
            <w:vAlign w:val="center"/>
          </w:tcPr>
          <w:p w14:paraId="7270B224">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bidi="ar-SA"/>
              </w:rPr>
            </w:pPr>
            <w:r>
              <w:rPr>
                <w:rFonts w:hint="eastAsia" w:ascii="Times New Roman" w:hAnsi="Times New Roman" w:eastAsia="宋体" w:cs="Times New Roman"/>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03BC272C">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rPr>
              <w:t>0.004</w:t>
            </w:r>
          </w:p>
        </w:tc>
        <w:tc>
          <w:tcPr>
            <w:tcW w:w="1739" w:type="dxa"/>
            <w:tcMar>
              <w:left w:w="28" w:type="dxa"/>
              <w:right w:w="28" w:type="dxa"/>
            </w:tcMar>
            <w:vAlign w:val="center"/>
          </w:tcPr>
          <w:p w14:paraId="00270B00">
            <w:pPr>
              <w:keepNext w:val="0"/>
              <w:keepLines w:val="0"/>
              <w:pageBreakBefore w:val="0"/>
              <w:kinsoku/>
              <w:wordWrap/>
              <w:overflowPunct/>
              <w:topLinePunct w:val="0"/>
              <w:bidi w:val="0"/>
              <w:spacing w:line="240" w:lineRule="auto"/>
              <w:jc w:val="center"/>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t>
            </w:r>
          </w:p>
        </w:tc>
        <w:tc>
          <w:tcPr>
            <w:tcW w:w="1740" w:type="dxa"/>
            <w:shd w:val="clear" w:color="auto" w:fill="auto"/>
            <w:tcMar>
              <w:left w:w="28" w:type="dxa"/>
              <w:right w:w="28" w:type="dxa"/>
            </w:tcMar>
            <w:vAlign w:val="center"/>
          </w:tcPr>
          <w:p w14:paraId="41A8E8F3">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cs="Times New Roman"/>
                <w:color w:val="auto"/>
                <w:spacing w:val="0"/>
                <w:position w:val="0"/>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0.004</w:t>
            </w:r>
          </w:p>
        </w:tc>
        <w:tc>
          <w:tcPr>
            <w:tcW w:w="1155" w:type="dxa"/>
            <w:shd w:val="clear" w:color="auto" w:fill="auto"/>
            <w:tcMar>
              <w:left w:w="28" w:type="dxa"/>
              <w:right w:w="28" w:type="dxa"/>
            </w:tcMar>
            <w:vAlign w:val="center"/>
          </w:tcPr>
          <w:p w14:paraId="61BFA4C0">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rPr>
              <w:t>+</w:t>
            </w:r>
            <w:r>
              <w:rPr>
                <w:rFonts w:hint="eastAsia" w:cs="Times New Roman"/>
                <w:snapToGrid w:val="0"/>
                <w:color w:val="auto"/>
                <w:kern w:val="21"/>
                <w:sz w:val="21"/>
                <w:szCs w:val="21"/>
                <w:highlight w:val="none"/>
                <w:lang w:val="en-US" w:eastAsia="zh-CN"/>
              </w:rPr>
              <w:t>0</w:t>
            </w:r>
          </w:p>
        </w:tc>
      </w:tr>
      <w:tr w14:paraId="6B5A9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tcMar>
              <w:left w:w="28" w:type="dxa"/>
              <w:right w:w="28" w:type="dxa"/>
            </w:tcMar>
            <w:vAlign w:val="center"/>
          </w:tcPr>
          <w:p w14:paraId="6048DAE0">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highlight w:val="none"/>
              </w:rPr>
            </w:pPr>
          </w:p>
        </w:tc>
        <w:tc>
          <w:tcPr>
            <w:tcW w:w="2333" w:type="dxa"/>
            <w:tcMar>
              <w:left w:w="28" w:type="dxa"/>
              <w:right w:w="28" w:type="dxa"/>
            </w:tcMar>
            <w:vAlign w:val="center"/>
          </w:tcPr>
          <w:p w14:paraId="744FC9C5">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废含油抹布及手套</w:t>
            </w:r>
            <w:r>
              <w:rPr>
                <w:rFonts w:hint="eastAsia" w:ascii="Times New Roman" w:hAnsi="Times New Roman" w:eastAsia="宋体" w:cs="Times New Roman"/>
                <w:b w:val="0"/>
                <w:bCs w:val="0"/>
                <w:snapToGrid w:val="0"/>
                <w:color w:val="auto"/>
                <w:spacing w:val="0"/>
                <w:kern w:val="21"/>
                <w:sz w:val="21"/>
                <w:szCs w:val="21"/>
                <w:highlight w:val="none"/>
                <w:lang w:val="en-US" w:eastAsia="zh-CN"/>
              </w:rPr>
              <w:t xml:space="preserve"> t/a</w:t>
            </w:r>
          </w:p>
        </w:tc>
        <w:tc>
          <w:tcPr>
            <w:tcW w:w="1732" w:type="dxa"/>
            <w:shd w:val="clear" w:color="auto" w:fill="auto"/>
            <w:tcMar>
              <w:left w:w="28" w:type="dxa"/>
              <w:right w:w="28" w:type="dxa"/>
            </w:tcMar>
            <w:vAlign w:val="center"/>
          </w:tcPr>
          <w:p w14:paraId="46591763">
            <w:pPr>
              <w:spacing w:line="240" w:lineRule="auto"/>
              <w:ind w:firstLine="0" w:firstLineChars="0"/>
              <w:jc w:val="center"/>
              <w:rPr>
                <w:rFonts w:hint="eastAsia" w:ascii="Times New Roman" w:hAnsi="Times New Roman" w:eastAsia="宋体" w:cs="Times New Roman"/>
                <w:snapToGrid w:val="0"/>
                <w:color w:val="auto"/>
                <w:spacing w:val="0"/>
                <w:kern w:val="21"/>
                <w:positio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0.048</w:t>
            </w:r>
          </w:p>
        </w:tc>
        <w:tc>
          <w:tcPr>
            <w:tcW w:w="1357" w:type="dxa"/>
            <w:shd w:val="clear" w:color="auto" w:fill="auto"/>
            <w:tcMar>
              <w:left w:w="28" w:type="dxa"/>
              <w:right w:w="28" w:type="dxa"/>
            </w:tcMar>
            <w:vAlign w:val="center"/>
          </w:tcPr>
          <w:p w14:paraId="179FBE37">
            <w:pPr>
              <w:spacing w:line="240" w:lineRule="auto"/>
              <w:ind w:firstLine="0" w:firstLineChars="0"/>
              <w:jc w:val="center"/>
              <w:rPr>
                <w:rFonts w:hint="eastAsia" w:ascii="Times New Roman" w:hAnsi="Times New Roman" w:eastAsia="宋体" w:cs="Times New Roman"/>
                <w:snapToGrid w:val="0"/>
                <w:color w:val="auto"/>
                <w:spacing w:val="0"/>
                <w:kern w:val="21"/>
                <w:positio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0.048</w:t>
            </w:r>
          </w:p>
        </w:tc>
        <w:tc>
          <w:tcPr>
            <w:tcW w:w="1854" w:type="dxa"/>
            <w:shd w:val="clear" w:color="auto" w:fill="auto"/>
            <w:tcMar>
              <w:left w:w="28" w:type="dxa"/>
              <w:right w:w="28" w:type="dxa"/>
            </w:tcMar>
            <w:vAlign w:val="center"/>
          </w:tcPr>
          <w:p w14:paraId="793ADEAE">
            <w:pPr>
              <w:spacing w:beforeLines="0" w:afterLines="0" w:line="240" w:lineRule="auto"/>
              <w:jc w:val="center"/>
              <w:rPr>
                <w:rFonts w:hint="eastAsia" w:ascii="Times New Roman" w:hAnsi="Times New Roman" w:eastAsia="宋体" w:cs="Times New Roman"/>
                <w:b w:val="0"/>
                <w:bCs w:val="0"/>
                <w:snapToGrid w:val="0"/>
                <w:color w:val="auto"/>
                <w:spacing w:val="0"/>
                <w:kern w:val="21"/>
                <w:position w:val="0"/>
                <w:sz w:val="21"/>
                <w:szCs w:val="21"/>
                <w:highlight w:val="none"/>
                <w:lang w:val="en-US" w:eastAsia="zh-CN" w:bidi="ar-SA"/>
              </w:rPr>
            </w:pPr>
            <w:r>
              <w:rPr>
                <w:rFonts w:hint="default" w:ascii="Times New Roman" w:hAnsi="Times New Roman" w:eastAsia="宋体" w:cs="Times New Roman"/>
                <w:snapToGrid w:val="0"/>
                <w:color w:val="auto"/>
                <w:spacing w:val="0"/>
                <w:kern w:val="21"/>
                <w:sz w:val="21"/>
                <w:szCs w:val="21"/>
                <w:highlight w:val="none"/>
                <w:lang w:val="en-US" w:eastAsia="zh-CN" w:bidi="ar-SA"/>
              </w:rPr>
              <w:t>/</w:t>
            </w:r>
          </w:p>
        </w:tc>
        <w:tc>
          <w:tcPr>
            <w:tcW w:w="1739" w:type="dxa"/>
            <w:shd w:val="clear" w:color="auto" w:fill="auto"/>
            <w:tcMar>
              <w:left w:w="28" w:type="dxa"/>
              <w:right w:w="28" w:type="dxa"/>
            </w:tcMar>
            <w:vAlign w:val="center"/>
          </w:tcPr>
          <w:p w14:paraId="68B84C4D">
            <w:pPr>
              <w:keepNext w:val="0"/>
              <w:keepLines w:val="0"/>
              <w:widowControl/>
              <w:suppressLineNumbers w:val="0"/>
              <w:jc w:val="center"/>
              <w:textAlignment w:val="center"/>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739" w:type="dxa"/>
            <w:shd w:val="clear" w:color="auto" w:fill="auto"/>
            <w:tcMar>
              <w:left w:w="28" w:type="dxa"/>
              <w:right w:w="28" w:type="dxa"/>
            </w:tcMar>
            <w:vAlign w:val="center"/>
          </w:tcPr>
          <w:p w14:paraId="77EFB910">
            <w:pPr>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highlight w:val="none"/>
                <w:lang w:val="en-US" w:eastAsia="zh-CN" w:bidi="ar-SA"/>
              </w:rPr>
            </w:pPr>
            <w:r>
              <w:rPr>
                <w:rFonts w:hint="default" w:ascii="Times New Roman" w:hAnsi="Times New Roman" w:eastAsia="宋体" w:cs="Times New Roman"/>
                <w:snapToGrid w:val="0"/>
                <w:color w:val="auto"/>
                <w:spacing w:val="0"/>
                <w:kern w:val="21"/>
                <w:sz w:val="21"/>
                <w:szCs w:val="21"/>
                <w:highlight w:val="none"/>
                <w:lang w:val="en-US" w:eastAsia="zh-CN" w:bidi="ar-SA"/>
              </w:rPr>
              <w:t>/</w:t>
            </w:r>
          </w:p>
        </w:tc>
        <w:tc>
          <w:tcPr>
            <w:tcW w:w="1740" w:type="dxa"/>
            <w:shd w:val="clear" w:color="auto" w:fill="auto"/>
            <w:tcMar>
              <w:left w:w="28" w:type="dxa"/>
              <w:right w:w="28" w:type="dxa"/>
            </w:tcMar>
            <w:vAlign w:val="center"/>
          </w:tcPr>
          <w:p w14:paraId="260FEA20">
            <w:pPr>
              <w:keepNext w:val="0"/>
              <w:keepLines w:val="0"/>
              <w:widowControl/>
              <w:suppressLineNumbers w:val="0"/>
              <w:jc w:val="center"/>
              <w:textAlignment w:val="center"/>
              <w:rPr>
                <w:rFonts w:hint="eastAsia" w:ascii="Times New Roman" w:hAnsi="Times New Roman" w:eastAsia="宋体" w:cs="Times New Roman"/>
                <w:snapToGrid w:val="0"/>
                <w:color w:val="auto"/>
                <w:spacing w:val="0"/>
                <w:kern w:val="21"/>
                <w:positio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0.048</w:t>
            </w:r>
          </w:p>
        </w:tc>
        <w:tc>
          <w:tcPr>
            <w:tcW w:w="1155" w:type="dxa"/>
            <w:shd w:val="clear" w:color="auto" w:fill="auto"/>
            <w:tcMar>
              <w:left w:w="28" w:type="dxa"/>
              <w:right w:w="28" w:type="dxa"/>
            </w:tcMar>
            <w:vAlign w:val="center"/>
          </w:tcPr>
          <w:p w14:paraId="517FB366">
            <w:pPr>
              <w:keepNext w:val="0"/>
              <w:keepLines w:val="0"/>
              <w:widowControl/>
              <w:suppressLineNumbers w:val="0"/>
              <w:jc w:val="center"/>
              <w:textAlignment w:val="center"/>
              <w:rPr>
                <w:rFonts w:hint="eastAsia" w:ascii="Times New Roman" w:hAnsi="Times New Roman" w:eastAsia="宋体" w:cs="Times New Roman"/>
                <w:snapToGrid w:val="0"/>
                <w:color w:val="auto"/>
                <w:spacing w:val="0"/>
                <w:kern w:val="21"/>
                <w:position w:val="0"/>
                <w:sz w:val="21"/>
                <w:szCs w:val="21"/>
                <w:highlight w:val="none"/>
                <w:lang w:val="en-US" w:eastAsia="zh-CN" w:bidi="ar-SA"/>
              </w:rPr>
            </w:pPr>
            <w:r>
              <w:rPr>
                <w:rFonts w:hint="eastAsia" w:ascii="Times New Roman" w:hAnsi="Times New Roman" w:eastAsia="宋体" w:cs="Times New Roman"/>
                <w:snapToGrid w:val="0"/>
                <w:color w:val="auto"/>
                <w:spacing w:val="0"/>
                <w:kern w:val="21"/>
                <w:sz w:val="21"/>
                <w:szCs w:val="21"/>
                <w:highlight w:val="none"/>
                <w:lang w:val="en-US" w:eastAsia="zh-CN"/>
              </w:rPr>
              <w:t>+</w:t>
            </w:r>
            <w:r>
              <w:rPr>
                <w:rFonts w:hint="eastAsia" w:cs="Times New Roman"/>
                <w:i w:val="0"/>
                <w:iCs w:val="0"/>
                <w:color w:val="auto"/>
                <w:kern w:val="0"/>
                <w:sz w:val="21"/>
                <w:szCs w:val="21"/>
                <w:highlight w:val="none"/>
                <w:u w:val="none"/>
                <w:lang w:val="en-US" w:eastAsia="zh-CN" w:bidi="ar"/>
              </w:rPr>
              <w:t>0</w:t>
            </w:r>
          </w:p>
        </w:tc>
      </w:tr>
      <w:tr w14:paraId="53C2A7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9" w:type="dxa"/>
            <w:gridSpan w:val="2"/>
            <w:tcMar>
              <w:left w:w="28" w:type="dxa"/>
              <w:right w:w="28" w:type="dxa"/>
            </w:tcMar>
            <w:vAlign w:val="center"/>
          </w:tcPr>
          <w:p w14:paraId="35739AC6">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b w:val="0"/>
                <w:bCs/>
                <w:color w:val="auto"/>
                <w:spacing w:val="0"/>
                <w:position w:val="0"/>
                <w:sz w:val="21"/>
                <w:szCs w:val="21"/>
                <w:highlight w:val="none"/>
                <w:lang w:val="en-US" w:eastAsia="zh-CN"/>
              </w:rPr>
            </w:pPr>
            <w:r>
              <w:rPr>
                <w:rFonts w:hint="eastAsia" w:ascii="Times New Roman" w:hAnsi="Times New Roman" w:eastAsia="宋体" w:cs="Times New Roman"/>
                <w:b w:val="0"/>
                <w:bCs/>
                <w:color w:val="auto"/>
                <w:spacing w:val="0"/>
                <w:position w:val="0"/>
                <w:sz w:val="21"/>
                <w:szCs w:val="21"/>
                <w:highlight w:val="none"/>
                <w:lang w:val="en-US" w:eastAsia="zh-CN"/>
              </w:rPr>
              <w:t xml:space="preserve">生活垃圾 </w:t>
            </w:r>
            <w:r>
              <w:rPr>
                <w:rFonts w:hint="default" w:ascii="Times New Roman" w:hAnsi="Times New Roman" w:eastAsia="宋体" w:cs="Times New Roman"/>
                <w:snapToGrid w:val="0"/>
                <w:color w:val="auto"/>
                <w:spacing w:val="0"/>
                <w:kern w:val="21"/>
                <w:position w:val="0"/>
                <w:sz w:val="21"/>
                <w:szCs w:val="21"/>
                <w:highlight w:val="none"/>
                <w:lang w:val="en-US" w:eastAsia="zh-CN"/>
              </w:rPr>
              <w:t>t/a</w:t>
            </w:r>
          </w:p>
        </w:tc>
        <w:tc>
          <w:tcPr>
            <w:tcW w:w="1732" w:type="dxa"/>
            <w:tcMar>
              <w:left w:w="28" w:type="dxa"/>
              <w:right w:w="28" w:type="dxa"/>
            </w:tcMar>
            <w:vAlign w:val="center"/>
          </w:tcPr>
          <w:p w14:paraId="4E57A554">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b/>
                <w:bCs/>
                <w:snapToGrid w:val="0"/>
                <w:color w:val="auto"/>
                <w:spacing w:val="0"/>
                <w:kern w:val="21"/>
                <w:position w:val="0"/>
                <w:sz w:val="21"/>
                <w:szCs w:val="21"/>
                <w:highlight w:val="none"/>
                <w:lang w:val="en-US" w:eastAsia="zh-CN"/>
              </w:rPr>
            </w:pPr>
            <w:r>
              <w:rPr>
                <w:rFonts w:hint="eastAsia" w:ascii="Times New Roman" w:cs="Times New Roman"/>
                <w:snapToGrid w:val="0"/>
                <w:color w:val="auto"/>
                <w:spacing w:val="0"/>
                <w:kern w:val="21"/>
                <w:position w:val="0"/>
                <w:sz w:val="21"/>
                <w:szCs w:val="21"/>
                <w:highlight w:val="none"/>
                <w:lang w:val="en-US" w:eastAsia="zh-CN"/>
              </w:rPr>
              <w:t>3</w:t>
            </w:r>
          </w:p>
        </w:tc>
        <w:tc>
          <w:tcPr>
            <w:tcW w:w="1357" w:type="dxa"/>
            <w:tcMar>
              <w:left w:w="28" w:type="dxa"/>
              <w:right w:w="28" w:type="dxa"/>
            </w:tcMar>
            <w:vAlign w:val="center"/>
          </w:tcPr>
          <w:p w14:paraId="2E5CA69B">
            <w:pPr>
              <w:pStyle w:val="54"/>
              <w:keepNext w:val="0"/>
              <w:keepLines w:val="0"/>
              <w:pageBreakBefore w:val="0"/>
              <w:kinsoku/>
              <w:wordWrap/>
              <w:overflowPunct/>
              <w:topLinePunct w:val="0"/>
              <w:bidi w:val="0"/>
              <w:spacing w:beforeLines="0" w:afterLines="0" w:line="240" w:lineRule="auto"/>
              <w:jc w:val="center"/>
              <w:rPr>
                <w:rFonts w:hint="default" w:ascii="Times New Roman" w:hAnsi="Times New Roman" w:eastAsia="宋体" w:cs="Times New Roman"/>
                <w:b/>
                <w:bCs/>
                <w:snapToGrid w:val="0"/>
                <w:color w:val="auto"/>
                <w:spacing w:val="0"/>
                <w:kern w:val="21"/>
                <w:position w:val="0"/>
                <w:sz w:val="21"/>
                <w:szCs w:val="21"/>
                <w:highlight w:val="none"/>
              </w:rPr>
            </w:pPr>
            <w:r>
              <w:rPr>
                <w:rFonts w:hint="eastAsia" w:ascii="Times New Roman" w:cs="Times New Roman"/>
                <w:snapToGrid w:val="0"/>
                <w:color w:val="auto"/>
                <w:spacing w:val="0"/>
                <w:kern w:val="21"/>
                <w:position w:val="0"/>
                <w:sz w:val="21"/>
                <w:szCs w:val="21"/>
                <w:highlight w:val="none"/>
                <w:lang w:val="en-US" w:eastAsia="zh-CN"/>
              </w:rPr>
              <w:t>3</w:t>
            </w:r>
          </w:p>
        </w:tc>
        <w:tc>
          <w:tcPr>
            <w:tcW w:w="1854" w:type="dxa"/>
            <w:tcMar>
              <w:left w:w="28" w:type="dxa"/>
              <w:right w:w="28" w:type="dxa"/>
            </w:tcMar>
            <w:vAlign w:val="center"/>
          </w:tcPr>
          <w:p w14:paraId="359ACEB9">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b/>
                <w:bCs/>
                <w:snapToGrid w:val="0"/>
                <w:color w:val="auto"/>
                <w:spacing w:val="0"/>
                <w:kern w:val="21"/>
                <w:position w:val="0"/>
                <w:sz w:val="21"/>
                <w:szCs w:val="21"/>
                <w:highlight w:val="none"/>
                <w:lang w:val="en-US" w:eastAsia="zh-CN"/>
              </w:rPr>
            </w:pPr>
            <w:r>
              <w:rPr>
                <w:rFonts w:hint="eastAsia" w:ascii="Times New Roman" w:hAnsi="Times New Roman" w:eastAsia="宋体" w:cs="Times New Roman"/>
                <w:b w:val="0"/>
                <w:bCs w:val="0"/>
                <w:snapToGrid w:val="0"/>
                <w:color w:val="auto"/>
                <w:spacing w:val="0"/>
                <w:kern w:val="21"/>
                <w:position w:val="0"/>
                <w:sz w:val="21"/>
                <w:szCs w:val="21"/>
                <w:highlight w:val="none"/>
                <w:lang w:val="en-US" w:eastAsia="zh-CN"/>
              </w:rPr>
              <w:t>/</w:t>
            </w:r>
          </w:p>
        </w:tc>
        <w:tc>
          <w:tcPr>
            <w:tcW w:w="1739" w:type="dxa"/>
            <w:tcMar>
              <w:left w:w="28" w:type="dxa"/>
              <w:right w:w="28" w:type="dxa"/>
            </w:tcMar>
            <w:vAlign w:val="center"/>
          </w:tcPr>
          <w:p w14:paraId="5ECA90C9">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w:t>
            </w:r>
          </w:p>
        </w:tc>
        <w:tc>
          <w:tcPr>
            <w:tcW w:w="1739" w:type="dxa"/>
            <w:shd w:val="clear" w:color="auto" w:fill="auto"/>
            <w:tcMar>
              <w:left w:w="28" w:type="dxa"/>
              <w:right w:w="28" w:type="dxa"/>
            </w:tcMar>
            <w:vAlign w:val="center"/>
          </w:tcPr>
          <w:p w14:paraId="44B1294D">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bidi="ar-SA"/>
              </w:rPr>
            </w:pPr>
            <w:r>
              <w:rPr>
                <w:rFonts w:hint="eastAsia" w:cs="Times New Roman"/>
                <w:snapToGrid w:val="0"/>
                <w:color w:val="auto"/>
                <w:spacing w:val="0"/>
                <w:kern w:val="21"/>
                <w:position w:val="0"/>
                <w:sz w:val="21"/>
                <w:szCs w:val="21"/>
                <w:highlight w:val="none"/>
                <w:lang w:val="en-US" w:eastAsia="zh-CN" w:bidi="ar-SA"/>
              </w:rPr>
              <w:t>/</w:t>
            </w:r>
          </w:p>
        </w:tc>
        <w:tc>
          <w:tcPr>
            <w:tcW w:w="1740" w:type="dxa"/>
            <w:shd w:val="clear" w:color="auto" w:fill="auto"/>
            <w:tcMar>
              <w:left w:w="28" w:type="dxa"/>
              <w:right w:w="28" w:type="dxa"/>
            </w:tcMar>
            <w:vAlign w:val="center"/>
          </w:tcPr>
          <w:p w14:paraId="3B181117">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bidi="ar-SA"/>
              </w:rPr>
            </w:pPr>
            <w:r>
              <w:rPr>
                <w:rFonts w:hint="eastAsia" w:cs="Times New Roman"/>
                <w:snapToGrid w:val="0"/>
                <w:color w:val="auto"/>
                <w:spacing w:val="0"/>
                <w:kern w:val="21"/>
                <w:position w:val="0"/>
                <w:sz w:val="21"/>
                <w:szCs w:val="21"/>
                <w:highlight w:val="none"/>
                <w:lang w:val="en-US" w:eastAsia="zh-CN" w:bidi="ar-SA"/>
              </w:rPr>
              <w:t>3</w:t>
            </w:r>
          </w:p>
        </w:tc>
        <w:tc>
          <w:tcPr>
            <w:tcW w:w="1155" w:type="dxa"/>
            <w:shd w:val="clear" w:color="auto" w:fill="auto"/>
            <w:tcMar>
              <w:left w:w="28" w:type="dxa"/>
              <w:right w:w="28" w:type="dxa"/>
            </w:tcMar>
            <w:vAlign w:val="center"/>
          </w:tcPr>
          <w:p w14:paraId="517B8FBA">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snapToGrid w:val="0"/>
                <w:color w:val="auto"/>
                <w:spacing w:val="0"/>
                <w:kern w:val="21"/>
                <w:position w:val="0"/>
                <w:sz w:val="21"/>
                <w:szCs w:val="21"/>
                <w:highlight w:val="none"/>
                <w:lang w:val="en-US" w:eastAsia="zh-CN" w:bidi="ar-SA"/>
              </w:rPr>
            </w:pPr>
            <w:r>
              <w:rPr>
                <w:rFonts w:hint="eastAsia" w:ascii="Times New Roman" w:hAnsi="Times New Roman" w:eastAsia="宋体" w:cs="Times New Roman"/>
                <w:snapToGrid w:val="0"/>
                <w:color w:val="auto"/>
                <w:spacing w:val="0"/>
                <w:kern w:val="21"/>
                <w:position w:val="0"/>
                <w:sz w:val="21"/>
                <w:szCs w:val="21"/>
                <w:highlight w:val="none"/>
                <w:lang w:val="en-US" w:eastAsia="zh-CN" w:bidi="ar-SA"/>
              </w:rPr>
              <w:t>+</w:t>
            </w:r>
            <w:r>
              <w:rPr>
                <w:rFonts w:hint="eastAsia" w:cs="Times New Roman"/>
                <w:snapToGrid w:val="0"/>
                <w:color w:val="auto"/>
                <w:spacing w:val="0"/>
                <w:kern w:val="21"/>
                <w:position w:val="0"/>
                <w:sz w:val="21"/>
                <w:szCs w:val="21"/>
                <w:highlight w:val="none"/>
                <w:lang w:val="en-US" w:eastAsia="zh-CN" w:bidi="ar-SA"/>
              </w:rPr>
              <w:t>0</w:t>
            </w:r>
          </w:p>
        </w:tc>
      </w:tr>
    </w:tbl>
    <w:p w14:paraId="4F76C49B">
      <w:pPr>
        <w:pStyle w:val="54"/>
        <w:spacing w:before="192" w:beforeLines="80" w:after="24"/>
        <w:jc w:val="left"/>
        <w:rPr>
          <w:rFonts w:ascii="Times New Roman" w:hAnsi="Times New Roman" w:eastAsia="宋体" w:cs="Times New Roman"/>
          <w:color w:val="auto"/>
          <w:spacing w:val="0"/>
          <w:position w:val="0"/>
          <w:highlight w:val="none"/>
        </w:rPr>
        <w:sectPr>
          <w:footerReference r:id="rId12" w:type="default"/>
          <w:pgSz w:w="16838" w:h="11905" w:orient="landscape"/>
          <w:pgMar w:top="1134" w:right="1134" w:bottom="1134" w:left="1134" w:header="850" w:footer="1077" w:gutter="0"/>
          <w:pgBorders>
            <w:top w:val="none" w:sz="0" w:space="0"/>
            <w:left w:val="none" w:sz="0" w:space="0"/>
            <w:bottom w:val="none" w:sz="0" w:space="0"/>
            <w:right w:val="none" w:sz="0" w:space="0"/>
          </w:pgBorders>
          <w:pgNumType w:fmt="decimal"/>
          <w:cols w:space="0" w:num="1"/>
          <w:rtlGutter w:val="0"/>
          <w:docGrid w:linePitch="326" w:charSpace="0"/>
        </w:sectPr>
      </w:pPr>
      <w:r>
        <w:rPr>
          <w:rFonts w:ascii="Times New Roman" w:hAnsi="Times New Roman" w:eastAsia="宋体" w:cs="Times New Roman"/>
          <w:snapToGrid w:val="0"/>
          <w:color w:val="auto"/>
          <w:spacing w:val="0"/>
          <w:kern w:val="21"/>
          <w:position w:val="0"/>
          <w:szCs w:val="21"/>
          <w:highlight w:val="none"/>
        </w:rPr>
        <w:t>注：</w:t>
      </w:r>
      <w:r>
        <w:rPr>
          <w:rFonts w:ascii="Times New Roman" w:hAnsi="Times New Roman" w:eastAsia="宋体" w:cs="Times New Roman"/>
          <w:snapToGrid w:val="0"/>
          <w:color w:val="auto"/>
          <w:spacing w:val="0"/>
          <w:kern w:val="21"/>
          <w:position w:val="0"/>
          <w:szCs w:val="21"/>
          <w:highlight w:val="none"/>
        </w:rPr>
        <w:fldChar w:fldCharType="begin"/>
      </w:r>
      <w:r>
        <w:rPr>
          <w:rFonts w:ascii="Times New Roman" w:hAnsi="Times New Roman" w:eastAsia="宋体" w:cs="Times New Roman"/>
          <w:snapToGrid w:val="0"/>
          <w:color w:val="auto"/>
          <w:spacing w:val="0"/>
          <w:kern w:val="21"/>
          <w:position w:val="0"/>
          <w:szCs w:val="21"/>
          <w:highlight w:val="none"/>
        </w:rPr>
        <w:instrText xml:space="preserve"> = 6 \* GB3 \* MERGEFORMAT </w:instrText>
      </w:r>
      <w:r>
        <w:rPr>
          <w:rFonts w:ascii="Times New Roman" w:hAnsi="Times New Roman" w:eastAsia="宋体" w:cs="Times New Roman"/>
          <w:snapToGrid w:val="0"/>
          <w:color w:val="auto"/>
          <w:spacing w:val="0"/>
          <w:kern w:val="21"/>
          <w:position w:val="0"/>
          <w:szCs w:val="21"/>
          <w:highlight w:val="none"/>
        </w:rPr>
        <w:fldChar w:fldCharType="separate"/>
      </w:r>
      <w:r>
        <w:rPr>
          <w:rFonts w:hint="eastAsia" w:ascii="Times New Roman" w:hAnsi="Times New Roman" w:eastAsia="宋体" w:cs="Times New Roman"/>
          <w:color w:val="auto"/>
          <w:spacing w:val="0"/>
          <w:position w:val="0"/>
          <w:szCs w:val="21"/>
          <w:highlight w:val="none"/>
        </w:rPr>
        <w:t>⑥</w:t>
      </w:r>
      <w:r>
        <w:rPr>
          <w:rFonts w:ascii="Times New Roman" w:hAnsi="Times New Roman" w:eastAsia="宋体" w:cs="Times New Roman"/>
          <w:snapToGrid w:val="0"/>
          <w:color w:val="auto"/>
          <w:spacing w:val="0"/>
          <w:kern w:val="21"/>
          <w:position w:val="0"/>
          <w:szCs w:val="21"/>
          <w:highlight w:val="none"/>
        </w:rPr>
        <w:fldChar w:fldCharType="end"/>
      </w:r>
      <w:r>
        <w:rPr>
          <w:rFonts w:ascii="Times New Roman" w:hAnsi="Times New Roman" w:eastAsia="宋体" w:cs="Times New Roman"/>
          <w:snapToGrid w:val="0"/>
          <w:color w:val="auto"/>
          <w:spacing w:val="0"/>
          <w:kern w:val="21"/>
          <w:position w:val="0"/>
          <w:szCs w:val="21"/>
          <w:highlight w:val="none"/>
        </w:rPr>
        <w:t>=</w:t>
      </w:r>
      <w:r>
        <w:rPr>
          <w:rFonts w:ascii="Times New Roman" w:hAnsi="Times New Roman" w:eastAsia="宋体" w:cs="Times New Roman"/>
          <w:snapToGrid w:val="0"/>
          <w:color w:val="auto"/>
          <w:spacing w:val="0"/>
          <w:kern w:val="21"/>
          <w:position w:val="0"/>
          <w:szCs w:val="21"/>
          <w:highlight w:val="none"/>
        </w:rPr>
        <w:fldChar w:fldCharType="begin"/>
      </w:r>
      <w:r>
        <w:rPr>
          <w:rFonts w:ascii="Times New Roman" w:hAnsi="Times New Roman" w:eastAsia="宋体" w:cs="Times New Roman"/>
          <w:snapToGrid w:val="0"/>
          <w:color w:val="auto"/>
          <w:spacing w:val="0"/>
          <w:kern w:val="21"/>
          <w:position w:val="0"/>
          <w:szCs w:val="21"/>
          <w:highlight w:val="none"/>
        </w:rPr>
        <w:instrText xml:space="preserve"> = 1 \* GB3 \* MERGEFORMAT </w:instrText>
      </w:r>
      <w:r>
        <w:rPr>
          <w:rFonts w:ascii="Times New Roman" w:hAnsi="Times New Roman" w:eastAsia="宋体" w:cs="Times New Roman"/>
          <w:snapToGrid w:val="0"/>
          <w:color w:val="auto"/>
          <w:spacing w:val="0"/>
          <w:kern w:val="21"/>
          <w:position w:val="0"/>
          <w:szCs w:val="21"/>
          <w:highlight w:val="none"/>
        </w:rPr>
        <w:fldChar w:fldCharType="separate"/>
      </w:r>
      <w:r>
        <w:rPr>
          <w:rFonts w:hint="eastAsia" w:ascii="Times New Roman" w:hAnsi="Times New Roman" w:eastAsia="宋体" w:cs="Times New Roman"/>
          <w:color w:val="auto"/>
          <w:spacing w:val="0"/>
          <w:position w:val="0"/>
          <w:szCs w:val="21"/>
          <w:highlight w:val="none"/>
        </w:rPr>
        <w:t>①</w:t>
      </w:r>
      <w:r>
        <w:rPr>
          <w:rFonts w:ascii="Times New Roman" w:hAnsi="Times New Roman" w:eastAsia="宋体" w:cs="Times New Roman"/>
          <w:snapToGrid w:val="0"/>
          <w:color w:val="auto"/>
          <w:spacing w:val="0"/>
          <w:kern w:val="21"/>
          <w:position w:val="0"/>
          <w:szCs w:val="21"/>
          <w:highlight w:val="none"/>
        </w:rPr>
        <w:fldChar w:fldCharType="end"/>
      </w:r>
      <w:r>
        <w:rPr>
          <w:rFonts w:ascii="Times New Roman" w:hAnsi="Times New Roman" w:eastAsia="宋体" w:cs="Times New Roman"/>
          <w:snapToGrid w:val="0"/>
          <w:color w:val="auto"/>
          <w:spacing w:val="0"/>
          <w:kern w:val="21"/>
          <w:position w:val="0"/>
          <w:szCs w:val="21"/>
          <w:highlight w:val="none"/>
        </w:rPr>
        <w:t>+</w:t>
      </w:r>
      <w:r>
        <w:rPr>
          <w:rFonts w:ascii="Times New Roman" w:hAnsi="Times New Roman" w:eastAsia="宋体" w:cs="Times New Roman"/>
          <w:snapToGrid w:val="0"/>
          <w:color w:val="auto"/>
          <w:spacing w:val="0"/>
          <w:kern w:val="21"/>
          <w:position w:val="0"/>
          <w:szCs w:val="21"/>
          <w:highlight w:val="none"/>
        </w:rPr>
        <w:fldChar w:fldCharType="begin"/>
      </w:r>
      <w:r>
        <w:rPr>
          <w:rFonts w:ascii="Times New Roman" w:hAnsi="Times New Roman" w:eastAsia="宋体" w:cs="Times New Roman"/>
          <w:snapToGrid w:val="0"/>
          <w:color w:val="auto"/>
          <w:spacing w:val="0"/>
          <w:kern w:val="21"/>
          <w:position w:val="0"/>
          <w:szCs w:val="21"/>
          <w:highlight w:val="none"/>
        </w:rPr>
        <w:instrText xml:space="preserve"> = 3 \* GB3 \* MERGEFORMAT </w:instrText>
      </w:r>
      <w:r>
        <w:rPr>
          <w:rFonts w:ascii="Times New Roman" w:hAnsi="Times New Roman" w:eastAsia="宋体" w:cs="Times New Roman"/>
          <w:snapToGrid w:val="0"/>
          <w:color w:val="auto"/>
          <w:spacing w:val="0"/>
          <w:kern w:val="21"/>
          <w:position w:val="0"/>
          <w:szCs w:val="21"/>
          <w:highlight w:val="none"/>
        </w:rPr>
        <w:fldChar w:fldCharType="separate"/>
      </w:r>
      <w:r>
        <w:rPr>
          <w:rFonts w:hint="eastAsia" w:ascii="Times New Roman" w:hAnsi="Times New Roman" w:eastAsia="宋体" w:cs="Times New Roman"/>
          <w:color w:val="auto"/>
          <w:spacing w:val="0"/>
          <w:position w:val="0"/>
          <w:szCs w:val="21"/>
          <w:highlight w:val="none"/>
        </w:rPr>
        <w:t>③</w:t>
      </w:r>
      <w:r>
        <w:rPr>
          <w:rFonts w:ascii="Times New Roman" w:hAnsi="Times New Roman" w:eastAsia="宋体" w:cs="Times New Roman"/>
          <w:snapToGrid w:val="0"/>
          <w:color w:val="auto"/>
          <w:spacing w:val="0"/>
          <w:kern w:val="21"/>
          <w:position w:val="0"/>
          <w:szCs w:val="21"/>
          <w:highlight w:val="none"/>
        </w:rPr>
        <w:fldChar w:fldCharType="end"/>
      </w:r>
      <w:r>
        <w:rPr>
          <w:rFonts w:ascii="Times New Roman" w:hAnsi="Times New Roman" w:eastAsia="宋体" w:cs="Times New Roman"/>
          <w:snapToGrid w:val="0"/>
          <w:color w:val="auto"/>
          <w:spacing w:val="0"/>
          <w:kern w:val="21"/>
          <w:position w:val="0"/>
          <w:szCs w:val="21"/>
          <w:highlight w:val="none"/>
        </w:rPr>
        <w:t>+</w:t>
      </w:r>
      <w:r>
        <w:rPr>
          <w:rFonts w:ascii="Times New Roman" w:hAnsi="Times New Roman" w:eastAsia="宋体" w:cs="Times New Roman"/>
          <w:snapToGrid w:val="0"/>
          <w:color w:val="auto"/>
          <w:spacing w:val="0"/>
          <w:kern w:val="21"/>
          <w:position w:val="0"/>
          <w:szCs w:val="21"/>
          <w:highlight w:val="none"/>
        </w:rPr>
        <w:fldChar w:fldCharType="begin"/>
      </w:r>
      <w:r>
        <w:rPr>
          <w:rFonts w:ascii="Times New Roman" w:hAnsi="Times New Roman" w:eastAsia="宋体" w:cs="Times New Roman"/>
          <w:snapToGrid w:val="0"/>
          <w:color w:val="auto"/>
          <w:spacing w:val="0"/>
          <w:kern w:val="21"/>
          <w:position w:val="0"/>
          <w:szCs w:val="21"/>
          <w:highlight w:val="none"/>
        </w:rPr>
        <w:instrText xml:space="preserve"> = 4 \* GB3 \* MERGEFORMAT </w:instrText>
      </w:r>
      <w:r>
        <w:rPr>
          <w:rFonts w:ascii="Times New Roman" w:hAnsi="Times New Roman" w:eastAsia="宋体" w:cs="Times New Roman"/>
          <w:snapToGrid w:val="0"/>
          <w:color w:val="auto"/>
          <w:spacing w:val="0"/>
          <w:kern w:val="21"/>
          <w:position w:val="0"/>
          <w:szCs w:val="21"/>
          <w:highlight w:val="none"/>
        </w:rPr>
        <w:fldChar w:fldCharType="separate"/>
      </w:r>
      <w:r>
        <w:rPr>
          <w:rFonts w:hint="eastAsia" w:ascii="Times New Roman" w:hAnsi="Times New Roman" w:eastAsia="宋体" w:cs="Times New Roman"/>
          <w:color w:val="auto"/>
          <w:spacing w:val="0"/>
          <w:position w:val="0"/>
          <w:szCs w:val="21"/>
          <w:highlight w:val="none"/>
        </w:rPr>
        <w:t>④</w:t>
      </w:r>
      <w:r>
        <w:rPr>
          <w:rFonts w:ascii="Times New Roman" w:hAnsi="Times New Roman" w:eastAsia="宋体" w:cs="Times New Roman"/>
          <w:snapToGrid w:val="0"/>
          <w:color w:val="auto"/>
          <w:spacing w:val="0"/>
          <w:kern w:val="21"/>
          <w:position w:val="0"/>
          <w:szCs w:val="21"/>
          <w:highlight w:val="none"/>
        </w:rPr>
        <w:fldChar w:fldCharType="end"/>
      </w:r>
      <w:r>
        <w:rPr>
          <w:rFonts w:ascii="Times New Roman" w:hAnsi="Times New Roman" w:eastAsia="宋体" w:cs="Times New Roman"/>
          <w:snapToGrid w:val="0"/>
          <w:color w:val="auto"/>
          <w:spacing w:val="0"/>
          <w:kern w:val="21"/>
          <w:position w:val="0"/>
          <w:szCs w:val="21"/>
          <w:highlight w:val="none"/>
        </w:rPr>
        <w:t>-</w:t>
      </w:r>
      <w:r>
        <w:rPr>
          <w:rFonts w:ascii="Times New Roman" w:hAnsi="Times New Roman" w:eastAsia="宋体" w:cs="Times New Roman"/>
          <w:snapToGrid w:val="0"/>
          <w:color w:val="auto"/>
          <w:spacing w:val="0"/>
          <w:kern w:val="21"/>
          <w:position w:val="0"/>
          <w:szCs w:val="21"/>
          <w:highlight w:val="none"/>
        </w:rPr>
        <w:fldChar w:fldCharType="begin"/>
      </w:r>
      <w:r>
        <w:rPr>
          <w:rFonts w:ascii="Times New Roman" w:hAnsi="Times New Roman" w:eastAsia="宋体" w:cs="Times New Roman"/>
          <w:snapToGrid w:val="0"/>
          <w:color w:val="auto"/>
          <w:spacing w:val="0"/>
          <w:kern w:val="21"/>
          <w:position w:val="0"/>
          <w:szCs w:val="21"/>
          <w:highlight w:val="none"/>
        </w:rPr>
        <w:instrText xml:space="preserve"> = 5 \* GB3 \* MERGEFORMAT </w:instrText>
      </w:r>
      <w:r>
        <w:rPr>
          <w:rFonts w:ascii="Times New Roman" w:hAnsi="Times New Roman" w:eastAsia="宋体" w:cs="Times New Roman"/>
          <w:snapToGrid w:val="0"/>
          <w:color w:val="auto"/>
          <w:spacing w:val="0"/>
          <w:kern w:val="21"/>
          <w:position w:val="0"/>
          <w:szCs w:val="21"/>
          <w:highlight w:val="none"/>
        </w:rPr>
        <w:fldChar w:fldCharType="separate"/>
      </w:r>
      <w:r>
        <w:rPr>
          <w:rFonts w:hint="eastAsia" w:ascii="Times New Roman" w:hAnsi="Times New Roman" w:eastAsia="宋体" w:cs="Times New Roman"/>
          <w:color w:val="auto"/>
          <w:spacing w:val="0"/>
          <w:position w:val="0"/>
          <w:szCs w:val="21"/>
          <w:highlight w:val="none"/>
        </w:rPr>
        <w:t>⑤</w:t>
      </w:r>
      <w:r>
        <w:rPr>
          <w:rFonts w:ascii="Times New Roman" w:hAnsi="Times New Roman" w:eastAsia="宋体" w:cs="Times New Roman"/>
          <w:snapToGrid w:val="0"/>
          <w:color w:val="auto"/>
          <w:spacing w:val="0"/>
          <w:kern w:val="21"/>
          <w:position w:val="0"/>
          <w:szCs w:val="21"/>
          <w:highlight w:val="none"/>
        </w:rPr>
        <w:fldChar w:fldCharType="end"/>
      </w:r>
      <w:r>
        <w:rPr>
          <w:rFonts w:ascii="Times New Roman" w:hAnsi="Times New Roman" w:eastAsia="宋体" w:cs="Times New Roman"/>
          <w:snapToGrid w:val="0"/>
          <w:color w:val="auto"/>
          <w:spacing w:val="0"/>
          <w:kern w:val="21"/>
          <w:position w:val="0"/>
          <w:szCs w:val="21"/>
          <w:highlight w:val="none"/>
        </w:rPr>
        <w:t>；</w:t>
      </w:r>
      <w:r>
        <w:rPr>
          <w:rFonts w:ascii="Times New Roman" w:hAnsi="Times New Roman" w:eastAsia="宋体" w:cs="Times New Roman"/>
          <w:snapToGrid w:val="0"/>
          <w:color w:val="auto"/>
          <w:spacing w:val="0"/>
          <w:kern w:val="21"/>
          <w:position w:val="0"/>
          <w:szCs w:val="21"/>
          <w:highlight w:val="none"/>
        </w:rPr>
        <w:fldChar w:fldCharType="begin"/>
      </w:r>
      <w:r>
        <w:rPr>
          <w:rFonts w:ascii="Times New Roman" w:hAnsi="Times New Roman" w:eastAsia="宋体" w:cs="Times New Roman"/>
          <w:snapToGrid w:val="0"/>
          <w:color w:val="auto"/>
          <w:spacing w:val="0"/>
          <w:kern w:val="21"/>
          <w:position w:val="0"/>
          <w:szCs w:val="21"/>
          <w:highlight w:val="none"/>
        </w:rPr>
        <w:instrText xml:space="preserve"> = 7 \* GB3 \* MERGEFORMAT </w:instrText>
      </w:r>
      <w:r>
        <w:rPr>
          <w:rFonts w:ascii="Times New Roman" w:hAnsi="Times New Roman" w:eastAsia="宋体" w:cs="Times New Roman"/>
          <w:snapToGrid w:val="0"/>
          <w:color w:val="auto"/>
          <w:spacing w:val="0"/>
          <w:kern w:val="21"/>
          <w:position w:val="0"/>
          <w:szCs w:val="21"/>
          <w:highlight w:val="none"/>
        </w:rPr>
        <w:fldChar w:fldCharType="separate"/>
      </w:r>
      <w:r>
        <w:rPr>
          <w:rFonts w:hint="eastAsia" w:ascii="Times New Roman" w:hAnsi="Times New Roman" w:eastAsia="宋体" w:cs="Times New Roman"/>
          <w:color w:val="auto"/>
          <w:spacing w:val="0"/>
          <w:position w:val="0"/>
          <w:szCs w:val="21"/>
          <w:highlight w:val="none"/>
        </w:rPr>
        <w:t>⑦</w:t>
      </w:r>
      <w:r>
        <w:rPr>
          <w:rFonts w:ascii="Times New Roman" w:hAnsi="Times New Roman" w:eastAsia="宋体" w:cs="Times New Roman"/>
          <w:snapToGrid w:val="0"/>
          <w:color w:val="auto"/>
          <w:spacing w:val="0"/>
          <w:kern w:val="21"/>
          <w:position w:val="0"/>
          <w:szCs w:val="21"/>
          <w:highlight w:val="none"/>
        </w:rPr>
        <w:fldChar w:fldCharType="end"/>
      </w:r>
      <w:r>
        <w:rPr>
          <w:rFonts w:ascii="Times New Roman" w:hAnsi="Times New Roman" w:eastAsia="宋体" w:cs="Times New Roman"/>
          <w:snapToGrid w:val="0"/>
          <w:color w:val="auto"/>
          <w:spacing w:val="0"/>
          <w:kern w:val="21"/>
          <w:position w:val="0"/>
          <w:szCs w:val="21"/>
          <w:highlight w:val="none"/>
        </w:rPr>
        <w:t>=</w:t>
      </w:r>
      <w:r>
        <w:rPr>
          <w:rFonts w:ascii="Times New Roman" w:hAnsi="Times New Roman" w:eastAsia="宋体" w:cs="Times New Roman"/>
          <w:snapToGrid w:val="0"/>
          <w:color w:val="auto"/>
          <w:spacing w:val="0"/>
          <w:kern w:val="21"/>
          <w:position w:val="0"/>
          <w:szCs w:val="21"/>
          <w:highlight w:val="none"/>
        </w:rPr>
        <w:fldChar w:fldCharType="begin"/>
      </w:r>
      <w:r>
        <w:rPr>
          <w:rFonts w:ascii="Times New Roman" w:hAnsi="Times New Roman" w:eastAsia="宋体" w:cs="Times New Roman"/>
          <w:snapToGrid w:val="0"/>
          <w:color w:val="auto"/>
          <w:spacing w:val="0"/>
          <w:kern w:val="21"/>
          <w:position w:val="0"/>
          <w:szCs w:val="21"/>
          <w:highlight w:val="none"/>
        </w:rPr>
        <w:instrText xml:space="preserve"> = 6 \* GB3 \* MERGEFORMAT </w:instrText>
      </w:r>
      <w:r>
        <w:rPr>
          <w:rFonts w:ascii="Times New Roman" w:hAnsi="Times New Roman" w:eastAsia="宋体" w:cs="Times New Roman"/>
          <w:snapToGrid w:val="0"/>
          <w:color w:val="auto"/>
          <w:spacing w:val="0"/>
          <w:kern w:val="21"/>
          <w:position w:val="0"/>
          <w:szCs w:val="21"/>
          <w:highlight w:val="none"/>
        </w:rPr>
        <w:fldChar w:fldCharType="separate"/>
      </w:r>
      <w:r>
        <w:rPr>
          <w:rFonts w:hint="eastAsia" w:ascii="Times New Roman" w:hAnsi="Times New Roman" w:eastAsia="宋体" w:cs="Times New Roman"/>
          <w:color w:val="auto"/>
          <w:spacing w:val="0"/>
          <w:position w:val="0"/>
          <w:szCs w:val="21"/>
          <w:highlight w:val="none"/>
        </w:rPr>
        <w:t>⑥</w:t>
      </w:r>
      <w:r>
        <w:rPr>
          <w:rFonts w:ascii="Times New Roman" w:hAnsi="Times New Roman" w:eastAsia="宋体" w:cs="Times New Roman"/>
          <w:snapToGrid w:val="0"/>
          <w:color w:val="auto"/>
          <w:spacing w:val="0"/>
          <w:kern w:val="21"/>
          <w:position w:val="0"/>
          <w:szCs w:val="21"/>
          <w:highlight w:val="none"/>
        </w:rPr>
        <w:fldChar w:fldCharType="end"/>
      </w:r>
      <w:r>
        <w:rPr>
          <w:rFonts w:ascii="Times New Roman" w:hAnsi="Times New Roman" w:eastAsia="宋体" w:cs="Times New Roman"/>
          <w:snapToGrid w:val="0"/>
          <w:color w:val="auto"/>
          <w:spacing w:val="0"/>
          <w:kern w:val="21"/>
          <w:position w:val="0"/>
          <w:szCs w:val="21"/>
          <w:highlight w:val="none"/>
        </w:rPr>
        <w:t>-</w:t>
      </w:r>
      <w:r>
        <w:rPr>
          <w:rFonts w:ascii="Times New Roman" w:hAnsi="Times New Roman" w:eastAsia="宋体" w:cs="Times New Roman"/>
          <w:snapToGrid w:val="0"/>
          <w:color w:val="auto"/>
          <w:spacing w:val="0"/>
          <w:kern w:val="21"/>
          <w:position w:val="0"/>
          <w:szCs w:val="21"/>
          <w:highlight w:val="none"/>
        </w:rPr>
        <w:fldChar w:fldCharType="begin"/>
      </w:r>
      <w:r>
        <w:rPr>
          <w:rFonts w:ascii="Times New Roman" w:hAnsi="Times New Roman" w:eastAsia="宋体" w:cs="Times New Roman"/>
          <w:snapToGrid w:val="0"/>
          <w:color w:val="auto"/>
          <w:spacing w:val="0"/>
          <w:kern w:val="21"/>
          <w:position w:val="0"/>
          <w:szCs w:val="21"/>
          <w:highlight w:val="none"/>
        </w:rPr>
        <w:instrText xml:space="preserve"> = 1 \* GB3 \* MERGEFORMAT </w:instrText>
      </w:r>
      <w:r>
        <w:rPr>
          <w:rFonts w:ascii="Times New Roman" w:hAnsi="Times New Roman" w:eastAsia="宋体" w:cs="Times New Roman"/>
          <w:snapToGrid w:val="0"/>
          <w:color w:val="auto"/>
          <w:spacing w:val="0"/>
          <w:kern w:val="21"/>
          <w:position w:val="0"/>
          <w:szCs w:val="21"/>
          <w:highlight w:val="none"/>
        </w:rPr>
        <w:fldChar w:fldCharType="separate"/>
      </w:r>
      <w:r>
        <w:rPr>
          <w:rFonts w:hint="eastAsia" w:ascii="Times New Roman" w:hAnsi="Times New Roman" w:eastAsia="宋体" w:cs="Times New Roman"/>
          <w:color w:val="auto"/>
          <w:spacing w:val="0"/>
          <w:position w:val="0"/>
          <w:szCs w:val="21"/>
          <w:highlight w:val="none"/>
        </w:rPr>
        <w:t>①</w:t>
      </w:r>
      <w:r>
        <w:rPr>
          <w:rFonts w:ascii="Times New Roman" w:hAnsi="Times New Roman" w:eastAsia="宋体" w:cs="Times New Roman"/>
          <w:snapToGrid w:val="0"/>
          <w:color w:val="auto"/>
          <w:spacing w:val="0"/>
          <w:kern w:val="21"/>
          <w:position w:val="0"/>
          <w:szCs w:val="21"/>
          <w:highlight w:val="none"/>
        </w:rPr>
        <w:fldChar w:fldCharType="end"/>
      </w:r>
    </w:p>
    <w:p w14:paraId="759E442B">
      <w:pPr>
        <w:keepNext w:val="0"/>
        <w:keepLines w:val="0"/>
        <w:pageBreakBefore w:val="0"/>
        <w:widowControl w:val="0"/>
        <w:kinsoku/>
        <w:wordWrap/>
        <w:overflowPunct/>
        <w:topLinePunct w:val="0"/>
        <w:autoSpaceDE/>
        <w:autoSpaceDN/>
        <w:bidi w:val="0"/>
        <w:adjustRightInd/>
        <w:snapToGrid/>
        <w:spacing w:line="240" w:lineRule="auto"/>
        <w:ind w:right="618"/>
        <w:jc w:val="both"/>
        <w:textAlignment w:val="auto"/>
        <w:outlineLvl w:val="0"/>
        <w:rPr>
          <w:rFonts w:ascii="Times New Roman" w:hAnsi="Times New Roman" w:eastAsia="宋体" w:cs="Times New Roman"/>
          <w:b/>
          <w:color w:val="auto"/>
          <w:spacing w:val="0"/>
          <w:kern w:val="0"/>
          <w:position w:val="0"/>
          <w:sz w:val="24"/>
          <w:highlight w:val="none"/>
        </w:rPr>
      </w:pPr>
      <w:bookmarkStart w:id="67" w:name="_Toc2873"/>
      <w:bookmarkStart w:id="68" w:name="_Toc10478"/>
      <w:r>
        <w:rPr>
          <w:rFonts w:hint="eastAsia" w:ascii="Times New Roman" w:hAnsi="Times New Roman" w:eastAsia="宋体" w:cs="Times New Roman"/>
          <w:b/>
          <w:color w:val="auto"/>
          <w:spacing w:val="0"/>
          <w:kern w:val="0"/>
          <w:position w:val="0"/>
          <w:sz w:val="24"/>
          <w:highlight w:val="none"/>
        </w:rPr>
        <w:t>附图1：项目地理位置图</w:t>
      </w:r>
      <w:bookmarkEnd w:id="67"/>
      <w:bookmarkEnd w:id="68"/>
      <w:r>
        <w:rPr>
          <w:rFonts w:ascii="Times New Roman" w:hAnsi="Times New Roman" w:eastAsia="宋体" w:cs="Times New Roman"/>
          <w:b/>
          <w:color w:val="auto"/>
          <w:spacing w:val="0"/>
          <w:kern w:val="0"/>
          <w:position w:val="0"/>
          <w:sz w:val="24"/>
          <w:highlight w:val="none"/>
        </w:rPr>
        <w:t xml:space="preserve"> </w:t>
      </w:r>
    </w:p>
    <w:p w14:paraId="277F4679">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outlineLvl w:val="0"/>
        <w:rPr>
          <w:rFonts w:hint="eastAsia" w:ascii="Times New Roman" w:hAnsi="Times New Roman" w:eastAsia="宋体" w:cs="Times New Roman"/>
          <w:color w:val="auto"/>
          <w:spacing w:val="0"/>
          <w:kern w:val="0"/>
          <w:position w:val="0"/>
          <w:sz w:val="24"/>
          <w:highlight w:val="none"/>
          <w:lang w:eastAsia="zh-CN"/>
        </w:rPr>
      </w:pPr>
    </w:p>
    <w:p w14:paraId="77DF62F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0"/>
        <w:rPr>
          <w:rFonts w:hint="default" w:ascii="Times New Roman" w:hAnsi="Times New Roman"/>
          <w:b/>
          <w:color w:val="auto"/>
          <w:sz w:val="24"/>
          <w:highlight w:val="none"/>
          <w:lang w:val="en-US" w:eastAsia="zh-CN"/>
        </w:rPr>
      </w:pPr>
      <w:r>
        <w:rPr>
          <w:rFonts w:hint="default" w:ascii="Times New Roman" w:hAnsi="Times New Roman" w:eastAsia="宋体" w:cs="Times New Roman"/>
          <w:color w:val="auto"/>
          <w:spacing w:val="0"/>
          <w:position w:val="0"/>
          <w:highlight w:val="none"/>
          <w:lang w:val="en-US" w:eastAsia="zh-CN"/>
        </w:rPr>
        <w:drawing>
          <wp:anchor distT="0" distB="0" distL="114300" distR="114300" simplePos="0" relativeHeight="251674624" behindDoc="0" locked="0" layoutInCell="1" allowOverlap="1">
            <wp:simplePos x="0" y="0"/>
            <wp:positionH relativeFrom="column">
              <wp:posOffset>4958080</wp:posOffset>
            </wp:positionH>
            <wp:positionV relativeFrom="paragraph">
              <wp:posOffset>941705</wp:posOffset>
            </wp:positionV>
            <wp:extent cx="657225" cy="962025"/>
            <wp:effectExtent l="0" t="0" r="9525" b="9525"/>
            <wp:wrapNone/>
            <wp:docPr id="216" name="图片 216" descr="077a94dfdf742b7988c1a7c4b2df5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077a94dfdf742b7988c1a7c4b2df57e2"/>
                    <pic:cNvPicPr>
                      <a:picLocks noChangeAspect="1"/>
                    </pic:cNvPicPr>
                  </pic:nvPicPr>
                  <pic:blipFill>
                    <a:blip r:embed="rId28"/>
                    <a:stretch>
                      <a:fillRect/>
                    </a:stretch>
                  </pic:blipFill>
                  <pic:spPr>
                    <a:xfrm>
                      <a:off x="0" y="0"/>
                      <a:ext cx="657225" cy="962025"/>
                    </a:xfrm>
                    <a:prstGeom prst="rect">
                      <a:avLst/>
                    </a:prstGeom>
                  </pic:spPr>
                </pic:pic>
              </a:graphicData>
            </a:graphic>
          </wp:anchor>
        </w:drawing>
      </w:r>
      <w:r>
        <w:rPr>
          <w:color w:val="auto"/>
          <w:sz w:val="24"/>
          <w:highlight w:val="none"/>
        </w:rPr>
        <mc:AlternateContent>
          <mc:Choice Requires="wps">
            <w:drawing>
              <wp:anchor distT="0" distB="0" distL="114300" distR="114300" simplePos="0" relativeHeight="251673600" behindDoc="0" locked="0" layoutInCell="1" allowOverlap="1">
                <wp:simplePos x="0" y="0"/>
                <wp:positionH relativeFrom="column">
                  <wp:posOffset>3161030</wp:posOffset>
                </wp:positionH>
                <wp:positionV relativeFrom="paragraph">
                  <wp:posOffset>4485005</wp:posOffset>
                </wp:positionV>
                <wp:extent cx="608965" cy="25908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608965" cy="259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1879E2">
                            <w:pPr>
                              <w:rPr>
                                <w:rFonts w:hint="default" w:eastAsia="宋体"/>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9pt;margin-top:353.15pt;height:20.4pt;width:47.95pt;z-index:251673600;mso-width-relative:page;mso-height-relative:page;" filled="f" stroked="f" coordsize="21600,21600" o:gfxdata="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sVi+V3AAAAAsBAAAPAAAAAAAAAAEAIAAAACIA&#10;AABkcnMvZG93bnJldi54bWxQSwECFAAUAAAACACHTuJAtSkF3T4CAABpBAAADgAAAAAAAAABACAA&#10;AAArAQAAZHJzL2Uyb0RvYy54bWxQSwUGAAAAAAYABgBZAQAA2wUAAAAA&#10;">
                <v:fill on="f" focussize="0,0"/>
                <v:stroke on="f" weight="0.5pt"/>
                <v:imagedata o:title=""/>
                <o:lock v:ext="edit" aspectratio="f"/>
                <v:textbox>
                  <w:txbxContent>
                    <w:p w14:paraId="2B1879E2">
                      <w:pPr>
                        <w:rPr>
                          <w:rFonts w:hint="default" w:eastAsia="宋体"/>
                          <w:lang w:val="en-US" w:eastAsia="zh-CN"/>
                        </w:rPr>
                      </w:pPr>
                      <w:r>
                        <w:rPr>
                          <w:rFonts w:hint="eastAsia"/>
                          <w:lang w:val="en-US" w:eastAsia="zh-CN"/>
                        </w:rPr>
                        <w:t>本项目</w:t>
                      </w:r>
                    </w:p>
                  </w:txbxContent>
                </v:textbox>
              </v:shape>
            </w:pict>
          </mc:Fallback>
        </mc:AlternateContent>
      </w:r>
      <w:r>
        <w:rPr>
          <w:color w:val="auto"/>
          <w:sz w:val="24"/>
          <w:highlight w:val="none"/>
        </w:rPr>
        <mc:AlternateContent>
          <mc:Choice Requires="wps">
            <w:drawing>
              <wp:anchor distT="0" distB="0" distL="114300" distR="114300" simplePos="0" relativeHeight="251672576" behindDoc="0" locked="0" layoutInCell="1" allowOverlap="1">
                <wp:simplePos x="0" y="0"/>
                <wp:positionH relativeFrom="column">
                  <wp:posOffset>3452495</wp:posOffset>
                </wp:positionH>
                <wp:positionV relativeFrom="paragraph">
                  <wp:posOffset>4011930</wp:posOffset>
                </wp:positionV>
                <wp:extent cx="1270000" cy="449580"/>
                <wp:effectExtent l="0" t="0" r="6350" b="7620"/>
                <wp:wrapNone/>
                <wp:docPr id="349" name="直接箭头连接符 349"/>
                <wp:cNvGraphicFramePr/>
                <a:graphic xmlns:a="http://schemas.openxmlformats.org/drawingml/2006/main">
                  <a:graphicData uri="http://schemas.microsoft.com/office/word/2010/wordprocessingShape">
                    <wps:wsp>
                      <wps:cNvCnPr>
                        <a:stCxn id="345" idx="4"/>
                        <a:endCxn id="346" idx="1"/>
                      </wps:cNvCnPr>
                      <wps:spPr>
                        <a:xfrm flipV="1">
                          <a:off x="4172585" y="5104765"/>
                          <a:ext cx="1270000" cy="449580"/>
                        </a:xfrm>
                        <a:prstGeom prst="straightConnector1">
                          <a:avLst/>
                        </a:prstGeom>
                        <a:ln>
                          <a:solidFill>
                            <a:schemeClr val="tx1"/>
                          </a:solidFill>
                          <a:headEnd type="arrow" w="sm" len="lg"/>
                          <a:tailEnd type="arrow" w="sm"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71.85pt;margin-top:315.9pt;height:35.4pt;width:100pt;z-index:251672576;mso-width-relative:page;mso-height-relative:page;" filled="f" stroked="t" coordsize="21600,21600" o:gfxdata="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JERvTWAAAACwEAAA8AAAAAAAAAAQAgAAAA&#10;IgAAAGRycy9kb3ducmV2LnhtbFBLAQIUABQAAAAIAIdO4kBkbJncRgIAAHsEAAAOAAAAAAAAAAEA&#10;IAAAACUBAABkcnMvZTJvRG9jLnhtbFBLBQYAAAAABgAGAFkBAADdBQAAAAA=&#10;">
                <v:fill on="f" focussize="0,0"/>
                <v:stroke weight="1pt" color="#000000 [3213]" miterlimit="8" joinstyle="miter" startarrow="open" startarrowwidth="narrow" startarrowlength="long" endarrow="open" endarrowwidth="narrow" endarrowlength="long"/>
                <v:imagedata o:title=""/>
                <o:lock v:ext="edit" aspectratio="f"/>
              </v:shape>
            </w:pict>
          </mc:Fallback>
        </mc:AlternateContent>
      </w:r>
      <w:r>
        <w:rPr>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5190490</wp:posOffset>
                </wp:positionH>
                <wp:positionV relativeFrom="paragraph">
                  <wp:posOffset>3949700</wp:posOffset>
                </wp:positionV>
                <wp:extent cx="76200" cy="76200"/>
                <wp:effectExtent l="17780" t="20320" r="20320" b="17780"/>
                <wp:wrapNone/>
                <wp:docPr id="348" name="五角星 348"/>
                <wp:cNvGraphicFramePr/>
                <a:graphic xmlns:a="http://schemas.openxmlformats.org/drawingml/2006/main">
                  <a:graphicData uri="http://schemas.microsoft.com/office/word/2010/wordprocessingShape">
                    <wps:wsp>
                      <wps:cNvSpPr/>
                      <wps:spPr>
                        <a:xfrm rot="10800000" flipH="1" flipV="1">
                          <a:off x="0" y="0"/>
                          <a:ext cx="76200" cy="76200"/>
                        </a:xfrm>
                        <a:prstGeom prst="star5">
                          <a:avLst>
                            <a:gd name="adj" fmla="val 19749"/>
                            <a:gd name="hf" fmla="val 105146"/>
                            <a:gd name="vf" fmla="val 110557"/>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flip:x y;margin-left:408.7pt;margin-top:311pt;height:6pt;width:6pt;rotation:11796480f;z-index:251671552;v-text-anchor:middle;mso-width-relative:page;mso-height-relative:page;" fillcolor="#FF0000" filled="t" stroked="t" coordsize="76200,76200" o:gfxdata="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Eo+kzPcAAAACwEAAA8AAAAAAAAAAQAgAAAAIgAA&#10;AGRycy9kb3ducmV2LnhtbFBLAQIUABQAAAAIAIdO4kBm2s5BrwIAAI4FAAAOAAAAAAAAAAEAIAAA&#10;ACsBAABkcnMvZTJvRG9jLnhtbFBLBQYAAAAABgAGAFkBAABMBgAAAAA=&#10;" path="m0,29105l28799,28662,38100,0,47400,28662,76199,29105,53148,47263,61647,76199,38100,58759,14552,76199,23051,47263xe">
                <v:path o:connectlocs="38100,0;0,29105;14552,76199;61647,76199;76199,29105" o:connectangles="247,164,82,82,0"/>
                <v:fill on="t" focussize="0,0"/>
                <v:stroke weight="1pt" color="#FF0000 [2404]" miterlimit="8"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3376295</wp:posOffset>
                </wp:positionH>
                <wp:positionV relativeFrom="paragraph">
                  <wp:posOffset>4432300</wp:posOffset>
                </wp:positionV>
                <wp:extent cx="76200" cy="76200"/>
                <wp:effectExtent l="17780" t="20320" r="20320" b="17780"/>
                <wp:wrapNone/>
                <wp:docPr id="345" name="五角星 345"/>
                <wp:cNvGraphicFramePr/>
                <a:graphic xmlns:a="http://schemas.openxmlformats.org/drawingml/2006/main">
                  <a:graphicData uri="http://schemas.microsoft.com/office/word/2010/wordprocessingShape">
                    <wps:wsp>
                      <wps:cNvSpPr/>
                      <wps:spPr>
                        <a:xfrm rot="10800000" flipH="1" flipV="1">
                          <a:off x="2585085" y="4768850"/>
                          <a:ext cx="76200" cy="76200"/>
                        </a:xfrm>
                        <a:prstGeom prst="star5">
                          <a:avLst>
                            <a:gd name="adj" fmla="val 19749"/>
                            <a:gd name="hf" fmla="val 105146"/>
                            <a:gd name="vf" fmla="val 110557"/>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flip:x y;margin-left:265.85pt;margin-top:349pt;height:6pt;width:6pt;rotation:11796480f;z-index:251669504;v-text-anchor:middle;mso-width-relative:page;mso-height-relative:page;" fillcolor="#FF0000" filled="t" stroked="t" coordsize="76200,76200" o:gfxdata="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9d8m73QAAAAsBAAAPAAAA&#10;AAAAAAEAIAAAACIAAABkcnMvZG93bnJldi54bWxQSwECFAAUAAAACACHTuJADoQrRLsCAACaBQAA&#10;DgAAAAAAAAABACAAAAAsAQAAZHJzL2Uyb0RvYy54bWxQSwUGAAAAAAYABgBZAQAAWQYAAAAA&#10;" path="m0,29105l28799,28662,38100,0,47400,28662,76199,29105,53148,47263,61647,76199,38100,58759,14552,76199,23051,47263xe">
                <v:path o:connectlocs="38100,0;0,29105;14552,76199;61647,76199;76199,29105" o:connectangles="247,164,82,82,0"/>
                <v:fill on="t" focussize="0,0"/>
                <v:stroke weight="1pt" color="#FF0000 [2404]" miterlimit="8"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4722495</wp:posOffset>
                </wp:positionH>
                <wp:positionV relativeFrom="paragraph">
                  <wp:posOffset>3591560</wp:posOffset>
                </wp:positionV>
                <wp:extent cx="914400" cy="840740"/>
                <wp:effectExtent l="4445" t="4445" r="14605" b="12065"/>
                <wp:wrapNone/>
                <wp:docPr id="346" name="文本框 346"/>
                <wp:cNvGraphicFramePr/>
                <a:graphic xmlns:a="http://schemas.openxmlformats.org/drawingml/2006/main">
                  <a:graphicData uri="http://schemas.microsoft.com/office/word/2010/wordprocessingShape">
                    <wps:wsp>
                      <wps:cNvSpPr txBox="1"/>
                      <wps:spPr>
                        <a:xfrm>
                          <a:off x="5442585" y="4684395"/>
                          <a:ext cx="914400" cy="840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749310">
                            <w:pPr>
                              <w:rPr>
                                <w:rFonts w:hint="eastAsia" w:eastAsia="宋体"/>
                                <w:lang w:eastAsia="zh-CN"/>
                              </w:rPr>
                            </w:pPr>
                            <w:r>
                              <w:rPr>
                                <w:rFonts w:hint="eastAsia" w:eastAsia="宋体"/>
                                <w:lang w:eastAsia="zh-CN"/>
                              </w:rPr>
                              <w:drawing>
                                <wp:inline distT="0" distB="0" distL="114300" distR="114300">
                                  <wp:extent cx="770890" cy="684530"/>
                                  <wp:effectExtent l="0" t="0" r="10160" b="1270"/>
                                  <wp:docPr id="347" name="图片 347" descr="3ed7f324b0816778c492a9e5b4e9c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3ed7f324b0816778c492a9e5b4e9c404"/>
                                          <pic:cNvPicPr>
                                            <a:picLocks noChangeAspect="1"/>
                                          </pic:cNvPicPr>
                                        </pic:nvPicPr>
                                        <pic:blipFill>
                                          <a:blip r:embed="rId29"/>
                                          <a:stretch>
                                            <a:fillRect/>
                                          </a:stretch>
                                        </pic:blipFill>
                                        <pic:spPr>
                                          <a:xfrm>
                                            <a:off x="0" y="0"/>
                                            <a:ext cx="770890" cy="684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85pt;margin-top:282.8pt;height:66.2pt;width:72pt;z-index:251670528;mso-width-relative:page;mso-height-relative:page;" fillcolor="#FFFFFF [3201]" filled="t" stroked="t" coordsize="21600,21600" o:gfxdata="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QoDw7YAAAACwEAAA8AAAAAAAAAAQAgAAAAIgAAAGRycy9kb3ducmV2LnhtbFBL&#10;AQIUABQAAAAIAIdO4kBy6CIdaAIAAMYEAAAOAAAAAAAAAAEAIAAAACcBAABkcnMvZTJvRG9jLnht&#10;bFBLBQYAAAAABgAGAFkBAAABBgAAAAA=&#10;">
                <v:fill on="t" focussize="0,0"/>
                <v:stroke weight="0.5pt" color="#000000 [3204]" joinstyle="round"/>
                <v:imagedata o:title=""/>
                <o:lock v:ext="edit" aspectratio="f"/>
                <v:textbox>
                  <w:txbxContent>
                    <w:p w14:paraId="41749310">
                      <w:pPr>
                        <w:rPr>
                          <w:rFonts w:hint="eastAsia" w:eastAsia="宋体"/>
                          <w:lang w:eastAsia="zh-CN"/>
                        </w:rPr>
                      </w:pPr>
                      <w:r>
                        <w:rPr>
                          <w:rFonts w:hint="eastAsia" w:eastAsia="宋体"/>
                          <w:lang w:eastAsia="zh-CN"/>
                        </w:rPr>
                        <w:drawing>
                          <wp:inline distT="0" distB="0" distL="114300" distR="114300">
                            <wp:extent cx="770890" cy="684530"/>
                            <wp:effectExtent l="0" t="0" r="10160" b="1270"/>
                            <wp:docPr id="347" name="图片 347" descr="3ed7f324b0816778c492a9e5b4e9c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3ed7f324b0816778c492a9e5b4e9c404"/>
                                    <pic:cNvPicPr>
                                      <a:picLocks noChangeAspect="1"/>
                                    </pic:cNvPicPr>
                                  </pic:nvPicPr>
                                  <pic:blipFill>
                                    <a:blip r:embed="rId29"/>
                                    <a:stretch>
                                      <a:fillRect/>
                                    </a:stretch>
                                  </pic:blipFill>
                                  <pic:spPr>
                                    <a:xfrm>
                                      <a:off x="0" y="0"/>
                                      <a:ext cx="770890" cy="684530"/>
                                    </a:xfrm>
                                    <a:prstGeom prst="rect">
                                      <a:avLst/>
                                    </a:prstGeom>
                                  </pic:spPr>
                                </pic:pic>
                              </a:graphicData>
                            </a:graphic>
                          </wp:inline>
                        </w:drawing>
                      </w:r>
                    </w:p>
                  </w:txbxContent>
                </v:textbox>
              </v:shape>
            </w:pict>
          </mc:Fallback>
        </mc:AlternateContent>
      </w:r>
      <w:r>
        <w:rPr>
          <w:rFonts w:hint="eastAsia" w:ascii="Times New Roman" w:hAnsi="Times New Roman" w:eastAsia="宋体" w:cs="Times New Roman"/>
          <w:color w:val="auto"/>
          <w:spacing w:val="0"/>
          <w:kern w:val="0"/>
          <w:position w:val="0"/>
          <w:sz w:val="24"/>
          <w:highlight w:val="none"/>
          <w:lang w:eastAsia="zh-CN"/>
        </w:rPr>
        <w:drawing>
          <wp:inline distT="0" distB="0" distL="114300" distR="114300">
            <wp:extent cx="5746115" cy="8288655"/>
            <wp:effectExtent l="0" t="0" r="6985" b="17145"/>
            <wp:docPr id="343" name="图片 343" descr="4b46d62b34bec776d47a9266b883e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4b46d62b34bec776d47a9266b883e770"/>
                    <pic:cNvPicPr>
                      <a:picLocks noChangeAspect="1"/>
                    </pic:cNvPicPr>
                  </pic:nvPicPr>
                  <pic:blipFill>
                    <a:blip r:embed="rId30"/>
                    <a:stretch>
                      <a:fillRect/>
                    </a:stretch>
                  </pic:blipFill>
                  <pic:spPr>
                    <a:xfrm>
                      <a:off x="0" y="0"/>
                      <a:ext cx="5746115" cy="8288655"/>
                    </a:xfrm>
                    <a:prstGeom prst="rect">
                      <a:avLst/>
                    </a:prstGeom>
                  </pic:spPr>
                </pic:pic>
              </a:graphicData>
            </a:graphic>
          </wp:inline>
        </w:drawing>
      </w:r>
      <w:r>
        <w:drawing>
          <wp:inline distT="0" distB="0" distL="114300" distR="114300">
            <wp:extent cx="5629275" cy="7858125"/>
            <wp:effectExtent l="0" t="0" r="95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1"/>
                    <a:stretch>
                      <a:fillRect/>
                    </a:stretch>
                  </pic:blipFill>
                  <pic:spPr>
                    <a:xfrm>
                      <a:off x="0" y="0"/>
                      <a:ext cx="5629275" cy="7858125"/>
                    </a:xfrm>
                    <a:prstGeom prst="rect">
                      <a:avLst/>
                    </a:prstGeom>
                    <a:noFill/>
                    <a:ln>
                      <a:noFill/>
                    </a:ln>
                  </pic:spPr>
                </pic:pic>
              </a:graphicData>
            </a:graphic>
          </wp:inline>
        </w:drawing>
      </w:r>
      <w:bookmarkStart w:id="69" w:name="_GoBack"/>
      <w:bookmarkEnd w:id="69"/>
      <w:r>
        <w:rPr>
          <w:rFonts w:hint="default" w:ascii="Times New Roman" w:hAnsi="Times New Roman"/>
          <w:b/>
          <w:color w:val="auto"/>
          <w:sz w:val="24"/>
          <w:highlight w:val="none"/>
          <w:lang w:val="en-US" w:eastAsia="zh-CN"/>
        </w:rPr>
        <w:drawing>
          <wp:inline distT="0" distB="0" distL="114300" distR="114300">
            <wp:extent cx="7858760" cy="5601970"/>
            <wp:effectExtent l="0" t="0" r="17780" b="8890"/>
            <wp:docPr id="2" name="图片 2" descr="626971574530d04107898ef598ad7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26971574530d04107898ef598ad7ee6"/>
                    <pic:cNvPicPr>
                      <a:picLocks noChangeAspect="1"/>
                    </pic:cNvPicPr>
                  </pic:nvPicPr>
                  <pic:blipFill>
                    <a:blip r:embed="rId32"/>
                    <a:stretch>
                      <a:fillRect/>
                    </a:stretch>
                  </pic:blipFill>
                  <pic:spPr>
                    <a:xfrm rot="16200000">
                      <a:off x="0" y="0"/>
                      <a:ext cx="7858760" cy="5601970"/>
                    </a:xfrm>
                    <a:prstGeom prst="rect">
                      <a:avLst/>
                    </a:prstGeom>
                  </pic:spPr>
                </pic:pic>
              </a:graphicData>
            </a:graphic>
          </wp:inline>
        </w:drawing>
      </w:r>
    </w:p>
    <w:sectPr>
      <w:headerReference r:id="rId13" w:type="default"/>
      <w:footerReference r:id="rId14" w:type="default"/>
      <w:pgSz w:w="11905" w:h="16838"/>
      <w:pgMar w:top="850" w:right="850" w:bottom="850" w:left="850" w:header="850" w:footer="107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decorative"/>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A2DAE">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BED38">
    <w:pPr>
      <w:pStyle w:val="21"/>
      <w:framePr w:wrap="around" w:vAnchor="text" w:hAnchor="margin" w:xAlign="center" w:y="1"/>
      <w:rPr>
        <w:rStyle w:val="33"/>
      </w:rPr>
    </w:pPr>
    <w:r>
      <w:fldChar w:fldCharType="begin"/>
    </w:r>
    <w:r>
      <w:rPr>
        <w:rStyle w:val="33"/>
      </w:rPr>
      <w:instrText xml:space="preserve">PAGE  </w:instrText>
    </w:r>
    <w:r>
      <w:fldChar w:fldCharType="end"/>
    </w:r>
  </w:p>
  <w:p w14:paraId="658FDDC9">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70981">
    <w:pPr>
      <w:pStyle w:val="2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9CA5F">
    <w:pPr>
      <w:pStyle w:val="21"/>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613FD">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14:paraId="364613FD">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B6B58">
    <w:pPr>
      <w:pStyle w:val="21"/>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46244">
                          <w:pPr>
                            <w:pStyle w:val="21"/>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1046244">
                    <w:pPr>
                      <w:pStyle w:val="21"/>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4778F">
    <w:pPr>
      <w:pStyle w:val="2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31AA0">
                          <w:pPr>
                            <w:pStyle w:val="21"/>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7B331AA0">
                    <w:pPr>
                      <w:pStyle w:val="21"/>
                    </w:pPr>
                    <w:r>
                      <w:fldChar w:fldCharType="begin"/>
                    </w:r>
                    <w:r>
                      <w:instrText xml:space="preserve"> PAGE  \* MERGEFORMAT </w:instrText>
                    </w:r>
                    <w:r>
                      <w:fldChar w:fldCharType="separate"/>
                    </w:r>
                    <w:r>
                      <w:t>90</w:t>
                    </w:r>
                    <w:r>
                      <w:fldChar w:fldCharType="end"/>
                    </w:r>
                  </w:p>
                </w:txbxContent>
              </v:textbox>
            </v:shape>
          </w:pict>
        </mc:Fallback>
      </mc:AlternateContent>
    </w:r>
  </w:p>
  <w:p w14:paraId="7E8EFDFC">
    <w:pPr>
      <w:pStyle w:val="21"/>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F626B">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A51B6">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05684">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FBF7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AC21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1DD4A">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295A69"/>
    <w:multiLevelType w:val="singleLevel"/>
    <w:tmpl w:val="8F295A69"/>
    <w:lvl w:ilvl="0" w:tentative="0">
      <w:start w:val="1"/>
      <w:numFmt w:val="upperLetter"/>
      <w:suff w:val="space"/>
      <w:lvlText w:val="%1."/>
      <w:lvlJc w:val="left"/>
      <w:pPr>
        <w:ind w:left="425" w:hanging="425"/>
      </w:pPr>
      <w:rPr>
        <w:rFonts w:hint="default"/>
      </w:rPr>
    </w:lvl>
  </w:abstractNum>
  <w:abstractNum w:abstractNumId="1">
    <w:nsid w:val="177EB33C"/>
    <w:multiLevelType w:val="singleLevel"/>
    <w:tmpl w:val="177EB33C"/>
    <w:lvl w:ilvl="0" w:tentative="0">
      <w:start w:val="1"/>
      <w:numFmt w:val="decimal"/>
      <w:suff w:val="nothing"/>
      <w:lvlText w:val="（%1）"/>
      <w:lvlJc w:val="left"/>
    </w:lvl>
  </w:abstractNum>
  <w:abstractNum w:abstractNumId="2">
    <w:nsid w:val="4FD86734"/>
    <w:multiLevelType w:val="singleLevel"/>
    <w:tmpl w:val="4FD86734"/>
    <w:lvl w:ilvl="0" w:tentative="0">
      <w:start w:val="1"/>
      <w:numFmt w:val="upperLetter"/>
      <w:suff w:val="space"/>
      <w:lvlText w:val="%1."/>
      <w:lvlJc w:val="left"/>
      <w:pPr>
        <w:ind w:left="425" w:hanging="425"/>
      </w:pPr>
      <w:rPr>
        <w:rFonts w:hint="default"/>
      </w:rPr>
    </w:lvl>
  </w:abstractNum>
  <w:abstractNum w:abstractNumId="3">
    <w:nsid w:val="6171074D"/>
    <w:multiLevelType w:val="singleLevel"/>
    <w:tmpl w:val="6171074D"/>
    <w:lvl w:ilvl="0" w:tentative="0">
      <w:start w:val="3"/>
      <w:numFmt w:val="decimal"/>
      <w:suff w:val="nothing"/>
      <w:lvlText w:val="（%1）"/>
      <w:lvlJc w:val="left"/>
      <w:pPr>
        <w:ind w:left="148"/>
      </w:pPr>
    </w:lvl>
  </w:abstractNum>
  <w:abstractNum w:abstractNumId="4">
    <w:nsid w:val="7DCDB4BF"/>
    <w:multiLevelType w:val="singleLevel"/>
    <w:tmpl w:val="7DCDB4BF"/>
    <w:lvl w:ilvl="0" w:tentative="0">
      <w:start w:val="1"/>
      <w:numFmt w:val="upperLetter"/>
      <w:suff w:val="space"/>
      <w:lvlText w:val="%1."/>
      <w:lvlJc w:val="left"/>
      <w:pPr>
        <w:ind w:left="425" w:hanging="425"/>
      </w:pPr>
      <w:rPr>
        <w:rFont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10"/>
  <w:drawingGridVerticalSpacing w:val="99999990"/>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RmZTgzODRhMjQzY2Q4NWE2MTY3N2I5YTI0YWJkYzMifQ=="/>
    <w:docVar w:name="KSO_WPS_MARK_KEY" w:val="29f429aa-16af-4c5d-abe0-04377c1c7567"/>
  </w:docVars>
  <w:rsids>
    <w:rsidRoot w:val="00172A27"/>
    <w:rsid w:val="000035BF"/>
    <w:rsid w:val="000060B3"/>
    <w:rsid w:val="00015C44"/>
    <w:rsid w:val="00015F07"/>
    <w:rsid w:val="00023AA5"/>
    <w:rsid w:val="0004364B"/>
    <w:rsid w:val="00043E26"/>
    <w:rsid w:val="00050367"/>
    <w:rsid w:val="00052519"/>
    <w:rsid w:val="00061B1F"/>
    <w:rsid w:val="000733C4"/>
    <w:rsid w:val="00074783"/>
    <w:rsid w:val="0008070B"/>
    <w:rsid w:val="000810AC"/>
    <w:rsid w:val="00081A02"/>
    <w:rsid w:val="00082231"/>
    <w:rsid w:val="00083076"/>
    <w:rsid w:val="00085183"/>
    <w:rsid w:val="00092D38"/>
    <w:rsid w:val="0009377B"/>
    <w:rsid w:val="000A1BD7"/>
    <w:rsid w:val="000A20C9"/>
    <w:rsid w:val="000A4FB0"/>
    <w:rsid w:val="000B058F"/>
    <w:rsid w:val="000B15D9"/>
    <w:rsid w:val="000B1824"/>
    <w:rsid w:val="000B4467"/>
    <w:rsid w:val="000B4DB9"/>
    <w:rsid w:val="000C09AC"/>
    <w:rsid w:val="000C6333"/>
    <w:rsid w:val="000C767F"/>
    <w:rsid w:val="000D5A44"/>
    <w:rsid w:val="000E3ED2"/>
    <w:rsid w:val="000E5821"/>
    <w:rsid w:val="000E7B8D"/>
    <w:rsid w:val="000F4C69"/>
    <w:rsid w:val="00103B07"/>
    <w:rsid w:val="00120A84"/>
    <w:rsid w:val="00125149"/>
    <w:rsid w:val="00126041"/>
    <w:rsid w:val="00131F42"/>
    <w:rsid w:val="00132AF4"/>
    <w:rsid w:val="00132DE8"/>
    <w:rsid w:val="001357F1"/>
    <w:rsid w:val="0013597E"/>
    <w:rsid w:val="0013620A"/>
    <w:rsid w:val="001377BC"/>
    <w:rsid w:val="00140FA8"/>
    <w:rsid w:val="00141FF2"/>
    <w:rsid w:val="00142FEB"/>
    <w:rsid w:val="00143A2D"/>
    <w:rsid w:val="00145A41"/>
    <w:rsid w:val="00151675"/>
    <w:rsid w:val="00157435"/>
    <w:rsid w:val="0016278E"/>
    <w:rsid w:val="00163991"/>
    <w:rsid w:val="001669D4"/>
    <w:rsid w:val="0017343D"/>
    <w:rsid w:val="0017504D"/>
    <w:rsid w:val="00176184"/>
    <w:rsid w:val="0017671A"/>
    <w:rsid w:val="00177422"/>
    <w:rsid w:val="001800B3"/>
    <w:rsid w:val="00182737"/>
    <w:rsid w:val="00184590"/>
    <w:rsid w:val="001870D1"/>
    <w:rsid w:val="0018781E"/>
    <w:rsid w:val="0019262D"/>
    <w:rsid w:val="001A026A"/>
    <w:rsid w:val="001A0AA4"/>
    <w:rsid w:val="001A1B35"/>
    <w:rsid w:val="001A48A2"/>
    <w:rsid w:val="001A6F61"/>
    <w:rsid w:val="001B26B0"/>
    <w:rsid w:val="001B619A"/>
    <w:rsid w:val="001B72B8"/>
    <w:rsid w:val="001C69B3"/>
    <w:rsid w:val="001D5595"/>
    <w:rsid w:val="001D6B7D"/>
    <w:rsid w:val="001D6C5C"/>
    <w:rsid w:val="001D7874"/>
    <w:rsid w:val="001D7F22"/>
    <w:rsid w:val="001E16B6"/>
    <w:rsid w:val="001F0F17"/>
    <w:rsid w:val="001F241B"/>
    <w:rsid w:val="001F3347"/>
    <w:rsid w:val="001F6697"/>
    <w:rsid w:val="001F69E4"/>
    <w:rsid w:val="001F735F"/>
    <w:rsid w:val="00202A64"/>
    <w:rsid w:val="00207007"/>
    <w:rsid w:val="002125B4"/>
    <w:rsid w:val="002155B8"/>
    <w:rsid w:val="00215E2C"/>
    <w:rsid w:val="00223D22"/>
    <w:rsid w:val="00224839"/>
    <w:rsid w:val="002249B2"/>
    <w:rsid w:val="00226574"/>
    <w:rsid w:val="002271BF"/>
    <w:rsid w:val="002278EC"/>
    <w:rsid w:val="0023132F"/>
    <w:rsid w:val="0023280E"/>
    <w:rsid w:val="002377D1"/>
    <w:rsid w:val="00240221"/>
    <w:rsid w:val="002506BC"/>
    <w:rsid w:val="002533C2"/>
    <w:rsid w:val="00254345"/>
    <w:rsid w:val="0026104F"/>
    <w:rsid w:val="00264557"/>
    <w:rsid w:val="0026591D"/>
    <w:rsid w:val="00265A33"/>
    <w:rsid w:val="002805AB"/>
    <w:rsid w:val="002820C7"/>
    <w:rsid w:val="00284204"/>
    <w:rsid w:val="00291773"/>
    <w:rsid w:val="00294E7D"/>
    <w:rsid w:val="0029779D"/>
    <w:rsid w:val="002A168C"/>
    <w:rsid w:val="002A3DC7"/>
    <w:rsid w:val="002B08A7"/>
    <w:rsid w:val="002B49E2"/>
    <w:rsid w:val="002B7B00"/>
    <w:rsid w:val="002B7C44"/>
    <w:rsid w:val="002C2B17"/>
    <w:rsid w:val="002D3DD0"/>
    <w:rsid w:val="002E0D4D"/>
    <w:rsid w:val="002E0FC6"/>
    <w:rsid w:val="002E1F3A"/>
    <w:rsid w:val="002E298A"/>
    <w:rsid w:val="002F171F"/>
    <w:rsid w:val="002F7EE4"/>
    <w:rsid w:val="00301978"/>
    <w:rsid w:val="0030332C"/>
    <w:rsid w:val="003051C2"/>
    <w:rsid w:val="003077F7"/>
    <w:rsid w:val="00312296"/>
    <w:rsid w:val="00312A73"/>
    <w:rsid w:val="00314026"/>
    <w:rsid w:val="00314F0E"/>
    <w:rsid w:val="00320075"/>
    <w:rsid w:val="00321D8E"/>
    <w:rsid w:val="00325928"/>
    <w:rsid w:val="00332863"/>
    <w:rsid w:val="00332B8B"/>
    <w:rsid w:val="003347C7"/>
    <w:rsid w:val="0033684D"/>
    <w:rsid w:val="00337B42"/>
    <w:rsid w:val="003415C1"/>
    <w:rsid w:val="00341B42"/>
    <w:rsid w:val="0034348F"/>
    <w:rsid w:val="00351120"/>
    <w:rsid w:val="00356653"/>
    <w:rsid w:val="0035743F"/>
    <w:rsid w:val="00357BE2"/>
    <w:rsid w:val="0036170C"/>
    <w:rsid w:val="00363265"/>
    <w:rsid w:val="00366E0F"/>
    <w:rsid w:val="0036746E"/>
    <w:rsid w:val="00375439"/>
    <w:rsid w:val="00381A72"/>
    <w:rsid w:val="00384676"/>
    <w:rsid w:val="0039055E"/>
    <w:rsid w:val="00390857"/>
    <w:rsid w:val="0039173E"/>
    <w:rsid w:val="00394C37"/>
    <w:rsid w:val="003A4BF3"/>
    <w:rsid w:val="003A72EB"/>
    <w:rsid w:val="003B17AE"/>
    <w:rsid w:val="003B2655"/>
    <w:rsid w:val="003B420D"/>
    <w:rsid w:val="003C6C16"/>
    <w:rsid w:val="003C7FB1"/>
    <w:rsid w:val="003D17ED"/>
    <w:rsid w:val="003D21B2"/>
    <w:rsid w:val="003D4830"/>
    <w:rsid w:val="003D794D"/>
    <w:rsid w:val="003E3058"/>
    <w:rsid w:val="003E4E60"/>
    <w:rsid w:val="003E5860"/>
    <w:rsid w:val="003E76A9"/>
    <w:rsid w:val="003F0809"/>
    <w:rsid w:val="003F424A"/>
    <w:rsid w:val="003F5F2A"/>
    <w:rsid w:val="003F6A8C"/>
    <w:rsid w:val="003F6D0E"/>
    <w:rsid w:val="003F755C"/>
    <w:rsid w:val="004012C9"/>
    <w:rsid w:val="004069EE"/>
    <w:rsid w:val="00406F01"/>
    <w:rsid w:val="00416D50"/>
    <w:rsid w:val="00416FD5"/>
    <w:rsid w:val="00417772"/>
    <w:rsid w:val="00420E6A"/>
    <w:rsid w:val="00425A1B"/>
    <w:rsid w:val="00425A9E"/>
    <w:rsid w:val="00425CB0"/>
    <w:rsid w:val="00426D6B"/>
    <w:rsid w:val="00431E6C"/>
    <w:rsid w:val="00432FEB"/>
    <w:rsid w:val="00433CE7"/>
    <w:rsid w:val="0043436F"/>
    <w:rsid w:val="0044789A"/>
    <w:rsid w:val="00452738"/>
    <w:rsid w:val="00456091"/>
    <w:rsid w:val="00456352"/>
    <w:rsid w:val="00466321"/>
    <w:rsid w:val="00475437"/>
    <w:rsid w:val="00481283"/>
    <w:rsid w:val="00481A82"/>
    <w:rsid w:val="00484B9B"/>
    <w:rsid w:val="004855F6"/>
    <w:rsid w:val="0048661E"/>
    <w:rsid w:val="00494670"/>
    <w:rsid w:val="004A3823"/>
    <w:rsid w:val="004A77CA"/>
    <w:rsid w:val="004C101A"/>
    <w:rsid w:val="004E2611"/>
    <w:rsid w:val="004E3640"/>
    <w:rsid w:val="004E6946"/>
    <w:rsid w:val="004F1AD8"/>
    <w:rsid w:val="00501F6C"/>
    <w:rsid w:val="005039CB"/>
    <w:rsid w:val="00503C8B"/>
    <w:rsid w:val="0050558F"/>
    <w:rsid w:val="00506286"/>
    <w:rsid w:val="00510813"/>
    <w:rsid w:val="00511990"/>
    <w:rsid w:val="00511DE0"/>
    <w:rsid w:val="00514870"/>
    <w:rsid w:val="00514B9B"/>
    <w:rsid w:val="00517F02"/>
    <w:rsid w:val="005205CF"/>
    <w:rsid w:val="00521C89"/>
    <w:rsid w:val="00524303"/>
    <w:rsid w:val="005254AE"/>
    <w:rsid w:val="005258A2"/>
    <w:rsid w:val="00532113"/>
    <w:rsid w:val="005350D3"/>
    <w:rsid w:val="005401AE"/>
    <w:rsid w:val="00540532"/>
    <w:rsid w:val="005415A4"/>
    <w:rsid w:val="00542E07"/>
    <w:rsid w:val="00543595"/>
    <w:rsid w:val="00545424"/>
    <w:rsid w:val="00554A1D"/>
    <w:rsid w:val="00554A7B"/>
    <w:rsid w:val="0055572C"/>
    <w:rsid w:val="0056106A"/>
    <w:rsid w:val="00561FBA"/>
    <w:rsid w:val="0056465E"/>
    <w:rsid w:val="00567351"/>
    <w:rsid w:val="00570F24"/>
    <w:rsid w:val="005720AE"/>
    <w:rsid w:val="00585BCD"/>
    <w:rsid w:val="0059064E"/>
    <w:rsid w:val="00594D77"/>
    <w:rsid w:val="005969E4"/>
    <w:rsid w:val="005A06B7"/>
    <w:rsid w:val="005A1759"/>
    <w:rsid w:val="005A68A7"/>
    <w:rsid w:val="005B100C"/>
    <w:rsid w:val="005B5DBD"/>
    <w:rsid w:val="005C721F"/>
    <w:rsid w:val="005C7D70"/>
    <w:rsid w:val="005D0943"/>
    <w:rsid w:val="005D1BE7"/>
    <w:rsid w:val="005D36AB"/>
    <w:rsid w:val="005D595D"/>
    <w:rsid w:val="005D7673"/>
    <w:rsid w:val="005E236F"/>
    <w:rsid w:val="005E5D2B"/>
    <w:rsid w:val="005F0189"/>
    <w:rsid w:val="005F2C0F"/>
    <w:rsid w:val="00600F28"/>
    <w:rsid w:val="00604F87"/>
    <w:rsid w:val="00605D03"/>
    <w:rsid w:val="00617CC3"/>
    <w:rsid w:val="00620BE0"/>
    <w:rsid w:val="006272F7"/>
    <w:rsid w:val="00633BAF"/>
    <w:rsid w:val="006377A6"/>
    <w:rsid w:val="00637A3D"/>
    <w:rsid w:val="00640EA7"/>
    <w:rsid w:val="006411EF"/>
    <w:rsid w:val="00644616"/>
    <w:rsid w:val="006446E0"/>
    <w:rsid w:val="00656F4E"/>
    <w:rsid w:val="00657361"/>
    <w:rsid w:val="0066581B"/>
    <w:rsid w:val="006701D0"/>
    <w:rsid w:val="006748B8"/>
    <w:rsid w:val="00675481"/>
    <w:rsid w:val="006775C3"/>
    <w:rsid w:val="006802BF"/>
    <w:rsid w:val="0069290A"/>
    <w:rsid w:val="0069775A"/>
    <w:rsid w:val="00697813"/>
    <w:rsid w:val="006A2883"/>
    <w:rsid w:val="006A3EE8"/>
    <w:rsid w:val="006A46FC"/>
    <w:rsid w:val="006A4ABF"/>
    <w:rsid w:val="006A72BF"/>
    <w:rsid w:val="006B03F2"/>
    <w:rsid w:val="006B37DC"/>
    <w:rsid w:val="006B4F68"/>
    <w:rsid w:val="006C0592"/>
    <w:rsid w:val="006C272E"/>
    <w:rsid w:val="006C5479"/>
    <w:rsid w:val="006D13B5"/>
    <w:rsid w:val="006D1DEA"/>
    <w:rsid w:val="006E12FF"/>
    <w:rsid w:val="006E1AA5"/>
    <w:rsid w:val="006E4D98"/>
    <w:rsid w:val="006E607E"/>
    <w:rsid w:val="006F12A4"/>
    <w:rsid w:val="00701B98"/>
    <w:rsid w:val="00703296"/>
    <w:rsid w:val="00706C5D"/>
    <w:rsid w:val="00724D21"/>
    <w:rsid w:val="00732922"/>
    <w:rsid w:val="007470EB"/>
    <w:rsid w:val="0075162E"/>
    <w:rsid w:val="00752030"/>
    <w:rsid w:val="00753585"/>
    <w:rsid w:val="00754034"/>
    <w:rsid w:val="007564BD"/>
    <w:rsid w:val="00756556"/>
    <w:rsid w:val="00760201"/>
    <w:rsid w:val="007618C4"/>
    <w:rsid w:val="0076748D"/>
    <w:rsid w:val="00767980"/>
    <w:rsid w:val="00767EF3"/>
    <w:rsid w:val="00770B19"/>
    <w:rsid w:val="0077463F"/>
    <w:rsid w:val="00775825"/>
    <w:rsid w:val="0078323D"/>
    <w:rsid w:val="007836EA"/>
    <w:rsid w:val="00784CDA"/>
    <w:rsid w:val="007859B6"/>
    <w:rsid w:val="007906C4"/>
    <w:rsid w:val="007940EA"/>
    <w:rsid w:val="00795B6D"/>
    <w:rsid w:val="007967E8"/>
    <w:rsid w:val="007A2170"/>
    <w:rsid w:val="007A22BF"/>
    <w:rsid w:val="007A3323"/>
    <w:rsid w:val="007A66F6"/>
    <w:rsid w:val="007B72B8"/>
    <w:rsid w:val="007B78CD"/>
    <w:rsid w:val="007B7A58"/>
    <w:rsid w:val="007C21B5"/>
    <w:rsid w:val="007C427C"/>
    <w:rsid w:val="007C7C32"/>
    <w:rsid w:val="007D7822"/>
    <w:rsid w:val="007E0BE5"/>
    <w:rsid w:val="007E321C"/>
    <w:rsid w:val="007E36DA"/>
    <w:rsid w:val="007E492E"/>
    <w:rsid w:val="007E4BD2"/>
    <w:rsid w:val="007E4CA5"/>
    <w:rsid w:val="007F0EAD"/>
    <w:rsid w:val="007F1AED"/>
    <w:rsid w:val="007F304E"/>
    <w:rsid w:val="00801393"/>
    <w:rsid w:val="0080251D"/>
    <w:rsid w:val="00802F88"/>
    <w:rsid w:val="0080413A"/>
    <w:rsid w:val="00804C9A"/>
    <w:rsid w:val="00810D72"/>
    <w:rsid w:val="0081293E"/>
    <w:rsid w:val="00813336"/>
    <w:rsid w:val="00815465"/>
    <w:rsid w:val="00817CBA"/>
    <w:rsid w:val="00817E9A"/>
    <w:rsid w:val="008306BD"/>
    <w:rsid w:val="00831A80"/>
    <w:rsid w:val="00833743"/>
    <w:rsid w:val="008340A4"/>
    <w:rsid w:val="0085039C"/>
    <w:rsid w:val="00860F3F"/>
    <w:rsid w:val="00861402"/>
    <w:rsid w:val="0087135F"/>
    <w:rsid w:val="00872D94"/>
    <w:rsid w:val="00880364"/>
    <w:rsid w:val="0088184F"/>
    <w:rsid w:val="00891592"/>
    <w:rsid w:val="00891E9E"/>
    <w:rsid w:val="0089261B"/>
    <w:rsid w:val="00893649"/>
    <w:rsid w:val="008A0F21"/>
    <w:rsid w:val="008A2F68"/>
    <w:rsid w:val="008A37CE"/>
    <w:rsid w:val="008A4D37"/>
    <w:rsid w:val="008B292F"/>
    <w:rsid w:val="008B4FA6"/>
    <w:rsid w:val="008B5282"/>
    <w:rsid w:val="008B570C"/>
    <w:rsid w:val="008B721A"/>
    <w:rsid w:val="008B7C17"/>
    <w:rsid w:val="008C2D01"/>
    <w:rsid w:val="008C40E6"/>
    <w:rsid w:val="008D0F7A"/>
    <w:rsid w:val="008D10E1"/>
    <w:rsid w:val="008D293B"/>
    <w:rsid w:val="008D68E4"/>
    <w:rsid w:val="008E0506"/>
    <w:rsid w:val="008E0CFF"/>
    <w:rsid w:val="008E2596"/>
    <w:rsid w:val="008E5D6B"/>
    <w:rsid w:val="008E76F0"/>
    <w:rsid w:val="008F15FE"/>
    <w:rsid w:val="008F2D29"/>
    <w:rsid w:val="008F5187"/>
    <w:rsid w:val="008F60D8"/>
    <w:rsid w:val="00901BF4"/>
    <w:rsid w:val="00902727"/>
    <w:rsid w:val="0090312B"/>
    <w:rsid w:val="0091311F"/>
    <w:rsid w:val="009131A0"/>
    <w:rsid w:val="00915DBD"/>
    <w:rsid w:val="009166AF"/>
    <w:rsid w:val="00917148"/>
    <w:rsid w:val="0091736D"/>
    <w:rsid w:val="0092453F"/>
    <w:rsid w:val="0093037A"/>
    <w:rsid w:val="00930C49"/>
    <w:rsid w:val="0094154D"/>
    <w:rsid w:val="00943084"/>
    <w:rsid w:val="009459BB"/>
    <w:rsid w:val="0095155F"/>
    <w:rsid w:val="00951CFA"/>
    <w:rsid w:val="00954429"/>
    <w:rsid w:val="00954CBD"/>
    <w:rsid w:val="00955034"/>
    <w:rsid w:val="009563CE"/>
    <w:rsid w:val="009610CE"/>
    <w:rsid w:val="0096639D"/>
    <w:rsid w:val="00973B1A"/>
    <w:rsid w:val="00973B70"/>
    <w:rsid w:val="00973F3D"/>
    <w:rsid w:val="00976328"/>
    <w:rsid w:val="0097680D"/>
    <w:rsid w:val="00982438"/>
    <w:rsid w:val="00983AEF"/>
    <w:rsid w:val="0098404C"/>
    <w:rsid w:val="00984470"/>
    <w:rsid w:val="00985283"/>
    <w:rsid w:val="009915F0"/>
    <w:rsid w:val="00995992"/>
    <w:rsid w:val="00996AEB"/>
    <w:rsid w:val="009A03E5"/>
    <w:rsid w:val="009A0F3B"/>
    <w:rsid w:val="009A1BB4"/>
    <w:rsid w:val="009A2628"/>
    <w:rsid w:val="009A3200"/>
    <w:rsid w:val="009B0897"/>
    <w:rsid w:val="009B3898"/>
    <w:rsid w:val="009B5F77"/>
    <w:rsid w:val="009B7BD9"/>
    <w:rsid w:val="009C0932"/>
    <w:rsid w:val="009C0E87"/>
    <w:rsid w:val="009C76EA"/>
    <w:rsid w:val="009C7AA0"/>
    <w:rsid w:val="009C7DD5"/>
    <w:rsid w:val="009D4A66"/>
    <w:rsid w:val="009E227D"/>
    <w:rsid w:val="009E5019"/>
    <w:rsid w:val="00A01AA0"/>
    <w:rsid w:val="00A04F1B"/>
    <w:rsid w:val="00A0501B"/>
    <w:rsid w:val="00A07BC7"/>
    <w:rsid w:val="00A14947"/>
    <w:rsid w:val="00A1722B"/>
    <w:rsid w:val="00A244E5"/>
    <w:rsid w:val="00A32A83"/>
    <w:rsid w:val="00A337CB"/>
    <w:rsid w:val="00A35E94"/>
    <w:rsid w:val="00A368DB"/>
    <w:rsid w:val="00A423AA"/>
    <w:rsid w:val="00A53EC6"/>
    <w:rsid w:val="00A55C0F"/>
    <w:rsid w:val="00A61B06"/>
    <w:rsid w:val="00A72E17"/>
    <w:rsid w:val="00A85C97"/>
    <w:rsid w:val="00A8713F"/>
    <w:rsid w:val="00A90BA1"/>
    <w:rsid w:val="00A92AF2"/>
    <w:rsid w:val="00A9453F"/>
    <w:rsid w:val="00A97A9A"/>
    <w:rsid w:val="00AA0671"/>
    <w:rsid w:val="00AA2531"/>
    <w:rsid w:val="00AB0F1D"/>
    <w:rsid w:val="00AB1207"/>
    <w:rsid w:val="00AB1E09"/>
    <w:rsid w:val="00AB5330"/>
    <w:rsid w:val="00AB5F3C"/>
    <w:rsid w:val="00AB7747"/>
    <w:rsid w:val="00AC14CE"/>
    <w:rsid w:val="00AC28CE"/>
    <w:rsid w:val="00AC2A56"/>
    <w:rsid w:val="00AC2D86"/>
    <w:rsid w:val="00AC3412"/>
    <w:rsid w:val="00AC4719"/>
    <w:rsid w:val="00AD055E"/>
    <w:rsid w:val="00AD2BB0"/>
    <w:rsid w:val="00AD47A7"/>
    <w:rsid w:val="00AD5130"/>
    <w:rsid w:val="00AF0CBF"/>
    <w:rsid w:val="00AF257F"/>
    <w:rsid w:val="00AF2645"/>
    <w:rsid w:val="00AF2A76"/>
    <w:rsid w:val="00AF33CF"/>
    <w:rsid w:val="00AF4D50"/>
    <w:rsid w:val="00AF6179"/>
    <w:rsid w:val="00AF7244"/>
    <w:rsid w:val="00B0644D"/>
    <w:rsid w:val="00B1295A"/>
    <w:rsid w:val="00B14351"/>
    <w:rsid w:val="00B164DB"/>
    <w:rsid w:val="00B20352"/>
    <w:rsid w:val="00B20A45"/>
    <w:rsid w:val="00B22C5C"/>
    <w:rsid w:val="00B23F0E"/>
    <w:rsid w:val="00B24F30"/>
    <w:rsid w:val="00B31ABF"/>
    <w:rsid w:val="00B32EF6"/>
    <w:rsid w:val="00B33BE3"/>
    <w:rsid w:val="00B458F1"/>
    <w:rsid w:val="00B53B5D"/>
    <w:rsid w:val="00B6055E"/>
    <w:rsid w:val="00B6317D"/>
    <w:rsid w:val="00B7723F"/>
    <w:rsid w:val="00B80534"/>
    <w:rsid w:val="00B81338"/>
    <w:rsid w:val="00B82381"/>
    <w:rsid w:val="00B8433C"/>
    <w:rsid w:val="00B869D5"/>
    <w:rsid w:val="00B87491"/>
    <w:rsid w:val="00B94C82"/>
    <w:rsid w:val="00B96D2E"/>
    <w:rsid w:val="00BA29E9"/>
    <w:rsid w:val="00BA3231"/>
    <w:rsid w:val="00BA6AC2"/>
    <w:rsid w:val="00BA6B13"/>
    <w:rsid w:val="00BA7142"/>
    <w:rsid w:val="00BB237C"/>
    <w:rsid w:val="00BB41A3"/>
    <w:rsid w:val="00BB70BF"/>
    <w:rsid w:val="00BC1B54"/>
    <w:rsid w:val="00BC32DC"/>
    <w:rsid w:val="00BC35B6"/>
    <w:rsid w:val="00BC4341"/>
    <w:rsid w:val="00BD0B01"/>
    <w:rsid w:val="00BD1B51"/>
    <w:rsid w:val="00BD405E"/>
    <w:rsid w:val="00BD4596"/>
    <w:rsid w:val="00BD658E"/>
    <w:rsid w:val="00BE1405"/>
    <w:rsid w:val="00BE312D"/>
    <w:rsid w:val="00BE4ADE"/>
    <w:rsid w:val="00BF0E19"/>
    <w:rsid w:val="00BF1C20"/>
    <w:rsid w:val="00BF31BC"/>
    <w:rsid w:val="00BF7172"/>
    <w:rsid w:val="00C10578"/>
    <w:rsid w:val="00C11035"/>
    <w:rsid w:val="00C135BC"/>
    <w:rsid w:val="00C15C95"/>
    <w:rsid w:val="00C2596A"/>
    <w:rsid w:val="00C27537"/>
    <w:rsid w:val="00C31C1A"/>
    <w:rsid w:val="00C328FE"/>
    <w:rsid w:val="00C33507"/>
    <w:rsid w:val="00C37256"/>
    <w:rsid w:val="00C410E4"/>
    <w:rsid w:val="00C4409D"/>
    <w:rsid w:val="00C44E72"/>
    <w:rsid w:val="00C45A06"/>
    <w:rsid w:val="00C47E5B"/>
    <w:rsid w:val="00C52AA8"/>
    <w:rsid w:val="00C547A1"/>
    <w:rsid w:val="00C61E4B"/>
    <w:rsid w:val="00C633C6"/>
    <w:rsid w:val="00C64BFF"/>
    <w:rsid w:val="00C704E9"/>
    <w:rsid w:val="00C7637C"/>
    <w:rsid w:val="00C763C9"/>
    <w:rsid w:val="00C80057"/>
    <w:rsid w:val="00C82232"/>
    <w:rsid w:val="00C82913"/>
    <w:rsid w:val="00C86FF2"/>
    <w:rsid w:val="00C876FF"/>
    <w:rsid w:val="00C972B1"/>
    <w:rsid w:val="00CA2CCE"/>
    <w:rsid w:val="00CA43FD"/>
    <w:rsid w:val="00CA7EF8"/>
    <w:rsid w:val="00CB0274"/>
    <w:rsid w:val="00CB486F"/>
    <w:rsid w:val="00CC489B"/>
    <w:rsid w:val="00CC560E"/>
    <w:rsid w:val="00CD2BCD"/>
    <w:rsid w:val="00CD3A4C"/>
    <w:rsid w:val="00CE10E9"/>
    <w:rsid w:val="00CE2910"/>
    <w:rsid w:val="00CE2BAC"/>
    <w:rsid w:val="00CE5393"/>
    <w:rsid w:val="00CF36BE"/>
    <w:rsid w:val="00CF3EE9"/>
    <w:rsid w:val="00CF6000"/>
    <w:rsid w:val="00D003F3"/>
    <w:rsid w:val="00D01278"/>
    <w:rsid w:val="00D0195B"/>
    <w:rsid w:val="00D0364F"/>
    <w:rsid w:val="00D06834"/>
    <w:rsid w:val="00D13057"/>
    <w:rsid w:val="00D2233B"/>
    <w:rsid w:val="00D308ED"/>
    <w:rsid w:val="00D36D86"/>
    <w:rsid w:val="00D428AA"/>
    <w:rsid w:val="00D46EDC"/>
    <w:rsid w:val="00D50A34"/>
    <w:rsid w:val="00D51006"/>
    <w:rsid w:val="00D53EFA"/>
    <w:rsid w:val="00D554C1"/>
    <w:rsid w:val="00D55E04"/>
    <w:rsid w:val="00D56745"/>
    <w:rsid w:val="00D653B1"/>
    <w:rsid w:val="00D7183C"/>
    <w:rsid w:val="00D81F38"/>
    <w:rsid w:val="00D82137"/>
    <w:rsid w:val="00D928BC"/>
    <w:rsid w:val="00D92DF3"/>
    <w:rsid w:val="00D94A7C"/>
    <w:rsid w:val="00D95896"/>
    <w:rsid w:val="00DA366E"/>
    <w:rsid w:val="00DB24EF"/>
    <w:rsid w:val="00DB2983"/>
    <w:rsid w:val="00DC1257"/>
    <w:rsid w:val="00DC3DC0"/>
    <w:rsid w:val="00DC5B2B"/>
    <w:rsid w:val="00DD318D"/>
    <w:rsid w:val="00DD3341"/>
    <w:rsid w:val="00DE5120"/>
    <w:rsid w:val="00DF2E12"/>
    <w:rsid w:val="00DF514A"/>
    <w:rsid w:val="00DF5F0E"/>
    <w:rsid w:val="00DF6690"/>
    <w:rsid w:val="00DF6804"/>
    <w:rsid w:val="00DF7C82"/>
    <w:rsid w:val="00E016FE"/>
    <w:rsid w:val="00E0358D"/>
    <w:rsid w:val="00E04323"/>
    <w:rsid w:val="00E070A2"/>
    <w:rsid w:val="00E20D74"/>
    <w:rsid w:val="00E224A3"/>
    <w:rsid w:val="00E2656A"/>
    <w:rsid w:val="00E412D0"/>
    <w:rsid w:val="00E4598F"/>
    <w:rsid w:val="00E47A52"/>
    <w:rsid w:val="00E47BEB"/>
    <w:rsid w:val="00E51B52"/>
    <w:rsid w:val="00E51B96"/>
    <w:rsid w:val="00E53895"/>
    <w:rsid w:val="00E56322"/>
    <w:rsid w:val="00E60982"/>
    <w:rsid w:val="00E62054"/>
    <w:rsid w:val="00E62C62"/>
    <w:rsid w:val="00E654C1"/>
    <w:rsid w:val="00E65D97"/>
    <w:rsid w:val="00E70244"/>
    <w:rsid w:val="00E72A5A"/>
    <w:rsid w:val="00E73354"/>
    <w:rsid w:val="00E83A64"/>
    <w:rsid w:val="00E877FB"/>
    <w:rsid w:val="00E87D1A"/>
    <w:rsid w:val="00E91AF4"/>
    <w:rsid w:val="00E9242D"/>
    <w:rsid w:val="00E97F0C"/>
    <w:rsid w:val="00EA6DF2"/>
    <w:rsid w:val="00EB5255"/>
    <w:rsid w:val="00EB5C47"/>
    <w:rsid w:val="00EC1739"/>
    <w:rsid w:val="00ED0639"/>
    <w:rsid w:val="00ED2077"/>
    <w:rsid w:val="00ED5D6D"/>
    <w:rsid w:val="00EE2F1B"/>
    <w:rsid w:val="00EE3E2D"/>
    <w:rsid w:val="00EE790E"/>
    <w:rsid w:val="00EF4755"/>
    <w:rsid w:val="00EF7135"/>
    <w:rsid w:val="00F01C3F"/>
    <w:rsid w:val="00F02245"/>
    <w:rsid w:val="00F027DB"/>
    <w:rsid w:val="00F11687"/>
    <w:rsid w:val="00F145C5"/>
    <w:rsid w:val="00F14A7A"/>
    <w:rsid w:val="00F21031"/>
    <w:rsid w:val="00F21F4A"/>
    <w:rsid w:val="00F22985"/>
    <w:rsid w:val="00F3170F"/>
    <w:rsid w:val="00F3383E"/>
    <w:rsid w:val="00F43C55"/>
    <w:rsid w:val="00F44F67"/>
    <w:rsid w:val="00F465A7"/>
    <w:rsid w:val="00F50383"/>
    <w:rsid w:val="00F50B7C"/>
    <w:rsid w:val="00F550E6"/>
    <w:rsid w:val="00F64EBB"/>
    <w:rsid w:val="00F725FA"/>
    <w:rsid w:val="00F73CC4"/>
    <w:rsid w:val="00F74345"/>
    <w:rsid w:val="00F80A0A"/>
    <w:rsid w:val="00F80F52"/>
    <w:rsid w:val="00F82B19"/>
    <w:rsid w:val="00F87D9D"/>
    <w:rsid w:val="00F90B32"/>
    <w:rsid w:val="00F9212D"/>
    <w:rsid w:val="00F965DA"/>
    <w:rsid w:val="00FA406A"/>
    <w:rsid w:val="00FA5313"/>
    <w:rsid w:val="00FA60A5"/>
    <w:rsid w:val="00FB503A"/>
    <w:rsid w:val="00FB516C"/>
    <w:rsid w:val="00FB6FB0"/>
    <w:rsid w:val="00FC1508"/>
    <w:rsid w:val="00FC590C"/>
    <w:rsid w:val="00FD0236"/>
    <w:rsid w:val="00FD18F4"/>
    <w:rsid w:val="00FD42D4"/>
    <w:rsid w:val="00FD54DB"/>
    <w:rsid w:val="00FD619F"/>
    <w:rsid w:val="00FD7360"/>
    <w:rsid w:val="0100390C"/>
    <w:rsid w:val="01080A12"/>
    <w:rsid w:val="011D2710"/>
    <w:rsid w:val="01290F7E"/>
    <w:rsid w:val="012D2227"/>
    <w:rsid w:val="01325A8F"/>
    <w:rsid w:val="01374E54"/>
    <w:rsid w:val="01390BCC"/>
    <w:rsid w:val="01401F5A"/>
    <w:rsid w:val="01437C9C"/>
    <w:rsid w:val="015D1E09"/>
    <w:rsid w:val="01693191"/>
    <w:rsid w:val="016B16E4"/>
    <w:rsid w:val="017442FA"/>
    <w:rsid w:val="017B11E4"/>
    <w:rsid w:val="017D7BF9"/>
    <w:rsid w:val="018425E2"/>
    <w:rsid w:val="019415F0"/>
    <w:rsid w:val="01981D96"/>
    <w:rsid w:val="019E1F5B"/>
    <w:rsid w:val="01A050EF"/>
    <w:rsid w:val="01AA04FE"/>
    <w:rsid w:val="01B15800"/>
    <w:rsid w:val="01B73720"/>
    <w:rsid w:val="01C5349F"/>
    <w:rsid w:val="01C81F50"/>
    <w:rsid w:val="01CC0E60"/>
    <w:rsid w:val="01D17056"/>
    <w:rsid w:val="01DA23AF"/>
    <w:rsid w:val="01E52B01"/>
    <w:rsid w:val="01E925F2"/>
    <w:rsid w:val="01EE5E5A"/>
    <w:rsid w:val="01EF43BB"/>
    <w:rsid w:val="01F66ABD"/>
    <w:rsid w:val="02025461"/>
    <w:rsid w:val="020F041D"/>
    <w:rsid w:val="02182ED7"/>
    <w:rsid w:val="022655F4"/>
    <w:rsid w:val="022A0825"/>
    <w:rsid w:val="022A6766"/>
    <w:rsid w:val="02313F99"/>
    <w:rsid w:val="02381631"/>
    <w:rsid w:val="02392A25"/>
    <w:rsid w:val="023D46EC"/>
    <w:rsid w:val="02491D1D"/>
    <w:rsid w:val="024E68F9"/>
    <w:rsid w:val="025F4662"/>
    <w:rsid w:val="02691701"/>
    <w:rsid w:val="02693733"/>
    <w:rsid w:val="02697903"/>
    <w:rsid w:val="026D58D9"/>
    <w:rsid w:val="02770BED"/>
    <w:rsid w:val="02783827"/>
    <w:rsid w:val="027A149C"/>
    <w:rsid w:val="02A824AD"/>
    <w:rsid w:val="02B01361"/>
    <w:rsid w:val="02B0310F"/>
    <w:rsid w:val="02D512E1"/>
    <w:rsid w:val="02D908B8"/>
    <w:rsid w:val="02E06668"/>
    <w:rsid w:val="02E903CF"/>
    <w:rsid w:val="02F05C02"/>
    <w:rsid w:val="02F96569"/>
    <w:rsid w:val="02FA25DD"/>
    <w:rsid w:val="02FE3C57"/>
    <w:rsid w:val="030D40BE"/>
    <w:rsid w:val="03184D9A"/>
    <w:rsid w:val="03190CB5"/>
    <w:rsid w:val="03253AFD"/>
    <w:rsid w:val="03265180"/>
    <w:rsid w:val="032929C1"/>
    <w:rsid w:val="03305FFE"/>
    <w:rsid w:val="033267AB"/>
    <w:rsid w:val="03343EB4"/>
    <w:rsid w:val="034026E5"/>
    <w:rsid w:val="03446DAD"/>
    <w:rsid w:val="034A7CCA"/>
    <w:rsid w:val="035937A7"/>
    <w:rsid w:val="03634626"/>
    <w:rsid w:val="037D56E7"/>
    <w:rsid w:val="03870314"/>
    <w:rsid w:val="038965B1"/>
    <w:rsid w:val="03960557"/>
    <w:rsid w:val="039E740C"/>
    <w:rsid w:val="03A10CAA"/>
    <w:rsid w:val="03A67DA9"/>
    <w:rsid w:val="03B1713F"/>
    <w:rsid w:val="03BE360A"/>
    <w:rsid w:val="03C4124B"/>
    <w:rsid w:val="03C926DB"/>
    <w:rsid w:val="03D575A8"/>
    <w:rsid w:val="03DC76F6"/>
    <w:rsid w:val="03E219EE"/>
    <w:rsid w:val="03E508CD"/>
    <w:rsid w:val="03E72B61"/>
    <w:rsid w:val="03EA7B21"/>
    <w:rsid w:val="03EC0177"/>
    <w:rsid w:val="03F359AA"/>
    <w:rsid w:val="03F94BFF"/>
    <w:rsid w:val="03FE61A4"/>
    <w:rsid w:val="040F1BAA"/>
    <w:rsid w:val="04161698"/>
    <w:rsid w:val="041800B5"/>
    <w:rsid w:val="041B280B"/>
    <w:rsid w:val="042A0CA0"/>
    <w:rsid w:val="04384A3C"/>
    <w:rsid w:val="043C211E"/>
    <w:rsid w:val="0442423B"/>
    <w:rsid w:val="044815CE"/>
    <w:rsid w:val="04510922"/>
    <w:rsid w:val="04526CC0"/>
    <w:rsid w:val="04536448"/>
    <w:rsid w:val="045A1585"/>
    <w:rsid w:val="045D72C7"/>
    <w:rsid w:val="04610B65"/>
    <w:rsid w:val="04625632"/>
    <w:rsid w:val="04695C6C"/>
    <w:rsid w:val="04754611"/>
    <w:rsid w:val="047C599F"/>
    <w:rsid w:val="048A7F9F"/>
    <w:rsid w:val="048C5BE2"/>
    <w:rsid w:val="048D195A"/>
    <w:rsid w:val="04956A61"/>
    <w:rsid w:val="04A722F0"/>
    <w:rsid w:val="04AA5595"/>
    <w:rsid w:val="04B10524"/>
    <w:rsid w:val="04B213C1"/>
    <w:rsid w:val="04B36EE7"/>
    <w:rsid w:val="04BD7D66"/>
    <w:rsid w:val="04C27A6A"/>
    <w:rsid w:val="04D23811"/>
    <w:rsid w:val="04DE21B6"/>
    <w:rsid w:val="04E77718"/>
    <w:rsid w:val="05085485"/>
    <w:rsid w:val="050F1A28"/>
    <w:rsid w:val="05204B33"/>
    <w:rsid w:val="052457DD"/>
    <w:rsid w:val="053351B8"/>
    <w:rsid w:val="053516FD"/>
    <w:rsid w:val="05355B4E"/>
    <w:rsid w:val="054E4585"/>
    <w:rsid w:val="05510172"/>
    <w:rsid w:val="05543E04"/>
    <w:rsid w:val="05634469"/>
    <w:rsid w:val="056621AB"/>
    <w:rsid w:val="056B41AA"/>
    <w:rsid w:val="056D30B8"/>
    <w:rsid w:val="05883F2A"/>
    <w:rsid w:val="059B1AD3"/>
    <w:rsid w:val="059E36F3"/>
    <w:rsid w:val="05BC3DEB"/>
    <w:rsid w:val="05CD5D86"/>
    <w:rsid w:val="05D1471C"/>
    <w:rsid w:val="05DC3369"/>
    <w:rsid w:val="05E45095"/>
    <w:rsid w:val="05EA4B8A"/>
    <w:rsid w:val="05F83EAE"/>
    <w:rsid w:val="0607573C"/>
    <w:rsid w:val="06093262"/>
    <w:rsid w:val="06113EC5"/>
    <w:rsid w:val="0621607B"/>
    <w:rsid w:val="06325012"/>
    <w:rsid w:val="063E7D85"/>
    <w:rsid w:val="065775E1"/>
    <w:rsid w:val="06624721"/>
    <w:rsid w:val="06627AC5"/>
    <w:rsid w:val="066B6030"/>
    <w:rsid w:val="06791D19"/>
    <w:rsid w:val="06824DC3"/>
    <w:rsid w:val="06846D8D"/>
    <w:rsid w:val="068C3E93"/>
    <w:rsid w:val="06B37672"/>
    <w:rsid w:val="06B86A37"/>
    <w:rsid w:val="06C4362D"/>
    <w:rsid w:val="06C70A28"/>
    <w:rsid w:val="06D60FB6"/>
    <w:rsid w:val="06DE7395"/>
    <w:rsid w:val="06DF113A"/>
    <w:rsid w:val="06E60E47"/>
    <w:rsid w:val="06F3181D"/>
    <w:rsid w:val="06F37A6F"/>
    <w:rsid w:val="07022BD6"/>
    <w:rsid w:val="07101246"/>
    <w:rsid w:val="07293586"/>
    <w:rsid w:val="07295285"/>
    <w:rsid w:val="073C0706"/>
    <w:rsid w:val="07402ACD"/>
    <w:rsid w:val="074D5388"/>
    <w:rsid w:val="075B5D40"/>
    <w:rsid w:val="07636392"/>
    <w:rsid w:val="07770C56"/>
    <w:rsid w:val="078F27B0"/>
    <w:rsid w:val="078F59E9"/>
    <w:rsid w:val="079923C4"/>
    <w:rsid w:val="079B438E"/>
    <w:rsid w:val="07A40809"/>
    <w:rsid w:val="07A64AE1"/>
    <w:rsid w:val="07C05BA3"/>
    <w:rsid w:val="07C35693"/>
    <w:rsid w:val="07CC1DD7"/>
    <w:rsid w:val="07D258D6"/>
    <w:rsid w:val="07D478A0"/>
    <w:rsid w:val="07F423EC"/>
    <w:rsid w:val="07F43A9E"/>
    <w:rsid w:val="07F817E1"/>
    <w:rsid w:val="07FF744E"/>
    <w:rsid w:val="080335DA"/>
    <w:rsid w:val="080A7971"/>
    <w:rsid w:val="080D2DB2"/>
    <w:rsid w:val="0822060B"/>
    <w:rsid w:val="082962EA"/>
    <w:rsid w:val="08365E65"/>
    <w:rsid w:val="08387E2F"/>
    <w:rsid w:val="084E1D9D"/>
    <w:rsid w:val="08561741"/>
    <w:rsid w:val="08585DDB"/>
    <w:rsid w:val="085B1D6F"/>
    <w:rsid w:val="086A0611"/>
    <w:rsid w:val="087A0447"/>
    <w:rsid w:val="087D7F38"/>
    <w:rsid w:val="088C1A57"/>
    <w:rsid w:val="08955281"/>
    <w:rsid w:val="08A059D4"/>
    <w:rsid w:val="08AD5660"/>
    <w:rsid w:val="08B33959"/>
    <w:rsid w:val="08C01BD2"/>
    <w:rsid w:val="08C16076"/>
    <w:rsid w:val="08C47915"/>
    <w:rsid w:val="08D833C0"/>
    <w:rsid w:val="08DF474E"/>
    <w:rsid w:val="08E04023"/>
    <w:rsid w:val="08E43B13"/>
    <w:rsid w:val="08E96965"/>
    <w:rsid w:val="08F22D04"/>
    <w:rsid w:val="08F33D56"/>
    <w:rsid w:val="08F8136C"/>
    <w:rsid w:val="08F83DCC"/>
    <w:rsid w:val="090667A4"/>
    <w:rsid w:val="09077801"/>
    <w:rsid w:val="091A135B"/>
    <w:rsid w:val="092217DD"/>
    <w:rsid w:val="092D370C"/>
    <w:rsid w:val="092F51F3"/>
    <w:rsid w:val="092F7D21"/>
    <w:rsid w:val="093A7294"/>
    <w:rsid w:val="094D1BA9"/>
    <w:rsid w:val="095A5B83"/>
    <w:rsid w:val="096072A2"/>
    <w:rsid w:val="096133B5"/>
    <w:rsid w:val="096F639D"/>
    <w:rsid w:val="097410B7"/>
    <w:rsid w:val="09742D5F"/>
    <w:rsid w:val="097E758A"/>
    <w:rsid w:val="09862E1C"/>
    <w:rsid w:val="098826F0"/>
    <w:rsid w:val="0991282F"/>
    <w:rsid w:val="099B68A4"/>
    <w:rsid w:val="09B72FD5"/>
    <w:rsid w:val="09B96D4E"/>
    <w:rsid w:val="09C474A0"/>
    <w:rsid w:val="09D4111C"/>
    <w:rsid w:val="09D65B51"/>
    <w:rsid w:val="09DE4A06"/>
    <w:rsid w:val="09E244F6"/>
    <w:rsid w:val="09ED5C1E"/>
    <w:rsid w:val="0A053D41"/>
    <w:rsid w:val="0A1B5312"/>
    <w:rsid w:val="0A1C108A"/>
    <w:rsid w:val="0A1F722F"/>
    <w:rsid w:val="0A263993"/>
    <w:rsid w:val="0A287A2F"/>
    <w:rsid w:val="0A2D3AC2"/>
    <w:rsid w:val="0A340BF2"/>
    <w:rsid w:val="0A4E393A"/>
    <w:rsid w:val="0A4F1AB5"/>
    <w:rsid w:val="0A544CC8"/>
    <w:rsid w:val="0A56459C"/>
    <w:rsid w:val="0A590531"/>
    <w:rsid w:val="0A60541B"/>
    <w:rsid w:val="0A6C3DC0"/>
    <w:rsid w:val="0A6E3559"/>
    <w:rsid w:val="0A7C3C8A"/>
    <w:rsid w:val="0A7D1B05"/>
    <w:rsid w:val="0A870B51"/>
    <w:rsid w:val="0A917CCA"/>
    <w:rsid w:val="0A9D21CB"/>
    <w:rsid w:val="0A9F5E02"/>
    <w:rsid w:val="0AA11644"/>
    <w:rsid w:val="0AA755DF"/>
    <w:rsid w:val="0AAB6D55"/>
    <w:rsid w:val="0AB1211B"/>
    <w:rsid w:val="0ABF0394"/>
    <w:rsid w:val="0AC33A2A"/>
    <w:rsid w:val="0ACA3325"/>
    <w:rsid w:val="0ACA6D38"/>
    <w:rsid w:val="0ADB0F46"/>
    <w:rsid w:val="0AE0655C"/>
    <w:rsid w:val="0AE23985"/>
    <w:rsid w:val="0AF12519"/>
    <w:rsid w:val="0AF81AF7"/>
    <w:rsid w:val="0AF838A6"/>
    <w:rsid w:val="0B04224A"/>
    <w:rsid w:val="0B064214"/>
    <w:rsid w:val="0B0C10FF"/>
    <w:rsid w:val="0B120D44"/>
    <w:rsid w:val="0B242757"/>
    <w:rsid w:val="0B3A5C6C"/>
    <w:rsid w:val="0B754EF6"/>
    <w:rsid w:val="0B7A075E"/>
    <w:rsid w:val="0B7D3D71"/>
    <w:rsid w:val="0B8810A5"/>
    <w:rsid w:val="0B903ADE"/>
    <w:rsid w:val="0B9C2854"/>
    <w:rsid w:val="0BA37CB5"/>
    <w:rsid w:val="0BA650B0"/>
    <w:rsid w:val="0BD27BF6"/>
    <w:rsid w:val="0BD56551"/>
    <w:rsid w:val="0BD936D7"/>
    <w:rsid w:val="0BE03B58"/>
    <w:rsid w:val="0BF422BF"/>
    <w:rsid w:val="0BF91683"/>
    <w:rsid w:val="0C1A240F"/>
    <w:rsid w:val="0C234952"/>
    <w:rsid w:val="0C28107A"/>
    <w:rsid w:val="0C2F40C1"/>
    <w:rsid w:val="0C3B3C7D"/>
    <w:rsid w:val="0C450D6C"/>
    <w:rsid w:val="0C452B1A"/>
    <w:rsid w:val="0C5E3BDC"/>
    <w:rsid w:val="0C62191E"/>
    <w:rsid w:val="0C686809"/>
    <w:rsid w:val="0C6D153E"/>
    <w:rsid w:val="0C7451AE"/>
    <w:rsid w:val="0C823CB9"/>
    <w:rsid w:val="0C8E2713"/>
    <w:rsid w:val="0C903FF3"/>
    <w:rsid w:val="0C963376"/>
    <w:rsid w:val="0C970893"/>
    <w:rsid w:val="0C9B098C"/>
    <w:rsid w:val="0C9C64B3"/>
    <w:rsid w:val="0CA02447"/>
    <w:rsid w:val="0CA37841"/>
    <w:rsid w:val="0CA75583"/>
    <w:rsid w:val="0CAB2EAE"/>
    <w:rsid w:val="0CAC2B9A"/>
    <w:rsid w:val="0CB8153E"/>
    <w:rsid w:val="0CBF0B1F"/>
    <w:rsid w:val="0CDD71F7"/>
    <w:rsid w:val="0CE57E5A"/>
    <w:rsid w:val="0CEC568C"/>
    <w:rsid w:val="0CF157DB"/>
    <w:rsid w:val="0CF84031"/>
    <w:rsid w:val="0D0522AA"/>
    <w:rsid w:val="0D076022"/>
    <w:rsid w:val="0D0E1946"/>
    <w:rsid w:val="0D0F4ED6"/>
    <w:rsid w:val="0D10137A"/>
    <w:rsid w:val="0D181FDD"/>
    <w:rsid w:val="0D224C0A"/>
    <w:rsid w:val="0D334F58"/>
    <w:rsid w:val="0D4508F8"/>
    <w:rsid w:val="0D576FA9"/>
    <w:rsid w:val="0D5D20E6"/>
    <w:rsid w:val="0D621C7D"/>
    <w:rsid w:val="0D645222"/>
    <w:rsid w:val="0D692839"/>
    <w:rsid w:val="0D735465"/>
    <w:rsid w:val="0D766D04"/>
    <w:rsid w:val="0D7C256C"/>
    <w:rsid w:val="0D7C75AA"/>
    <w:rsid w:val="0D957AD2"/>
    <w:rsid w:val="0D984ECC"/>
    <w:rsid w:val="0D9C2C0E"/>
    <w:rsid w:val="0D9D6491"/>
    <w:rsid w:val="0D9F78BC"/>
    <w:rsid w:val="0DA970D9"/>
    <w:rsid w:val="0DB735A4"/>
    <w:rsid w:val="0DBE0DD6"/>
    <w:rsid w:val="0DD24882"/>
    <w:rsid w:val="0DDC300B"/>
    <w:rsid w:val="0DEB5944"/>
    <w:rsid w:val="0DF77E44"/>
    <w:rsid w:val="0DFE5677"/>
    <w:rsid w:val="0E0178EF"/>
    <w:rsid w:val="0E087ECA"/>
    <w:rsid w:val="0E1409F6"/>
    <w:rsid w:val="0E184392"/>
    <w:rsid w:val="0E390CBC"/>
    <w:rsid w:val="0E45099B"/>
    <w:rsid w:val="0E506609"/>
    <w:rsid w:val="0E5232CD"/>
    <w:rsid w:val="0E653A1E"/>
    <w:rsid w:val="0E6E52B8"/>
    <w:rsid w:val="0E73034D"/>
    <w:rsid w:val="0E7449B1"/>
    <w:rsid w:val="0E76345F"/>
    <w:rsid w:val="0E80608C"/>
    <w:rsid w:val="0E8F4FB9"/>
    <w:rsid w:val="0E8F62CF"/>
    <w:rsid w:val="0EA53C11"/>
    <w:rsid w:val="0EB05383"/>
    <w:rsid w:val="0EB83A78"/>
    <w:rsid w:val="0ECE329B"/>
    <w:rsid w:val="0ECF2D5E"/>
    <w:rsid w:val="0ED168E7"/>
    <w:rsid w:val="0ED65CAC"/>
    <w:rsid w:val="0EDB39C9"/>
    <w:rsid w:val="0EE749C6"/>
    <w:rsid w:val="0EE812EB"/>
    <w:rsid w:val="0F087E2F"/>
    <w:rsid w:val="0F13775A"/>
    <w:rsid w:val="0F2729AB"/>
    <w:rsid w:val="0F274759"/>
    <w:rsid w:val="0F276133"/>
    <w:rsid w:val="0F2C1D70"/>
    <w:rsid w:val="0F3330FE"/>
    <w:rsid w:val="0F452E31"/>
    <w:rsid w:val="0F4E618A"/>
    <w:rsid w:val="0F4F0B1B"/>
    <w:rsid w:val="0F5337A0"/>
    <w:rsid w:val="0F5F45FE"/>
    <w:rsid w:val="0F64150A"/>
    <w:rsid w:val="0F6E0DC3"/>
    <w:rsid w:val="0F7C7F2A"/>
    <w:rsid w:val="0F7D081D"/>
    <w:rsid w:val="0F8C0A60"/>
    <w:rsid w:val="0F8E06AE"/>
    <w:rsid w:val="0F9022FF"/>
    <w:rsid w:val="0F955B67"/>
    <w:rsid w:val="0F9A112B"/>
    <w:rsid w:val="0F9A317D"/>
    <w:rsid w:val="0F9A7AB4"/>
    <w:rsid w:val="0FA1450C"/>
    <w:rsid w:val="0FA77648"/>
    <w:rsid w:val="0FA91612"/>
    <w:rsid w:val="0FAA262B"/>
    <w:rsid w:val="0FAB4813"/>
    <w:rsid w:val="0FB6339F"/>
    <w:rsid w:val="0FB73D2F"/>
    <w:rsid w:val="0FBA737B"/>
    <w:rsid w:val="0FBD6E6C"/>
    <w:rsid w:val="0FBF2BE4"/>
    <w:rsid w:val="0FC74887"/>
    <w:rsid w:val="0FC87CEA"/>
    <w:rsid w:val="0FCE72CB"/>
    <w:rsid w:val="0FDD12BC"/>
    <w:rsid w:val="0FE32D76"/>
    <w:rsid w:val="0FE4089C"/>
    <w:rsid w:val="0FEB2196"/>
    <w:rsid w:val="0FF22FB9"/>
    <w:rsid w:val="100E76C7"/>
    <w:rsid w:val="101271B8"/>
    <w:rsid w:val="103F191C"/>
    <w:rsid w:val="104444E2"/>
    <w:rsid w:val="10447301"/>
    <w:rsid w:val="1068327B"/>
    <w:rsid w:val="106D2F64"/>
    <w:rsid w:val="106E2820"/>
    <w:rsid w:val="107439CE"/>
    <w:rsid w:val="10757746"/>
    <w:rsid w:val="107B2FAF"/>
    <w:rsid w:val="1081433D"/>
    <w:rsid w:val="10817E99"/>
    <w:rsid w:val="10914580"/>
    <w:rsid w:val="109A0F5B"/>
    <w:rsid w:val="10A32505"/>
    <w:rsid w:val="10A818CA"/>
    <w:rsid w:val="10AA3894"/>
    <w:rsid w:val="10B63710"/>
    <w:rsid w:val="10D206F5"/>
    <w:rsid w:val="10D4183B"/>
    <w:rsid w:val="10D543B3"/>
    <w:rsid w:val="10EA3C90"/>
    <w:rsid w:val="10ED738F"/>
    <w:rsid w:val="10F032F6"/>
    <w:rsid w:val="10F10820"/>
    <w:rsid w:val="10F468BD"/>
    <w:rsid w:val="11060A1C"/>
    <w:rsid w:val="110F3656"/>
    <w:rsid w:val="11192849"/>
    <w:rsid w:val="111C2F7A"/>
    <w:rsid w:val="112B0016"/>
    <w:rsid w:val="113118BF"/>
    <w:rsid w:val="113F2E0E"/>
    <w:rsid w:val="114A2981"/>
    <w:rsid w:val="114F61E9"/>
    <w:rsid w:val="11511F61"/>
    <w:rsid w:val="115224CB"/>
    <w:rsid w:val="1164768E"/>
    <w:rsid w:val="11665CA1"/>
    <w:rsid w:val="117A14B8"/>
    <w:rsid w:val="117C1050"/>
    <w:rsid w:val="118063A3"/>
    <w:rsid w:val="11904838"/>
    <w:rsid w:val="11916802"/>
    <w:rsid w:val="11AF717A"/>
    <w:rsid w:val="11B85B3D"/>
    <w:rsid w:val="11BD0E20"/>
    <w:rsid w:val="11BD3153"/>
    <w:rsid w:val="11C20769"/>
    <w:rsid w:val="11DA6F95"/>
    <w:rsid w:val="11E20E0C"/>
    <w:rsid w:val="11E84674"/>
    <w:rsid w:val="11EA09CF"/>
    <w:rsid w:val="11F052D6"/>
    <w:rsid w:val="11F502B0"/>
    <w:rsid w:val="11F8418B"/>
    <w:rsid w:val="11FE3E97"/>
    <w:rsid w:val="120314AE"/>
    <w:rsid w:val="12045226"/>
    <w:rsid w:val="120C7DDF"/>
    <w:rsid w:val="120D5E88"/>
    <w:rsid w:val="120E39AF"/>
    <w:rsid w:val="122B0225"/>
    <w:rsid w:val="123A5085"/>
    <w:rsid w:val="123C051C"/>
    <w:rsid w:val="123E24E6"/>
    <w:rsid w:val="12455758"/>
    <w:rsid w:val="124D44D7"/>
    <w:rsid w:val="12505D75"/>
    <w:rsid w:val="12535BFC"/>
    <w:rsid w:val="125434DA"/>
    <w:rsid w:val="12601530"/>
    <w:rsid w:val="12623483"/>
    <w:rsid w:val="1283614B"/>
    <w:rsid w:val="12AD766B"/>
    <w:rsid w:val="12B25345"/>
    <w:rsid w:val="12B75DF4"/>
    <w:rsid w:val="12C624DB"/>
    <w:rsid w:val="12C67658"/>
    <w:rsid w:val="12C8042A"/>
    <w:rsid w:val="12E36BE9"/>
    <w:rsid w:val="12E959F3"/>
    <w:rsid w:val="12F232D0"/>
    <w:rsid w:val="130C19D2"/>
    <w:rsid w:val="130E4F3C"/>
    <w:rsid w:val="13165211"/>
    <w:rsid w:val="13180F89"/>
    <w:rsid w:val="131B412C"/>
    <w:rsid w:val="13274D28"/>
    <w:rsid w:val="132A2A6A"/>
    <w:rsid w:val="13393B4C"/>
    <w:rsid w:val="13426006"/>
    <w:rsid w:val="13427DB4"/>
    <w:rsid w:val="13491142"/>
    <w:rsid w:val="134E6759"/>
    <w:rsid w:val="134F0723"/>
    <w:rsid w:val="1356385F"/>
    <w:rsid w:val="1360023A"/>
    <w:rsid w:val="13623A4B"/>
    <w:rsid w:val="136C5443"/>
    <w:rsid w:val="137A57A0"/>
    <w:rsid w:val="13951726"/>
    <w:rsid w:val="139B4B35"/>
    <w:rsid w:val="139F11AC"/>
    <w:rsid w:val="139F590B"/>
    <w:rsid w:val="13AC665C"/>
    <w:rsid w:val="13BB5189"/>
    <w:rsid w:val="13C27983"/>
    <w:rsid w:val="13C7650B"/>
    <w:rsid w:val="13CE5AEB"/>
    <w:rsid w:val="13E470BD"/>
    <w:rsid w:val="13FD017F"/>
    <w:rsid w:val="14107EB2"/>
    <w:rsid w:val="14113143"/>
    <w:rsid w:val="14292B56"/>
    <w:rsid w:val="143533EF"/>
    <w:rsid w:val="14373691"/>
    <w:rsid w:val="14396509"/>
    <w:rsid w:val="14506500"/>
    <w:rsid w:val="14521C0F"/>
    <w:rsid w:val="14537D9F"/>
    <w:rsid w:val="146124BC"/>
    <w:rsid w:val="14733F9D"/>
    <w:rsid w:val="147C5547"/>
    <w:rsid w:val="14883EEC"/>
    <w:rsid w:val="14902DA1"/>
    <w:rsid w:val="149A59CD"/>
    <w:rsid w:val="14AA4B7E"/>
    <w:rsid w:val="14C34C6D"/>
    <w:rsid w:val="14C52A4A"/>
    <w:rsid w:val="14D42C8D"/>
    <w:rsid w:val="14D64C58"/>
    <w:rsid w:val="14D7277E"/>
    <w:rsid w:val="14DD2C3C"/>
    <w:rsid w:val="14FB46BE"/>
    <w:rsid w:val="14FB646C"/>
    <w:rsid w:val="150572EB"/>
    <w:rsid w:val="150A4901"/>
    <w:rsid w:val="151676B3"/>
    <w:rsid w:val="151D48E5"/>
    <w:rsid w:val="15242CF1"/>
    <w:rsid w:val="15347BD0"/>
    <w:rsid w:val="1537321C"/>
    <w:rsid w:val="15426F57"/>
    <w:rsid w:val="154B03BD"/>
    <w:rsid w:val="156404B5"/>
    <w:rsid w:val="15714980"/>
    <w:rsid w:val="159348F7"/>
    <w:rsid w:val="159D4075"/>
    <w:rsid w:val="15C042D8"/>
    <w:rsid w:val="15DA3CC3"/>
    <w:rsid w:val="15E11B06"/>
    <w:rsid w:val="15E92769"/>
    <w:rsid w:val="15EE7D7F"/>
    <w:rsid w:val="15F335E7"/>
    <w:rsid w:val="15F90CB0"/>
    <w:rsid w:val="1605787E"/>
    <w:rsid w:val="16087E1D"/>
    <w:rsid w:val="16093531"/>
    <w:rsid w:val="161C122F"/>
    <w:rsid w:val="162E7241"/>
    <w:rsid w:val="163A2FC4"/>
    <w:rsid w:val="16464EAD"/>
    <w:rsid w:val="164F21FA"/>
    <w:rsid w:val="164F6FA2"/>
    <w:rsid w:val="16516128"/>
    <w:rsid w:val="165A5414"/>
    <w:rsid w:val="16702E8A"/>
    <w:rsid w:val="167178F4"/>
    <w:rsid w:val="16781440"/>
    <w:rsid w:val="167C538B"/>
    <w:rsid w:val="167D2C40"/>
    <w:rsid w:val="168553C7"/>
    <w:rsid w:val="168D3A3C"/>
    <w:rsid w:val="169052DA"/>
    <w:rsid w:val="1693160B"/>
    <w:rsid w:val="169E5FA0"/>
    <w:rsid w:val="169E79F7"/>
    <w:rsid w:val="16A60D3C"/>
    <w:rsid w:val="16A9014A"/>
    <w:rsid w:val="16AE750E"/>
    <w:rsid w:val="16B71228"/>
    <w:rsid w:val="16D76A65"/>
    <w:rsid w:val="16DF591A"/>
    <w:rsid w:val="16F00624"/>
    <w:rsid w:val="16FC1E41"/>
    <w:rsid w:val="17000E2F"/>
    <w:rsid w:val="1700420E"/>
    <w:rsid w:val="17005FBC"/>
    <w:rsid w:val="17092996"/>
    <w:rsid w:val="170A0BE8"/>
    <w:rsid w:val="17101F77"/>
    <w:rsid w:val="172A3039"/>
    <w:rsid w:val="173D7210"/>
    <w:rsid w:val="1740285C"/>
    <w:rsid w:val="17465999"/>
    <w:rsid w:val="17681DB3"/>
    <w:rsid w:val="17701D14"/>
    <w:rsid w:val="17735226"/>
    <w:rsid w:val="17826D90"/>
    <w:rsid w:val="179130B8"/>
    <w:rsid w:val="179901BE"/>
    <w:rsid w:val="17B2302E"/>
    <w:rsid w:val="17B43D4D"/>
    <w:rsid w:val="17BD6335"/>
    <w:rsid w:val="17DB6709"/>
    <w:rsid w:val="17DF606D"/>
    <w:rsid w:val="17E175E6"/>
    <w:rsid w:val="17EE4066"/>
    <w:rsid w:val="17F101E5"/>
    <w:rsid w:val="17F16F20"/>
    <w:rsid w:val="17F26D67"/>
    <w:rsid w:val="18025D64"/>
    <w:rsid w:val="18050833"/>
    <w:rsid w:val="18057602"/>
    <w:rsid w:val="180B4A89"/>
    <w:rsid w:val="180C273E"/>
    <w:rsid w:val="18131D1F"/>
    <w:rsid w:val="181F6915"/>
    <w:rsid w:val="183B344C"/>
    <w:rsid w:val="184706F5"/>
    <w:rsid w:val="184C5231"/>
    <w:rsid w:val="18524B4C"/>
    <w:rsid w:val="18565610"/>
    <w:rsid w:val="1858430C"/>
    <w:rsid w:val="185A07A3"/>
    <w:rsid w:val="186E6999"/>
    <w:rsid w:val="187622AE"/>
    <w:rsid w:val="188034A7"/>
    <w:rsid w:val="188449CB"/>
    <w:rsid w:val="1887300F"/>
    <w:rsid w:val="188D7D23"/>
    <w:rsid w:val="188F446D"/>
    <w:rsid w:val="18965D63"/>
    <w:rsid w:val="189F624C"/>
    <w:rsid w:val="18A84B5D"/>
    <w:rsid w:val="18AD2173"/>
    <w:rsid w:val="18BD7EDC"/>
    <w:rsid w:val="18BF3C55"/>
    <w:rsid w:val="18C01A20"/>
    <w:rsid w:val="18C1177B"/>
    <w:rsid w:val="18C55B5F"/>
    <w:rsid w:val="18CC6600"/>
    <w:rsid w:val="18D314AE"/>
    <w:rsid w:val="18D53478"/>
    <w:rsid w:val="18DE057F"/>
    <w:rsid w:val="18E46A30"/>
    <w:rsid w:val="18EA6F23"/>
    <w:rsid w:val="18F114DC"/>
    <w:rsid w:val="18FA6A3B"/>
    <w:rsid w:val="18FA7A97"/>
    <w:rsid w:val="1917012D"/>
    <w:rsid w:val="192F0DDA"/>
    <w:rsid w:val="1934117B"/>
    <w:rsid w:val="195425EF"/>
    <w:rsid w:val="195A1724"/>
    <w:rsid w:val="195B397D"/>
    <w:rsid w:val="195E346D"/>
    <w:rsid w:val="19686C2E"/>
    <w:rsid w:val="196A1E12"/>
    <w:rsid w:val="197E3A30"/>
    <w:rsid w:val="198708C7"/>
    <w:rsid w:val="198B3B37"/>
    <w:rsid w:val="199450E1"/>
    <w:rsid w:val="199F25F1"/>
    <w:rsid w:val="19A215AC"/>
    <w:rsid w:val="19A97FCE"/>
    <w:rsid w:val="19B1359D"/>
    <w:rsid w:val="19B524ED"/>
    <w:rsid w:val="19BB36AD"/>
    <w:rsid w:val="19BF02CC"/>
    <w:rsid w:val="19C05ED6"/>
    <w:rsid w:val="19D05A8B"/>
    <w:rsid w:val="19D96F98"/>
    <w:rsid w:val="19E020D4"/>
    <w:rsid w:val="19E50D48"/>
    <w:rsid w:val="19E971DB"/>
    <w:rsid w:val="19ED659F"/>
    <w:rsid w:val="19F172DC"/>
    <w:rsid w:val="19F416DC"/>
    <w:rsid w:val="19F85670"/>
    <w:rsid w:val="1A083389"/>
    <w:rsid w:val="1A0A53A3"/>
    <w:rsid w:val="1A147FD0"/>
    <w:rsid w:val="1A17021F"/>
    <w:rsid w:val="1A1C66C0"/>
    <w:rsid w:val="1A335775"/>
    <w:rsid w:val="1A3F6DFB"/>
    <w:rsid w:val="1A42393B"/>
    <w:rsid w:val="1A424B3D"/>
    <w:rsid w:val="1A450189"/>
    <w:rsid w:val="1A476649"/>
    <w:rsid w:val="1A4C59BC"/>
    <w:rsid w:val="1A644AB4"/>
    <w:rsid w:val="1A760019"/>
    <w:rsid w:val="1A7D3DC7"/>
    <w:rsid w:val="1A82318C"/>
    <w:rsid w:val="1A862C7C"/>
    <w:rsid w:val="1A8804D0"/>
    <w:rsid w:val="1A8E6AC5"/>
    <w:rsid w:val="1A927D80"/>
    <w:rsid w:val="1AA555D5"/>
    <w:rsid w:val="1AA642EF"/>
    <w:rsid w:val="1AA94BBC"/>
    <w:rsid w:val="1AAD45DE"/>
    <w:rsid w:val="1AAE7552"/>
    <w:rsid w:val="1AC217DA"/>
    <w:rsid w:val="1ACC4407"/>
    <w:rsid w:val="1ADA2FC8"/>
    <w:rsid w:val="1AE71241"/>
    <w:rsid w:val="1AE84B57"/>
    <w:rsid w:val="1AF851FC"/>
    <w:rsid w:val="1AFC2F3E"/>
    <w:rsid w:val="1B046F80"/>
    <w:rsid w:val="1B075C1C"/>
    <w:rsid w:val="1B0B13D3"/>
    <w:rsid w:val="1B0B4F2F"/>
    <w:rsid w:val="1B23671D"/>
    <w:rsid w:val="1B2B3823"/>
    <w:rsid w:val="1B3267B5"/>
    <w:rsid w:val="1B3B1CB8"/>
    <w:rsid w:val="1B3F15B3"/>
    <w:rsid w:val="1B40161D"/>
    <w:rsid w:val="1B441859"/>
    <w:rsid w:val="1B46065D"/>
    <w:rsid w:val="1B462429"/>
    <w:rsid w:val="1B520DB0"/>
    <w:rsid w:val="1B6606B1"/>
    <w:rsid w:val="1B690C97"/>
    <w:rsid w:val="1B6C2C88"/>
    <w:rsid w:val="1B6E3C40"/>
    <w:rsid w:val="1B746F78"/>
    <w:rsid w:val="1B836E67"/>
    <w:rsid w:val="1B886580"/>
    <w:rsid w:val="1B8C131D"/>
    <w:rsid w:val="1B944F25"/>
    <w:rsid w:val="1B945AB8"/>
    <w:rsid w:val="1BA23208"/>
    <w:rsid w:val="1BA2433B"/>
    <w:rsid w:val="1BA333BA"/>
    <w:rsid w:val="1BD21EF1"/>
    <w:rsid w:val="1BD31392"/>
    <w:rsid w:val="1BDB6FF7"/>
    <w:rsid w:val="1BEF4851"/>
    <w:rsid w:val="1BFF5724"/>
    <w:rsid w:val="1C0278C9"/>
    <w:rsid w:val="1C1A77D5"/>
    <w:rsid w:val="1C1D13BE"/>
    <w:rsid w:val="1C2838BF"/>
    <w:rsid w:val="1C2F22A9"/>
    <w:rsid w:val="1C4C7258"/>
    <w:rsid w:val="1C5E7925"/>
    <w:rsid w:val="1C782A98"/>
    <w:rsid w:val="1C7B60E4"/>
    <w:rsid w:val="1C872CDB"/>
    <w:rsid w:val="1C8E406A"/>
    <w:rsid w:val="1C933922"/>
    <w:rsid w:val="1C99656B"/>
    <w:rsid w:val="1CA92C52"/>
    <w:rsid w:val="1CAE77E0"/>
    <w:rsid w:val="1CE4718C"/>
    <w:rsid w:val="1CE7110A"/>
    <w:rsid w:val="1CEE68B6"/>
    <w:rsid w:val="1CF4408F"/>
    <w:rsid w:val="1CFD070F"/>
    <w:rsid w:val="1D0205B4"/>
    <w:rsid w:val="1D042A64"/>
    <w:rsid w:val="1D075A3D"/>
    <w:rsid w:val="1D126A49"/>
    <w:rsid w:val="1D17405F"/>
    <w:rsid w:val="1D187DD7"/>
    <w:rsid w:val="1D3764AF"/>
    <w:rsid w:val="1D4330A6"/>
    <w:rsid w:val="1D436C02"/>
    <w:rsid w:val="1D475F82"/>
    <w:rsid w:val="1D525097"/>
    <w:rsid w:val="1D5E0095"/>
    <w:rsid w:val="1D5E3A3C"/>
    <w:rsid w:val="1D5F6196"/>
    <w:rsid w:val="1D6132A5"/>
    <w:rsid w:val="1D6848BB"/>
    <w:rsid w:val="1D686669"/>
    <w:rsid w:val="1D8316F5"/>
    <w:rsid w:val="1D8E56D5"/>
    <w:rsid w:val="1D9B6A3E"/>
    <w:rsid w:val="1D9F31EF"/>
    <w:rsid w:val="1DA358F3"/>
    <w:rsid w:val="1DA67191"/>
    <w:rsid w:val="1DB00010"/>
    <w:rsid w:val="1DC13FCB"/>
    <w:rsid w:val="1DC74FF4"/>
    <w:rsid w:val="1DCA7EF4"/>
    <w:rsid w:val="1DCC309C"/>
    <w:rsid w:val="1DDC4864"/>
    <w:rsid w:val="1DDE2DCF"/>
    <w:rsid w:val="1DE33F41"/>
    <w:rsid w:val="1DE66B40"/>
    <w:rsid w:val="1DEB588C"/>
    <w:rsid w:val="1DEC54EC"/>
    <w:rsid w:val="1DF4614E"/>
    <w:rsid w:val="1DF554CF"/>
    <w:rsid w:val="1E050886"/>
    <w:rsid w:val="1E08776E"/>
    <w:rsid w:val="1E0A3BC4"/>
    <w:rsid w:val="1E231CCE"/>
    <w:rsid w:val="1E26477C"/>
    <w:rsid w:val="1E2A7432"/>
    <w:rsid w:val="1E340C41"/>
    <w:rsid w:val="1E3D5D47"/>
    <w:rsid w:val="1E495E71"/>
    <w:rsid w:val="1E5135A1"/>
    <w:rsid w:val="1E572A12"/>
    <w:rsid w:val="1E5B309D"/>
    <w:rsid w:val="1E605592"/>
    <w:rsid w:val="1E612E85"/>
    <w:rsid w:val="1E6257AE"/>
    <w:rsid w:val="1E7A43DA"/>
    <w:rsid w:val="1E7F010E"/>
    <w:rsid w:val="1E990AA4"/>
    <w:rsid w:val="1EB15DEE"/>
    <w:rsid w:val="1EB53B30"/>
    <w:rsid w:val="1EBF49AE"/>
    <w:rsid w:val="1ECC0E79"/>
    <w:rsid w:val="1ECC2C27"/>
    <w:rsid w:val="1ECF44C6"/>
    <w:rsid w:val="1EE2069D"/>
    <w:rsid w:val="1EE461C3"/>
    <w:rsid w:val="1EF5217E"/>
    <w:rsid w:val="1F0A12AC"/>
    <w:rsid w:val="1F152820"/>
    <w:rsid w:val="1F1C595D"/>
    <w:rsid w:val="1F1E21B2"/>
    <w:rsid w:val="1F274302"/>
    <w:rsid w:val="1F2962CC"/>
    <w:rsid w:val="1F2C36C6"/>
    <w:rsid w:val="1F2F7577"/>
    <w:rsid w:val="1F401A89"/>
    <w:rsid w:val="1F5A65A7"/>
    <w:rsid w:val="1F5C3FAB"/>
    <w:rsid w:val="1F6F7262"/>
    <w:rsid w:val="1F7D0719"/>
    <w:rsid w:val="1F8D0609"/>
    <w:rsid w:val="1F9A2D26"/>
    <w:rsid w:val="1FA37E2C"/>
    <w:rsid w:val="1FBA5176"/>
    <w:rsid w:val="1FC52FAD"/>
    <w:rsid w:val="1FC55FF4"/>
    <w:rsid w:val="1FCD6C57"/>
    <w:rsid w:val="1FE7539E"/>
    <w:rsid w:val="1FE83A91"/>
    <w:rsid w:val="1FEB532F"/>
    <w:rsid w:val="1FF468DA"/>
    <w:rsid w:val="20037FD0"/>
    <w:rsid w:val="200C3C23"/>
    <w:rsid w:val="201605FE"/>
    <w:rsid w:val="202251F5"/>
    <w:rsid w:val="20270A5D"/>
    <w:rsid w:val="2039253E"/>
    <w:rsid w:val="203E7B55"/>
    <w:rsid w:val="20542ED4"/>
    <w:rsid w:val="2059498F"/>
    <w:rsid w:val="2062393D"/>
    <w:rsid w:val="20671BE0"/>
    <w:rsid w:val="207215AC"/>
    <w:rsid w:val="20735A50"/>
    <w:rsid w:val="2074013F"/>
    <w:rsid w:val="2079293B"/>
    <w:rsid w:val="20887277"/>
    <w:rsid w:val="208F03B0"/>
    <w:rsid w:val="20963CB8"/>
    <w:rsid w:val="209A1E86"/>
    <w:rsid w:val="209B4FA7"/>
    <w:rsid w:val="20A21E92"/>
    <w:rsid w:val="20A81A1B"/>
    <w:rsid w:val="20AE26BB"/>
    <w:rsid w:val="20B07FB6"/>
    <w:rsid w:val="20B56069"/>
    <w:rsid w:val="20B646FB"/>
    <w:rsid w:val="20B9542D"/>
    <w:rsid w:val="20C52024"/>
    <w:rsid w:val="20CC33B3"/>
    <w:rsid w:val="20CC6F0F"/>
    <w:rsid w:val="20CE30CA"/>
    <w:rsid w:val="20D61B3B"/>
    <w:rsid w:val="20DB35F6"/>
    <w:rsid w:val="20DE6C42"/>
    <w:rsid w:val="20EC1561"/>
    <w:rsid w:val="20F16975"/>
    <w:rsid w:val="20F72268"/>
    <w:rsid w:val="20F87D04"/>
    <w:rsid w:val="21026DD4"/>
    <w:rsid w:val="211C6BC3"/>
    <w:rsid w:val="211D776A"/>
    <w:rsid w:val="21224D81"/>
    <w:rsid w:val="212E1977"/>
    <w:rsid w:val="212E5E1B"/>
    <w:rsid w:val="213A039E"/>
    <w:rsid w:val="213B74B1"/>
    <w:rsid w:val="21425423"/>
    <w:rsid w:val="215A2310"/>
    <w:rsid w:val="21670C10"/>
    <w:rsid w:val="21796D94"/>
    <w:rsid w:val="2185060D"/>
    <w:rsid w:val="2186583C"/>
    <w:rsid w:val="218E2416"/>
    <w:rsid w:val="2194486E"/>
    <w:rsid w:val="219F63D1"/>
    <w:rsid w:val="21AF6A69"/>
    <w:rsid w:val="21BC3427"/>
    <w:rsid w:val="21BC51D5"/>
    <w:rsid w:val="21C144C9"/>
    <w:rsid w:val="21C97DEA"/>
    <w:rsid w:val="21CB18BC"/>
    <w:rsid w:val="21CE6CB6"/>
    <w:rsid w:val="21DE318A"/>
    <w:rsid w:val="21E5472C"/>
    <w:rsid w:val="21EF5B80"/>
    <w:rsid w:val="21FC1A76"/>
    <w:rsid w:val="220B67B6"/>
    <w:rsid w:val="221C3EC6"/>
    <w:rsid w:val="22235254"/>
    <w:rsid w:val="22252D7A"/>
    <w:rsid w:val="222F1E4B"/>
    <w:rsid w:val="2234120F"/>
    <w:rsid w:val="2236120F"/>
    <w:rsid w:val="223B38DC"/>
    <w:rsid w:val="223E208E"/>
    <w:rsid w:val="22492E07"/>
    <w:rsid w:val="224D75FE"/>
    <w:rsid w:val="22576990"/>
    <w:rsid w:val="22576CAC"/>
    <w:rsid w:val="225C2514"/>
    <w:rsid w:val="22665141"/>
    <w:rsid w:val="226E284B"/>
    <w:rsid w:val="22720A33"/>
    <w:rsid w:val="22791FE0"/>
    <w:rsid w:val="227C4964"/>
    <w:rsid w:val="227D2BB6"/>
    <w:rsid w:val="22914BB8"/>
    <w:rsid w:val="22916662"/>
    <w:rsid w:val="22920C27"/>
    <w:rsid w:val="2297740B"/>
    <w:rsid w:val="229D5007"/>
    <w:rsid w:val="229F1467"/>
    <w:rsid w:val="22A45D59"/>
    <w:rsid w:val="22AB7B04"/>
    <w:rsid w:val="22B83BEE"/>
    <w:rsid w:val="22C8041B"/>
    <w:rsid w:val="22C85ED3"/>
    <w:rsid w:val="22CE51C0"/>
    <w:rsid w:val="22CF2CE6"/>
    <w:rsid w:val="22EC475E"/>
    <w:rsid w:val="22F47480"/>
    <w:rsid w:val="2302130E"/>
    <w:rsid w:val="231A0405"/>
    <w:rsid w:val="231D6147"/>
    <w:rsid w:val="23245F86"/>
    <w:rsid w:val="23264FFC"/>
    <w:rsid w:val="232A616E"/>
    <w:rsid w:val="23316D8B"/>
    <w:rsid w:val="23360FB7"/>
    <w:rsid w:val="233B7CFA"/>
    <w:rsid w:val="233C481F"/>
    <w:rsid w:val="234C67A9"/>
    <w:rsid w:val="234E00AF"/>
    <w:rsid w:val="23607DE2"/>
    <w:rsid w:val="23621DAC"/>
    <w:rsid w:val="236F104C"/>
    <w:rsid w:val="23733FB9"/>
    <w:rsid w:val="2374239E"/>
    <w:rsid w:val="237C2E6E"/>
    <w:rsid w:val="238E2BA1"/>
    <w:rsid w:val="239D182C"/>
    <w:rsid w:val="239F7851"/>
    <w:rsid w:val="23A10B26"/>
    <w:rsid w:val="23A221A9"/>
    <w:rsid w:val="23BC09D4"/>
    <w:rsid w:val="23CE52C4"/>
    <w:rsid w:val="23D74548"/>
    <w:rsid w:val="23DE1C48"/>
    <w:rsid w:val="23ED1676"/>
    <w:rsid w:val="23FA3D93"/>
    <w:rsid w:val="23FC7B0B"/>
    <w:rsid w:val="24013373"/>
    <w:rsid w:val="240210CD"/>
    <w:rsid w:val="24160E1E"/>
    <w:rsid w:val="24207C9D"/>
    <w:rsid w:val="242C0B82"/>
    <w:rsid w:val="243454F7"/>
    <w:rsid w:val="24390D5F"/>
    <w:rsid w:val="243A409A"/>
    <w:rsid w:val="245060A9"/>
    <w:rsid w:val="24544EED"/>
    <w:rsid w:val="24577437"/>
    <w:rsid w:val="24635DDC"/>
    <w:rsid w:val="2466767A"/>
    <w:rsid w:val="246B6A3F"/>
    <w:rsid w:val="24727DCD"/>
    <w:rsid w:val="247B1377"/>
    <w:rsid w:val="247C0C4C"/>
    <w:rsid w:val="249441E7"/>
    <w:rsid w:val="249E5066"/>
    <w:rsid w:val="24AA3A0B"/>
    <w:rsid w:val="24AE34FB"/>
    <w:rsid w:val="24B6415E"/>
    <w:rsid w:val="24BF09F7"/>
    <w:rsid w:val="24C148B0"/>
    <w:rsid w:val="24CD76F9"/>
    <w:rsid w:val="24F21A6A"/>
    <w:rsid w:val="2508108A"/>
    <w:rsid w:val="251159C6"/>
    <w:rsid w:val="251561DA"/>
    <w:rsid w:val="251D566C"/>
    <w:rsid w:val="251D5F8B"/>
    <w:rsid w:val="252606F3"/>
    <w:rsid w:val="252D53FE"/>
    <w:rsid w:val="2539344C"/>
    <w:rsid w:val="25417A10"/>
    <w:rsid w:val="254259F1"/>
    <w:rsid w:val="254774AC"/>
    <w:rsid w:val="25494FC2"/>
    <w:rsid w:val="254B24E3"/>
    <w:rsid w:val="254C4AC2"/>
    <w:rsid w:val="255120D8"/>
    <w:rsid w:val="25626CCB"/>
    <w:rsid w:val="256376A5"/>
    <w:rsid w:val="25733D33"/>
    <w:rsid w:val="25757B75"/>
    <w:rsid w:val="258204E4"/>
    <w:rsid w:val="258424AE"/>
    <w:rsid w:val="2584600A"/>
    <w:rsid w:val="258C59A3"/>
    <w:rsid w:val="25920E87"/>
    <w:rsid w:val="25B54415"/>
    <w:rsid w:val="25BD151C"/>
    <w:rsid w:val="25BE3540"/>
    <w:rsid w:val="25C1100C"/>
    <w:rsid w:val="25C74149"/>
    <w:rsid w:val="25CD5C03"/>
    <w:rsid w:val="25DA20CE"/>
    <w:rsid w:val="25DD571A"/>
    <w:rsid w:val="25DE1BBE"/>
    <w:rsid w:val="25EC2D81"/>
    <w:rsid w:val="25ED1E01"/>
    <w:rsid w:val="25EF3DCB"/>
    <w:rsid w:val="25F211C5"/>
    <w:rsid w:val="25F46C37"/>
    <w:rsid w:val="25FB2541"/>
    <w:rsid w:val="25FD5DBC"/>
    <w:rsid w:val="25FE400E"/>
    <w:rsid w:val="2601765A"/>
    <w:rsid w:val="26063737"/>
    <w:rsid w:val="260A76A1"/>
    <w:rsid w:val="260B04D9"/>
    <w:rsid w:val="260E7FC9"/>
    <w:rsid w:val="26102AB8"/>
    <w:rsid w:val="26154EB4"/>
    <w:rsid w:val="26173D8C"/>
    <w:rsid w:val="261E47B9"/>
    <w:rsid w:val="262A2531"/>
    <w:rsid w:val="26306192"/>
    <w:rsid w:val="2637667A"/>
    <w:rsid w:val="263B0E30"/>
    <w:rsid w:val="2641214D"/>
    <w:rsid w:val="265579A6"/>
    <w:rsid w:val="265A6D6B"/>
    <w:rsid w:val="26667E05"/>
    <w:rsid w:val="267047E0"/>
    <w:rsid w:val="267C320C"/>
    <w:rsid w:val="2680161F"/>
    <w:rsid w:val="268169ED"/>
    <w:rsid w:val="26832765"/>
    <w:rsid w:val="26914E82"/>
    <w:rsid w:val="269F62F7"/>
    <w:rsid w:val="269F64C8"/>
    <w:rsid w:val="26A90AF5"/>
    <w:rsid w:val="26AB423B"/>
    <w:rsid w:val="26E06CB1"/>
    <w:rsid w:val="26E2432A"/>
    <w:rsid w:val="26F15921"/>
    <w:rsid w:val="27076EF2"/>
    <w:rsid w:val="27321A96"/>
    <w:rsid w:val="2734580E"/>
    <w:rsid w:val="273E043A"/>
    <w:rsid w:val="27427F2B"/>
    <w:rsid w:val="27525879"/>
    <w:rsid w:val="277057A2"/>
    <w:rsid w:val="27833B70"/>
    <w:rsid w:val="27843E00"/>
    <w:rsid w:val="279019FD"/>
    <w:rsid w:val="27906EE8"/>
    <w:rsid w:val="27914A0E"/>
    <w:rsid w:val="27985D9D"/>
    <w:rsid w:val="279938C3"/>
    <w:rsid w:val="27A2217B"/>
    <w:rsid w:val="27A24E6D"/>
    <w:rsid w:val="27A6670B"/>
    <w:rsid w:val="27AE510C"/>
    <w:rsid w:val="27B16E5E"/>
    <w:rsid w:val="27BE0C6F"/>
    <w:rsid w:val="27D112AE"/>
    <w:rsid w:val="27DB04BE"/>
    <w:rsid w:val="27DD5EA5"/>
    <w:rsid w:val="27DD7C53"/>
    <w:rsid w:val="27FD20A3"/>
    <w:rsid w:val="2801582B"/>
    <w:rsid w:val="280C2CE6"/>
    <w:rsid w:val="28191A61"/>
    <w:rsid w:val="281E2746"/>
    <w:rsid w:val="281F64BE"/>
    <w:rsid w:val="281F7575"/>
    <w:rsid w:val="282615FA"/>
    <w:rsid w:val="282817BD"/>
    <w:rsid w:val="283755B5"/>
    <w:rsid w:val="283935D9"/>
    <w:rsid w:val="283C2BCC"/>
    <w:rsid w:val="284460E4"/>
    <w:rsid w:val="28463A4A"/>
    <w:rsid w:val="284657F9"/>
    <w:rsid w:val="286F0175"/>
    <w:rsid w:val="287B7B98"/>
    <w:rsid w:val="287E031C"/>
    <w:rsid w:val="2888339C"/>
    <w:rsid w:val="28884063"/>
    <w:rsid w:val="28A15125"/>
    <w:rsid w:val="28AA222B"/>
    <w:rsid w:val="28B83071"/>
    <w:rsid w:val="28C47DFB"/>
    <w:rsid w:val="28C606E7"/>
    <w:rsid w:val="28C64B8B"/>
    <w:rsid w:val="28D252DE"/>
    <w:rsid w:val="28D728F5"/>
    <w:rsid w:val="28DC43AF"/>
    <w:rsid w:val="28DD1D9B"/>
    <w:rsid w:val="28DF17A9"/>
    <w:rsid w:val="28E03E9F"/>
    <w:rsid w:val="28E37000"/>
    <w:rsid w:val="28EB63A0"/>
    <w:rsid w:val="28EE2F0B"/>
    <w:rsid w:val="28F2772E"/>
    <w:rsid w:val="290132CB"/>
    <w:rsid w:val="290D0163"/>
    <w:rsid w:val="290D6316"/>
    <w:rsid w:val="291E0211"/>
    <w:rsid w:val="29206EB8"/>
    <w:rsid w:val="29253660"/>
    <w:rsid w:val="292B01C4"/>
    <w:rsid w:val="292D6690"/>
    <w:rsid w:val="2939710B"/>
    <w:rsid w:val="293C6397"/>
    <w:rsid w:val="294E0E09"/>
    <w:rsid w:val="295757E3"/>
    <w:rsid w:val="29593EA7"/>
    <w:rsid w:val="29595666"/>
    <w:rsid w:val="2967011C"/>
    <w:rsid w:val="2967329F"/>
    <w:rsid w:val="296C259B"/>
    <w:rsid w:val="296C74E1"/>
    <w:rsid w:val="29874881"/>
    <w:rsid w:val="29B80978"/>
    <w:rsid w:val="29BA109E"/>
    <w:rsid w:val="29BF5862"/>
    <w:rsid w:val="29C24732"/>
    <w:rsid w:val="29C95F68"/>
    <w:rsid w:val="29D07A70"/>
    <w:rsid w:val="29DA6B40"/>
    <w:rsid w:val="29DE69AF"/>
    <w:rsid w:val="29E325E0"/>
    <w:rsid w:val="29E67293"/>
    <w:rsid w:val="29E7300B"/>
    <w:rsid w:val="29F179E6"/>
    <w:rsid w:val="29FB1E4D"/>
    <w:rsid w:val="2A151926"/>
    <w:rsid w:val="2A1831C5"/>
    <w:rsid w:val="2A1D22BC"/>
    <w:rsid w:val="2A2878AC"/>
    <w:rsid w:val="2A3B1B6A"/>
    <w:rsid w:val="2A3C5B7C"/>
    <w:rsid w:val="2A406B03"/>
    <w:rsid w:val="2A452503"/>
    <w:rsid w:val="2A4E4E38"/>
    <w:rsid w:val="2A50295E"/>
    <w:rsid w:val="2A581813"/>
    <w:rsid w:val="2A5F7045"/>
    <w:rsid w:val="2A6B7251"/>
    <w:rsid w:val="2A73664D"/>
    <w:rsid w:val="2A8D5961"/>
    <w:rsid w:val="2A8F792B"/>
    <w:rsid w:val="2A9D4902"/>
    <w:rsid w:val="2A9E344C"/>
    <w:rsid w:val="2A9E7B6E"/>
    <w:rsid w:val="2AA87E90"/>
    <w:rsid w:val="2AAB22DF"/>
    <w:rsid w:val="2ABF1892"/>
    <w:rsid w:val="2AC84BEB"/>
    <w:rsid w:val="2AD52E64"/>
    <w:rsid w:val="2AE35581"/>
    <w:rsid w:val="2AEB17BD"/>
    <w:rsid w:val="2AEF601B"/>
    <w:rsid w:val="2AF404DD"/>
    <w:rsid w:val="2AF552B4"/>
    <w:rsid w:val="2AF83ED6"/>
    <w:rsid w:val="2AF91248"/>
    <w:rsid w:val="2AFE5BB9"/>
    <w:rsid w:val="2B0B2D29"/>
    <w:rsid w:val="2B0F6376"/>
    <w:rsid w:val="2B133A1E"/>
    <w:rsid w:val="2B230073"/>
    <w:rsid w:val="2B5A3C59"/>
    <w:rsid w:val="2B606BD1"/>
    <w:rsid w:val="2B611DC2"/>
    <w:rsid w:val="2B632977"/>
    <w:rsid w:val="2B7803BF"/>
    <w:rsid w:val="2B786611"/>
    <w:rsid w:val="2B9D7E25"/>
    <w:rsid w:val="2BA72A52"/>
    <w:rsid w:val="2BA936A8"/>
    <w:rsid w:val="2BAD481E"/>
    <w:rsid w:val="2BBB02AC"/>
    <w:rsid w:val="2BBD2276"/>
    <w:rsid w:val="2BC43604"/>
    <w:rsid w:val="2BC52ED8"/>
    <w:rsid w:val="2BDB26FC"/>
    <w:rsid w:val="2BDD3CD0"/>
    <w:rsid w:val="2BEE242F"/>
    <w:rsid w:val="2BEF4A29"/>
    <w:rsid w:val="2C005DCA"/>
    <w:rsid w:val="2C145024"/>
    <w:rsid w:val="2C1F6A8C"/>
    <w:rsid w:val="2C2B5431"/>
    <w:rsid w:val="2C315A5A"/>
    <w:rsid w:val="2C444745"/>
    <w:rsid w:val="2C4A7036"/>
    <w:rsid w:val="2C4B1C25"/>
    <w:rsid w:val="2C5B3EF8"/>
    <w:rsid w:val="2C6426F1"/>
    <w:rsid w:val="2C65782C"/>
    <w:rsid w:val="2C6B7F24"/>
    <w:rsid w:val="2C714E0E"/>
    <w:rsid w:val="2C746776"/>
    <w:rsid w:val="2C7A0B8E"/>
    <w:rsid w:val="2C7D37B3"/>
    <w:rsid w:val="2C8132A3"/>
    <w:rsid w:val="2C831E78"/>
    <w:rsid w:val="2C923702"/>
    <w:rsid w:val="2C9F3BAA"/>
    <w:rsid w:val="2C9F5E1F"/>
    <w:rsid w:val="2CAD22EA"/>
    <w:rsid w:val="2CAF529F"/>
    <w:rsid w:val="2CB90C8F"/>
    <w:rsid w:val="2CBF3DCB"/>
    <w:rsid w:val="2CD23AFF"/>
    <w:rsid w:val="2CDF39DD"/>
    <w:rsid w:val="2CE51A84"/>
    <w:rsid w:val="2CE64FEA"/>
    <w:rsid w:val="2CEA4D70"/>
    <w:rsid w:val="2CF0667B"/>
    <w:rsid w:val="2CF27CFD"/>
    <w:rsid w:val="2CF63C91"/>
    <w:rsid w:val="2CFC4DE6"/>
    <w:rsid w:val="2D011DDF"/>
    <w:rsid w:val="2D0440C7"/>
    <w:rsid w:val="2D1C121E"/>
    <w:rsid w:val="2D244EAB"/>
    <w:rsid w:val="2D3622E0"/>
    <w:rsid w:val="2D3C2935"/>
    <w:rsid w:val="2D430559"/>
    <w:rsid w:val="2D4A4856"/>
    <w:rsid w:val="2D4C1EB9"/>
    <w:rsid w:val="2D510EC7"/>
    <w:rsid w:val="2D6D1A79"/>
    <w:rsid w:val="2D7746A6"/>
    <w:rsid w:val="2D8E211C"/>
    <w:rsid w:val="2D9020C5"/>
    <w:rsid w:val="2D9E56F5"/>
    <w:rsid w:val="2DA73BFD"/>
    <w:rsid w:val="2DA84860"/>
    <w:rsid w:val="2DBC1A3D"/>
    <w:rsid w:val="2DC13B9D"/>
    <w:rsid w:val="2DD12008"/>
    <w:rsid w:val="2DD37B2E"/>
    <w:rsid w:val="2DDF4725"/>
    <w:rsid w:val="2DF857E7"/>
    <w:rsid w:val="2DFC3A4B"/>
    <w:rsid w:val="2DFE1B29"/>
    <w:rsid w:val="2E1D349F"/>
    <w:rsid w:val="2E1F47D9"/>
    <w:rsid w:val="2E24038A"/>
    <w:rsid w:val="2E291E44"/>
    <w:rsid w:val="2E2E745B"/>
    <w:rsid w:val="2E33681F"/>
    <w:rsid w:val="2E3D769E"/>
    <w:rsid w:val="2E4722CA"/>
    <w:rsid w:val="2E532A1D"/>
    <w:rsid w:val="2E541740"/>
    <w:rsid w:val="2E667F96"/>
    <w:rsid w:val="2E706F91"/>
    <w:rsid w:val="2E717347"/>
    <w:rsid w:val="2E7F39BA"/>
    <w:rsid w:val="2E8226AB"/>
    <w:rsid w:val="2E864BA1"/>
    <w:rsid w:val="2E95362F"/>
    <w:rsid w:val="2E975000"/>
    <w:rsid w:val="2EA20ABC"/>
    <w:rsid w:val="2EA5691E"/>
    <w:rsid w:val="2EA97E18"/>
    <w:rsid w:val="2ECC0DD9"/>
    <w:rsid w:val="2EDC2A13"/>
    <w:rsid w:val="2EDD678B"/>
    <w:rsid w:val="2EFF6701"/>
    <w:rsid w:val="2F1877C3"/>
    <w:rsid w:val="2F2F4B5F"/>
    <w:rsid w:val="2F326AD7"/>
    <w:rsid w:val="2F3B1E2F"/>
    <w:rsid w:val="2F450DE3"/>
    <w:rsid w:val="2F580A6A"/>
    <w:rsid w:val="2F5F0B50"/>
    <w:rsid w:val="2F726C5C"/>
    <w:rsid w:val="2F762E67"/>
    <w:rsid w:val="2F7B222C"/>
    <w:rsid w:val="2F8530AA"/>
    <w:rsid w:val="2F8C5ED4"/>
    <w:rsid w:val="2F9257C7"/>
    <w:rsid w:val="2F94153F"/>
    <w:rsid w:val="2F9B4539"/>
    <w:rsid w:val="2FAF194E"/>
    <w:rsid w:val="2FB504BB"/>
    <w:rsid w:val="2FBD0A96"/>
    <w:rsid w:val="2FC11C09"/>
    <w:rsid w:val="2FC35FA3"/>
    <w:rsid w:val="2FC71915"/>
    <w:rsid w:val="2FD065E6"/>
    <w:rsid w:val="2FD923D7"/>
    <w:rsid w:val="2FD96870"/>
    <w:rsid w:val="2FEE50F3"/>
    <w:rsid w:val="2FF61F8C"/>
    <w:rsid w:val="300D4E4E"/>
    <w:rsid w:val="3018731A"/>
    <w:rsid w:val="301A5EE8"/>
    <w:rsid w:val="30227AED"/>
    <w:rsid w:val="303845C1"/>
    <w:rsid w:val="303A20E7"/>
    <w:rsid w:val="30444D13"/>
    <w:rsid w:val="304732AA"/>
    <w:rsid w:val="3050190A"/>
    <w:rsid w:val="30562C99"/>
    <w:rsid w:val="30580BC9"/>
    <w:rsid w:val="3058422F"/>
    <w:rsid w:val="305A4537"/>
    <w:rsid w:val="306215F6"/>
    <w:rsid w:val="30662EDC"/>
    <w:rsid w:val="307E33F0"/>
    <w:rsid w:val="308415B4"/>
    <w:rsid w:val="308A0C4A"/>
    <w:rsid w:val="308E41E1"/>
    <w:rsid w:val="309537C1"/>
    <w:rsid w:val="309612E7"/>
    <w:rsid w:val="30977539"/>
    <w:rsid w:val="3099285D"/>
    <w:rsid w:val="309C2F27"/>
    <w:rsid w:val="30D81136"/>
    <w:rsid w:val="30DD6F16"/>
    <w:rsid w:val="30E233C0"/>
    <w:rsid w:val="30E63154"/>
    <w:rsid w:val="30F06C49"/>
    <w:rsid w:val="30F32296"/>
    <w:rsid w:val="30F50609"/>
    <w:rsid w:val="30FF42A7"/>
    <w:rsid w:val="310445D3"/>
    <w:rsid w:val="310F2275"/>
    <w:rsid w:val="311E2ED7"/>
    <w:rsid w:val="31224929"/>
    <w:rsid w:val="31230DCD"/>
    <w:rsid w:val="312564F4"/>
    <w:rsid w:val="312D57A8"/>
    <w:rsid w:val="31342FDA"/>
    <w:rsid w:val="313438D7"/>
    <w:rsid w:val="313B2B9B"/>
    <w:rsid w:val="313C1E8F"/>
    <w:rsid w:val="314F06D5"/>
    <w:rsid w:val="315619EE"/>
    <w:rsid w:val="315C449C"/>
    <w:rsid w:val="315E613B"/>
    <w:rsid w:val="31682C84"/>
    <w:rsid w:val="31763FD6"/>
    <w:rsid w:val="319F089C"/>
    <w:rsid w:val="31A17F97"/>
    <w:rsid w:val="31AF440F"/>
    <w:rsid w:val="31B82709"/>
    <w:rsid w:val="31C0486E"/>
    <w:rsid w:val="31C0661C"/>
    <w:rsid w:val="31CD6F8B"/>
    <w:rsid w:val="31D04385"/>
    <w:rsid w:val="31D044C7"/>
    <w:rsid w:val="31D05482"/>
    <w:rsid w:val="31D200FD"/>
    <w:rsid w:val="31D4544F"/>
    <w:rsid w:val="31D8371B"/>
    <w:rsid w:val="31DB3455"/>
    <w:rsid w:val="31E00A6C"/>
    <w:rsid w:val="31E81B7E"/>
    <w:rsid w:val="31E83DC4"/>
    <w:rsid w:val="31F60A7B"/>
    <w:rsid w:val="31F938DC"/>
    <w:rsid w:val="3216623C"/>
    <w:rsid w:val="323922EC"/>
    <w:rsid w:val="323B3EF4"/>
    <w:rsid w:val="323D5EBE"/>
    <w:rsid w:val="323E2B84"/>
    <w:rsid w:val="32400B34"/>
    <w:rsid w:val="3240150B"/>
    <w:rsid w:val="32452FC5"/>
    <w:rsid w:val="32456B21"/>
    <w:rsid w:val="32496611"/>
    <w:rsid w:val="324F174E"/>
    <w:rsid w:val="3255145A"/>
    <w:rsid w:val="32560D2E"/>
    <w:rsid w:val="32566F80"/>
    <w:rsid w:val="325D4C72"/>
    <w:rsid w:val="32651107"/>
    <w:rsid w:val="32696CB3"/>
    <w:rsid w:val="32764F2C"/>
    <w:rsid w:val="32785148"/>
    <w:rsid w:val="32805DAB"/>
    <w:rsid w:val="32877139"/>
    <w:rsid w:val="32933D30"/>
    <w:rsid w:val="329E6876"/>
    <w:rsid w:val="32AD579D"/>
    <w:rsid w:val="32B3444F"/>
    <w:rsid w:val="32C5307D"/>
    <w:rsid w:val="32CC2D9E"/>
    <w:rsid w:val="32CC7242"/>
    <w:rsid w:val="32EB591A"/>
    <w:rsid w:val="32ED641D"/>
    <w:rsid w:val="32F742BF"/>
    <w:rsid w:val="32F80037"/>
    <w:rsid w:val="32FA0876"/>
    <w:rsid w:val="33065460"/>
    <w:rsid w:val="33095DA0"/>
    <w:rsid w:val="333015F2"/>
    <w:rsid w:val="333D3C9C"/>
    <w:rsid w:val="334318CF"/>
    <w:rsid w:val="334B6320"/>
    <w:rsid w:val="33544C1D"/>
    <w:rsid w:val="335E433E"/>
    <w:rsid w:val="33631954"/>
    <w:rsid w:val="3364747B"/>
    <w:rsid w:val="337A31A6"/>
    <w:rsid w:val="337F6063"/>
    <w:rsid w:val="338813BB"/>
    <w:rsid w:val="338B4A07"/>
    <w:rsid w:val="339369ED"/>
    <w:rsid w:val="33B41FDC"/>
    <w:rsid w:val="33B47F4D"/>
    <w:rsid w:val="33B91D6D"/>
    <w:rsid w:val="33CB12A8"/>
    <w:rsid w:val="33D934D4"/>
    <w:rsid w:val="33DC5263"/>
    <w:rsid w:val="33E32A95"/>
    <w:rsid w:val="33E74334"/>
    <w:rsid w:val="33F04703"/>
    <w:rsid w:val="33F22CD8"/>
    <w:rsid w:val="33F64577"/>
    <w:rsid w:val="33FE2F6A"/>
    <w:rsid w:val="340329F0"/>
    <w:rsid w:val="340E07E5"/>
    <w:rsid w:val="3418357C"/>
    <w:rsid w:val="341C1B03"/>
    <w:rsid w:val="341E6D68"/>
    <w:rsid w:val="34235BF7"/>
    <w:rsid w:val="342A4953"/>
    <w:rsid w:val="344E1B3F"/>
    <w:rsid w:val="344E43B3"/>
    <w:rsid w:val="345E399F"/>
    <w:rsid w:val="34637732"/>
    <w:rsid w:val="346E7426"/>
    <w:rsid w:val="346F4329"/>
    <w:rsid w:val="34750E92"/>
    <w:rsid w:val="347D6A46"/>
    <w:rsid w:val="3487301B"/>
    <w:rsid w:val="34BA1A48"/>
    <w:rsid w:val="34BB108D"/>
    <w:rsid w:val="34BC4788"/>
    <w:rsid w:val="34DD5737"/>
    <w:rsid w:val="34E647FA"/>
    <w:rsid w:val="34EA076B"/>
    <w:rsid w:val="34FD104D"/>
    <w:rsid w:val="34FD36E3"/>
    <w:rsid w:val="35013566"/>
    <w:rsid w:val="350C7DCA"/>
    <w:rsid w:val="351338E3"/>
    <w:rsid w:val="351A40AC"/>
    <w:rsid w:val="351A6043"/>
    <w:rsid w:val="351A78BD"/>
    <w:rsid w:val="352769B2"/>
    <w:rsid w:val="352D76D4"/>
    <w:rsid w:val="354155D8"/>
    <w:rsid w:val="354C01C6"/>
    <w:rsid w:val="35546B4E"/>
    <w:rsid w:val="35645510"/>
    <w:rsid w:val="35704373"/>
    <w:rsid w:val="35733ACD"/>
    <w:rsid w:val="357D7B3D"/>
    <w:rsid w:val="357F059C"/>
    <w:rsid w:val="35843E04"/>
    <w:rsid w:val="3589578A"/>
    <w:rsid w:val="358C5FA8"/>
    <w:rsid w:val="358E3A36"/>
    <w:rsid w:val="359377EF"/>
    <w:rsid w:val="3599165E"/>
    <w:rsid w:val="35A46254"/>
    <w:rsid w:val="35AE6C70"/>
    <w:rsid w:val="35C15DF1"/>
    <w:rsid w:val="35CF507F"/>
    <w:rsid w:val="35E054DE"/>
    <w:rsid w:val="35E6686D"/>
    <w:rsid w:val="36025277"/>
    <w:rsid w:val="36074A7F"/>
    <w:rsid w:val="3608233F"/>
    <w:rsid w:val="361F65C1"/>
    <w:rsid w:val="362178A5"/>
    <w:rsid w:val="36253C14"/>
    <w:rsid w:val="364C326F"/>
    <w:rsid w:val="364D069A"/>
    <w:rsid w:val="36581F6E"/>
    <w:rsid w:val="365C49F6"/>
    <w:rsid w:val="36603F29"/>
    <w:rsid w:val="36653C36"/>
    <w:rsid w:val="366559E4"/>
    <w:rsid w:val="366D0A5A"/>
    <w:rsid w:val="366D4898"/>
    <w:rsid w:val="367B3FC7"/>
    <w:rsid w:val="367C77BE"/>
    <w:rsid w:val="368327AF"/>
    <w:rsid w:val="36883480"/>
    <w:rsid w:val="36895580"/>
    <w:rsid w:val="36923549"/>
    <w:rsid w:val="369462C9"/>
    <w:rsid w:val="369736C3"/>
    <w:rsid w:val="369A0F12"/>
    <w:rsid w:val="369F5428"/>
    <w:rsid w:val="36AA33F6"/>
    <w:rsid w:val="36B73E8E"/>
    <w:rsid w:val="36B75FBF"/>
    <w:rsid w:val="36BD0C45"/>
    <w:rsid w:val="36C27F37"/>
    <w:rsid w:val="36E032BC"/>
    <w:rsid w:val="36E52680"/>
    <w:rsid w:val="36EC376B"/>
    <w:rsid w:val="36EC7AA7"/>
    <w:rsid w:val="36F05872"/>
    <w:rsid w:val="36FD5C1C"/>
    <w:rsid w:val="36FF3742"/>
    <w:rsid w:val="37074CED"/>
    <w:rsid w:val="370C2303"/>
    <w:rsid w:val="37182A56"/>
    <w:rsid w:val="371A160E"/>
    <w:rsid w:val="371F4A33"/>
    <w:rsid w:val="372C6501"/>
    <w:rsid w:val="37321D6A"/>
    <w:rsid w:val="37337890"/>
    <w:rsid w:val="37377380"/>
    <w:rsid w:val="374A4900"/>
    <w:rsid w:val="374B4BD9"/>
    <w:rsid w:val="374D6BA3"/>
    <w:rsid w:val="376044AB"/>
    <w:rsid w:val="37620175"/>
    <w:rsid w:val="376626EF"/>
    <w:rsid w:val="376C4B50"/>
    <w:rsid w:val="37734130"/>
    <w:rsid w:val="3790083E"/>
    <w:rsid w:val="37955E55"/>
    <w:rsid w:val="379E73FF"/>
    <w:rsid w:val="37B95FE7"/>
    <w:rsid w:val="37BF6D0F"/>
    <w:rsid w:val="37C329C2"/>
    <w:rsid w:val="37C36E66"/>
    <w:rsid w:val="37C404E8"/>
    <w:rsid w:val="37C8622A"/>
    <w:rsid w:val="37CA01F4"/>
    <w:rsid w:val="37E00298"/>
    <w:rsid w:val="37EA43F2"/>
    <w:rsid w:val="37F17146"/>
    <w:rsid w:val="38066C9F"/>
    <w:rsid w:val="3810197F"/>
    <w:rsid w:val="3814321D"/>
    <w:rsid w:val="381D0E63"/>
    <w:rsid w:val="381F1BC2"/>
    <w:rsid w:val="382611A3"/>
    <w:rsid w:val="3828316D"/>
    <w:rsid w:val="38392C84"/>
    <w:rsid w:val="384568C8"/>
    <w:rsid w:val="384B18C4"/>
    <w:rsid w:val="384D672F"/>
    <w:rsid w:val="38546A96"/>
    <w:rsid w:val="38547ABE"/>
    <w:rsid w:val="385C2E16"/>
    <w:rsid w:val="38685317"/>
    <w:rsid w:val="38854955"/>
    <w:rsid w:val="38887767"/>
    <w:rsid w:val="389E6F8B"/>
    <w:rsid w:val="38A071A7"/>
    <w:rsid w:val="38A47031"/>
    <w:rsid w:val="38B302F9"/>
    <w:rsid w:val="38B8417A"/>
    <w:rsid w:val="38BE1E18"/>
    <w:rsid w:val="38C84008"/>
    <w:rsid w:val="38CA4224"/>
    <w:rsid w:val="38D90F52"/>
    <w:rsid w:val="38E2787D"/>
    <w:rsid w:val="38F12CD3"/>
    <w:rsid w:val="38F94775"/>
    <w:rsid w:val="38FC2829"/>
    <w:rsid w:val="390019F4"/>
    <w:rsid w:val="3906126A"/>
    <w:rsid w:val="390916AE"/>
    <w:rsid w:val="390E4110"/>
    <w:rsid w:val="391536F1"/>
    <w:rsid w:val="392971ED"/>
    <w:rsid w:val="39325651"/>
    <w:rsid w:val="394C2E8B"/>
    <w:rsid w:val="396F4C53"/>
    <w:rsid w:val="39797168"/>
    <w:rsid w:val="397A15B2"/>
    <w:rsid w:val="397B72CC"/>
    <w:rsid w:val="397C544B"/>
    <w:rsid w:val="398268AC"/>
    <w:rsid w:val="399003FF"/>
    <w:rsid w:val="399711B1"/>
    <w:rsid w:val="39A86313"/>
    <w:rsid w:val="39B20F40"/>
    <w:rsid w:val="39D32C64"/>
    <w:rsid w:val="39D8513B"/>
    <w:rsid w:val="39DA3FF3"/>
    <w:rsid w:val="39E3559D"/>
    <w:rsid w:val="39E65C73"/>
    <w:rsid w:val="39E76710"/>
    <w:rsid w:val="39E906DA"/>
    <w:rsid w:val="39EF3F42"/>
    <w:rsid w:val="39F049A9"/>
    <w:rsid w:val="39F120A6"/>
    <w:rsid w:val="39F12677"/>
    <w:rsid w:val="39F72597"/>
    <w:rsid w:val="39FF7EFD"/>
    <w:rsid w:val="3A0E569A"/>
    <w:rsid w:val="3A103EB8"/>
    <w:rsid w:val="3A111555"/>
    <w:rsid w:val="3A1A3ACD"/>
    <w:rsid w:val="3A2B2AA0"/>
    <w:rsid w:val="3A322081"/>
    <w:rsid w:val="3A32546F"/>
    <w:rsid w:val="3A377697"/>
    <w:rsid w:val="3A3C4CAD"/>
    <w:rsid w:val="3A414072"/>
    <w:rsid w:val="3A44499A"/>
    <w:rsid w:val="3A493CFA"/>
    <w:rsid w:val="3A575643"/>
    <w:rsid w:val="3A5A39CC"/>
    <w:rsid w:val="3A60099C"/>
    <w:rsid w:val="3A69578F"/>
    <w:rsid w:val="3A6F5083"/>
    <w:rsid w:val="3A872856"/>
    <w:rsid w:val="3A8C1EF3"/>
    <w:rsid w:val="3AA80595"/>
    <w:rsid w:val="3AAC1E33"/>
    <w:rsid w:val="3AAC3BE1"/>
    <w:rsid w:val="3AB57A75"/>
    <w:rsid w:val="3AB72576"/>
    <w:rsid w:val="3ABC194A"/>
    <w:rsid w:val="3AC741B6"/>
    <w:rsid w:val="3ACA7679"/>
    <w:rsid w:val="3ACD1DA9"/>
    <w:rsid w:val="3ACE07FD"/>
    <w:rsid w:val="3ACE7FFB"/>
    <w:rsid w:val="3ADB44C6"/>
    <w:rsid w:val="3AE710BD"/>
    <w:rsid w:val="3B133C60"/>
    <w:rsid w:val="3B1B3573"/>
    <w:rsid w:val="3B273EC5"/>
    <w:rsid w:val="3B3360B0"/>
    <w:rsid w:val="3B3763D1"/>
    <w:rsid w:val="3B4172BD"/>
    <w:rsid w:val="3B457B92"/>
    <w:rsid w:val="3B51523B"/>
    <w:rsid w:val="3B5D4EDB"/>
    <w:rsid w:val="3B730015"/>
    <w:rsid w:val="3B732951"/>
    <w:rsid w:val="3B7641EF"/>
    <w:rsid w:val="3B8D394C"/>
    <w:rsid w:val="3B936B4F"/>
    <w:rsid w:val="3BA25B4D"/>
    <w:rsid w:val="3BA448B8"/>
    <w:rsid w:val="3BB32D4D"/>
    <w:rsid w:val="3BB54D17"/>
    <w:rsid w:val="3BB765F4"/>
    <w:rsid w:val="3BB9436E"/>
    <w:rsid w:val="3BBD1E1E"/>
    <w:rsid w:val="3BC431AC"/>
    <w:rsid w:val="3BC43EFB"/>
    <w:rsid w:val="3BC76818"/>
    <w:rsid w:val="3BD42F43"/>
    <w:rsid w:val="3BD86C58"/>
    <w:rsid w:val="3BDC22A4"/>
    <w:rsid w:val="3BDE758B"/>
    <w:rsid w:val="3BEC4618"/>
    <w:rsid w:val="3BF03FA1"/>
    <w:rsid w:val="3BF70E8C"/>
    <w:rsid w:val="3BF92B65"/>
    <w:rsid w:val="3BFD221A"/>
    <w:rsid w:val="3C157564"/>
    <w:rsid w:val="3C187054"/>
    <w:rsid w:val="3C235774"/>
    <w:rsid w:val="3C2D1C96"/>
    <w:rsid w:val="3C2F6E1E"/>
    <w:rsid w:val="3C340066"/>
    <w:rsid w:val="3C371BD0"/>
    <w:rsid w:val="3C4A1903"/>
    <w:rsid w:val="3C4B267E"/>
    <w:rsid w:val="3C4F64BA"/>
    <w:rsid w:val="3C5462DE"/>
    <w:rsid w:val="3C5C33E5"/>
    <w:rsid w:val="3C746980"/>
    <w:rsid w:val="3C830972"/>
    <w:rsid w:val="3CBA010B"/>
    <w:rsid w:val="3CBC20D5"/>
    <w:rsid w:val="3CC64D02"/>
    <w:rsid w:val="3CC94D10"/>
    <w:rsid w:val="3CCF1E09"/>
    <w:rsid w:val="3CDA245A"/>
    <w:rsid w:val="3CDB255C"/>
    <w:rsid w:val="3CEA279F"/>
    <w:rsid w:val="3CF646FE"/>
    <w:rsid w:val="3D0F0457"/>
    <w:rsid w:val="3D14480A"/>
    <w:rsid w:val="3D1E06B7"/>
    <w:rsid w:val="3D2263DC"/>
    <w:rsid w:val="3D226990"/>
    <w:rsid w:val="3D251A29"/>
    <w:rsid w:val="3D2739F3"/>
    <w:rsid w:val="3D2A34E3"/>
    <w:rsid w:val="3D2B12B8"/>
    <w:rsid w:val="3D483969"/>
    <w:rsid w:val="3D4F6AA6"/>
    <w:rsid w:val="3D51128B"/>
    <w:rsid w:val="3D601ABD"/>
    <w:rsid w:val="3D6467F4"/>
    <w:rsid w:val="3D684D8F"/>
    <w:rsid w:val="3D6E1622"/>
    <w:rsid w:val="3D736C38"/>
    <w:rsid w:val="3D766728"/>
    <w:rsid w:val="3D8250CD"/>
    <w:rsid w:val="3D842BF3"/>
    <w:rsid w:val="3D94095C"/>
    <w:rsid w:val="3D97084E"/>
    <w:rsid w:val="3D995F73"/>
    <w:rsid w:val="3D9E3F08"/>
    <w:rsid w:val="3DB90469"/>
    <w:rsid w:val="3DC254CA"/>
    <w:rsid w:val="3DCE3E6E"/>
    <w:rsid w:val="3DE3213E"/>
    <w:rsid w:val="3DEB2C72"/>
    <w:rsid w:val="3DF31B27"/>
    <w:rsid w:val="3DF37D79"/>
    <w:rsid w:val="3DF80EEB"/>
    <w:rsid w:val="3DF8538F"/>
    <w:rsid w:val="3E126451"/>
    <w:rsid w:val="3E172303"/>
    <w:rsid w:val="3E1877DF"/>
    <w:rsid w:val="3E1F46CA"/>
    <w:rsid w:val="3E416D36"/>
    <w:rsid w:val="3E43485C"/>
    <w:rsid w:val="3E487BC9"/>
    <w:rsid w:val="3E495F49"/>
    <w:rsid w:val="3E4E3201"/>
    <w:rsid w:val="3E554590"/>
    <w:rsid w:val="3E612F34"/>
    <w:rsid w:val="3E640F01"/>
    <w:rsid w:val="3E6C18BE"/>
    <w:rsid w:val="3E86299B"/>
    <w:rsid w:val="3E9F0FD0"/>
    <w:rsid w:val="3EA20CF6"/>
    <w:rsid w:val="3EA90437"/>
    <w:rsid w:val="3EAB2402"/>
    <w:rsid w:val="3EBF1A09"/>
    <w:rsid w:val="3EC63DF9"/>
    <w:rsid w:val="3ECC2AA4"/>
    <w:rsid w:val="3ECE3FA5"/>
    <w:rsid w:val="3EDA0523"/>
    <w:rsid w:val="3EF26282"/>
    <w:rsid w:val="3F1602A8"/>
    <w:rsid w:val="3F195448"/>
    <w:rsid w:val="3F241562"/>
    <w:rsid w:val="3F3423F7"/>
    <w:rsid w:val="3F3F2C65"/>
    <w:rsid w:val="3F762A0F"/>
    <w:rsid w:val="3F8A65B3"/>
    <w:rsid w:val="3F8A6F4C"/>
    <w:rsid w:val="3F8B7BF5"/>
    <w:rsid w:val="3F8D1806"/>
    <w:rsid w:val="3F937844"/>
    <w:rsid w:val="3F9B2F92"/>
    <w:rsid w:val="3FA255B3"/>
    <w:rsid w:val="3FA550A3"/>
    <w:rsid w:val="3FAC01DF"/>
    <w:rsid w:val="3FAD50EA"/>
    <w:rsid w:val="3FAF6650"/>
    <w:rsid w:val="3FB53538"/>
    <w:rsid w:val="3FBA0B4E"/>
    <w:rsid w:val="3FBA72EA"/>
    <w:rsid w:val="3FD05416"/>
    <w:rsid w:val="3FD55BE3"/>
    <w:rsid w:val="3FF43934"/>
    <w:rsid w:val="3FFC1167"/>
    <w:rsid w:val="3FFD2EB8"/>
    <w:rsid w:val="400A25AA"/>
    <w:rsid w:val="401F1013"/>
    <w:rsid w:val="403117C0"/>
    <w:rsid w:val="40387CC5"/>
    <w:rsid w:val="405C1C05"/>
    <w:rsid w:val="40642868"/>
    <w:rsid w:val="40672358"/>
    <w:rsid w:val="407A6407"/>
    <w:rsid w:val="407D1B7C"/>
    <w:rsid w:val="40833636"/>
    <w:rsid w:val="4090365D"/>
    <w:rsid w:val="409C64A6"/>
    <w:rsid w:val="40AB493B"/>
    <w:rsid w:val="40C15F0C"/>
    <w:rsid w:val="40C652D1"/>
    <w:rsid w:val="40D519B8"/>
    <w:rsid w:val="40DA0D7C"/>
    <w:rsid w:val="40DC68A2"/>
    <w:rsid w:val="40E35E83"/>
    <w:rsid w:val="40EA4866"/>
    <w:rsid w:val="40EB61BC"/>
    <w:rsid w:val="40ED6D01"/>
    <w:rsid w:val="40F55BB6"/>
    <w:rsid w:val="4106181A"/>
    <w:rsid w:val="41202C33"/>
    <w:rsid w:val="41272213"/>
    <w:rsid w:val="41344B35"/>
    <w:rsid w:val="41362456"/>
    <w:rsid w:val="41571710"/>
    <w:rsid w:val="415B3C6B"/>
    <w:rsid w:val="415C2C1B"/>
    <w:rsid w:val="415E375B"/>
    <w:rsid w:val="41654AEA"/>
    <w:rsid w:val="416C2A12"/>
    <w:rsid w:val="41742F7F"/>
    <w:rsid w:val="4182744A"/>
    <w:rsid w:val="41833A01"/>
    <w:rsid w:val="4189450F"/>
    <w:rsid w:val="41A9426B"/>
    <w:rsid w:val="41AD255E"/>
    <w:rsid w:val="41B25855"/>
    <w:rsid w:val="41CC6917"/>
    <w:rsid w:val="41D22A03"/>
    <w:rsid w:val="41D23E46"/>
    <w:rsid w:val="41E77BF5"/>
    <w:rsid w:val="41E81277"/>
    <w:rsid w:val="41E9396D"/>
    <w:rsid w:val="41F67433"/>
    <w:rsid w:val="41FD7B15"/>
    <w:rsid w:val="4200449D"/>
    <w:rsid w:val="420662CD"/>
    <w:rsid w:val="420F0CC4"/>
    <w:rsid w:val="4224465A"/>
    <w:rsid w:val="422547A9"/>
    <w:rsid w:val="42293D69"/>
    <w:rsid w:val="423A3BCC"/>
    <w:rsid w:val="424E57D2"/>
    <w:rsid w:val="42537038"/>
    <w:rsid w:val="425A3F23"/>
    <w:rsid w:val="425E0F42"/>
    <w:rsid w:val="42672AE3"/>
    <w:rsid w:val="426923B8"/>
    <w:rsid w:val="42754435"/>
    <w:rsid w:val="427C0C6D"/>
    <w:rsid w:val="42892A5A"/>
    <w:rsid w:val="42932922"/>
    <w:rsid w:val="429E4757"/>
    <w:rsid w:val="42B26C49"/>
    <w:rsid w:val="42B77A4D"/>
    <w:rsid w:val="42BB61E1"/>
    <w:rsid w:val="42BE6BA7"/>
    <w:rsid w:val="42E41571"/>
    <w:rsid w:val="42E92638"/>
    <w:rsid w:val="42F119CD"/>
    <w:rsid w:val="42F2003F"/>
    <w:rsid w:val="42FE0D52"/>
    <w:rsid w:val="43056584"/>
    <w:rsid w:val="430A5A96"/>
    <w:rsid w:val="431C1B20"/>
    <w:rsid w:val="431F0B24"/>
    <w:rsid w:val="43241001"/>
    <w:rsid w:val="432A3AEC"/>
    <w:rsid w:val="432D7889"/>
    <w:rsid w:val="432F7D75"/>
    <w:rsid w:val="433A6FE6"/>
    <w:rsid w:val="43480868"/>
    <w:rsid w:val="4350713C"/>
    <w:rsid w:val="43573E78"/>
    <w:rsid w:val="435B61A4"/>
    <w:rsid w:val="435C016E"/>
    <w:rsid w:val="436653E0"/>
    <w:rsid w:val="436C6603"/>
    <w:rsid w:val="4383394D"/>
    <w:rsid w:val="438576C5"/>
    <w:rsid w:val="43917E18"/>
    <w:rsid w:val="43A71BD2"/>
    <w:rsid w:val="43B36469"/>
    <w:rsid w:val="43B67638"/>
    <w:rsid w:val="43BB6C84"/>
    <w:rsid w:val="43C160A7"/>
    <w:rsid w:val="43C4431A"/>
    <w:rsid w:val="43CA50D8"/>
    <w:rsid w:val="43DE3FEB"/>
    <w:rsid w:val="43E71662"/>
    <w:rsid w:val="44017717"/>
    <w:rsid w:val="440F6F8F"/>
    <w:rsid w:val="44185E43"/>
    <w:rsid w:val="442645F7"/>
    <w:rsid w:val="442865FA"/>
    <w:rsid w:val="44305883"/>
    <w:rsid w:val="44396C7E"/>
    <w:rsid w:val="443D74B5"/>
    <w:rsid w:val="44427364"/>
    <w:rsid w:val="44450C02"/>
    <w:rsid w:val="44466E54"/>
    <w:rsid w:val="44507CD3"/>
    <w:rsid w:val="445833BC"/>
    <w:rsid w:val="44661FA6"/>
    <w:rsid w:val="446B2734"/>
    <w:rsid w:val="447F6E35"/>
    <w:rsid w:val="44887B29"/>
    <w:rsid w:val="44B4325F"/>
    <w:rsid w:val="44B951CC"/>
    <w:rsid w:val="44BF2763"/>
    <w:rsid w:val="44BF6A73"/>
    <w:rsid w:val="44C45FCB"/>
    <w:rsid w:val="44CD14E0"/>
    <w:rsid w:val="44D206E8"/>
    <w:rsid w:val="44D4176B"/>
    <w:rsid w:val="44E12D73"/>
    <w:rsid w:val="44ED03F0"/>
    <w:rsid w:val="44F20B0B"/>
    <w:rsid w:val="44FA7C3F"/>
    <w:rsid w:val="4508235C"/>
    <w:rsid w:val="450E78E1"/>
    <w:rsid w:val="45126D36"/>
    <w:rsid w:val="4517259F"/>
    <w:rsid w:val="45230F44"/>
    <w:rsid w:val="45284275"/>
    <w:rsid w:val="452E5F4C"/>
    <w:rsid w:val="45317296"/>
    <w:rsid w:val="453444AC"/>
    <w:rsid w:val="45352A25"/>
    <w:rsid w:val="45482758"/>
    <w:rsid w:val="45612018"/>
    <w:rsid w:val="45637592"/>
    <w:rsid w:val="456652D4"/>
    <w:rsid w:val="456F23DB"/>
    <w:rsid w:val="45736131"/>
    <w:rsid w:val="45790B64"/>
    <w:rsid w:val="457A48DC"/>
    <w:rsid w:val="457E261E"/>
    <w:rsid w:val="45877724"/>
    <w:rsid w:val="458946E9"/>
    <w:rsid w:val="459C2AA4"/>
    <w:rsid w:val="459F1496"/>
    <w:rsid w:val="45A47C0E"/>
    <w:rsid w:val="45AA3413"/>
    <w:rsid w:val="45AD6A5F"/>
    <w:rsid w:val="45B222C8"/>
    <w:rsid w:val="45C02C36"/>
    <w:rsid w:val="45CC5137"/>
    <w:rsid w:val="45D46BA7"/>
    <w:rsid w:val="45D64208"/>
    <w:rsid w:val="45D95AA6"/>
    <w:rsid w:val="45DD7344"/>
    <w:rsid w:val="45DE6011"/>
    <w:rsid w:val="45E22BAD"/>
    <w:rsid w:val="45EC7588"/>
    <w:rsid w:val="45F36B68"/>
    <w:rsid w:val="45F621B4"/>
    <w:rsid w:val="45FE72BB"/>
    <w:rsid w:val="46024FFD"/>
    <w:rsid w:val="4607616F"/>
    <w:rsid w:val="461865CE"/>
    <w:rsid w:val="46195EA3"/>
    <w:rsid w:val="46202C1B"/>
    <w:rsid w:val="462907DC"/>
    <w:rsid w:val="4629258A"/>
    <w:rsid w:val="462C28FF"/>
    <w:rsid w:val="46326F64"/>
    <w:rsid w:val="464473C4"/>
    <w:rsid w:val="464962FF"/>
    <w:rsid w:val="4653050B"/>
    <w:rsid w:val="46577FD6"/>
    <w:rsid w:val="465D4862"/>
    <w:rsid w:val="466435C2"/>
    <w:rsid w:val="466547EE"/>
    <w:rsid w:val="46762E09"/>
    <w:rsid w:val="467D4684"/>
    <w:rsid w:val="468679DC"/>
    <w:rsid w:val="468E7A41"/>
    <w:rsid w:val="4692772F"/>
    <w:rsid w:val="4698770F"/>
    <w:rsid w:val="46A14816"/>
    <w:rsid w:val="46AC31BB"/>
    <w:rsid w:val="46AF05B5"/>
    <w:rsid w:val="46B04A59"/>
    <w:rsid w:val="46B207D1"/>
    <w:rsid w:val="46C40AF8"/>
    <w:rsid w:val="46D52711"/>
    <w:rsid w:val="46D955A7"/>
    <w:rsid w:val="46DD5122"/>
    <w:rsid w:val="46EC0385"/>
    <w:rsid w:val="46EE10DD"/>
    <w:rsid w:val="46F030A7"/>
    <w:rsid w:val="46F1413B"/>
    <w:rsid w:val="46F54B62"/>
    <w:rsid w:val="47133957"/>
    <w:rsid w:val="472B40E0"/>
    <w:rsid w:val="472D42FC"/>
    <w:rsid w:val="47392CA0"/>
    <w:rsid w:val="47406B6B"/>
    <w:rsid w:val="474653BD"/>
    <w:rsid w:val="474D674C"/>
    <w:rsid w:val="476475F1"/>
    <w:rsid w:val="476E64E4"/>
    <w:rsid w:val="476F0470"/>
    <w:rsid w:val="47746FD7"/>
    <w:rsid w:val="477B488F"/>
    <w:rsid w:val="477E0A07"/>
    <w:rsid w:val="478101A3"/>
    <w:rsid w:val="478B4B7E"/>
    <w:rsid w:val="479206CE"/>
    <w:rsid w:val="479559FD"/>
    <w:rsid w:val="47986390"/>
    <w:rsid w:val="47A07E0C"/>
    <w:rsid w:val="47A125F4"/>
    <w:rsid w:val="47AE1206"/>
    <w:rsid w:val="47B05399"/>
    <w:rsid w:val="47B4715A"/>
    <w:rsid w:val="47B71E17"/>
    <w:rsid w:val="47D97FDF"/>
    <w:rsid w:val="47E0311C"/>
    <w:rsid w:val="47E56984"/>
    <w:rsid w:val="47EA7AF7"/>
    <w:rsid w:val="47F110BE"/>
    <w:rsid w:val="47F40975"/>
    <w:rsid w:val="4803505C"/>
    <w:rsid w:val="480A1E30"/>
    <w:rsid w:val="480C2163"/>
    <w:rsid w:val="480F57AF"/>
    <w:rsid w:val="48111527"/>
    <w:rsid w:val="48147269"/>
    <w:rsid w:val="48164D90"/>
    <w:rsid w:val="48166B3E"/>
    <w:rsid w:val="483141E2"/>
    <w:rsid w:val="485307F0"/>
    <w:rsid w:val="48552B81"/>
    <w:rsid w:val="485D29BF"/>
    <w:rsid w:val="48627FD5"/>
    <w:rsid w:val="4864156E"/>
    <w:rsid w:val="48643D4D"/>
    <w:rsid w:val="486B54D8"/>
    <w:rsid w:val="4870272E"/>
    <w:rsid w:val="48763A80"/>
    <w:rsid w:val="48783354"/>
    <w:rsid w:val="487F70C7"/>
    <w:rsid w:val="488175D2"/>
    <w:rsid w:val="488241D3"/>
    <w:rsid w:val="48847F4B"/>
    <w:rsid w:val="48A332FC"/>
    <w:rsid w:val="48A56114"/>
    <w:rsid w:val="48BD345D"/>
    <w:rsid w:val="48C263CB"/>
    <w:rsid w:val="48CC544E"/>
    <w:rsid w:val="48DC7D87"/>
    <w:rsid w:val="48FA020D"/>
    <w:rsid w:val="490177EE"/>
    <w:rsid w:val="49041835"/>
    <w:rsid w:val="49042E3A"/>
    <w:rsid w:val="490E1F0B"/>
    <w:rsid w:val="49172A81"/>
    <w:rsid w:val="491A7554"/>
    <w:rsid w:val="492139EC"/>
    <w:rsid w:val="49396F88"/>
    <w:rsid w:val="4942492D"/>
    <w:rsid w:val="49494981"/>
    <w:rsid w:val="494D47E1"/>
    <w:rsid w:val="495A6EFE"/>
    <w:rsid w:val="4967268F"/>
    <w:rsid w:val="49691876"/>
    <w:rsid w:val="496B1737"/>
    <w:rsid w:val="496B2C2B"/>
    <w:rsid w:val="496B4C67"/>
    <w:rsid w:val="496B52DB"/>
    <w:rsid w:val="49725FF6"/>
    <w:rsid w:val="49830203"/>
    <w:rsid w:val="498A525B"/>
    <w:rsid w:val="498B2E59"/>
    <w:rsid w:val="498B70B7"/>
    <w:rsid w:val="49910E1C"/>
    <w:rsid w:val="49971F00"/>
    <w:rsid w:val="499F0DB5"/>
    <w:rsid w:val="49A308A5"/>
    <w:rsid w:val="49A575DF"/>
    <w:rsid w:val="49B712E4"/>
    <w:rsid w:val="49C449CF"/>
    <w:rsid w:val="49C820BA"/>
    <w:rsid w:val="49CD5922"/>
    <w:rsid w:val="49DC7715"/>
    <w:rsid w:val="49E437D8"/>
    <w:rsid w:val="49E862B8"/>
    <w:rsid w:val="49F70BF1"/>
    <w:rsid w:val="49FB423D"/>
    <w:rsid w:val="49FE5ADB"/>
    <w:rsid w:val="4A01737A"/>
    <w:rsid w:val="4A0209BB"/>
    <w:rsid w:val="4A023139"/>
    <w:rsid w:val="4A044E26"/>
    <w:rsid w:val="4A183041"/>
    <w:rsid w:val="4A1E7366"/>
    <w:rsid w:val="4A233794"/>
    <w:rsid w:val="4A280DAA"/>
    <w:rsid w:val="4A2C2648"/>
    <w:rsid w:val="4A45195C"/>
    <w:rsid w:val="4A4C4A99"/>
    <w:rsid w:val="4A5B2F2E"/>
    <w:rsid w:val="4A7B576F"/>
    <w:rsid w:val="4A7D10F6"/>
    <w:rsid w:val="4A7E48C4"/>
    <w:rsid w:val="4AA448D5"/>
    <w:rsid w:val="4AA52D9C"/>
    <w:rsid w:val="4AAA7A11"/>
    <w:rsid w:val="4AAE7501"/>
    <w:rsid w:val="4AB935C3"/>
    <w:rsid w:val="4AC26B09"/>
    <w:rsid w:val="4AD83524"/>
    <w:rsid w:val="4ADA02F6"/>
    <w:rsid w:val="4AEF07F7"/>
    <w:rsid w:val="4AF33166"/>
    <w:rsid w:val="4AF561A9"/>
    <w:rsid w:val="4AFC64BF"/>
    <w:rsid w:val="4B007631"/>
    <w:rsid w:val="4B050CA9"/>
    <w:rsid w:val="4B052E99"/>
    <w:rsid w:val="4B271062"/>
    <w:rsid w:val="4B2B05AC"/>
    <w:rsid w:val="4B3774F7"/>
    <w:rsid w:val="4B412124"/>
    <w:rsid w:val="4B41632B"/>
    <w:rsid w:val="4B46598C"/>
    <w:rsid w:val="4B4932F9"/>
    <w:rsid w:val="4B766A70"/>
    <w:rsid w:val="4B775B45"/>
    <w:rsid w:val="4B881658"/>
    <w:rsid w:val="4B98734E"/>
    <w:rsid w:val="4B9E4ED4"/>
    <w:rsid w:val="4BAF1783"/>
    <w:rsid w:val="4BB7397C"/>
    <w:rsid w:val="4BB812F2"/>
    <w:rsid w:val="4BB9615E"/>
    <w:rsid w:val="4BBA1ED6"/>
    <w:rsid w:val="4BCB6760"/>
    <w:rsid w:val="4BCD7E5B"/>
    <w:rsid w:val="4BCF5981"/>
    <w:rsid w:val="4BD034A7"/>
    <w:rsid w:val="4BDA60D4"/>
    <w:rsid w:val="4BE156B5"/>
    <w:rsid w:val="4BED22AB"/>
    <w:rsid w:val="4BFE14B3"/>
    <w:rsid w:val="4C0849EF"/>
    <w:rsid w:val="4C1C049B"/>
    <w:rsid w:val="4C2A41D3"/>
    <w:rsid w:val="4C341C88"/>
    <w:rsid w:val="4C3C287C"/>
    <w:rsid w:val="4C432015"/>
    <w:rsid w:val="4C4A0649"/>
    <w:rsid w:val="4C4C6FD2"/>
    <w:rsid w:val="4C4F261E"/>
    <w:rsid w:val="4C516396"/>
    <w:rsid w:val="4C5256D4"/>
    <w:rsid w:val="4C5E4F57"/>
    <w:rsid w:val="4C7E5ECA"/>
    <w:rsid w:val="4C876AA5"/>
    <w:rsid w:val="4C891FD4"/>
    <w:rsid w:val="4C8A6EEA"/>
    <w:rsid w:val="4C9E5354"/>
    <w:rsid w:val="4C9F2AEC"/>
    <w:rsid w:val="4CA706AC"/>
    <w:rsid w:val="4CA87F80"/>
    <w:rsid w:val="4CB80687"/>
    <w:rsid w:val="4CC474D9"/>
    <w:rsid w:val="4CD5250C"/>
    <w:rsid w:val="4CEC60BF"/>
    <w:rsid w:val="4D0A4797"/>
    <w:rsid w:val="4D0E00FB"/>
    <w:rsid w:val="4D13189E"/>
    <w:rsid w:val="4D176606"/>
    <w:rsid w:val="4D2A6BE7"/>
    <w:rsid w:val="4D447CA9"/>
    <w:rsid w:val="4D5B4FF3"/>
    <w:rsid w:val="4D5F2CDC"/>
    <w:rsid w:val="4D6616D1"/>
    <w:rsid w:val="4D674B32"/>
    <w:rsid w:val="4D6A628D"/>
    <w:rsid w:val="4D7560B4"/>
    <w:rsid w:val="4D776E45"/>
    <w:rsid w:val="4D8D78A2"/>
    <w:rsid w:val="4D973C92"/>
    <w:rsid w:val="4D9C1893"/>
    <w:rsid w:val="4DB210B7"/>
    <w:rsid w:val="4DC42B98"/>
    <w:rsid w:val="4DCB2178"/>
    <w:rsid w:val="4DCD2038"/>
    <w:rsid w:val="4DE1240C"/>
    <w:rsid w:val="4DE67F95"/>
    <w:rsid w:val="4DEC4FB0"/>
    <w:rsid w:val="4DEE0006"/>
    <w:rsid w:val="4DF53699"/>
    <w:rsid w:val="4E0202E8"/>
    <w:rsid w:val="4E054D92"/>
    <w:rsid w:val="4E075D8A"/>
    <w:rsid w:val="4E0D2791"/>
    <w:rsid w:val="4E16101A"/>
    <w:rsid w:val="4E2D698F"/>
    <w:rsid w:val="4E347D1E"/>
    <w:rsid w:val="4E3B7ACB"/>
    <w:rsid w:val="4E3E294A"/>
    <w:rsid w:val="4E434405"/>
    <w:rsid w:val="4E45017D"/>
    <w:rsid w:val="4E5270C6"/>
    <w:rsid w:val="4E6772EC"/>
    <w:rsid w:val="4E724CEA"/>
    <w:rsid w:val="4E727B82"/>
    <w:rsid w:val="4E7C16C5"/>
    <w:rsid w:val="4E832A53"/>
    <w:rsid w:val="4E8A3DE2"/>
    <w:rsid w:val="4E8C5DAC"/>
    <w:rsid w:val="4E90116D"/>
    <w:rsid w:val="4E950123"/>
    <w:rsid w:val="4E964534"/>
    <w:rsid w:val="4E992277"/>
    <w:rsid w:val="4EA32F2E"/>
    <w:rsid w:val="4EB175C0"/>
    <w:rsid w:val="4EC00FAD"/>
    <w:rsid w:val="4ED432AF"/>
    <w:rsid w:val="4EE96D5A"/>
    <w:rsid w:val="4EEA0D24"/>
    <w:rsid w:val="4EEA2AD2"/>
    <w:rsid w:val="4EEB759A"/>
    <w:rsid w:val="4EEC684A"/>
    <w:rsid w:val="4EF83441"/>
    <w:rsid w:val="4EFE3653"/>
    <w:rsid w:val="4F082F58"/>
    <w:rsid w:val="4F1813ED"/>
    <w:rsid w:val="4F276A6E"/>
    <w:rsid w:val="4F4246BC"/>
    <w:rsid w:val="4F473391"/>
    <w:rsid w:val="4F5D2FAF"/>
    <w:rsid w:val="4F60275E"/>
    <w:rsid w:val="4F777F1C"/>
    <w:rsid w:val="4F790FC4"/>
    <w:rsid w:val="4F8A39FB"/>
    <w:rsid w:val="4F953DC6"/>
    <w:rsid w:val="4F9667B6"/>
    <w:rsid w:val="4F9843DC"/>
    <w:rsid w:val="4F9A02FA"/>
    <w:rsid w:val="4F9C334A"/>
    <w:rsid w:val="4FAF11C8"/>
    <w:rsid w:val="4FB0062B"/>
    <w:rsid w:val="4FB1539E"/>
    <w:rsid w:val="4FB529D7"/>
    <w:rsid w:val="4FC357FD"/>
    <w:rsid w:val="4FC62A8C"/>
    <w:rsid w:val="4FC63744"/>
    <w:rsid w:val="4FCB2904"/>
    <w:rsid w:val="4FE20F0D"/>
    <w:rsid w:val="4FE51552"/>
    <w:rsid w:val="4FEE65F2"/>
    <w:rsid w:val="4FF84D7B"/>
    <w:rsid w:val="4FFA6D45"/>
    <w:rsid w:val="50083210"/>
    <w:rsid w:val="500C3E41"/>
    <w:rsid w:val="500F0A42"/>
    <w:rsid w:val="500F3981"/>
    <w:rsid w:val="502142D2"/>
    <w:rsid w:val="50342257"/>
    <w:rsid w:val="50454464"/>
    <w:rsid w:val="50493828"/>
    <w:rsid w:val="504B134F"/>
    <w:rsid w:val="50504C4B"/>
    <w:rsid w:val="50537FDF"/>
    <w:rsid w:val="505D789E"/>
    <w:rsid w:val="50681F00"/>
    <w:rsid w:val="50760FCB"/>
    <w:rsid w:val="508538B7"/>
    <w:rsid w:val="50917FE5"/>
    <w:rsid w:val="509C6E7C"/>
    <w:rsid w:val="509E1DC6"/>
    <w:rsid w:val="50A078EC"/>
    <w:rsid w:val="50BB0282"/>
    <w:rsid w:val="50C17863"/>
    <w:rsid w:val="50DE7392"/>
    <w:rsid w:val="50E0418D"/>
    <w:rsid w:val="50E4752A"/>
    <w:rsid w:val="50EF617E"/>
    <w:rsid w:val="50F77ADD"/>
    <w:rsid w:val="510207BF"/>
    <w:rsid w:val="511E6A63"/>
    <w:rsid w:val="512C5624"/>
    <w:rsid w:val="512D394D"/>
    <w:rsid w:val="512E6655"/>
    <w:rsid w:val="5133250E"/>
    <w:rsid w:val="51340035"/>
    <w:rsid w:val="51346287"/>
    <w:rsid w:val="51483DC3"/>
    <w:rsid w:val="5162104E"/>
    <w:rsid w:val="517C0EAD"/>
    <w:rsid w:val="517E5E57"/>
    <w:rsid w:val="51850890"/>
    <w:rsid w:val="51870AAC"/>
    <w:rsid w:val="51894824"/>
    <w:rsid w:val="518C1C1F"/>
    <w:rsid w:val="51962AEA"/>
    <w:rsid w:val="519A433C"/>
    <w:rsid w:val="51AD2C7C"/>
    <w:rsid w:val="51BF0246"/>
    <w:rsid w:val="51C47AA0"/>
    <w:rsid w:val="51C615D4"/>
    <w:rsid w:val="51D84E64"/>
    <w:rsid w:val="51EE0B2B"/>
    <w:rsid w:val="520133A3"/>
    <w:rsid w:val="52045C59"/>
    <w:rsid w:val="52067698"/>
    <w:rsid w:val="52092E8B"/>
    <w:rsid w:val="521701EA"/>
    <w:rsid w:val="523F2203"/>
    <w:rsid w:val="52467587"/>
    <w:rsid w:val="525C07D3"/>
    <w:rsid w:val="526E2039"/>
    <w:rsid w:val="526F3A1A"/>
    <w:rsid w:val="527C1A3E"/>
    <w:rsid w:val="527D2413"/>
    <w:rsid w:val="5282134D"/>
    <w:rsid w:val="52860D64"/>
    <w:rsid w:val="528F19C6"/>
    <w:rsid w:val="5294522F"/>
    <w:rsid w:val="52957FF2"/>
    <w:rsid w:val="529E42FF"/>
    <w:rsid w:val="52A01E26"/>
    <w:rsid w:val="52A1794C"/>
    <w:rsid w:val="52A35472"/>
    <w:rsid w:val="52A511EA"/>
    <w:rsid w:val="52C2517F"/>
    <w:rsid w:val="52C76625"/>
    <w:rsid w:val="52CF270B"/>
    <w:rsid w:val="52CF675E"/>
    <w:rsid w:val="52D95337"/>
    <w:rsid w:val="52E635B0"/>
    <w:rsid w:val="52F932E4"/>
    <w:rsid w:val="531C3C72"/>
    <w:rsid w:val="53310CD0"/>
    <w:rsid w:val="533E5903"/>
    <w:rsid w:val="53465874"/>
    <w:rsid w:val="53476745"/>
    <w:rsid w:val="53486019"/>
    <w:rsid w:val="535F3A8F"/>
    <w:rsid w:val="53634C01"/>
    <w:rsid w:val="53651597"/>
    <w:rsid w:val="5373753A"/>
    <w:rsid w:val="53754C75"/>
    <w:rsid w:val="53775035"/>
    <w:rsid w:val="53896CC2"/>
    <w:rsid w:val="538F3C48"/>
    <w:rsid w:val="53966D85"/>
    <w:rsid w:val="539D0113"/>
    <w:rsid w:val="53A039CC"/>
    <w:rsid w:val="53A1505A"/>
    <w:rsid w:val="53A45C15"/>
    <w:rsid w:val="53AC47FA"/>
    <w:rsid w:val="53AD1630"/>
    <w:rsid w:val="53B4545D"/>
    <w:rsid w:val="53B611D5"/>
    <w:rsid w:val="53BB1F02"/>
    <w:rsid w:val="53BF62DB"/>
    <w:rsid w:val="53C54323"/>
    <w:rsid w:val="53C658BC"/>
    <w:rsid w:val="53C9715A"/>
    <w:rsid w:val="53D5119E"/>
    <w:rsid w:val="53DD2C05"/>
    <w:rsid w:val="53E73A84"/>
    <w:rsid w:val="53EC4BF7"/>
    <w:rsid w:val="53FA37B7"/>
    <w:rsid w:val="53FB308C"/>
    <w:rsid w:val="53FD0BB2"/>
    <w:rsid w:val="53FF0DCE"/>
    <w:rsid w:val="54034DA9"/>
    <w:rsid w:val="54063E08"/>
    <w:rsid w:val="54063F0A"/>
    <w:rsid w:val="54232D0E"/>
    <w:rsid w:val="542B3971"/>
    <w:rsid w:val="542E3461"/>
    <w:rsid w:val="543437E8"/>
    <w:rsid w:val="543A0058"/>
    <w:rsid w:val="54422A68"/>
    <w:rsid w:val="54482775"/>
    <w:rsid w:val="5453505D"/>
    <w:rsid w:val="54594C92"/>
    <w:rsid w:val="54601EED"/>
    <w:rsid w:val="54686973"/>
    <w:rsid w:val="546917EB"/>
    <w:rsid w:val="546D471F"/>
    <w:rsid w:val="546D6779"/>
    <w:rsid w:val="54705828"/>
    <w:rsid w:val="547528A1"/>
    <w:rsid w:val="547F5A6B"/>
    <w:rsid w:val="5486329D"/>
    <w:rsid w:val="548D20BA"/>
    <w:rsid w:val="549239F0"/>
    <w:rsid w:val="54936E5E"/>
    <w:rsid w:val="54996B2C"/>
    <w:rsid w:val="549E5A67"/>
    <w:rsid w:val="54A11E85"/>
    <w:rsid w:val="54AB4AB2"/>
    <w:rsid w:val="54B74090"/>
    <w:rsid w:val="54BB2F47"/>
    <w:rsid w:val="54CD4A28"/>
    <w:rsid w:val="54D33514"/>
    <w:rsid w:val="54D45DB6"/>
    <w:rsid w:val="54D51413"/>
    <w:rsid w:val="54DA7145"/>
    <w:rsid w:val="54E16725"/>
    <w:rsid w:val="54E815D9"/>
    <w:rsid w:val="54ED50CA"/>
    <w:rsid w:val="54F73313"/>
    <w:rsid w:val="54F80955"/>
    <w:rsid w:val="54FC6198"/>
    <w:rsid w:val="55254496"/>
    <w:rsid w:val="55257E8B"/>
    <w:rsid w:val="55393E6B"/>
    <w:rsid w:val="554A152E"/>
    <w:rsid w:val="554B71F7"/>
    <w:rsid w:val="555170A7"/>
    <w:rsid w:val="5552317F"/>
    <w:rsid w:val="55616528"/>
    <w:rsid w:val="55794BB0"/>
    <w:rsid w:val="557E3F74"/>
    <w:rsid w:val="558273BD"/>
    <w:rsid w:val="5587536D"/>
    <w:rsid w:val="558F2703"/>
    <w:rsid w:val="559B174B"/>
    <w:rsid w:val="559F32C2"/>
    <w:rsid w:val="55A97243"/>
    <w:rsid w:val="55AA2FBB"/>
    <w:rsid w:val="55B654BC"/>
    <w:rsid w:val="55B856D8"/>
    <w:rsid w:val="55BA7732"/>
    <w:rsid w:val="55C54B71"/>
    <w:rsid w:val="55CA0F67"/>
    <w:rsid w:val="55CE0CF4"/>
    <w:rsid w:val="55D63DB0"/>
    <w:rsid w:val="55D77440"/>
    <w:rsid w:val="55DF2C65"/>
    <w:rsid w:val="55E42029"/>
    <w:rsid w:val="55E71B19"/>
    <w:rsid w:val="55E77D6B"/>
    <w:rsid w:val="55EE7D3F"/>
    <w:rsid w:val="5613290E"/>
    <w:rsid w:val="562543F0"/>
    <w:rsid w:val="562B40FC"/>
    <w:rsid w:val="564D4072"/>
    <w:rsid w:val="56533133"/>
    <w:rsid w:val="56547FB1"/>
    <w:rsid w:val="56614619"/>
    <w:rsid w:val="566E5D97"/>
    <w:rsid w:val="56705FB3"/>
    <w:rsid w:val="568461BA"/>
    <w:rsid w:val="568630E0"/>
    <w:rsid w:val="568B07E8"/>
    <w:rsid w:val="56AB2B47"/>
    <w:rsid w:val="56B22A9C"/>
    <w:rsid w:val="56C37E91"/>
    <w:rsid w:val="56C94192"/>
    <w:rsid w:val="56CC23A4"/>
    <w:rsid w:val="56D317FA"/>
    <w:rsid w:val="56DA167E"/>
    <w:rsid w:val="56DC6CA7"/>
    <w:rsid w:val="56E322E1"/>
    <w:rsid w:val="56EB5639"/>
    <w:rsid w:val="570566FB"/>
    <w:rsid w:val="5721105B"/>
    <w:rsid w:val="572648C3"/>
    <w:rsid w:val="572F3778"/>
    <w:rsid w:val="5732535A"/>
    <w:rsid w:val="57342B3C"/>
    <w:rsid w:val="573B1DAF"/>
    <w:rsid w:val="57430FD1"/>
    <w:rsid w:val="57437223"/>
    <w:rsid w:val="575907F5"/>
    <w:rsid w:val="575B27BF"/>
    <w:rsid w:val="575F436D"/>
    <w:rsid w:val="576158FB"/>
    <w:rsid w:val="57622B1D"/>
    <w:rsid w:val="576A47B0"/>
    <w:rsid w:val="57715B3F"/>
    <w:rsid w:val="57742DF8"/>
    <w:rsid w:val="577B4C0F"/>
    <w:rsid w:val="577F6FD5"/>
    <w:rsid w:val="578E42DB"/>
    <w:rsid w:val="579161E1"/>
    <w:rsid w:val="57917035"/>
    <w:rsid w:val="57995095"/>
    <w:rsid w:val="57B40121"/>
    <w:rsid w:val="57B679F5"/>
    <w:rsid w:val="57B72A76"/>
    <w:rsid w:val="57B7551B"/>
    <w:rsid w:val="57C3426C"/>
    <w:rsid w:val="57C93BCD"/>
    <w:rsid w:val="57CD4D3F"/>
    <w:rsid w:val="57CE1F93"/>
    <w:rsid w:val="57DF42DB"/>
    <w:rsid w:val="57F30C49"/>
    <w:rsid w:val="57F34422"/>
    <w:rsid w:val="58095D77"/>
    <w:rsid w:val="580D4040"/>
    <w:rsid w:val="580F7106"/>
    <w:rsid w:val="581A12F1"/>
    <w:rsid w:val="5829466B"/>
    <w:rsid w:val="582B2F67"/>
    <w:rsid w:val="582D6EF7"/>
    <w:rsid w:val="58385019"/>
    <w:rsid w:val="58533496"/>
    <w:rsid w:val="58542146"/>
    <w:rsid w:val="586438F5"/>
    <w:rsid w:val="587030F4"/>
    <w:rsid w:val="58767220"/>
    <w:rsid w:val="587A159C"/>
    <w:rsid w:val="588743D1"/>
    <w:rsid w:val="5887701A"/>
    <w:rsid w:val="58941B33"/>
    <w:rsid w:val="589A7317"/>
    <w:rsid w:val="58A5012D"/>
    <w:rsid w:val="58A60278"/>
    <w:rsid w:val="58B303D9"/>
    <w:rsid w:val="58B54921"/>
    <w:rsid w:val="58B941EE"/>
    <w:rsid w:val="58C83E84"/>
    <w:rsid w:val="58CE0D6F"/>
    <w:rsid w:val="58D2085F"/>
    <w:rsid w:val="58D42829"/>
    <w:rsid w:val="58DB7D73"/>
    <w:rsid w:val="58E40592"/>
    <w:rsid w:val="58F00CE5"/>
    <w:rsid w:val="58F53BAF"/>
    <w:rsid w:val="58FC71A2"/>
    <w:rsid w:val="59060509"/>
    <w:rsid w:val="5906675A"/>
    <w:rsid w:val="59084281"/>
    <w:rsid w:val="590B5B1F"/>
    <w:rsid w:val="591A3FB4"/>
    <w:rsid w:val="592B4413"/>
    <w:rsid w:val="592F7A5F"/>
    <w:rsid w:val="59313BB9"/>
    <w:rsid w:val="5936414C"/>
    <w:rsid w:val="593651C5"/>
    <w:rsid w:val="593A6404"/>
    <w:rsid w:val="593C2FD0"/>
    <w:rsid w:val="59486D73"/>
    <w:rsid w:val="594B23BF"/>
    <w:rsid w:val="594C6863"/>
    <w:rsid w:val="59551F75"/>
    <w:rsid w:val="59575208"/>
    <w:rsid w:val="59592D2E"/>
    <w:rsid w:val="595C45CC"/>
    <w:rsid w:val="597C07CB"/>
    <w:rsid w:val="5980650D"/>
    <w:rsid w:val="598740E7"/>
    <w:rsid w:val="59875AED"/>
    <w:rsid w:val="598C4EB2"/>
    <w:rsid w:val="59906C9E"/>
    <w:rsid w:val="599B6EA3"/>
    <w:rsid w:val="59A044B9"/>
    <w:rsid w:val="59B12B6A"/>
    <w:rsid w:val="59B14918"/>
    <w:rsid w:val="59C0439F"/>
    <w:rsid w:val="59C7339D"/>
    <w:rsid w:val="59D357AF"/>
    <w:rsid w:val="5A03446F"/>
    <w:rsid w:val="5A0E58C7"/>
    <w:rsid w:val="5A1D1FAE"/>
    <w:rsid w:val="5A1E63E3"/>
    <w:rsid w:val="5A25041F"/>
    <w:rsid w:val="5A33357F"/>
    <w:rsid w:val="5A3F354B"/>
    <w:rsid w:val="5A4968FF"/>
    <w:rsid w:val="5A4D76B3"/>
    <w:rsid w:val="5A5C1991"/>
    <w:rsid w:val="5A7871E4"/>
    <w:rsid w:val="5A7B6CD4"/>
    <w:rsid w:val="5A7F67C4"/>
    <w:rsid w:val="5A885450"/>
    <w:rsid w:val="5A8E2EAB"/>
    <w:rsid w:val="5A904CCA"/>
    <w:rsid w:val="5A93303B"/>
    <w:rsid w:val="5A9A1850"/>
    <w:rsid w:val="5AA12BDF"/>
    <w:rsid w:val="5AA4447D"/>
    <w:rsid w:val="5AA52780"/>
    <w:rsid w:val="5AAD1584"/>
    <w:rsid w:val="5AB51603"/>
    <w:rsid w:val="5ABA77FD"/>
    <w:rsid w:val="5ABD553F"/>
    <w:rsid w:val="5ABE2233"/>
    <w:rsid w:val="5AFF7905"/>
    <w:rsid w:val="5B073D71"/>
    <w:rsid w:val="5B0D2022"/>
    <w:rsid w:val="5B1C2265"/>
    <w:rsid w:val="5B382564"/>
    <w:rsid w:val="5B3E2838"/>
    <w:rsid w:val="5B4517BC"/>
    <w:rsid w:val="5B4A5024"/>
    <w:rsid w:val="5B5437AD"/>
    <w:rsid w:val="5B604972"/>
    <w:rsid w:val="5B690172"/>
    <w:rsid w:val="5B6D0D13"/>
    <w:rsid w:val="5B7025B1"/>
    <w:rsid w:val="5B790010"/>
    <w:rsid w:val="5B991B08"/>
    <w:rsid w:val="5BB26726"/>
    <w:rsid w:val="5BC00E43"/>
    <w:rsid w:val="5BC621D1"/>
    <w:rsid w:val="5BCF72D8"/>
    <w:rsid w:val="5BD07B22"/>
    <w:rsid w:val="5BDD7C46"/>
    <w:rsid w:val="5BDF5D95"/>
    <w:rsid w:val="5BE25DF4"/>
    <w:rsid w:val="5BE32D83"/>
    <w:rsid w:val="5BE74621"/>
    <w:rsid w:val="5BEA0A56"/>
    <w:rsid w:val="5BED59B0"/>
    <w:rsid w:val="5BFE7528"/>
    <w:rsid w:val="5C11169E"/>
    <w:rsid w:val="5C1E0247"/>
    <w:rsid w:val="5C1E3DBB"/>
    <w:rsid w:val="5C25339C"/>
    <w:rsid w:val="5C2F7D76"/>
    <w:rsid w:val="5C332900"/>
    <w:rsid w:val="5C367357"/>
    <w:rsid w:val="5C3B671B"/>
    <w:rsid w:val="5C3D06E5"/>
    <w:rsid w:val="5C402BE9"/>
    <w:rsid w:val="5C406DCD"/>
    <w:rsid w:val="5C4849EC"/>
    <w:rsid w:val="5C4E46A0"/>
    <w:rsid w:val="5C545A2F"/>
    <w:rsid w:val="5C58551F"/>
    <w:rsid w:val="5C5A5EA9"/>
    <w:rsid w:val="5C6A7000"/>
    <w:rsid w:val="5C8400C2"/>
    <w:rsid w:val="5C974299"/>
    <w:rsid w:val="5CA2679A"/>
    <w:rsid w:val="5CB0535B"/>
    <w:rsid w:val="5CD01559"/>
    <w:rsid w:val="5CD02861"/>
    <w:rsid w:val="5CDA23D8"/>
    <w:rsid w:val="5CE9261B"/>
    <w:rsid w:val="5CEA79D0"/>
    <w:rsid w:val="5CEE7C31"/>
    <w:rsid w:val="5CF7080A"/>
    <w:rsid w:val="5CFC234E"/>
    <w:rsid w:val="5D047455"/>
    <w:rsid w:val="5D123920"/>
    <w:rsid w:val="5D137116"/>
    <w:rsid w:val="5D137698"/>
    <w:rsid w:val="5D1C06B0"/>
    <w:rsid w:val="5D216D5B"/>
    <w:rsid w:val="5D311EF2"/>
    <w:rsid w:val="5D351CF6"/>
    <w:rsid w:val="5D521F6E"/>
    <w:rsid w:val="5D5977A1"/>
    <w:rsid w:val="5D656145"/>
    <w:rsid w:val="5D6677C8"/>
    <w:rsid w:val="5D681792"/>
    <w:rsid w:val="5D75460F"/>
    <w:rsid w:val="5D7C6FEB"/>
    <w:rsid w:val="5D7C705D"/>
    <w:rsid w:val="5D7E7207"/>
    <w:rsid w:val="5D845EA0"/>
    <w:rsid w:val="5D881E34"/>
    <w:rsid w:val="5D8B36D2"/>
    <w:rsid w:val="5D8D11F8"/>
    <w:rsid w:val="5D9407D9"/>
    <w:rsid w:val="5D972077"/>
    <w:rsid w:val="5D9E1657"/>
    <w:rsid w:val="5DA84284"/>
    <w:rsid w:val="5DAD3649"/>
    <w:rsid w:val="5DB27156"/>
    <w:rsid w:val="5DB42C29"/>
    <w:rsid w:val="5DC7295C"/>
    <w:rsid w:val="5DCA41FA"/>
    <w:rsid w:val="5DE17E5C"/>
    <w:rsid w:val="5DEF3C61"/>
    <w:rsid w:val="5DF35FE0"/>
    <w:rsid w:val="5DF66D9E"/>
    <w:rsid w:val="5DF9688E"/>
    <w:rsid w:val="5E046F65"/>
    <w:rsid w:val="5E062D59"/>
    <w:rsid w:val="5E0A0A9B"/>
    <w:rsid w:val="5E0C4813"/>
    <w:rsid w:val="5E0E058B"/>
    <w:rsid w:val="5E127950"/>
    <w:rsid w:val="5E224037"/>
    <w:rsid w:val="5E2467F1"/>
    <w:rsid w:val="5E257B82"/>
    <w:rsid w:val="5E2631D3"/>
    <w:rsid w:val="5E2E29DB"/>
    <w:rsid w:val="5E453881"/>
    <w:rsid w:val="5E4A533B"/>
    <w:rsid w:val="5E510478"/>
    <w:rsid w:val="5E59732C"/>
    <w:rsid w:val="5E6229AB"/>
    <w:rsid w:val="5E624433"/>
    <w:rsid w:val="5E6F08FE"/>
    <w:rsid w:val="5E712E27"/>
    <w:rsid w:val="5E714676"/>
    <w:rsid w:val="5E783C56"/>
    <w:rsid w:val="5E8545C5"/>
    <w:rsid w:val="5EA30896"/>
    <w:rsid w:val="5EA54320"/>
    <w:rsid w:val="5EB07734"/>
    <w:rsid w:val="5EB56E09"/>
    <w:rsid w:val="5EBF1885"/>
    <w:rsid w:val="5EBF3633"/>
    <w:rsid w:val="5EC155FD"/>
    <w:rsid w:val="5EC21376"/>
    <w:rsid w:val="5EC3465A"/>
    <w:rsid w:val="5ECA3D86"/>
    <w:rsid w:val="5ED05841"/>
    <w:rsid w:val="5EDB0130"/>
    <w:rsid w:val="5EEC687E"/>
    <w:rsid w:val="5EF04F17"/>
    <w:rsid w:val="5EF05EE3"/>
    <w:rsid w:val="5EF64B7B"/>
    <w:rsid w:val="5EFF1C82"/>
    <w:rsid w:val="5F117C07"/>
    <w:rsid w:val="5F1A2B43"/>
    <w:rsid w:val="5F1C1A53"/>
    <w:rsid w:val="5F1D47FE"/>
    <w:rsid w:val="5F2143CC"/>
    <w:rsid w:val="5F327440"/>
    <w:rsid w:val="5F4268F6"/>
    <w:rsid w:val="5F49114F"/>
    <w:rsid w:val="5F555D46"/>
    <w:rsid w:val="5F6917F1"/>
    <w:rsid w:val="5F6D12E1"/>
    <w:rsid w:val="5F7621AD"/>
    <w:rsid w:val="5F8403D9"/>
    <w:rsid w:val="5F886B0F"/>
    <w:rsid w:val="5F886E4E"/>
    <w:rsid w:val="5F8A1E93"/>
    <w:rsid w:val="5F93061C"/>
    <w:rsid w:val="5F985C9E"/>
    <w:rsid w:val="5F9C0B86"/>
    <w:rsid w:val="5FB76A00"/>
    <w:rsid w:val="5FB837BB"/>
    <w:rsid w:val="5FBC4017"/>
    <w:rsid w:val="5FC112F5"/>
    <w:rsid w:val="5FCF3D4A"/>
    <w:rsid w:val="5FD46887"/>
    <w:rsid w:val="5FE1582B"/>
    <w:rsid w:val="5FFA069B"/>
    <w:rsid w:val="60016686"/>
    <w:rsid w:val="60025854"/>
    <w:rsid w:val="6017749F"/>
    <w:rsid w:val="604858AA"/>
    <w:rsid w:val="6057789C"/>
    <w:rsid w:val="605A37C5"/>
    <w:rsid w:val="605F2A35"/>
    <w:rsid w:val="60651FB9"/>
    <w:rsid w:val="60761600"/>
    <w:rsid w:val="60786190"/>
    <w:rsid w:val="60885CA7"/>
    <w:rsid w:val="60940420"/>
    <w:rsid w:val="60AF76D8"/>
    <w:rsid w:val="60B46A9C"/>
    <w:rsid w:val="60CC405A"/>
    <w:rsid w:val="60D1764E"/>
    <w:rsid w:val="60D41DC6"/>
    <w:rsid w:val="60DA55C8"/>
    <w:rsid w:val="60DB29F2"/>
    <w:rsid w:val="60E14BC2"/>
    <w:rsid w:val="60EE1920"/>
    <w:rsid w:val="60F368EE"/>
    <w:rsid w:val="60F63558"/>
    <w:rsid w:val="60FF41BB"/>
    <w:rsid w:val="610619ED"/>
    <w:rsid w:val="610D3D77"/>
    <w:rsid w:val="611C318D"/>
    <w:rsid w:val="6127483A"/>
    <w:rsid w:val="613227E3"/>
    <w:rsid w:val="613E4078"/>
    <w:rsid w:val="615F4C5A"/>
    <w:rsid w:val="6162299C"/>
    <w:rsid w:val="61677FB2"/>
    <w:rsid w:val="61751B5A"/>
    <w:rsid w:val="61776447"/>
    <w:rsid w:val="617F70AA"/>
    <w:rsid w:val="618A72C2"/>
    <w:rsid w:val="61A35B4E"/>
    <w:rsid w:val="61AD00BB"/>
    <w:rsid w:val="61B50A88"/>
    <w:rsid w:val="61BE5E24"/>
    <w:rsid w:val="61BE6C8E"/>
    <w:rsid w:val="61C5373C"/>
    <w:rsid w:val="61C77A59"/>
    <w:rsid w:val="61CB28D4"/>
    <w:rsid w:val="61CC4D14"/>
    <w:rsid w:val="61CF0031"/>
    <w:rsid w:val="61D34931"/>
    <w:rsid w:val="61D42B7D"/>
    <w:rsid w:val="61D60EBA"/>
    <w:rsid w:val="61D65BD0"/>
    <w:rsid w:val="61D8229A"/>
    <w:rsid w:val="61DF5D9B"/>
    <w:rsid w:val="61E03A07"/>
    <w:rsid w:val="61E215D8"/>
    <w:rsid w:val="61E6537B"/>
    <w:rsid w:val="61EF4230"/>
    <w:rsid w:val="61F24C59"/>
    <w:rsid w:val="62083543"/>
    <w:rsid w:val="621243C2"/>
    <w:rsid w:val="621B3775"/>
    <w:rsid w:val="62287742"/>
    <w:rsid w:val="62351803"/>
    <w:rsid w:val="62364782"/>
    <w:rsid w:val="624B3430"/>
    <w:rsid w:val="62583C23"/>
    <w:rsid w:val="62600C89"/>
    <w:rsid w:val="62683FE2"/>
    <w:rsid w:val="626A7D5A"/>
    <w:rsid w:val="626B407F"/>
    <w:rsid w:val="626E0EFA"/>
    <w:rsid w:val="62753050"/>
    <w:rsid w:val="628506F0"/>
    <w:rsid w:val="628F77C1"/>
    <w:rsid w:val="62935F75"/>
    <w:rsid w:val="62946638"/>
    <w:rsid w:val="62966DA1"/>
    <w:rsid w:val="62A414BE"/>
    <w:rsid w:val="62A42440"/>
    <w:rsid w:val="62A52B40"/>
    <w:rsid w:val="62AF1C11"/>
    <w:rsid w:val="62B31701"/>
    <w:rsid w:val="62B80AC5"/>
    <w:rsid w:val="62C10D97"/>
    <w:rsid w:val="62CA6A4B"/>
    <w:rsid w:val="62CD0900"/>
    <w:rsid w:val="62D81168"/>
    <w:rsid w:val="62DC7155"/>
    <w:rsid w:val="62E23D94"/>
    <w:rsid w:val="62E55633"/>
    <w:rsid w:val="62EF200D"/>
    <w:rsid w:val="62F1595F"/>
    <w:rsid w:val="62F63747"/>
    <w:rsid w:val="63155EC1"/>
    <w:rsid w:val="63185752"/>
    <w:rsid w:val="631D64CA"/>
    <w:rsid w:val="632402DC"/>
    <w:rsid w:val="63332842"/>
    <w:rsid w:val="63383735"/>
    <w:rsid w:val="633B5253"/>
    <w:rsid w:val="633F5C78"/>
    <w:rsid w:val="6343591C"/>
    <w:rsid w:val="63462575"/>
    <w:rsid w:val="63497970"/>
    <w:rsid w:val="63520F1A"/>
    <w:rsid w:val="63626C83"/>
    <w:rsid w:val="63640C4D"/>
    <w:rsid w:val="6365799D"/>
    <w:rsid w:val="63680A1B"/>
    <w:rsid w:val="63690012"/>
    <w:rsid w:val="636E387A"/>
    <w:rsid w:val="637013A0"/>
    <w:rsid w:val="63715118"/>
    <w:rsid w:val="637F3391"/>
    <w:rsid w:val="638210D3"/>
    <w:rsid w:val="63846BFA"/>
    <w:rsid w:val="6394356A"/>
    <w:rsid w:val="63A177AC"/>
    <w:rsid w:val="63BF7C32"/>
    <w:rsid w:val="63C61B2C"/>
    <w:rsid w:val="63CE043C"/>
    <w:rsid w:val="63D40BE9"/>
    <w:rsid w:val="63D71AC2"/>
    <w:rsid w:val="63DC4C88"/>
    <w:rsid w:val="63DD18F8"/>
    <w:rsid w:val="63E34D49"/>
    <w:rsid w:val="63E4781B"/>
    <w:rsid w:val="63FE598D"/>
    <w:rsid w:val="64102431"/>
    <w:rsid w:val="64195594"/>
    <w:rsid w:val="641C32D6"/>
    <w:rsid w:val="641C6E32"/>
    <w:rsid w:val="642746F9"/>
    <w:rsid w:val="64292D2B"/>
    <w:rsid w:val="642A77A1"/>
    <w:rsid w:val="64483DF3"/>
    <w:rsid w:val="644D16E1"/>
    <w:rsid w:val="64540CC2"/>
    <w:rsid w:val="645652F4"/>
    <w:rsid w:val="64616F3B"/>
    <w:rsid w:val="64686C1E"/>
    <w:rsid w:val="646F12A4"/>
    <w:rsid w:val="6473056F"/>
    <w:rsid w:val="64795BE2"/>
    <w:rsid w:val="647A1DAB"/>
    <w:rsid w:val="647D665C"/>
    <w:rsid w:val="64801AB7"/>
    <w:rsid w:val="6484176C"/>
    <w:rsid w:val="64A5243A"/>
    <w:rsid w:val="64A84EE1"/>
    <w:rsid w:val="64AA2690"/>
    <w:rsid w:val="64B13A1E"/>
    <w:rsid w:val="64B27796"/>
    <w:rsid w:val="64B90B25"/>
    <w:rsid w:val="64CD637E"/>
    <w:rsid w:val="64DD4813"/>
    <w:rsid w:val="64F531DE"/>
    <w:rsid w:val="64F8789F"/>
    <w:rsid w:val="64FB738F"/>
    <w:rsid w:val="65026BA0"/>
    <w:rsid w:val="65085608"/>
    <w:rsid w:val="65222B6E"/>
    <w:rsid w:val="652369ED"/>
    <w:rsid w:val="65242442"/>
    <w:rsid w:val="65373578"/>
    <w:rsid w:val="653F727C"/>
    <w:rsid w:val="65426D6C"/>
    <w:rsid w:val="65486BA8"/>
    <w:rsid w:val="65541F08"/>
    <w:rsid w:val="655448ED"/>
    <w:rsid w:val="655C2B7E"/>
    <w:rsid w:val="6563794C"/>
    <w:rsid w:val="656416AF"/>
    <w:rsid w:val="65674A25"/>
    <w:rsid w:val="657F1125"/>
    <w:rsid w:val="65815AE7"/>
    <w:rsid w:val="65A25A5D"/>
    <w:rsid w:val="65A76BCF"/>
    <w:rsid w:val="65B32646"/>
    <w:rsid w:val="65B80DDC"/>
    <w:rsid w:val="65C14135"/>
    <w:rsid w:val="65CB1FFF"/>
    <w:rsid w:val="65CE5C0F"/>
    <w:rsid w:val="65D009D5"/>
    <w:rsid w:val="65D57BE0"/>
    <w:rsid w:val="65D976D1"/>
    <w:rsid w:val="65DE3D13"/>
    <w:rsid w:val="65E120E1"/>
    <w:rsid w:val="65E14D38"/>
    <w:rsid w:val="65E971E8"/>
    <w:rsid w:val="65F00576"/>
    <w:rsid w:val="65FC516D"/>
    <w:rsid w:val="65FD6839"/>
    <w:rsid w:val="65FE21FE"/>
    <w:rsid w:val="660202AA"/>
    <w:rsid w:val="66061B48"/>
    <w:rsid w:val="660758C0"/>
    <w:rsid w:val="66084FCA"/>
    <w:rsid w:val="66100C18"/>
    <w:rsid w:val="66304E17"/>
    <w:rsid w:val="66344907"/>
    <w:rsid w:val="6648319B"/>
    <w:rsid w:val="664A237C"/>
    <w:rsid w:val="66524D8D"/>
    <w:rsid w:val="665C3E5E"/>
    <w:rsid w:val="665F1585"/>
    <w:rsid w:val="66613230"/>
    <w:rsid w:val="66650F64"/>
    <w:rsid w:val="666A4179"/>
    <w:rsid w:val="667271DD"/>
    <w:rsid w:val="667C0E60"/>
    <w:rsid w:val="668138C4"/>
    <w:rsid w:val="668F7D8F"/>
    <w:rsid w:val="66931542"/>
    <w:rsid w:val="66961C35"/>
    <w:rsid w:val="669C425A"/>
    <w:rsid w:val="66A75514"/>
    <w:rsid w:val="66BE7004"/>
    <w:rsid w:val="66D835B8"/>
    <w:rsid w:val="66DA6DFB"/>
    <w:rsid w:val="66DB1226"/>
    <w:rsid w:val="66E04A8F"/>
    <w:rsid w:val="66EC3434"/>
    <w:rsid w:val="66F422E8"/>
    <w:rsid w:val="66F83B86"/>
    <w:rsid w:val="66FE6CC3"/>
    <w:rsid w:val="67025810"/>
    <w:rsid w:val="670D3341"/>
    <w:rsid w:val="670D6F06"/>
    <w:rsid w:val="67180307"/>
    <w:rsid w:val="671F124A"/>
    <w:rsid w:val="672030DD"/>
    <w:rsid w:val="672D1356"/>
    <w:rsid w:val="673426E5"/>
    <w:rsid w:val="673E54E3"/>
    <w:rsid w:val="674072DB"/>
    <w:rsid w:val="67420379"/>
    <w:rsid w:val="67492634"/>
    <w:rsid w:val="675277A5"/>
    <w:rsid w:val="67550FD9"/>
    <w:rsid w:val="67591430"/>
    <w:rsid w:val="676254A4"/>
    <w:rsid w:val="67737541"/>
    <w:rsid w:val="677A33C6"/>
    <w:rsid w:val="677B47B7"/>
    <w:rsid w:val="677F6056"/>
    <w:rsid w:val="678A67A9"/>
    <w:rsid w:val="678D415B"/>
    <w:rsid w:val="67931B01"/>
    <w:rsid w:val="679C6C08"/>
    <w:rsid w:val="67A535E2"/>
    <w:rsid w:val="67BA0E3C"/>
    <w:rsid w:val="67BC2E06"/>
    <w:rsid w:val="67BD26DA"/>
    <w:rsid w:val="67BD6B7E"/>
    <w:rsid w:val="67D001FB"/>
    <w:rsid w:val="67D92B32"/>
    <w:rsid w:val="67DD718C"/>
    <w:rsid w:val="67DE3DFC"/>
    <w:rsid w:val="67E3058E"/>
    <w:rsid w:val="67E552CA"/>
    <w:rsid w:val="67EF7AB2"/>
    <w:rsid w:val="67F40D86"/>
    <w:rsid w:val="67F87BB6"/>
    <w:rsid w:val="68185DB0"/>
    <w:rsid w:val="681F6961"/>
    <w:rsid w:val="682558F8"/>
    <w:rsid w:val="68266265"/>
    <w:rsid w:val="68273FF7"/>
    <w:rsid w:val="68297D70"/>
    <w:rsid w:val="682D57D9"/>
    <w:rsid w:val="685079F2"/>
    <w:rsid w:val="685F2C1C"/>
    <w:rsid w:val="68610A2F"/>
    <w:rsid w:val="68664B20"/>
    <w:rsid w:val="687234C5"/>
    <w:rsid w:val="687950F0"/>
    <w:rsid w:val="687C4343"/>
    <w:rsid w:val="68805514"/>
    <w:rsid w:val="6884144A"/>
    <w:rsid w:val="688B27D8"/>
    <w:rsid w:val="68906041"/>
    <w:rsid w:val="68B47F81"/>
    <w:rsid w:val="68C006D4"/>
    <w:rsid w:val="68C06926"/>
    <w:rsid w:val="68C55CEA"/>
    <w:rsid w:val="68CB194B"/>
    <w:rsid w:val="68CC7EF7"/>
    <w:rsid w:val="68D128E1"/>
    <w:rsid w:val="68D8137E"/>
    <w:rsid w:val="68DA18F3"/>
    <w:rsid w:val="68DC3034"/>
    <w:rsid w:val="68E63EB3"/>
    <w:rsid w:val="68F260D2"/>
    <w:rsid w:val="68F4037D"/>
    <w:rsid w:val="69057727"/>
    <w:rsid w:val="690E58E3"/>
    <w:rsid w:val="691722BE"/>
    <w:rsid w:val="691D5B26"/>
    <w:rsid w:val="692B2FA9"/>
    <w:rsid w:val="692C7B17"/>
    <w:rsid w:val="69316E2F"/>
    <w:rsid w:val="69351623"/>
    <w:rsid w:val="69357B65"/>
    <w:rsid w:val="693B477C"/>
    <w:rsid w:val="694E2071"/>
    <w:rsid w:val="694E2184"/>
    <w:rsid w:val="69523240"/>
    <w:rsid w:val="69561038"/>
    <w:rsid w:val="69605334"/>
    <w:rsid w:val="69670B4F"/>
    <w:rsid w:val="69766163"/>
    <w:rsid w:val="69767E03"/>
    <w:rsid w:val="697A3B33"/>
    <w:rsid w:val="698F3582"/>
    <w:rsid w:val="69912070"/>
    <w:rsid w:val="6998102F"/>
    <w:rsid w:val="69A27DD9"/>
    <w:rsid w:val="69A47FF6"/>
    <w:rsid w:val="69A73642"/>
    <w:rsid w:val="69A7779B"/>
    <w:rsid w:val="69B33D95"/>
    <w:rsid w:val="69BB569B"/>
    <w:rsid w:val="69CA10DE"/>
    <w:rsid w:val="69CB2581"/>
    <w:rsid w:val="69D34437"/>
    <w:rsid w:val="69D44760"/>
    <w:rsid w:val="69D87C9F"/>
    <w:rsid w:val="69F66377"/>
    <w:rsid w:val="69FD14B4"/>
    <w:rsid w:val="6A0D2E83"/>
    <w:rsid w:val="6A1D3904"/>
    <w:rsid w:val="6A20674B"/>
    <w:rsid w:val="6A256711"/>
    <w:rsid w:val="6A3053E5"/>
    <w:rsid w:val="6A520EC7"/>
    <w:rsid w:val="6A521800"/>
    <w:rsid w:val="6A641533"/>
    <w:rsid w:val="6A6B466F"/>
    <w:rsid w:val="6A6D4BC2"/>
    <w:rsid w:val="6A6D6639"/>
    <w:rsid w:val="6A6F6F91"/>
    <w:rsid w:val="6A77189D"/>
    <w:rsid w:val="6A7E0847"/>
    <w:rsid w:val="6A8676FB"/>
    <w:rsid w:val="6A871BB1"/>
    <w:rsid w:val="6A8B6AC0"/>
    <w:rsid w:val="6A8D10A3"/>
    <w:rsid w:val="6A9214C7"/>
    <w:rsid w:val="6A9260A0"/>
    <w:rsid w:val="6A94006A"/>
    <w:rsid w:val="6A95793E"/>
    <w:rsid w:val="6A9728CC"/>
    <w:rsid w:val="6AAE5967"/>
    <w:rsid w:val="6ABA577E"/>
    <w:rsid w:val="6ABE60ED"/>
    <w:rsid w:val="6AC077D3"/>
    <w:rsid w:val="6ADF1441"/>
    <w:rsid w:val="6AE461D0"/>
    <w:rsid w:val="6AF87E20"/>
    <w:rsid w:val="6AFE79EB"/>
    <w:rsid w:val="6B014FD4"/>
    <w:rsid w:val="6B0515DD"/>
    <w:rsid w:val="6B1740D0"/>
    <w:rsid w:val="6B2A277C"/>
    <w:rsid w:val="6B2E73DA"/>
    <w:rsid w:val="6B315C72"/>
    <w:rsid w:val="6B322639"/>
    <w:rsid w:val="6B3453A9"/>
    <w:rsid w:val="6B480E55"/>
    <w:rsid w:val="6B5275DD"/>
    <w:rsid w:val="6B621F16"/>
    <w:rsid w:val="6B656AB7"/>
    <w:rsid w:val="6B754B9B"/>
    <w:rsid w:val="6B8724E9"/>
    <w:rsid w:val="6B87372B"/>
    <w:rsid w:val="6B9A16B0"/>
    <w:rsid w:val="6B9D1804"/>
    <w:rsid w:val="6BA240C1"/>
    <w:rsid w:val="6BAA566B"/>
    <w:rsid w:val="6BB12556"/>
    <w:rsid w:val="6BC32289"/>
    <w:rsid w:val="6BDB3A77"/>
    <w:rsid w:val="6BDD159D"/>
    <w:rsid w:val="6BF40694"/>
    <w:rsid w:val="6BFA1294"/>
    <w:rsid w:val="6C07486C"/>
    <w:rsid w:val="6C256AA0"/>
    <w:rsid w:val="6C375151"/>
    <w:rsid w:val="6C382C77"/>
    <w:rsid w:val="6C4B29AA"/>
    <w:rsid w:val="6C53185F"/>
    <w:rsid w:val="6C557385"/>
    <w:rsid w:val="6C5654B9"/>
    <w:rsid w:val="6C5D26DE"/>
    <w:rsid w:val="6C5F6456"/>
    <w:rsid w:val="6C612338"/>
    <w:rsid w:val="6C613F7C"/>
    <w:rsid w:val="6C627CF4"/>
    <w:rsid w:val="6C636C38"/>
    <w:rsid w:val="6C726189"/>
    <w:rsid w:val="6C77554D"/>
    <w:rsid w:val="6C7F2654"/>
    <w:rsid w:val="6C891725"/>
    <w:rsid w:val="6CAE6A95"/>
    <w:rsid w:val="6CB07FC4"/>
    <w:rsid w:val="6CB322FE"/>
    <w:rsid w:val="6CB73B9C"/>
    <w:rsid w:val="6CBA7B30"/>
    <w:rsid w:val="6CC664D5"/>
    <w:rsid w:val="6CCA09D7"/>
    <w:rsid w:val="6CCC26D3"/>
    <w:rsid w:val="6CD72490"/>
    <w:rsid w:val="6CDC7AA6"/>
    <w:rsid w:val="6CE54F3B"/>
    <w:rsid w:val="6CF50B68"/>
    <w:rsid w:val="6CFF5543"/>
    <w:rsid w:val="6D064B23"/>
    <w:rsid w:val="6D1350F1"/>
    <w:rsid w:val="6D1C60F5"/>
    <w:rsid w:val="6D1F1741"/>
    <w:rsid w:val="6D284A9A"/>
    <w:rsid w:val="6D424843"/>
    <w:rsid w:val="6D490760"/>
    <w:rsid w:val="6D747CDF"/>
    <w:rsid w:val="6D763A57"/>
    <w:rsid w:val="6D905835"/>
    <w:rsid w:val="6D9B526C"/>
    <w:rsid w:val="6D9E4D5C"/>
    <w:rsid w:val="6DA5433C"/>
    <w:rsid w:val="6DAC1227"/>
    <w:rsid w:val="6DB126BF"/>
    <w:rsid w:val="6DB34098"/>
    <w:rsid w:val="6DB545B6"/>
    <w:rsid w:val="6DC10AC9"/>
    <w:rsid w:val="6DC5678C"/>
    <w:rsid w:val="6DC63D25"/>
    <w:rsid w:val="6DCC18C9"/>
    <w:rsid w:val="6DDB7D5E"/>
    <w:rsid w:val="6DDD7632"/>
    <w:rsid w:val="6DE02FB4"/>
    <w:rsid w:val="6DE035C6"/>
    <w:rsid w:val="6DE06535"/>
    <w:rsid w:val="6DE07122"/>
    <w:rsid w:val="6DE76703"/>
    <w:rsid w:val="6DE85EF6"/>
    <w:rsid w:val="6DED3C17"/>
    <w:rsid w:val="6E024C16"/>
    <w:rsid w:val="6E095A12"/>
    <w:rsid w:val="6E162CDF"/>
    <w:rsid w:val="6E1B63AC"/>
    <w:rsid w:val="6E1D2124"/>
    <w:rsid w:val="6E3631E6"/>
    <w:rsid w:val="6E4E22DE"/>
    <w:rsid w:val="6E5024FA"/>
    <w:rsid w:val="6E514CED"/>
    <w:rsid w:val="6E5673E4"/>
    <w:rsid w:val="6E617E47"/>
    <w:rsid w:val="6E630780"/>
    <w:rsid w:val="6E6E6BDC"/>
    <w:rsid w:val="6E731D44"/>
    <w:rsid w:val="6E846FB1"/>
    <w:rsid w:val="6EB563D5"/>
    <w:rsid w:val="6EBA00D3"/>
    <w:rsid w:val="6EBA5BC5"/>
    <w:rsid w:val="6EC34E2E"/>
    <w:rsid w:val="6EC66318"/>
    <w:rsid w:val="6ED0363B"/>
    <w:rsid w:val="6ED722D3"/>
    <w:rsid w:val="6ED742C8"/>
    <w:rsid w:val="6ED92677"/>
    <w:rsid w:val="6EE94E6C"/>
    <w:rsid w:val="6EF74724"/>
    <w:rsid w:val="6EF90D74"/>
    <w:rsid w:val="6EFD5AB2"/>
    <w:rsid w:val="6EFF182A"/>
    <w:rsid w:val="6F196D90"/>
    <w:rsid w:val="6F225983"/>
    <w:rsid w:val="6F241291"/>
    <w:rsid w:val="6F286FD3"/>
    <w:rsid w:val="6F2B0871"/>
    <w:rsid w:val="6F370FC4"/>
    <w:rsid w:val="6F5F0025"/>
    <w:rsid w:val="6F6B4CE0"/>
    <w:rsid w:val="6F771D08"/>
    <w:rsid w:val="6F7C2E7B"/>
    <w:rsid w:val="6F857F81"/>
    <w:rsid w:val="6F8D6E36"/>
    <w:rsid w:val="6F9D176F"/>
    <w:rsid w:val="6F9E717D"/>
    <w:rsid w:val="6FB95E7D"/>
    <w:rsid w:val="6FC34F4E"/>
    <w:rsid w:val="6FC8603C"/>
    <w:rsid w:val="6FD827A7"/>
    <w:rsid w:val="6FE54EC4"/>
    <w:rsid w:val="6FE729EA"/>
    <w:rsid w:val="6FED5B27"/>
    <w:rsid w:val="6FF306D9"/>
    <w:rsid w:val="6FF9096F"/>
    <w:rsid w:val="6FFC5590"/>
    <w:rsid w:val="70065217"/>
    <w:rsid w:val="700B1AE0"/>
    <w:rsid w:val="701213DD"/>
    <w:rsid w:val="701B2168"/>
    <w:rsid w:val="701B2694"/>
    <w:rsid w:val="70231548"/>
    <w:rsid w:val="70267DB3"/>
    <w:rsid w:val="70271038"/>
    <w:rsid w:val="702C664F"/>
    <w:rsid w:val="703B0F88"/>
    <w:rsid w:val="705B5186"/>
    <w:rsid w:val="70626712"/>
    <w:rsid w:val="706978A3"/>
    <w:rsid w:val="706D1DD0"/>
    <w:rsid w:val="70716758"/>
    <w:rsid w:val="70741DA4"/>
    <w:rsid w:val="707D1758"/>
    <w:rsid w:val="707F2C23"/>
    <w:rsid w:val="70856B87"/>
    <w:rsid w:val="70871C21"/>
    <w:rsid w:val="70893AA1"/>
    <w:rsid w:val="709B37D5"/>
    <w:rsid w:val="709D58A7"/>
    <w:rsid w:val="70A02B99"/>
    <w:rsid w:val="70A61026"/>
    <w:rsid w:val="70A91318"/>
    <w:rsid w:val="70A97C9F"/>
    <w:rsid w:val="70B825D8"/>
    <w:rsid w:val="70BA00FF"/>
    <w:rsid w:val="70BE1B2A"/>
    <w:rsid w:val="70C04FE9"/>
    <w:rsid w:val="70C744C4"/>
    <w:rsid w:val="70CB5E68"/>
    <w:rsid w:val="70D527EE"/>
    <w:rsid w:val="70EB27F8"/>
    <w:rsid w:val="70EE7DA8"/>
    <w:rsid w:val="70F52EE5"/>
    <w:rsid w:val="70F80C27"/>
    <w:rsid w:val="70FA2ADD"/>
    <w:rsid w:val="71080E6A"/>
    <w:rsid w:val="71083D57"/>
    <w:rsid w:val="710A0403"/>
    <w:rsid w:val="71107D1F"/>
    <w:rsid w:val="712C5429"/>
    <w:rsid w:val="7130216F"/>
    <w:rsid w:val="713952F0"/>
    <w:rsid w:val="713F5CFA"/>
    <w:rsid w:val="7156505A"/>
    <w:rsid w:val="715B5300"/>
    <w:rsid w:val="71663DE2"/>
    <w:rsid w:val="716F713B"/>
    <w:rsid w:val="717604C9"/>
    <w:rsid w:val="71871854"/>
    <w:rsid w:val="719C1F3F"/>
    <w:rsid w:val="71A67AD6"/>
    <w:rsid w:val="71A7571E"/>
    <w:rsid w:val="71A86ADC"/>
    <w:rsid w:val="71C1726B"/>
    <w:rsid w:val="71CF530E"/>
    <w:rsid w:val="71D27F8A"/>
    <w:rsid w:val="71DE1BCB"/>
    <w:rsid w:val="71E858E4"/>
    <w:rsid w:val="71EF5DF4"/>
    <w:rsid w:val="72062ED0"/>
    <w:rsid w:val="720A0C12"/>
    <w:rsid w:val="721334CE"/>
    <w:rsid w:val="721E646B"/>
    <w:rsid w:val="723B0DCB"/>
    <w:rsid w:val="723C0B8A"/>
    <w:rsid w:val="724005FA"/>
    <w:rsid w:val="72403B93"/>
    <w:rsid w:val="72430F2A"/>
    <w:rsid w:val="72553024"/>
    <w:rsid w:val="72646023"/>
    <w:rsid w:val="72660D18"/>
    <w:rsid w:val="726B5B54"/>
    <w:rsid w:val="72AD71E1"/>
    <w:rsid w:val="72B34E05"/>
    <w:rsid w:val="72B43327"/>
    <w:rsid w:val="72B56DCF"/>
    <w:rsid w:val="72E17BC5"/>
    <w:rsid w:val="72E505AA"/>
    <w:rsid w:val="72E70F53"/>
    <w:rsid w:val="72E90827"/>
    <w:rsid w:val="72F07E08"/>
    <w:rsid w:val="73012015"/>
    <w:rsid w:val="73025D8D"/>
    <w:rsid w:val="730572C6"/>
    <w:rsid w:val="73122968"/>
    <w:rsid w:val="731F5D5E"/>
    <w:rsid w:val="73201114"/>
    <w:rsid w:val="73243F55"/>
    <w:rsid w:val="7329156C"/>
    <w:rsid w:val="732D2E0A"/>
    <w:rsid w:val="73320420"/>
    <w:rsid w:val="73397A01"/>
    <w:rsid w:val="734737A0"/>
    <w:rsid w:val="7349173E"/>
    <w:rsid w:val="734D4CDD"/>
    <w:rsid w:val="73634A7D"/>
    <w:rsid w:val="736775D3"/>
    <w:rsid w:val="73722F12"/>
    <w:rsid w:val="73740A39"/>
    <w:rsid w:val="73764B58"/>
    <w:rsid w:val="73770529"/>
    <w:rsid w:val="739015EB"/>
    <w:rsid w:val="739E5AB6"/>
    <w:rsid w:val="73A11102"/>
    <w:rsid w:val="73A311CA"/>
    <w:rsid w:val="73B52DFF"/>
    <w:rsid w:val="73C3551C"/>
    <w:rsid w:val="73C51AD5"/>
    <w:rsid w:val="73C60B68"/>
    <w:rsid w:val="73C95DE7"/>
    <w:rsid w:val="73CD6579"/>
    <w:rsid w:val="73CE0649"/>
    <w:rsid w:val="73D6524F"/>
    <w:rsid w:val="73DD7CA5"/>
    <w:rsid w:val="73ED2E90"/>
    <w:rsid w:val="73F92CEC"/>
    <w:rsid w:val="740B76AA"/>
    <w:rsid w:val="740D49E9"/>
    <w:rsid w:val="74156C0C"/>
    <w:rsid w:val="741A5BD7"/>
    <w:rsid w:val="741E09A4"/>
    <w:rsid w:val="741E793C"/>
    <w:rsid w:val="74271A77"/>
    <w:rsid w:val="742C1313"/>
    <w:rsid w:val="74310E8E"/>
    <w:rsid w:val="74335F8F"/>
    <w:rsid w:val="74367A9C"/>
    <w:rsid w:val="74474F84"/>
    <w:rsid w:val="74597C2E"/>
    <w:rsid w:val="745E3944"/>
    <w:rsid w:val="746038E2"/>
    <w:rsid w:val="74783B85"/>
    <w:rsid w:val="74842EFD"/>
    <w:rsid w:val="7489135B"/>
    <w:rsid w:val="74983A62"/>
    <w:rsid w:val="749B5239"/>
    <w:rsid w:val="749C581D"/>
    <w:rsid w:val="749C79EF"/>
    <w:rsid w:val="74B35591"/>
    <w:rsid w:val="74BF5CE3"/>
    <w:rsid w:val="74C50F7C"/>
    <w:rsid w:val="74C64DAF"/>
    <w:rsid w:val="74D13C69"/>
    <w:rsid w:val="74E41BEE"/>
    <w:rsid w:val="74EE09FC"/>
    <w:rsid w:val="74FC0CE6"/>
    <w:rsid w:val="7514540F"/>
    <w:rsid w:val="751C3C0C"/>
    <w:rsid w:val="751D0C5C"/>
    <w:rsid w:val="752D1815"/>
    <w:rsid w:val="75387844"/>
    <w:rsid w:val="753D12FE"/>
    <w:rsid w:val="75473B66"/>
    <w:rsid w:val="75483F2B"/>
    <w:rsid w:val="755F3023"/>
    <w:rsid w:val="75622B13"/>
    <w:rsid w:val="75632F83"/>
    <w:rsid w:val="75662603"/>
    <w:rsid w:val="757840E4"/>
    <w:rsid w:val="757B55D8"/>
    <w:rsid w:val="757C7AF4"/>
    <w:rsid w:val="75846F2D"/>
    <w:rsid w:val="7586369E"/>
    <w:rsid w:val="75894543"/>
    <w:rsid w:val="75947170"/>
    <w:rsid w:val="75986535"/>
    <w:rsid w:val="759E3B4B"/>
    <w:rsid w:val="759F09EE"/>
    <w:rsid w:val="75A44ED9"/>
    <w:rsid w:val="75BC2223"/>
    <w:rsid w:val="75C13CDD"/>
    <w:rsid w:val="75C537CD"/>
    <w:rsid w:val="75D43A11"/>
    <w:rsid w:val="75DA08FB"/>
    <w:rsid w:val="75F17355"/>
    <w:rsid w:val="75FB71EF"/>
    <w:rsid w:val="76004806"/>
    <w:rsid w:val="760065B4"/>
    <w:rsid w:val="760F67F7"/>
    <w:rsid w:val="7635099D"/>
    <w:rsid w:val="763E118B"/>
    <w:rsid w:val="763F5BA6"/>
    <w:rsid w:val="765939D6"/>
    <w:rsid w:val="766052A4"/>
    <w:rsid w:val="76676633"/>
    <w:rsid w:val="768246F7"/>
    <w:rsid w:val="76872831"/>
    <w:rsid w:val="768803F2"/>
    <w:rsid w:val="76911902"/>
    <w:rsid w:val="76B40FB3"/>
    <w:rsid w:val="76B5566B"/>
    <w:rsid w:val="76BC4018"/>
    <w:rsid w:val="76CF41D8"/>
    <w:rsid w:val="76D256D7"/>
    <w:rsid w:val="76E01F41"/>
    <w:rsid w:val="76E177DA"/>
    <w:rsid w:val="76E97048"/>
    <w:rsid w:val="76EC08E6"/>
    <w:rsid w:val="76F97CBB"/>
    <w:rsid w:val="76FA1255"/>
    <w:rsid w:val="76FD2AF3"/>
    <w:rsid w:val="770F2826"/>
    <w:rsid w:val="771D34C3"/>
    <w:rsid w:val="772C64B4"/>
    <w:rsid w:val="772E7E44"/>
    <w:rsid w:val="7731654E"/>
    <w:rsid w:val="77397BB7"/>
    <w:rsid w:val="773D3837"/>
    <w:rsid w:val="774921DC"/>
    <w:rsid w:val="7750055B"/>
    <w:rsid w:val="77762421"/>
    <w:rsid w:val="777E65A3"/>
    <w:rsid w:val="77824A69"/>
    <w:rsid w:val="77903967"/>
    <w:rsid w:val="77992BEF"/>
    <w:rsid w:val="779A08AD"/>
    <w:rsid w:val="77A80CB1"/>
    <w:rsid w:val="77A94764"/>
    <w:rsid w:val="77B024FD"/>
    <w:rsid w:val="77B56B1F"/>
    <w:rsid w:val="77B92EBE"/>
    <w:rsid w:val="77BF249E"/>
    <w:rsid w:val="77C875A5"/>
    <w:rsid w:val="77D648DB"/>
    <w:rsid w:val="77DC4DFE"/>
    <w:rsid w:val="77DE2570"/>
    <w:rsid w:val="77E12415"/>
    <w:rsid w:val="77FA52F0"/>
    <w:rsid w:val="77FB0107"/>
    <w:rsid w:val="780F09F4"/>
    <w:rsid w:val="78197E01"/>
    <w:rsid w:val="781A1483"/>
    <w:rsid w:val="78232A2D"/>
    <w:rsid w:val="78236589"/>
    <w:rsid w:val="78283BA0"/>
    <w:rsid w:val="783A38AC"/>
    <w:rsid w:val="7846409D"/>
    <w:rsid w:val="78520C1D"/>
    <w:rsid w:val="78680440"/>
    <w:rsid w:val="786C4AE4"/>
    <w:rsid w:val="786D7959"/>
    <w:rsid w:val="78704614"/>
    <w:rsid w:val="787E4304"/>
    <w:rsid w:val="789230AB"/>
    <w:rsid w:val="78A90480"/>
    <w:rsid w:val="78AC2A23"/>
    <w:rsid w:val="78B95E27"/>
    <w:rsid w:val="78C0027C"/>
    <w:rsid w:val="78C17B71"/>
    <w:rsid w:val="78C22246"/>
    <w:rsid w:val="78C55892"/>
    <w:rsid w:val="78CA4C57"/>
    <w:rsid w:val="78D02453"/>
    <w:rsid w:val="78DA7590"/>
    <w:rsid w:val="78DE5373"/>
    <w:rsid w:val="78E201F2"/>
    <w:rsid w:val="78E71CAD"/>
    <w:rsid w:val="78F77B82"/>
    <w:rsid w:val="78FB4AF5"/>
    <w:rsid w:val="79134850"/>
    <w:rsid w:val="79142376"/>
    <w:rsid w:val="79147BBC"/>
    <w:rsid w:val="791663CE"/>
    <w:rsid w:val="791D56CF"/>
    <w:rsid w:val="792151BF"/>
    <w:rsid w:val="79273628"/>
    <w:rsid w:val="79386064"/>
    <w:rsid w:val="793A002E"/>
    <w:rsid w:val="793B7903"/>
    <w:rsid w:val="793E3EE5"/>
    <w:rsid w:val="794B3FEA"/>
    <w:rsid w:val="79571526"/>
    <w:rsid w:val="796C21B2"/>
    <w:rsid w:val="796F18ED"/>
    <w:rsid w:val="797C5CDA"/>
    <w:rsid w:val="79827B14"/>
    <w:rsid w:val="79876FEC"/>
    <w:rsid w:val="798957C3"/>
    <w:rsid w:val="79984D55"/>
    <w:rsid w:val="799A3D2F"/>
    <w:rsid w:val="799D6FAC"/>
    <w:rsid w:val="79A47EB6"/>
    <w:rsid w:val="79A764C4"/>
    <w:rsid w:val="79AD1273"/>
    <w:rsid w:val="79AE6327"/>
    <w:rsid w:val="79B37DE1"/>
    <w:rsid w:val="79C00DD4"/>
    <w:rsid w:val="79D335B4"/>
    <w:rsid w:val="79E41D48"/>
    <w:rsid w:val="79EE0E19"/>
    <w:rsid w:val="79F043C6"/>
    <w:rsid w:val="79F511D3"/>
    <w:rsid w:val="79FA2445"/>
    <w:rsid w:val="79FE105C"/>
    <w:rsid w:val="7A010B4C"/>
    <w:rsid w:val="7A021D34"/>
    <w:rsid w:val="7A0A45B0"/>
    <w:rsid w:val="7A0C58EA"/>
    <w:rsid w:val="7A100184"/>
    <w:rsid w:val="7A150154"/>
    <w:rsid w:val="7A1A144A"/>
    <w:rsid w:val="7A1D7E42"/>
    <w:rsid w:val="7A22231A"/>
    <w:rsid w:val="7A287E87"/>
    <w:rsid w:val="7A2B747B"/>
    <w:rsid w:val="7A364017"/>
    <w:rsid w:val="7A397A8A"/>
    <w:rsid w:val="7A3E76AA"/>
    <w:rsid w:val="7A6335B5"/>
    <w:rsid w:val="7A6415B4"/>
    <w:rsid w:val="7A756E44"/>
    <w:rsid w:val="7A7C6425"/>
    <w:rsid w:val="7A8265E1"/>
    <w:rsid w:val="7A861051"/>
    <w:rsid w:val="7A8A28F0"/>
    <w:rsid w:val="7A8F7316"/>
    <w:rsid w:val="7A923E9A"/>
    <w:rsid w:val="7A97500D"/>
    <w:rsid w:val="7A993964"/>
    <w:rsid w:val="7A9C2623"/>
    <w:rsid w:val="7AA5772A"/>
    <w:rsid w:val="7AC57DCC"/>
    <w:rsid w:val="7AD24297"/>
    <w:rsid w:val="7AD93877"/>
    <w:rsid w:val="7AE15731"/>
    <w:rsid w:val="7AEF4E49"/>
    <w:rsid w:val="7AF1471D"/>
    <w:rsid w:val="7AFE5802"/>
    <w:rsid w:val="7B123A1D"/>
    <w:rsid w:val="7B1448AF"/>
    <w:rsid w:val="7B166D85"/>
    <w:rsid w:val="7B18439F"/>
    <w:rsid w:val="7B1D7DD8"/>
    <w:rsid w:val="7B29035B"/>
    <w:rsid w:val="7B2E5971"/>
    <w:rsid w:val="7B354869"/>
    <w:rsid w:val="7B486307"/>
    <w:rsid w:val="7B4927AB"/>
    <w:rsid w:val="7B503B39"/>
    <w:rsid w:val="7B5B57F4"/>
    <w:rsid w:val="7B686D42"/>
    <w:rsid w:val="7B6C6499"/>
    <w:rsid w:val="7B75754F"/>
    <w:rsid w:val="7B841746"/>
    <w:rsid w:val="7B8732D3"/>
    <w:rsid w:val="7B8E61B8"/>
    <w:rsid w:val="7BA06143"/>
    <w:rsid w:val="7BA12172"/>
    <w:rsid w:val="7BAF0E18"/>
    <w:rsid w:val="7BB35E76"/>
    <w:rsid w:val="7BB86609"/>
    <w:rsid w:val="7BBC11CF"/>
    <w:rsid w:val="7BD55DED"/>
    <w:rsid w:val="7BE14791"/>
    <w:rsid w:val="7BE97AEA"/>
    <w:rsid w:val="7BF5023D"/>
    <w:rsid w:val="7BF81ADB"/>
    <w:rsid w:val="7C07486D"/>
    <w:rsid w:val="7C120D88"/>
    <w:rsid w:val="7C142DB9"/>
    <w:rsid w:val="7C246D74"/>
    <w:rsid w:val="7C2A25D8"/>
    <w:rsid w:val="7C3522B8"/>
    <w:rsid w:val="7C4E5B9F"/>
    <w:rsid w:val="7C547659"/>
    <w:rsid w:val="7C622358"/>
    <w:rsid w:val="7C63789C"/>
    <w:rsid w:val="7C6C5AC7"/>
    <w:rsid w:val="7C813A8B"/>
    <w:rsid w:val="7C857813"/>
    <w:rsid w:val="7CAE145B"/>
    <w:rsid w:val="7CBE40C4"/>
    <w:rsid w:val="7CC6544B"/>
    <w:rsid w:val="7CCA16C9"/>
    <w:rsid w:val="7CD40D8A"/>
    <w:rsid w:val="7CD631D6"/>
    <w:rsid w:val="7CD97B5E"/>
    <w:rsid w:val="7CEB16A2"/>
    <w:rsid w:val="7CEF2EDE"/>
    <w:rsid w:val="7D020F38"/>
    <w:rsid w:val="7D0239FF"/>
    <w:rsid w:val="7D052701"/>
    <w:rsid w:val="7D0C224B"/>
    <w:rsid w:val="7D1961AD"/>
    <w:rsid w:val="7D210418"/>
    <w:rsid w:val="7D221505"/>
    <w:rsid w:val="7D22589F"/>
    <w:rsid w:val="7D2C7C8E"/>
    <w:rsid w:val="7D2E4032"/>
    <w:rsid w:val="7D36417F"/>
    <w:rsid w:val="7D3F34A4"/>
    <w:rsid w:val="7D43322A"/>
    <w:rsid w:val="7D480B46"/>
    <w:rsid w:val="7D5B67C5"/>
    <w:rsid w:val="7D5E40CD"/>
    <w:rsid w:val="7D7E4262"/>
    <w:rsid w:val="7D823D52"/>
    <w:rsid w:val="7D853842"/>
    <w:rsid w:val="7D8A2C07"/>
    <w:rsid w:val="7D902913"/>
    <w:rsid w:val="7D9C12B8"/>
    <w:rsid w:val="7DAA32A9"/>
    <w:rsid w:val="7DAE0FEB"/>
    <w:rsid w:val="7DB12889"/>
    <w:rsid w:val="7DBD122E"/>
    <w:rsid w:val="7DCD56F2"/>
    <w:rsid w:val="7DD1161D"/>
    <w:rsid w:val="7DD86F8A"/>
    <w:rsid w:val="7DDA1DE0"/>
    <w:rsid w:val="7DDC1A7B"/>
    <w:rsid w:val="7DE45A94"/>
    <w:rsid w:val="7E154BC6"/>
    <w:rsid w:val="7E266DD3"/>
    <w:rsid w:val="7E291D5F"/>
    <w:rsid w:val="7E3037AE"/>
    <w:rsid w:val="7E331708"/>
    <w:rsid w:val="7E4F6BCE"/>
    <w:rsid w:val="7E5A6CC2"/>
    <w:rsid w:val="7E663674"/>
    <w:rsid w:val="7E694F12"/>
    <w:rsid w:val="7E783BAD"/>
    <w:rsid w:val="7E7D6A02"/>
    <w:rsid w:val="7E8E6727"/>
    <w:rsid w:val="7EB22BF8"/>
    <w:rsid w:val="7EC14D4E"/>
    <w:rsid w:val="7EC34622"/>
    <w:rsid w:val="7ED607F9"/>
    <w:rsid w:val="7EF70770"/>
    <w:rsid w:val="7EFC3295"/>
    <w:rsid w:val="7F001CE7"/>
    <w:rsid w:val="7F211349"/>
    <w:rsid w:val="7F2C21C7"/>
    <w:rsid w:val="7F343772"/>
    <w:rsid w:val="7F345816"/>
    <w:rsid w:val="7F366472"/>
    <w:rsid w:val="7F40017A"/>
    <w:rsid w:val="7F4F235A"/>
    <w:rsid w:val="7F4F62E8"/>
    <w:rsid w:val="7F5642C2"/>
    <w:rsid w:val="7F5A0AC1"/>
    <w:rsid w:val="7F601E71"/>
    <w:rsid w:val="7F624983"/>
    <w:rsid w:val="7F6C7FA9"/>
    <w:rsid w:val="7F6F7B47"/>
    <w:rsid w:val="7F7A52AE"/>
    <w:rsid w:val="7F833DB1"/>
    <w:rsid w:val="7F9F4F6B"/>
    <w:rsid w:val="7FA02BB5"/>
    <w:rsid w:val="7FB56661"/>
    <w:rsid w:val="7FC468A4"/>
    <w:rsid w:val="7FCF6FF7"/>
    <w:rsid w:val="7FD12ACC"/>
    <w:rsid w:val="7FD34D39"/>
    <w:rsid w:val="7FD64829"/>
    <w:rsid w:val="7FD70C7C"/>
    <w:rsid w:val="7FE47E50"/>
    <w:rsid w:val="7FE837AB"/>
    <w:rsid w:val="7FEE1B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99"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7"/>
    <w:semiHidden/>
    <w:unhideWhenUsed/>
    <w:qFormat/>
    <w:locked/>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103"/>
    <w:semiHidden/>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104"/>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locked/>
    <w:uiPriority w:val="0"/>
    <w:pPr>
      <w:widowControl/>
      <w:spacing w:line="360" w:lineRule="auto"/>
      <w:ind w:left="2520" w:leftChars="1200"/>
    </w:pPr>
    <w:rPr>
      <w:rFonts w:ascii="Calibri" w:hAnsi="Calibri" w:cs="宋体"/>
      <w:szCs w:val="21"/>
    </w:rPr>
  </w:style>
  <w:style w:type="paragraph" w:styleId="7">
    <w:name w:val="table of authorities"/>
    <w:basedOn w:val="1"/>
    <w:next w:val="1"/>
    <w:qFormat/>
    <w:locked/>
    <w:uiPriority w:val="99"/>
    <w:pPr>
      <w:ind w:left="420" w:leftChars="200"/>
    </w:pPr>
  </w:style>
  <w:style w:type="paragraph" w:styleId="8">
    <w:name w:val="Note Heading"/>
    <w:basedOn w:val="1"/>
    <w:next w:val="1"/>
    <w:qFormat/>
    <w:locked/>
    <w:uiPriority w:val="0"/>
    <w:pPr>
      <w:widowControl w:val="0"/>
      <w:jc w:val="center"/>
    </w:pPr>
    <w:rPr>
      <w:rFonts w:ascii="Times New Roman" w:hAnsi="Times New Roman" w:cs="Times New Roman"/>
      <w:kern w:val="2"/>
      <w:sz w:val="21"/>
    </w:rPr>
  </w:style>
  <w:style w:type="paragraph" w:styleId="9">
    <w:name w:val="Normal Indent"/>
    <w:basedOn w:val="1"/>
    <w:next w:val="1"/>
    <w:qFormat/>
    <w:locked/>
    <w:uiPriority w:val="0"/>
    <w:pPr>
      <w:ind w:firstLine="420" w:firstLineChars="200"/>
    </w:pPr>
    <w:rPr>
      <w:sz w:val="20"/>
    </w:rPr>
  </w:style>
  <w:style w:type="paragraph" w:styleId="10">
    <w:name w:val="Document Map"/>
    <w:basedOn w:val="1"/>
    <w:link w:val="85"/>
    <w:qFormat/>
    <w:locked/>
    <w:uiPriority w:val="0"/>
    <w:rPr>
      <w:rFonts w:ascii="Microsoft YaHei UI" w:eastAsia="Microsoft YaHei UI"/>
      <w:sz w:val="18"/>
      <w:szCs w:val="18"/>
    </w:rPr>
  </w:style>
  <w:style w:type="paragraph" w:styleId="11">
    <w:name w:val="annotation text"/>
    <w:basedOn w:val="1"/>
    <w:link w:val="52"/>
    <w:semiHidden/>
    <w:qFormat/>
    <w:uiPriority w:val="0"/>
    <w:pPr>
      <w:jc w:val="left"/>
    </w:pPr>
    <w:rPr>
      <w:kern w:val="0"/>
      <w:sz w:val="24"/>
      <w:szCs w:val="20"/>
    </w:rPr>
  </w:style>
  <w:style w:type="paragraph" w:styleId="12">
    <w:name w:val="Body Text 3"/>
    <w:basedOn w:val="1"/>
    <w:link w:val="96"/>
    <w:qFormat/>
    <w:locked/>
    <w:uiPriority w:val="0"/>
    <w:pPr>
      <w:spacing w:after="120"/>
    </w:pPr>
    <w:rPr>
      <w:sz w:val="16"/>
      <w:szCs w:val="16"/>
    </w:rPr>
  </w:style>
  <w:style w:type="paragraph" w:styleId="13">
    <w:name w:val="Body Text"/>
    <w:basedOn w:val="1"/>
    <w:next w:val="1"/>
    <w:link w:val="51"/>
    <w:qFormat/>
    <w:uiPriority w:val="0"/>
    <w:pPr>
      <w:widowControl/>
      <w:snapToGrid w:val="0"/>
      <w:spacing w:before="60" w:after="160" w:line="259" w:lineRule="auto"/>
      <w:ind w:right="113"/>
    </w:pPr>
    <w:rPr>
      <w:kern w:val="0"/>
      <w:sz w:val="18"/>
      <w:szCs w:val="20"/>
    </w:rPr>
  </w:style>
  <w:style w:type="paragraph" w:styleId="14">
    <w:name w:val="Body Text Indent"/>
    <w:basedOn w:val="1"/>
    <w:next w:val="15"/>
    <w:link w:val="60"/>
    <w:qFormat/>
    <w:uiPriority w:val="0"/>
    <w:pPr>
      <w:spacing w:after="120"/>
      <w:ind w:left="420" w:leftChars="200"/>
    </w:pPr>
    <w:rPr>
      <w:kern w:val="0"/>
      <w:sz w:val="24"/>
      <w:szCs w:val="20"/>
    </w:rPr>
  </w:style>
  <w:style w:type="paragraph" w:styleId="15">
    <w:name w:val="header"/>
    <w:basedOn w:val="1"/>
    <w:link w:val="58"/>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Block Text"/>
    <w:basedOn w:val="1"/>
    <w:next w:val="1"/>
    <w:qFormat/>
    <w:locked/>
    <w:uiPriority w:val="0"/>
    <w:pPr>
      <w:widowControl/>
      <w:snapToGrid/>
      <w:spacing w:line="440" w:lineRule="exact"/>
      <w:ind w:left="113" w:right="113" w:firstLine="567" w:firstLineChars="0"/>
    </w:pPr>
    <w:rPr>
      <w:rFonts w:ascii="仿宋_GB2312" w:hAnsi="Calibri" w:eastAsia="仿宋_GB2312" w:cs="Times New Roman"/>
      <w:sz w:val="28"/>
    </w:rPr>
  </w:style>
  <w:style w:type="paragraph" w:styleId="17">
    <w:name w:val="Plain Text"/>
    <w:basedOn w:val="1"/>
    <w:qFormat/>
    <w:locked/>
    <w:uiPriority w:val="0"/>
    <w:pPr>
      <w:snapToGrid/>
      <w:spacing w:line="240" w:lineRule="auto"/>
      <w:ind w:firstLine="0" w:firstLineChars="0"/>
    </w:pPr>
    <w:rPr>
      <w:rFonts w:ascii="宋体" w:hAnsi="Courier New" w:cs="Times New Roman"/>
      <w:sz w:val="21"/>
    </w:rPr>
  </w:style>
  <w:style w:type="paragraph" w:styleId="18">
    <w:name w:val="Date"/>
    <w:basedOn w:val="1"/>
    <w:next w:val="1"/>
    <w:link w:val="47"/>
    <w:qFormat/>
    <w:uiPriority w:val="0"/>
    <w:pPr>
      <w:ind w:left="100" w:leftChars="2500"/>
    </w:pPr>
    <w:rPr>
      <w:kern w:val="0"/>
      <w:sz w:val="24"/>
      <w:szCs w:val="20"/>
    </w:rPr>
  </w:style>
  <w:style w:type="paragraph" w:styleId="19">
    <w:name w:val="Body Text Indent 2"/>
    <w:basedOn w:val="1"/>
    <w:qFormat/>
    <w:locked/>
    <w:uiPriority w:val="0"/>
    <w:pPr>
      <w:spacing w:line="400" w:lineRule="exact"/>
      <w:ind w:firstLine="567"/>
      <w:jc w:val="both"/>
      <w:outlineLvl w:val="0"/>
    </w:pPr>
    <w:rPr>
      <w:rFonts w:ascii="楷体_GB2312" w:eastAsia="楷体_GB2312"/>
      <w:sz w:val="28"/>
    </w:rPr>
  </w:style>
  <w:style w:type="paragraph" w:styleId="20">
    <w:name w:val="Balloon Text"/>
    <w:basedOn w:val="1"/>
    <w:link w:val="56"/>
    <w:semiHidden/>
    <w:qFormat/>
    <w:uiPriority w:val="0"/>
    <w:rPr>
      <w:kern w:val="0"/>
      <w:sz w:val="18"/>
      <w:szCs w:val="20"/>
    </w:rPr>
  </w:style>
  <w:style w:type="paragraph" w:styleId="21">
    <w:name w:val="footer"/>
    <w:basedOn w:val="1"/>
    <w:link w:val="46"/>
    <w:qFormat/>
    <w:uiPriority w:val="99"/>
    <w:pPr>
      <w:tabs>
        <w:tab w:val="center" w:pos="4153"/>
        <w:tab w:val="right" w:pos="8306"/>
      </w:tabs>
      <w:snapToGrid w:val="0"/>
      <w:jc w:val="left"/>
    </w:pPr>
    <w:rPr>
      <w:kern w:val="0"/>
      <w:sz w:val="18"/>
      <w:szCs w:val="20"/>
    </w:rPr>
  </w:style>
  <w:style w:type="paragraph" w:styleId="22">
    <w:name w:val="toc 1"/>
    <w:basedOn w:val="1"/>
    <w:next w:val="1"/>
    <w:qFormat/>
    <w:locked/>
    <w:uiPriority w:val="0"/>
    <w:pPr>
      <w:spacing w:line="360" w:lineRule="auto"/>
    </w:pPr>
    <w:rPr>
      <w:rFonts w:ascii="Times New Roman" w:hAnsi="Times New Roman" w:eastAsia="宋体"/>
      <w:sz w:val="24"/>
    </w:rPr>
  </w:style>
  <w:style w:type="paragraph" w:styleId="23">
    <w:name w:val="toc 2"/>
    <w:basedOn w:val="1"/>
    <w:next w:val="1"/>
    <w:qFormat/>
    <w:locked/>
    <w:uiPriority w:val="0"/>
    <w:pPr>
      <w:ind w:left="420" w:leftChars="200"/>
    </w:pPr>
  </w:style>
  <w:style w:type="paragraph" w:styleId="24">
    <w:name w:val="Normal (Web)"/>
    <w:basedOn w:val="1"/>
    <w:link w:val="49"/>
    <w:qFormat/>
    <w:uiPriority w:val="0"/>
    <w:pPr>
      <w:widowControl/>
      <w:spacing w:before="100" w:beforeAutospacing="1" w:after="100" w:afterAutospacing="1"/>
      <w:jc w:val="left"/>
    </w:pPr>
    <w:rPr>
      <w:rFonts w:ascii="宋体" w:hAnsi="宋体"/>
      <w:kern w:val="0"/>
      <w:sz w:val="24"/>
      <w:szCs w:val="20"/>
    </w:rPr>
  </w:style>
  <w:style w:type="paragraph" w:styleId="25">
    <w:name w:val="Title"/>
    <w:basedOn w:val="1"/>
    <w:next w:val="1"/>
    <w:link w:val="80"/>
    <w:qFormat/>
    <w:locked/>
    <w:uiPriority w:val="0"/>
    <w:pPr>
      <w:spacing w:before="240" w:after="60"/>
      <w:jc w:val="center"/>
      <w:outlineLvl w:val="0"/>
    </w:pPr>
    <w:rPr>
      <w:rFonts w:asciiTheme="majorHAnsi" w:hAnsiTheme="majorHAnsi" w:eastAsiaTheme="majorEastAsia" w:cstheme="majorBidi"/>
      <w:b/>
      <w:bCs/>
      <w:sz w:val="32"/>
      <w:szCs w:val="32"/>
    </w:rPr>
  </w:style>
  <w:style w:type="paragraph" w:styleId="26">
    <w:name w:val="annotation subject"/>
    <w:basedOn w:val="11"/>
    <w:next w:val="11"/>
    <w:link w:val="57"/>
    <w:semiHidden/>
    <w:qFormat/>
    <w:uiPriority w:val="0"/>
    <w:rPr>
      <w:b/>
    </w:rPr>
  </w:style>
  <w:style w:type="paragraph" w:styleId="27">
    <w:name w:val="Body Text First Indent"/>
    <w:basedOn w:val="13"/>
    <w:next w:val="1"/>
    <w:qFormat/>
    <w:locked/>
    <w:uiPriority w:val="0"/>
    <w:pPr>
      <w:overflowPunct w:val="0"/>
      <w:autoSpaceDE w:val="0"/>
      <w:autoSpaceDN w:val="0"/>
      <w:adjustRightInd/>
      <w:spacing w:line="360" w:lineRule="auto"/>
      <w:ind w:firstLine="0"/>
      <w:textAlignment w:val="baseline"/>
    </w:pPr>
    <w:rPr>
      <w:rFonts w:eastAsia="宋体"/>
      <w:spacing w:val="0"/>
    </w:rPr>
  </w:style>
  <w:style w:type="paragraph" w:styleId="28">
    <w:name w:val="Body Text First Indent 2"/>
    <w:basedOn w:val="1"/>
    <w:next w:val="1"/>
    <w:link w:val="87"/>
    <w:qFormat/>
    <w:locked/>
    <w:uiPriority w:val="0"/>
    <w:pPr>
      <w:ind w:firstLine="420" w:firstLineChars="200"/>
    </w:pPr>
    <w:rPr>
      <w:kern w:val="2"/>
      <w:sz w:val="21"/>
      <w:szCs w:val="24"/>
    </w:r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locked/>
    <w:uiPriority w:val="0"/>
    <w:rPr>
      <w:b/>
    </w:rPr>
  </w:style>
  <w:style w:type="character" w:styleId="33">
    <w:name w:val="page number"/>
    <w:basedOn w:val="31"/>
    <w:qFormat/>
    <w:locked/>
    <w:uiPriority w:val="0"/>
  </w:style>
  <w:style w:type="character" w:styleId="34">
    <w:name w:val="Emphasis"/>
    <w:basedOn w:val="31"/>
    <w:qFormat/>
    <w:locked/>
    <w:uiPriority w:val="0"/>
    <w:rPr>
      <w:i/>
    </w:rPr>
  </w:style>
  <w:style w:type="character" w:styleId="35">
    <w:name w:val="Hyperlink"/>
    <w:basedOn w:val="31"/>
    <w:unhideWhenUsed/>
    <w:qFormat/>
    <w:locked/>
    <w:uiPriority w:val="99"/>
    <w:rPr>
      <w:color w:val="0000FF"/>
      <w:u w:val="single"/>
    </w:rPr>
  </w:style>
  <w:style w:type="character" w:styleId="36">
    <w:name w:val="annotation reference"/>
    <w:semiHidden/>
    <w:qFormat/>
    <w:uiPriority w:val="0"/>
    <w:rPr>
      <w:sz w:val="21"/>
    </w:rPr>
  </w:style>
  <w:style w:type="paragraph" w:customStyle="1" w:styleId="37">
    <w:name w:val="0正文"/>
    <w:basedOn w:val="14"/>
    <w:semiHidden/>
    <w:qFormat/>
    <w:uiPriority w:val="0"/>
    <w:pPr>
      <w:spacing w:line="360" w:lineRule="auto"/>
      <w:ind w:firstLine="720" w:firstLineChars="200"/>
      <w:jc w:val="left"/>
    </w:pPr>
    <w:rPr>
      <w:kern w:val="0"/>
      <w:sz w:val="24"/>
      <w:szCs w:val="24"/>
    </w:rPr>
  </w:style>
  <w:style w:type="paragraph" w:customStyle="1" w:styleId="38">
    <w:name w:val="环评正文"/>
    <w:basedOn w:val="1"/>
    <w:qFormat/>
    <w:uiPriority w:val="0"/>
    <w:pPr>
      <w:ind w:firstLine="480"/>
    </w:pPr>
    <w:rPr>
      <w:szCs w:val="20"/>
    </w:rPr>
  </w:style>
  <w:style w:type="paragraph" w:customStyle="1" w:styleId="39">
    <w:name w:val="Default"/>
    <w:basedOn w:val="40"/>
    <w:next w:val="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0">
    <w:name w:val="纯文本1"/>
    <w:basedOn w:val="1"/>
    <w:next w:val="17"/>
    <w:qFormat/>
    <w:uiPriority w:val="99"/>
    <w:rPr>
      <w:rFonts w:ascii="宋体" w:hAnsi="Courier New" w:eastAsia="宋体" w:cs="黑体"/>
      <w:szCs w:val="21"/>
    </w:rPr>
  </w:style>
  <w:style w:type="paragraph" w:customStyle="1" w:styleId="41">
    <w:name w:val="UserStyle_0"/>
    <w:basedOn w:val="1"/>
    <w:qFormat/>
    <w:uiPriority w:val="0"/>
    <w:pPr>
      <w:tabs>
        <w:tab w:val="left" w:pos="3825"/>
        <w:tab w:val="left" w:pos="4680"/>
      </w:tabs>
      <w:spacing w:line="360" w:lineRule="auto"/>
      <w:jc w:val="center"/>
      <w:textAlignment w:val="baseline"/>
    </w:pPr>
    <w:rPr>
      <w:rFonts w:ascii="宋体" w:hAnsi="宋体" w:eastAsia="宋体"/>
      <w:b/>
      <w:kern w:val="0"/>
      <w:sz w:val="24"/>
      <w:szCs w:val="21"/>
      <w:lang w:val="en-US" w:eastAsia="zh-CN" w:bidi="ar-SA"/>
    </w:rPr>
  </w:style>
  <w:style w:type="paragraph" w:customStyle="1" w:styleId="42">
    <w:name w:val="样式35"/>
    <w:next w:val="43"/>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43">
    <w:name w:val="font6"/>
    <w:basedOn w:val="1"/>
    <w:next w:val="23"/>
    <w:qFormat/>
    <w:uiPriority w:val="99"/>
    <w:pPr>
      <w:widowControl/>
      <w:spacing w:before="100" w:beforeAutospacing="1" w:after="100" w:afterAutospacing="1"/>
      <w:jc w:val="left"/>
    </w:pPr>
    <w:rPr>
      <w:rFonts w:ascii="宋体" w:hAnsi="宋体" w:eastAsia="宋体" w:cs="宋体"/>
      <w:kern w:val="0"/>
      <w:sz w:val="20"/>
      <w:szCs w:val="20"/>
    </w:rPr>
  </w:style>
  <w:style w:type="paragraph" w:customStyle="1" w:styleId="44">
    <w:name w:val="表格文字"/>
    <w:basedOn w:val="1"/>
    <w:qFormat/>
    <w:uiPriority w:val="0"/>
    <w:pPr>
      <w:widowControl/>
      <w:jc w:val="center"/>
    </w:pPr>
    <w:rPr>
      <w:rFonts w:ascii="仿宋_GB2312" w:hAnsi="Arial Black" w:eastAsia="仿宋_GB2312"/>
      <w:kern w:val="44"/>
      <w:sz w:val="24"/>
      <w:szCs w:val="22"/>
    </w:rPr>
  </w:style>
  <w:style w:type="paragraph" w:customStyle="1" w:styleId="45">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6">
    <w:name w:val="页脚 字符1"/>
    <w:link w:val="21"/>
    <w:qFormat/>
    <w:locked/>
    <w:uiPriority w:val="99"/>
    <w:rPr>
      <w:sz w:val="18"/>
    </w:rPr>
  </w:style>
  <w:style w:type="character" w:customStyle="1" w:styleId="47">
    <w:name w:val="日期 字符1"/>
    <w:link w:val="18"/>
    <w:qFormat/>
    <w:locked/>
    <w:uiPriority w:val="0"/>
    <w:rPr>
      <w:rFonts w:ascii="Times New Roman" w:hAnsi="Times New Roman" w:eastAsia="宋体"/>
      <w:sz w:val="24"/>
    </w:rPr>
  </w:style>
  <w:style w:type="character" w:customStyle="1" w:styleId="48">
    <w:name w:val="页脚 字符"/>
    <w:basedOn w:val="31"/>
    <w:qFormat/>
    <w:uiPriority w:val="99"/>
  </w:style>
  <w:style w:type="character" w:customStyle="1" w:styleId="49">
    <w:name w:val="普通(网站) 字符"/>
    <w:link w:val="24"/>
    <w:qFormat/>
    <w:locked/>
    <w:uiPriority w:val="0"/>
    <w:rPr>
      <w:rFonts w:ascii="宋体" w:hAnsi="宋体" w:eastAsia="宋体"/>
      <w:sz w:val="24"/>
    </w:rPr>
  </w:style>
  <w:style w:type="character" w:customStyle="1" w:styleId="50">
    <w:name w:val="正文文本 字符1"/>
    <w:semiHidden/>
    <w:qFormat/>
    <w:uiPriority w:val="0"/>
    <w:rPr>
      <w:rFonts w:ascii="Times New Roman" w:hAnsi="Times New Roman" w:eastAsia="宋体"/>
      <w:sz w:val="24"/>
    </w:rPr>
  </w:style>
  <w:style w:type="character" w:customStyle="1" w:styleId="51">
    <w:name w:val="正文文本 字符"/>
    <w:link w:val="13"/>
    <w:qFormat/>
    <w:locked/>
    <w:uiPriority w:val="0"/>
    <w:rPr>
      <w:sz w:val="18"/>
    </w:rPr>
  </w:style>
  <w:style w:type="character" w:customStyle="1" w:styleId="52">
    <w:name w:val="批注文字 字符"/>
    <w:link w:val="11"/>
    <w:qFormat/>
    <w:locked/>
    <w:uiPriority w:val="0"/>
    <w:rPr>
      <w:rFonts w:ascii="Times New Roman" w:hAnsi="Times New Roman" w:eastAsia="宋体"/>
      <w:sz w:val="24"/>
    </w:rPr>
  </w:style>
  <w:style w:type="character" w:customStyle="1" w:styleId="53">
    <w:name w:val="表格 Char"/>
    <w:link w:val="54"/>
    <w:qFormat/>
    <w:locked/>
    <w:uiPriority w:val="0"/>
    <w:rPr>
      <w:rFonts w:ascii="宋体"/>
      <w:sz w:val="21"/>
    </w:rPr>
  </w:style>
  <w:style w:type="paragraph" w:customStyle="1" w:styleId="54">
    <w:name w:val="表格"/>
    <w:basedOn w:val="1"/>
    <w:next w:val="1"/>
    <w:link w:val="53"/>
    <w:qFormat/>
    <w:uiPriority w:val="0"/>
    <w:pPr>
      <w:adjustRightInd w:val="0"/>
      <w:snapToGrid w:val="0"/>
      <w:spacing w:beforeLines="10" w:afterLines="10" w:line="259" w:lineRule="auto"/>
      <w:jc w:val="center"/>
    </w:pPr>
    <w:rPr>
      <w:rFonts w:ascii="宋体"/>
      <w:kern w:val="0"/>
      <w:szCs w:val="20"/>
    </w:rPr>
  </w:style>
  <w:style w:type="character" w:customStyle="1" w:styleId="55">
    <w:name w:val="日期 字符"/>
    <w:semiHidden/>
    <w:qFormat/>
    <w:uiPriority w:val="0"/>
    <w:rPr>
      <w:rFonts w:ascii="Times New Roman" w:hAnsi="Times New Roman" w:eastAsia="宋体"/>
      <w:sz w:val="24"/>
    </w:rPr>
  </w:style>
  <w:style w:type="character" w:customStyle="1" w:styleId="56">
    <w:name w:val="批注框文本 字符"/>
    <w:link w:val="20"/>
    <w:semiHidden/>
    <w:qFormat/>
    <w:locked/>
    <w:uiPriority w:val="0"/>
    <w:rPr>
      <w:rFonts w:ascii="Times New Roman" w:hAnsi="Times New Roman" w:eastAsia="宋体"/>
      <w:sz w:val="18"/>
    </w:rPr>
  </w:style>
  <w:style w:type="character" w:customStyle="1" w:styleId="57">
    <w:name w:val="批注主题 字符"/>
    <w:link w:val="26"/>
    <w:semiHidden/>
    <w:qFormat/>
    <w:locked/>
    <w:uiPriority w:val="0"/>
    <w:rPr>
      <w:rFonts w:ascii="Times New Roman" w:hAnsi="Times New Roman" w:eastAsia="宋体"/>
      <w:b/>
      <w:kern w:val="2"/>
      <w:sz w:val="24"/>
    </w:rPr>
  </w:style>
  <w:style w:type="character" w:customStyle="1" w:styleId="58">
    <w:name w:val="页眉 字符"/>
    <w:link w:val="15"/>
    <w:qFormat/>
    <w:locked/>
    <w:uiPriority w:val="0"/>
    <w:rPr>
      <w:sz w:val="18"/>
    </w:rPr>
  </w:style>
  <w:style w:type="character" w:customStyle="1" w:styleId="59">
    <w:name w:val="批注文字 字符1"/>
    <w:semiHidden/>
    <w:qFormat/>
    <w:uiPriority w:val="0"/>
    <w:rPr>
      <w:rFonts w:ascii="Times New Roman" w:hAnsi="Times New Roman" w:eastAsia="宋体"/>
      <w:sz w:val="24"/>
    </w:rPr>
  </w:style>
  <w:style w:type="character" w:customStyle="1" w:styleId="60">
    <w:name w:val="正文文本缩进 字符"/>
    <w:link w:val="14"/>
    <w:semiHidden/>
    <w:qFormat/>
    <w:locked/>
    <w:uiPriority w:val="0"/>
    <w:rPr>
      <w:rFonts w:ascii="Times New Roman" w:hAnsi="Times New Roman" w:eastAsia="宋体"/>
      <w:sz w:val="24"/>
    </w:rPr>
  </w:style>
  <w:style w:type="paragraph" w:customStyle="1" w:styleId="6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3">
    <w:name w:val="Text type"/>
    <w:basedOn w:val="1"/>
    <w:link w:val="64"/>
    <w:qFormat/>
    <w:uiPriority w:val="0"/>
    <w:pPr>
      <w:widowControl/>
      <w:snapToGrid w:val="0"/>
      <w:spacing w:line="360" w:lineRule="auto"/>
      <w:ind w:firstLine="200" w:firstLineChars="200"/>
    </w:pPr>
    <w:rPr>
      <w:sz w:val="24"/>
      <w:szCs w:val="32"/>
    </w:rPr>
  </w:style>
  <w:style w:type="character" w:customStyle="1" w:styleId="64">
    <w:name w:val="Text type 字符"/>
    <w:link w:val="63"/>
    <w:qFormat/>
    <w:uiPriority w:val="0"/>
    <w:rPr>
      <w:kern w:val="2"/>
      <w:sz w:val="24"/>
      <w:szCs w:val="32"/>
    </w:rPr>
  </w:style>
  <w:style w:type="paragraph" w:customStyle="1" w:styleId="65">
    <w:name w:val="标题2"/>
    <w:basedOn w:val="7"/>
    <w:link w:val="66"/>
    <w:qFormat/>
    <w:uiPriority w:val="0"/>
    <w:pPr>
      <w:adjustRightInd w:val="0"/>
      <w:snapToGrid w:val="0"/>
      <w:spacing w:before="0" w:after="0" w:line="360" w:lineRule="auto"/>
      <w:jc w:val="left"/>
    </w:pPr>
    <w:rPr>
      <w:rFonts w:ascii="Times New Roman" w:hAnsi="Times New Roman" w:eastAsia="宋体" w:cs="宋体"/>
      <w:sz w:val="30"/>
      <w:szCs w:val="21"/>
    </w:rPr>
  </w:style>
  <w:style w:type="character" w:customStyle="1" w:styleId="66">
    <w:name w:val="标题2 字符"/>
    <w:link w:val="65"/>
    <w:qFormat/>
    <w:uiPriority w:val="0"/>
    <w:rPr>
      <w:rFonts w:cs="宋体"/>
      <w:b/>
      <w:kern w:val="2"/>
      <w:sz w:val="30"/>
      <w:szCs w:val="21"/>
    </w:rPr>
  </w:style>
  <w:style w:type="character" w:customStyle="1" w:styleId="67">
    <w:name w:val="标题 2 字符"/>
    <w:link w:val="3"/>
    <w:semiHidden/>
    <w:qFormat/>
    <w:uiPriority w:val="0"/>
    <w:rPr>
      <w:rFonts w:ascii="等线 Light" w:hAnsi="等线 Light" w:eastAsia="等线 Light" w:cs="Times New Roman"/>
      <w:b/>
      <w:bCs/>
      <w:kern w:val="2"/>
      <w:sz w:val="32"/>
      <w:szCs w:val="32"/>
    </w:rPr>
  </w:style>
  <w:style w:type="paragraph" w:customStyle="1" w:styleId="68">
    <w:name w:val="Table text"/>
    <w:basedOn w:val="69"/>
    <w:link w:val="71"/>
    <w:qFormat/>
    <w:uiPriority w:val="0"/>
    <w:pPr>
      <w:tabs>
        <w:tab w:val="center" w:pos="4153"/>
        <w:tab w:val="right" w:pos="8306"/>
      </w:tabs>
      <w:snapToGrid w:val="0"/>
      <w:jc w:val="center"/>
    </w:pPr>
    <w:rPr>
      <w:bCs/>
      <w:szCs w:val="30"/>
    </w:rPr>
  </w:style>
  <w:style w:type="paragraph" w:customStyle="1" w:styleId="69">
    <w:name w:val="Table Headline"/>
    <w:basedOn w:val="70"/>
    <w:link w:val="78"/>
    <w:qFormat/>
    <w:uiPriority w:val="0"/>
    <w:pPr>
      <w:widowControl/>
      <w:tabs>
        <w:tab w:val="center" w:pos="4153"/>
        <w:tab w:val="right" w:pos="8306"/>
      </w:tabs>
      <w:snapToGrid w:val="0"/>
      <w:jc w:val="center"/>
    </w:pPr>
    <w:rPr>
      <w:b/>
      <w:sz w:val="24"/>
    </w:rPr>
  </w:style>
  <w:style w:type="paragraph" w:customStyle="1" w:styleId="70">
    <w:name w:val="正文1"/>
    <w:basedOn w:val="21"/>
    <w:next w:val="1"/>
    <w:qFormat/>
    <w:uiPriority w:val="0"/>
    <w:pPr>
      <w:jc w:val="both"/>
    </w:pPr>
    <w:rPr>
      <w:spacing w:val="-20"/>
      <w:sz w:val="24"/>
    </w:rPr>
  </w:style>
  <w:style w:type="character" w:customStyle="1" w:styleId="71">
    <w:name w:val="Table text 字符"/>
    <w:link w:val="68"/>
    <w:qFormat/>
    <w:uiPriority w:val="0"/>
    <w:rPr>
      <w:bCs/>
      <w:kern w:val="2"/>
      <w:sz w:val="21"/>
      <w:szCs w:val="30"/>
    </w:rPr>
  </w:style>
  <w:style w:type="paragraph" w:customStyle="1" w:styleId="72">
    <w:name w:val="表格标题"/>
    <w:basedOn w:val="68"/>
    <w:link w:val="74"/>
    <w:qFormat/>
    <w:uiPriority w:val="0"/>
    <w:rPr>
      <w:sz w:val="24"/>
    </w:rPr>
  </w:style>
  <w:style w:type="paragraph" w:customStyle="1" w:styleId="73">
    <w:name w:val="Table Header"/>
    <w:basedOn w:val="1"/>
    <w:link w:val="75"/>
    <w:qFormat/>
    <w:uiPriority w:val="0"/>
    <w:pPr>
      <w:widowControl/>
      <w:spacing w:before="20" w:beforeLines="20"/>
      <w:jc w:val="center"/>
    </w:pPr>
    <w:rPr>
      <w:b/>
      <w:sz w:val="24"/>
    </w:rPr>
  </w:style>
  <w:style w:type="character" w:customStyle="1" w:styleId="74">
    <w:name w:val="表格标题 字符"/>
    <w:basedOn w:val="71"/>
    <w:link w:val="72"/>
    <w:qFormat/>
    <w:uiPriority w:val="0"/>
    <w:rPr>
      <w:b/>
      <w:kern w:val="2"/>
      <w:sz w:val="24"/>
      <w:szCs w:val="30"/>
    </w:rPr>
  </w:style>
  <w:style w:type="character" w:customStyle="1" w:styleId="75">
    <w:name w:val="Table Header 字符"/>
    <w:link w:val="73"/>
    <w:qFormat/>
    <w:uiPriority w:val="0"/>
    <w:rPr>
      <w:b/>
      <w:kern w:val="2"/>
      <w:sz w:val="24"/>
      <w:szCs w:val="24"/>
    </w:rPr>
  </w:style>
  <w:style w:type="paragraph" w:customStyle="1" w:styleId="76">
    <w:name w:val="图片标题"/>
    <w:basedOn w:val="1"/>
    <w:link w:val="77"/>
    <w:qFormat/>
    <w:uiPriority w:val="0"/>
    <w:pPr>
      <w:adjustRightInd w:val="0"/>
      <w:snapToGrid w:val="0"/>
      <w:spacing w:line="360" w:lineRule="auto"/>
      <w:jc w:val="center"/>
    </w:pPr>
    <w:rPr>
      <w:rFonts w:cs="宋体"/>
      <w:b/>
      <w:kern w:val="0"/>
      <w:sz w:val="24"/>
      <w:szCs w:val="21"/>
    </w:rPr>
  </w:style>
  <w:style w:type="character" w:customStyle="1" w:styleId="77">
    <w:name w:val="图片标题 字符"/>
    <w:link w:val="76"/>
    <w:qFormat/>
    <w:uiPriority w:val="0"/>
    <w:rPr>
      <w:rFonts w:cs="宋体"/>
      <w:b/>
      <w:sz w:val="24"/>
      <w:szCs w:val="21"/>
    </w:rPr>
  </w:style>
  <w:style w:type="character" w:customStyle="1" w:styleId="78">
    <w:name w:val="Table Headline 字符"/>
    <w:basedOn w:val="31"/>
    <w:link w:val="69"/>
    <w:qFormat/>
    <w:uiPriority w:val="0"/>
    <w:rPr>
      <w:b/>
      <w:kern w:val="2"/>
      <w:sz w:val="24"/>
      <w:szCs w:val="24"/>
    </w:rPr>
  </w:style>
  <w:style w:type="character" w:styleId="79">
    <w:name w:val="Placeholder Text"/>
    <w:basedOn w:val="31"/>
    <w:semiHidden/>
    <w:qFormat/>
    <w:uiPriority w:val="99"/>
    <w:rPr>
      <w:color w:val="808080"/>
    </w:rPr>
  </w:style>
  <w:style w:type="character" w:customStyle="1" w:styleId="80">
    <w:name w:val="标题 字符"/>
    <w:basedOn w:val="31"/>
    <w:link w:val="25"/>
    <w:qFormat/>
    <w:uiPriority w:val="0"/>
    <w:rPr>
      <w:rFonts w:asciiTheme="majorHAnsi" w:hAnsiTheme="majorHAnsi" w:eastAsiaTheme="majorEastAsia" w:cstheme="majorBidi"/>
      <w:b/>
      <w:bCs/>
      <w:kern w:val="2"/>
      <w:sz w:val="32"/>
      <w:szCs w:val="32"/>
    </w:rPr>
  </w:style>
  <w:style w:type="paragraph" w:customStyle="1" w:styleId="81">
    <w:name w:val="表内正文"/>
    <w:basedOn w:val="1"/>
    <w:link w:val="82"/>
    <w:qFormat/>
    <w:uiPriority w:val="0"/>
    <w:pPr>
      <w:snapToGrid w:val="0"/>
      <w:jc w:val="center"/>
    </w:pPr>
  </w:style>
  <w:style w:type="character" w:customStyle="1" w:styleId="82">
    <w:name w:val="表内正文 字符"/>
    <w:basedOn w:val="31"/>
    <w:link w:val="81"/>
    <w:qFormat/>
    <w:uiPriority w:val="0"/>
    <w:rPr>
      <w:kern w:val="2"/>
      <w:sz w:val="21"/>
      <w:szCs w:val="24"/>
    </w:rPr>
  </w:style>
  <w:style w:type="paragraph" w:customStyle="1" w:styleId="83">
    <w:name w:val="附图标题"/>
    <w:basedOn w:val="25"/>
    <w:link w:val="84"/>
    <w:qFormat/>
    <w:uiPriority w:val="0"/>
    <w:pPr>
      <w:snapToGrid w:val="0"/>
      <w:spacing w:before="0" w:after="0"/>
      <w:jc w:val="left"/>
    </w:pPr>
    <w:rPr>
      <w:sz w:val="28"/>
    </w:rPr>
  </w:style>
  <w:style w:type="character" w:customStyle="1" w:styleId="84">
    <w:name w:val="附图标题 字符"/>
    <w:basedOn w:val="80"/>
    <w:link w:val="83"/>
    <w:qFormat/>
    <w:uiPriority w:val="0"/>
    <w:rPr>
      <w:rFonts w:asciiTheme="majorHAnsi" w:hAnsiTheme="majorHAnsi" w:eastAsiaTheme="majorEastAsia" w:cstheme="majorBidi"/>
      <w:kern w:val="2"/>
      <w:sz w:val="28"/>
      <w:szCs w:val="32"/>
    </w:rPr>
  </w:style>
  <w:style w:type="character" w:customStyle="1" w:styleId="85">
    <w:name w:val="文档结构图 字符"/>
    <w:basedOn w:val="31"/>
    <w:link w:val="10"/>
    <w:qFormat/>
    <w:uiPriority w:val="0"/>
    <w:rPr>
      <w:rFonts w:ascii="Microsoft YaHei UI" w:eastAsia="Microsoft YaHei UI"/>
      <w:kern w:val="2"/>
      <w:sz w:val="18"/>
      <w:szCs w:val="18"/>
    </w:rPr>
  </w:style>
  <w:style w:type="table" w:customStyle="1" w:styleId="86">
    <w:name w:val="网格型31"/>
    <w:basedOn w:val="29"/>
    <w:unhideWhenUsed/>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7">
    <w:name w:val="正文文本首行缩进 2 字符"/>
    <w:basedOn w:val="60"/>
    <w:link w:val="28"/>
    <w:qFormat/>
    <w:uiPriority w:val="0"/>
    <w:rPr>
      <w:rFonts w:ascii="Times New Roman" w:hAnsi="Times New Roman" w:eastAsia="宋体"/>
      <w:kern w:val="2"/>
      <w:sz w:val="21"/>
      <w:szCs w:val="24"/>
    </w:rPr>
  </w:style>
  <w:style w:type="table" w:customStyle="1" w:styleId="88">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89">
    <w:name w:val="Table Paragraph"/>
    <w:basedOn w:val="1"/>
    <w:qFormat/>
    <w:uiPriority w:val="1"/>
    <w:pPr>
      <w:autoSpaceDE w:val="0"/>
      <w:autoSpaceDN w:val="0"/>
      <w:jc w:val="left"/>
    </w:pPr>
    <w:rPr>
      <w:rFonts w:ascii="宋体" w:hAnsi="宋体" w:cs="宋体"/>
      <w:kern w:val="0"/>
      <w:sz w:val="22"/>
      <w:szCs w:val="22"/>
      <w:lang w:eastAsia="en-US"/>
    </w:rPr>
  </w:style>
  <w:style w:type="character" w:customStyle="1" w:styleId="90">
    <w:name w:val="[正文格式] Char"/>
    <w:link w:val="91"/>
    <w:qFormat/>
    <w:uiPriority w:val="0"/>
    <w:rPr>
      <w:rFonts w:ascii="宋体" w:hAnsi="宋体" w:cs="宋体"/>
      <w:kern w:val="2"/>
      <w:sz w:val="24"/>
    </w:rPr>
  </w:style>
  <w:style w:type="paragraph" w:customStyle="1" w:styleId="91">
    <w:name w:val="[正文格式]"/>
    <w:basedOn w:val="1"/>
    <w:link w:val="90"/>
    <w:qFormat/>
    <w:uiPriority w:val="0"/>
    <w:rPr>
      <w:rFonts w:ascii="宋体" w:hAnsi="宋体" w:cs="宋体"/>
      <w:sz w:val="24"/>
      <w:szCs w:val="20"/>
    </w:rPr>
  </w:style>
  <w:style w:type="character" w:customStyle="1" w:styleId="92">
    <w:name w:val="Table headline 字符"/>
    <w:link w:val="93"/>
    <w:qFormat/>
    <w:uiPriority w:val="0"/>
    <w:rPr>
      <w:b/>
      <w:color w:val="000000"/>
      <w:kern w:val="2"/>
      <w:sz w:val="24"/>
    </w:rPr>
  </w:style>
  <w:style w:type="paragraph" w:customStyle="1" w:styleId="93">
    <w:name w:val="Table headline"/>
    <w:basedOn w:val="91"/>
    <w:link w:val="92"/>
    <w:qFormat/>
    <w:uiPriority w:val="0"/>
    <w:pPr>
      <w:adjustRightInd w:val="0"/>
      <w:snapToGrid w:val="0"/>
      <w:spacing w:before="30" w:beforeLines="30"/>
      <w:jc w:val="center"/>
    </w:pPr>
    <w:rPr>
      <w:rFonts w:ascii="Times New Roman" w:hAnsi="Times New Roman" w:cs="Times New Roman"/>
      <w:b/>
      <w:color w:val="000000"/>
    </w:rPr>
  </w:style>
  <w:style w:type="paragraph" w:customStyle="1" w:styleId="94">
    <w:name w:val="表格内容"/>
    <w:basedOn w:val="95"/>
    <w:next w:val="1"/>
    <w:link w:val="110"/>
    <w:qFormat/>
    <w:uiPriority w:val="0"/>
    <w:pPr>
      <w:widowControl w:val="0"/>
      <w:spacing w:line="240" w:lineRule="exact"/>
      <w:ind w:left="-72" w:leftChars="-30" w:right="-72" w:rightChars="-30"/>
      <w:jc w:val="center"/>
    </w:pPr>
    <w:rPr>
      <w:rFonts w:ascii="Times New Roman" w:hAnsi="Times New Roman" w:eastAsia="宋体" w:cs="Times New Roman"/>
      <w:kern w:val="2"/>
      <w:lang w:val="en-US" w:eastAsia="zh-CN" w:bidi="ar-SA"/>
    </w:rPr>
  </w:style>
  <w:style w:type="paragraph" w:customStyle="1" w:styleId="95">
    <w:name w:val="表头图名"/>
    <w:basedOn w:val="1"/>
    <w:qFormat/>
    <w:uiPriority w:val="0"/>
    <w:pPr>
      <w:ind w:firstLine="0" w:firstLineChars="0"/>
      <w:jc w:val="center"/>
    </w:pPr>
    <w:rPr>
      <w:rFonts w:ascii="Times New Roman"/>
      <w:b/>
    </w:rPr>
  </w:style>
  <w:style w:type="character" w:customStyle="1" w:styleId="96">
    <w:name w:val="正文文本 3 字符"/>
    <w:basedOn w:val="31"/>
    <w:link w:val="12"/>
    <w:qFormat/>
    <w:uiPriority w:val="0"/>
    <w:rPr>
      <w:kern w:val="2"/>
      <w:sz w:val="16"/>
      <w:szCs w:val="16"/>
    </w:rPr>
  </w:style>
  <w:style w:type="character" w:customStyle="1" w:styleId="97">
    <w:name w:val="正文文本 3 Char1"/>
    <w:qFormat/>
    <w:uiPriority w:val="0"/>
    <w:rPr>
      <w:rFonts w:ascii="宋体" w:hAnsi="宋体" w:eastAsia="黑体"/>
      <w:b/>
      <w:bCs/>
      <w:kern w:val="2"/>
      <w:sz w:val="24"/>
    </w:rPr>
  </w:style>
  <w:style w:type="paragraph" w:customStyle="1" w:styleId="98">
    <w:name w:val="Table text1"/>
    <w:basedOn w:val="1"/>
    <w:link w:val="99"/>
    <w:qFormat/>
    <w:uiPriority w:val="0"/>
    <w:pPr>
      <w:overflowPunct w:val="0"/>
      <w:snapToGrid w:val="0"/>
      <w:jc w:val="center"/>
    </w:pPr>
    <w:rPr>
      <w:kern w:val="0"/>
      <w:szCs w:val="21"/>
    </w:rPr>
  </w:style>
  <w:style w:type="character" w:customStyle="1" w:styleId="99">
    <w:name w:val="Table text1 字符"/>
    <w:link w:val="98"/>
    <w:qFormat/>
    <w:uiPriority w:val="0"/>
    <w:rPr>
      <w:sz w:val="21"/>
      <w:szCs w:val="21"/>
    </w:rPr>
  </w:style>
  <w:style w:type="table" w:customStyle="1" w:styleId="100">
    <w:name w:val="网格型4"/>
    <w:basedOn w:val="2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1">
    <w:name w:val="表内容"/>
    <w:qFormat/>
    <w:uiPriority w:val="0"/>
    <w:pPr>
      <w:widowControl w:val="0"/>
      <w:ind w:left="-30" w:leftChars="-30" w:right="-30" w:rightChars="-30"/>
      <w:jc w:val="center"/>
    </w:pPr>
    <w:rPr>
      <w:rFonts w:ascii="Times New Roman" w:hAnsi="Times New Roman" w:eastAsia="宋体" w:cs="Times New Roman"/>
      <w:kern w:val="2"/>
      <w:sz w:val="21"/>
      <w:szCs w:val="21"/>
      <w:lang w:val="en-US" w:eastAsia="zh-CN" w:bidi="ar-SA"/>
    </w:rPr>
  </w:style>
  <w:style w:type="paragraph" w:customStyle="1" w:styleId="102">
    <w:name w:val="样式 标题 3 + 段前: 6 磅 段后: 6 磅 行距: 1.5 倍行距"/>
    <w:basedOn w:val="4"/>
    <w:qFormat/>
    <w:uiPriority w:val="0"/>
    <w:pPr>
      <w:keepNext w:val="0"/>
      <w:tabs>
        <w:tab w:val="left" w:pos="709"/>
        <w:tab w:val="left" w:pos="720"/>
      </w:tabs>
      <w:spacing w:before="120" w:after="120" w:line="360" w:lineRule="auto"/>
      <w:ind w:hanging="1862"/>
      <w:jc w:val="left"/>
    </w:pPr>
    <w:rPr>
      <w:rFonts w:cs="宋体"/>
      <w:color w:val="000000"/>
      <w:sz w:val="28"/>
      <w:szCs w:val="20"/>
    </w:rPr>
  </w:style>
  <w:style w:type="character" w:customStyle="1" w:styleId="103">
    <w:name w:val="标题 3 字符"/>
    <w:basedOn w:val="31"/>
    <w:link w:val="4"/>
    <w:semiHidden/>
    <w:qFormat/>
    <w:uiPriority w:val="0"/>
    <w:rPr>
      <w:b/>
      <w:bCs/>
      <w:kern w:val="2"/>
      <w:sz w:val="32"/>
      <w:szCs w:val="32"/>
    </w:rPr>
  </w:style>
  <w:style w:type="character" w:customStyle="1" w:styleId="104">
    <w:name w:val="标题 4 字符"/>
    <w:basedOn w:val="31"/>
    <w:link w:val="5"/>
    <w:semiHidden/>
    <w:qFormat/>
    <w:uiPriority w:val="0"/>
    <w:rPr>
      <w:rFonts w:asciiTheme="majorHAnsi" w:hAnsiTheme="majorHAnsi" w:eastAsiaTheme="majorEastAsia" w:cstheme="majorBidi"/>
      <w:b/>
      <w:bCs/>
      <w:kern w:val="2"/>
      <w:sz w:val="28"/>
      <w:szCs w:val="28"/>
    </w:rPr>
  </w:style>
  <w:style w:type="paragraph" w:customStyle="1" w:styleId="105">
    <w:name w:val="规范正文"/>
    <w:basedOn w:val="13"/>
    <w:next w:val="1"/>
    <w:qFormat/>
    <w:uiPriority w:val="0"/>
    <w:pPr>
      <w:topLinePunct/>
      <w:spacing w:beforeLines="0" w:after="0" w:afterLines="0" w:line="360" w:lineRule="auto"/>
      <w:ind w:firstLine="1044" w:firstLineChars="200"/>
      <w:jc w:val="both"/>
      <w:textAlignment w:val="baseline"/>
    </w:pPr>
    <w:rPr>
      <w:rFonts w:ascii="Times New Roman" w:hAnsi="Times New Roman" w:eastAsia="宋体"/>
      <w:sz w:val="24"/>
      <w:szCs w:val="22"/>
    </w:rPr>
  </w:style>
  <w:style w:type="paragraph" w:customStyle="1" w:styleId="106">
    <w:name w:val="样式 [正文格式] + 首行缩进:  2 字符"/>
    <w:basedOn w:val="91"/>
    <w:qFormat/>
    <w:uiPriority w:val="0"/>
    <w:pPr>
      <w:spacing w:line="360" w:lineRule="auto"/>
      <w:ind w:firstLine="200"/>
    </w:pPr>
    <w:rPr>
      <w:sz w:val="24"/>
    </w:rPr>
  </w:style>
  <w:style w:type="paragraph" w:customStyle="1" w:styleId="107">
    <w:name w:val="【表格文字】"/>
    <w:basedOn w:val="1"/>
    <w:next w:val="1"/>
    <w:qFormat/>
    <w:uiPriority w:val="0"/>
    <w:pPr>
      <w:spacing w:line="240" w:lineRule="exact"/>
      <w:ind w:firstLine="0" w:firstLineChars="0"/>
      <w:jc w:val="center"/>
    </w:pPr>
    <w:rPr>
      <w:sz w:val="20"/>
    </w:rPr>
  </w:style>
  <w:style w:type="character" w:customStyle="1" w:styleId="108">
    <w:name w:val="NormalCharacter"/>
    <w:semiHidden/>
    <w:qFormat/>
    <w:uiPriority w:val="0"/>
    <w:rPr>
      <w:kern w:val="2"/>
      <w:sz w:val="21"/>
      <w:szCs w:val="24"/>
      <w:lang w:val="en-US" w:eastAsia="zh-CN" w:bidi="ar-SA"/>
    </w:rPr>
  </w:style>
  <w:style w:type="paragraph" w:customStyle="1" w:styleId="109">
    <w:name w:val="p0"/>
    <w:basedOn w:val="1"/>
    <w:qFormat/>
    <w:uiPriority w:val="0"/>
    <w:pPr>
      <w:widowControl/>
      <w:spacing w:line="365" w:lineRule="atLeast"/>
      <w:ind w:left="1"/>
      <w:textAlignment w:val="bottom"/>
    </w:pPr>
    <w:rPr>
      <w:kern w:val="0"/>
      <w:sz w:val="20"/>
      <w:szCs w:val="20"/>
    </w:rPr>
  </w:style>
  <w:style w:type="character" w:customStyle="1" w:styleId="110">
    <w:name w:val="表格内容 Char"/>
    <w:link w:val="94"/>
    <w:qFormat/>
    <w:uiPriority w:val="0"/>
    <w:rPr>
      <w:rFonts w:ascii="Times New Roman" w:hAnsi="Times New Roman" w:eastAsia="宋体" w:cs="Times New Roman"/>
      <w:kern w:val="2"/>
      <w:lang w:val="en-US" w:eastAsia="zh-CN" w:bidi="ar-SA"/>
    </w:rPr>
  </w:style>
  <w:style w:type="paragraph" w:customStyle="1" w:styleId="111">
    <w:name w:val="表格名称"/>
    <w:basedOn w:val="1"/>
    <w:qFormat/>
    <w:uiPriority w:val="0"/>
    <w:pPr>
      <w:tabs>
        <w:tab w:val="left" w:pos="3825"/>
        <w:tab w:val="left" w:pos="4680"/>
      </w:tabs>
      <w:spacing w:line="360" w:lineRule="auto"/>
      <w:jc w:val="center"/>
    </w:pPr>
    <w:rPr>
      <w:rFonts w:ascii="宋体" w:hAnsi="宋体"/>
      <w:b/>
      <w:kern w:val="0"/>
      <w:sz w:val="24"/>
      <w:szCs w:val="21"/>
    </w:rPr>
  </w:style>
  <w:style w:type="paragraph" w:customStyle="1" w:styleId="112">
    <w:name w:val="啊啊正文"/>
    <w:basedOn w:val="1"/>
    <w:qFormat/>
    <w:uiPriority w:val="0"/>
    <w:pPr>
      <w:autoSpaceDE w:val="0"/>
      <w:autoSpaceDN w:val="0"/>
      <w:adjustRightInd w:val="0"/>
      <w:spacing w:line="360" w:lineRule="auto"/>
      <w:ind w:firstLine="200" w:firstLineChars="200"/>
    </w:pPr>
    <w:rPr>
      <w:kern w:val="0"/>
      <w:sz w:val="24"/>
      <w:szCs w:val="28"/>
      <w:lang w:val="zh-CN"/>
    </w:rPr>
  </w:style>
  <w:style w:type="paragraph" w:customStyle="1" w:styleId="113">
    <w:name w:val="CM5"/>
    <w:basedOn w:val="39"/>
    <w:next w:val="39"/>
    <w:qFormat/>
    <w:uiPriority w:val="0"/>
    <w:pPr>
      <w:spacing w:line="391" w:lineRule="atLeast"/>
    </w:pPr>
    <w:rPr>
      <w:rFonts w:cs="Times New Roman"/>
      <w:color w:val="auto"/>
    </w:rPr>
  </w:style>
  <w:style w:type="paragraph" w:customStyle="1" w:styleId="114">
    <w:name w:val="表格表头"/>
    <w:qFormat/>
    <w:uiPriority w:val="0"/>
    <w:pPr>
      <w:keepNext/>
      <w:spacing w:before="120" w:beforeLines="50"/>
      <w:jc w:val="center"/>
    </w:pPr>
    <w:rPr>
      <w:rFonts w:ascii="Times New Roman" w:hAnsi="Times New Roman" w:eastAsia="宋体" w:cs="Times New Roman"/>
      <w:b/>
      <w:kern w:val="2"/>
      <w:sz w:val="24"/>
      <w:szCs w:val="24"/>
      <w:lang w:val="en-US" w:eastAsia="zh-CN" w:bidi="ar-SA"/>
    </w:rPr>
  </w:style>
  <w:style w:type="paragraph" w:customStyle="1" w:styleId="115">
    <w:name w:val="报告表格"/>
    <w:basedOn w:val="1"/>
    <w:qFormat/>
    <w:uiPriority w:val="0"/>
    <w:pPr>
      <w:autoSpaceDE w:val="0"/>
      <w:autoSpaceDN w:val="0"/>
      <w:adjustRightInd w:val="0"/>
      <w:spacing w:before="40" w:after="40" w:line="360" w:lineRule="auto"/>
      <w:jc w:val="center"/>
      <w:textAlignment w:val="bottom"/>
    </w:pPr>
    <w:rPr>
      <w:kern w:val="0"/>
      <w:sz w:val="24"/>
      <w:szCs w:val="20"/>
    </w:rPr>
  </w:style>
  <w:style w:type="paragraph" w:customStyle="1" w:styleId="116">
    <w:name w:val="aaa正文"/>
    <w:basedOn w:val="1"/>
    <w:qFormat/>
    <w:uiPriority w:val="0"/>
    <w:pPr>
      <w:spacing w:line="480" w:lineRule="exact"/>
      <w:ind w:firstLine="200" w:firstLineChars="200"/>
    </w:pPr>
    <w:rPr>
      <w:rFonts w:ascii="Times New Roman"/>
      <w:kern w:val="0"/>
      <w:sz w:val="24"/>
    </w:rPr>
  </w:style>
  <w:style w:type="paragraph" w:customStyle="1" w:styleId="117">
    <w:name w:val="样式 (符号) 宋体 小四 行距: 1.5 倍行距"/>
    <w:basedOn w:val="1"/>
    <w:qFormat/>
    <w:uiPriority w:val="0"/>
    <w:pPr>
      <w:spacing w:line="360" w:lineRule="auto"/>
      <w:ind w:firstLine="200" w:firstLineChars="200"/>
    </w:pPr>
    <w:rPr>
      <w:rFonts w:hAnsi="宋体" w:cs="宋体"/>
      <w:sz w:val="24"/>
      <w:szCs w:val="20"/>
    </w:rPr>
  </w:style>
  <w:style w:type="paragraph" w:customStyle="1" w:styleId="118">
    <w:name w:val="样式 四号 加粗 行距: 1.5 倍行距"/>
    <w:basedOn w:val="1"/>
    <w:qFormat/>
    <w:uiPriority w:val="0"/>
    <w:pPr>
      <w:spacing w:line="360" w:lineRule="auto"/>
    </w:pPr>
    <w:rPr>
      <w:rFonts w:cs="宋体"/>
      <w:b/>
      <w:bCs/>
      <w:sz w:val="28"/>
      <w:szCs w:val="20"/>
    </w:rPr>
  </w:style>
  <w:style w:type="paragraph" w:customStyle="1" w:styleId="119">
    <w:name w:val="表正文"/>
    <w:basedOn w:val="1"/>
    <w:qFormat/>
    <w:uiPriority w:val="0"/>
    <w:pPr>
      <w:spacing w:line="240" w:lineRule="auto"/>
      <w:ind w:firstLine="0" w:firstLineChars="0"/>
      <w:jc w:val="center"/>
    </w:pPr>
    <w:rPr>
      <w:sz w:val="21"/>
      <w:szCs w:val="21"/>
    </w:rPr>
  </w:style>
  <w:style w:type="paragraph" w:customStyle="1" w:styleId="120">
    <w:name w:val="样式 黑色 行距: 最小值 26 磅"/>
    <w:basedOn w:val="1"/>
    <w:qFormat/>
    <w:uiPriority w:val="0"/>
    <w:pPr>
      <w:ind w:firstLine="200" w:firstLineChars="200"/>
      <w:jc w:val="left"/>
    </w:pPr>
    <w:rPr>
      <w:rFonts w:eastAsia="楷体_GB2312" w:cs="宋体"/>
      <w:color w:val="000000"/>
      <w:spacing w:val="6"/>
      <w:sz w:val="28"/>
      <w:szCs w:val="20"/>
    </w:rPr>
  </w:style>
  <w:style w:type="paragraph" w:customStyle="1" w:styleId="121">
    <w:name w:val="zhang正文"/>
    <w:basedOn w:val="14"/>
    <w:next w:val="1"/>
    <w:qFormat/>
    <w:uiPriority w:val="0"/>
    <w:pPr>
      <w:snapToGrid w:val="0"/>
      <w:spacing w:after="0" w:afterLines="0" w:line="500" w:lineRule="exact"/>
      <w:ind w:left="0" w:firstLine="539"/>
    </w:pPr>
    <w:rPr>
      <w:rFonts w:eastAsia="楷体_GB2312"/>
      <w:sz w:val="28"/>
    </w:rPr>
  </w:style>
  <w:style w:type="character" w:customStyle="1" w:styleId="122">
    <w:name w:val="Text Type 字符"/>
    <w:link w:val="123"/>
    <w:qFormat/>
    <w:uiPriority w:val="0"/>
    <w:rPr>
      <w:color w:val="000000"/>
      <w:kern w:val="0"/>
      <w:sz w:val="24"/>
      <w:szCs w:val="28"/>
    </w:rPr>
  </w:style>
  <w:style w:type="paragraph" w:customStyle="1" w:styleId="123">
    <w:name w:val="Text Type"/>
    <w:basedOn w:val="1"/>
    <w:link w:val="122"/>
    <w:qFormat/>
    <w:uiPriority w:val="0"/>
    <w:pPr>
      <w:tabs>
        <w:tab w:val="left" w:pos="720"/>
      </w:tabs>
      <w:spacing w:line="360" w:lineRule="auto"/>
      <w:ind w:firstLine="200" w:firstLineChars="200"/>
    </w:pPr>
    <w:rPr>
      <w:color w:val="000000"/>
      <w:kern w:val="0"/>
      <w:sz w:val="24"/>
      <w:szCs w:val="28"/>
    </w:rPr>
  </w:style>
  <w:style w:type="paragraph" w:customStyle="1" w:styleId="124">
    <w:name w:val="3表内文字"/>
    <w:basedOn w:val="1"/>
    <w:qFormat/>
    <w:uiPriority w:val="0"/>
    <w:pPr>
      <w:spacing w:line="240" w:lineRule="auto"/>
      <w:jc w:val="center"/>
    </w:pPr>
    <w:rPr>
      <w:color w:val="000000"/>
      <w:sz w:val="18"/>
      <w:szCs w:val="21"/>
    </w:rPr>
  </w:style>
  <w:style w:type="paragraph" w:customStyle="1" w:styleId="125">
    <w:name w:val="表格内文字"/>
    <w:basedOn w:val="111"/>
    <w:qFormat/>
    <w:uiPriority w:val="0"/>
    <w:pPr>
      <w:widowControl w:val="0"/>
      <w:spacing w:line="240" w:lineRule="exact"/>
      <w:jc w:val="center"/>
    </w:pPr>
    <w:rPr>
      <w:rFonts w:ascii="宋体" w:hAnsi="宋体" w:cs="宋体"/>
      <w:kern w:val="2"/>
      <w:sz w:val="21"/>
      <w:szCs w:val="20"/>
      <w:lang w:eastAsia="zh-CN" w:bidi="ar-SA"/>
    </w:rPr>
  </w:style>
  <w:style w:type="paragraph" w:customStyle="1" w:styleId="126">
    <w:name w:val="WPSOffice手动目录 1"/>
    <w:qFormat/>
    <w:uiPriority w:val="0"/>
    <w:pPr>
      <w:ind w:leftChars="0"/>
    </w:pPr>
    <w:rPr>
      <w:rFonts w:ascii="Times New Roman" w:hAnsi="Times New Roman" w:eastAsia="宋体" w:cs="Times New Roman"/>
      <w:sz w:val="20"/>
      <w:szCs w:val="20"/>
    </w:rPr>
  </w:style>
  <w:style w:type="paragraph" w:customStyle="1" w:styleId="127">
    <w:name w:val="WPSOffice手动目录 2"/>
    <w:qFormat/>
    <w:uiPriority w:val="0"/>
    <w:pPr>
      <w:ind w:leftChars="200"/>
    </w:pPr>
    <w:rPr>
      <w:rFonts w:ascii="Times New Roman" w:hAnsi="Times New Roman" w:eastAsia="宋体" w:cs="Times New Roman"/>
      <w:sz w:val="20"/>
      <w:szCs w:val="20"/>
    </w:rPr>
  </w:style>
  <w:style w:type="paragraph" w:customStyle="1" w:styleId="128">
    <w:name w:val="1表格标题"/>
    <w:basedOn w:val="1"/>
    <w:qFormat/>
    <w:uiPriority w:val="0"/>
    <w:pPr>
      <w:adjustRightInd w:val="0"/>
      <w:snapToGrid w:val="0"/>
      <w:spacing w:beforeLines="0" w:afterLines="0" w:line="240" w:lineRule="auto"/>
      <w:jc w:val="center"/>
      <w:outlineLvl w:val="4"/>
    </w:pPr>
    <w:rPr>
      <w:rFonts w:hint="eastAsia" w:ascii="黑体" w:hAnsi="黑体" w:eastAsia="黑体" w:cs="黑体"/>
      <w:b/>
      <w:kern w:val="0"/>
      <w:sz w:val="24"/>
    </w:rPr>
  </w:style>
  <w:style w:type="character" w:customStyle="1" w:styleId="129">
    <w:name w:val="font11"/>
    <w:basedOn w:val="31"/>
    <w:qFormat/>
    <w:uiPriority w:val="0"/>
    <w:rPr>
      <w:rFonts w:hint="eastAsia" w:ascii="宋体" w:hAnsi="宋体" w:eastAsia="宋体" w:cs="宋体"/>
      <w:color w:val="FF0000"/>
      <w:sz w:val="21"/>
      <w:szCs w:val="21"/>
      <w:u w:val="none"/>
    </w:rPr>
  </w:style>
  <w:style w:type="character" w:customStyle="1" w:styleId="130">
    <w:name w:val="font21"/>
    <w:basedOn w:val="31"/>
    <w:qFormat/>
    <w:uiPriority w:val="0"/>
    <w:rPr>
      <w:rFonts w:hint="default" w:ascii="Times New Roman" w:hAnsi="Times New Roman" w:cs="Times New Roman"/>
      <w:color w:val="FF0000"/>
      <w:sz w:val="21"/>
      <w:szCs w:val="21"/>
      <w:u w:val="none"/>
    </w:rPr>
  </w:style>
  <w:style w:type="paragraph" w:customStyle="1" w:styleId="131">
    <w:name w:val="Table Text"/>
    <w:basedOn w:val="1"/>
    <w:semiHidden/>
    <w:qFormat/>
    <w:uiPriority w:val="0"/>
    <w:rPr>
      <w:rFonts w:ascii="宋体" w:hAnsi="宋体" w:eastAsia="宋体" w:cs="宋体"/>
      <w:sz w:val="24"/>
      <w:szCs w:val="24"/>
      <w:lang w:val="en-US" w:eastAsia="en-US" w:bidi="ar-SA"/>
    </w:rPr>
  </w:style>
  <w:style w:type="character" w:customStyle="1" w:styleId="132">
    <w:name w:val="font31"/>
    <w:basedOn w:val="31"/>
    <w:qFormat/>
    <w:uiPriority w:val="0"/>
    <w:rPr>
      <w:rFonts w:hint="default" w:ascii="Times New Roman" w:hAnsi="Times New Roman" w:cs="Times New Roman"/>
      <w:color w:val="000000"/>
      <w:sz w:val="21"/>
      <w:szCs w:val="21"/>
      <w:u w:val="none"/>
    </w:rPr>
  </w:style>
  <w:style w:type="character" w:customStyle="1" w:styleId="133">
    <w:name w:val="font12"/>
    <w:basedOn w:val="31"/>
    <w:qFormat/>
    <w:uiPriority w:val="0"/>
    <w:rPr>
      <w:rFonts w:hint="eastAsia" w:ascii="宋体" w:hAnsi="宋体" w:eastAsia="宋体" w:cs="宋体"/>
      <w:color w:val="000000"/>
      <w:sz w:val="21"/>
      <w:szCs w:val="21"/>
      <w:u w:val="none"/>
    </w:rPr>
  </w:style>
  <w:style w:type="character" w:customStyle="1" w:styleId="134">
    <w:name w:val="font122"/>
    <w:basedOn w:val="31"/>
    <w:qFormat/>
    <w:uiPriority w:val="0"/>
    <w:rPr>
      <w:rFonts w:hint="default" w:ascii="Times New Roman" w:hAnsi="Times New Roman" w:cs="Times New Roman"/>
      <w:color w:val="0000FF"/>
      <w:sz w:val="21"/>
      <w:szCs w:val="21"/>
      <w:u w:val="none"/>
    </w:rPr>
  </w:style>
  <w:style w:type="character" w:customStyle="1" w:styleId="135">
    <w:name w:val="font131"/>
    <w:basedOn w:val="31"/>
    <w:qFormat/>
    <w:uiPriority w:val="0"/>
    <w:rPr>
      <w:rFonts w:hint="default" w:ascii="Times New Roman" w:hAnsi="Times New Roman" w:cs="Times New Roman"/>
      <w:b/>
      <w:bCs/>
      <w:color w:val="0000FF"/>
      <w:sz w:val="21"/>
      <w:szCs w:val="21"/>
      <w:u w:val="none"/>
    </w:rPr>
  </w:style>
  <w:style w:type="character" w:customStyle="1" w:styleId="136">
    <w:name w:val="font141"/>
    <w:basedOn w:val="31"/>
    <w:qFormat/>
    <w:uiPriority w:val="0"/>
    <w:rPr>
      <w:rFonts w:hint="default" w:ascii="Times New Roman" w:hAnsi="Times New Roman" w:cs="Times New Roman"/>
      <w:b/>
      <w:bCs/>
      <w:color w:val="0000FF"/>
      <w:sz w:val="21"/>
      <w:szCs w:val="21"/>
      <w:u w:val="none"/>
      <w:vertAlign w:val="subscript"/>
    </w:rPr>
  </w:style>
  <w:style w:type="character" w:customStyle="1" w:styleId="137">
    <w:name w:val="font41"/>
    <w:basedOn w:val="31"/>
    <w:qFormat/>
    <w:uiPriority w:val="0"/>
    <w:rPr>
      <w:rFonts w:hint="default" w:ascii="Times New Roman" w:hAnsi="Times New Roman" w:cs="Times New Roman"/>
      <w:color w:val="0000FF"/>
      <w:sz w:val="21"/>
      <w:szCs w:val="21"/>
      <w:u w:val="none"/>
    </w:rPr>
  </w:style>
  <w:style w:type="paragraph" w:customStyle="1" w:styleId="138">
    <w:name w:val="法规"/>
    <w:basedOn w:val="1"/>
    <w:qFormat/>
    <w:uiPriority w:val="0"/>
    <w:pPr>
      <w:tabs>
        <w:tab w:val="left" w:pos="400"/>
      </w:tabs>
      <w:spacing w:line="440" w:lineRule="exact"/>
    </w:pPr>
    <w:rPr>
      <w:sz w:val="25"/>
      <w:szCs w:val="20"/>
    </w:rPr>
  </w:style>
  <w:style w:type="paragraph" w:customStyle="1" w:styleId="139">
    <w:name w:val="【表头】"/>
    <w:next w:val="107"/>
    <w:qFormat/>
    <w:uiPriority w:val="0"/>
    <w:pPr>
      <w:spacing w:before="50" w:beforeLines="50"/>
      <w:jc w:val="center"/>
    </w:pPr>
    <w:rPr>
      <w:rFonts w:ascii="Times New Roman" w:hAnsi="Times New Roman" w:eastAsia="宋体" w:cs="Times New Roman"/>
      <w:b/>
      <w:bCs/>
      <w:color w:val="000000"/>
      <w:kern w:val="2"/>
      <w:sz w:val="24"/>
      <w:szCs w:val="24"/>
      <w:lang w:val="en-US" w:eastAsia="zh-CN" w:bidi="ar-SA"/>
    </w:rPr>
  </w:style>
  <w:style w:type="paragraph" w:customStyle="1" w:styleId="140">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141">
    <w:name w:val="样式 样式 12.5 磅 行距: 固定值 22 磅 首行缩进:  2 字符 + 首行缩进:  2 字符"/>
    <w:basedOn w:val="1"/>
    <w:qFormat/>
    <w:uiPriority w:val="0"/>
    <w:pPr>
      <w:spacing w:line="440" w:lineRule="exact"/>
      <w:ind w:firstLine="500" w:firstLineChars="200"/>
    </w:pPr>
    <w:rPr>
      <w:rFonts w:cs="宋体"/>
      <w:sz w:val="24"/>
    </w:rPr>
  </w:style>
  <w:style w:type="paragraph" w:styleId="142">
    <w:name w:val="List Paragraph"/>
    <w:basedOn w:val="1"/>
    <w:qFormat/>
    <w:uiPriority w:val="1"/>
    <w:pPr>
      <w:ind w:left="902" w:firstLine="480"/>
    </w:pPr>
    <w:rPr>
      <w:rFonts w:ascii="宋体" w:hAnsi="宋体" w:eastAsia="宋体" w:cs="宋体"/>
      <w:lang w:val="zh-CN" w:eastAsia="zh-CN" w:bidi="zh-CN"/>
    </w:rPr>
  </w:style>
  <w:style w:type="paragraph" w:customStyle="1" w:styleId="143">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144">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145">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table" w:customStyle="1" w:styleId="146">
    <w:name w:val="样式6"/>
    <w:basedOn w:val="29"/>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47">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148">
    <w:name w:val="1.1.1"/>
    <w:basedOn w:val="1"/>
    <w:qFormat/>
    <w:uiPriority w:val="0"/>
    <w:pPr>
      <w:spacing w:before="120" w:beforeLines="50" w:after="120" w:afterLines="50" w:line="360" w:lineRule="auto"/>
      <w:outlineLvl w:val="2"/>
    </w:pPr>
    <w:rPr>
      <w:b/>
      <w:color w:val="0000FF"/>
      <w:sz w:val="24"/>
    </w:rPr>
  </w:style>
  <w:style w:type="paragraph" w:customStyle="1" w:styleId="149">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150">
    <w:name w:val="5段落"/>
    <w:basedOn w:val="1"/>
    <w:qFormat/>
    <w:uiPriority w:val="0"/>
    <w:pPr>
      <w:spacing w:line="360" w:lineRule="auto"/>
      <w:ind w:firstLine="420" w:firstLineChars="200"/>
    </w:pPr>
  </w:style>
  <w:style w:type="paragraph" w:customStyle="1" w:styleId="151">
    <w:name w:val="6表格"/>
    <w:basedOn w:val="1"/>
    <w:qFormat/>
    <w:uiPriority w:val="0"/>
    <w:pPr>
      <w:jc w:val="center"/>
    </w:pPr>
  </w:style>
  <w:style w:type="paragraph" w:customStyle="1" w:styleId="152">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153">
    <w:name w:val="111表格"/>
    <w:basedOn w:val="1"/>
    <w:qFormat/>
    <w:uiPriority w:val="0"/>
    <w:pPr>
      <w:spacing w:line="240" w:lineRule="auto"/>
      <w:ind w:firstLine="0" w:firstLineChars="0"/>
      <w:jc w:val="center"/>
    </w:pPr>
    <w:rPr>
      <w:color w:val="FF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jpe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emf"/><Relationship Id="rId22" Type="http://schemas.openxmlformats.org/officeDocument/2006/relationships/image" Target="media/image6.emf"/><Relationship Id="rId21" Type="http://schemas.openxmlformats.org/officeDocument/2006/relationships/image" Target="media/image5.png"/><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117</Pages>
  <Words>28248</Words>
  <Characters>30368</Characters>
  <Lines>1269</Lines>
  <Paragraphs>965</Paragraphs>
  <TotalTime>56</TotalTime>
  <ScaleCrop>false</ScaleCrop>
  <LinksUpToDate>false</LinksUpToDate>
  <CharactersWithSpaces>30566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2021-04-26T08:21:00Z</dcterms:created>
  <dc:creator>lhj</dc:creator>
  <cp:lastModifiedBy>蓝莓</cp:lastModifiedBy>
  <cp:lastPrinted>2025-06-17T09:18:00Z</cp:lastPrinted>
  <dcterms:modified xsi:type="dcterms:W3CDTF">2026-06-30T09:10:30Z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F7230C8D85564E4BAF51352BD4B5011E_13</vt:lpwstr>
  </property>
  <property fmtid="{D5CDD505-2E9C-101B-9397-08002B2CF9AE}" pid="4" name="KSOTemplateDocerSaveRecord">
    <vt:lpwstr>eyJoZGlkIjoiN2JmZDZhMmNlZDRjMjhhZjVkZGFkMzlmODJjNTE5NGUiLCJ1c2VySWQiOiIxMzUwMjAyNTg1In0=</vt:lpwstr>
  </property>
</Properties>
</file>